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1232F733">
      <w:pPr>
        <w:adjustRightInd/>
        <w:spacing w:line="360" w:lineRule="auto"/>
        <w:ind w:firstLine="1440" w:firstLineChars="300"/>
        <w:jc w:val="both"/>
        <w:rPr>
          <w:rFonts w:hint="eastAsia" w:ascii="宋体" w:hAnsi="宋体" w:cs="宋体"/>
          <w:color w:val="auto"/>
          <w:sz w:val="48"/>
          <w:szCs w:val="48"/>
          <w:highlight w:val="none"/>
        </w:rPr>
      </w:pPr>
      <w:r>
        <w:rPr>
          <w:rFonts w:hint="eastAsia" w:ascii="宋体" w:hAnsi="宋体" w:cs="宋体"/>
          <w:color w:val="auto"/>
          <w:sz w:val="48"/>
          <w:szCs w:val="48"/>
          <w:highlight w:val="none"/>
        </w:rPr>
        <w:t>江南镇食堂管理服务采购项目</w:t>
      </w:r>
    </w:p>
    <w:p w14:paraId="7F808CB1">
      <w:pPr>
        <w:adjustRightInd/>
        <w:spacing w:line="360" w:lineRule="auto"/>
        <w:ind w:firstLine="3840" w:firstLineChars="800"/>
        <w:jc w:val="both"/>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r>
        <w:rPr>
          <w:rFonts w:hint="eastAsia" w:ascii="宋体" w:hAnsi="宋体" w:cs="宋体"/>
          <w:b/>
          <w:color w:val="auto"/>
          <w:sz w:val="44"/>
          <w:szCs w:val="44"/>
          <w:highlight w:val="none"/>
          <w:lang w:val="en-US" w:eastAsia="zh-CN"/>
        </w:rPr>
        <w:t xml:space="preserve"> </w:t>
      </w:r>
      <w:r>
        <w:rPr>
          <w:rFonts w:hint="eastAsia" w:ascii="宋体" w:hAnsi="宋体" w:cs="宋体"/>
          <w:b/>
          <w:color w:val="auto"/>
          <w:sz w:val="44"/>
          <w:szCs w:val="44"/>
          <w:highlight w:val="none"/>
        </w:rPr>
        <w:t>（电子招投标）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编号:（HZLZ-TL2025GK-004）</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5D92B9D2">
      <w:pPr>
        <w:snapToGrid w:val="0"/>
        <w:spacing w:line="360" w:lineRule="auto"/>
        <w:jc w:val="center"/>
        <w:rPr>
          <w:rFonts w:hint="eastAsia" w:ascii="宋体" w:hAnsi="宋体" w:cs="宋体"/>
          <w:color w:val="auto"/>
          <w:sz w:val="32"/>
          <w:szCs w:val="32"/>
          <w:highlight w:val="none"/>
        </w:rPr>
      </w:pPr>
    </w:p>
    <w:p w14:paraId="74B0CB22">
      <w:pPr>
        <w:snapToGrid w:val="0"/>
        <w:spacing w:line="360" w:lineRule="auto"/>
        <w:jc w:val="center"/>
        <w:rPr>
          <w:rFonts w:hint="eastAsia" w:ascii="宋体" w:hAnsi="宋体" w:cs="宋体"/>
          <w:color w:val="auto"/>
          <w:sz w:val="32"/>
          <w:szCs w:val="32"/>
          <w:highlight w:val="none"/>
        </w:rPr>
      </w:pPr>
    </w:p>
    <w:p w14:paraId="61BCC009">
      <w:pPr>
        <w:snapToGrid w:val="0"/>
        <w:spacing w:line="360" w:lineRule="auto"/>
        <w:jc w:val="center"/>
        <w:rPr>
          <w:rFonts w:hint="eastAsia" w:ascii="宋体" w:hAnsi="宋体" w:cs="宋体"/>
          <w:color w:val="auto"/>
          <w:sz w:val="32"/>
          <w:szCs w:val="32"/>
          <w:highlight w:val="none"/>
        </w:rPr>
      </w:pPr>
    </w:p>
    <w:p w14:paraId="76941BF8">
      <w:pPr>
        <w:snapToGrid w:val="0"/>
        <w:spacing w:line="360" w:lineRule="auto"/>
        <w:jc w:val="center"/>
        <w:rPr>
          <w:rFonts w:hint="eastAsia" w:ascii="宋体" w:hAnsi="宋体" w:cs="宋体"/>
          <w:color w:val="auto"/>
          <w:sz w:val="32"/>
          <w:szCs w:val="32"/>
          <w:highlight w:val="none"/>
        </w:rPr>
      </w:pPr>
    </w:p>
    <w:p w14:paraId="4836694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（桐庐县江南镇人民政府）</w:t>
      </w:r>
    </w:p>
    <w:p w14:paraId="289DCB7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（杭州良筑工程造价咨询有限公司）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江南镇食堂管理服务采购项目（项目名称）</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04</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02</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30"/>
          <w:szCs w:val="30"/>
          <w:highlight w:val="none"/>
        </w:rPr>
        <w:t>HZLZ-TL2025GK-004</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江南镇食堂管理服务采购项目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350000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350000</w:t>
      </w:r>
      <w:r>
        <w:rPr>
          <w:rFonts w:ascii="宋体" w:hAnsi="宋体" w:cs="宋体"/>
          <w:color w:val="auto"/>
          <w:sz w:val="24"/>
          <w:highlight w:val="none"/>
        </w:rPr>
        <w:t xml:space="preserve"> </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江南镇食堂管理服务采购项目主要内容： 主要包含江南镇食堂日常210人左右的大餐厅工作用餐、4个包厢公务接待、部分特殊活动临时性用餐等餐饮管理服务采购。</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自合同签订起</w:t>
      </w:r>
      <w:r>
        <w:rPr>
          <w:rFonts w:hint="eastAsia" w:ascii="宋体" w:hAnsi="宋体" w:cs="宋体"/>
          <w:b/>
          <w:color w:val="auto"/>
          <w:highlight w:val="none"/>
          <w:lang w:val="en-US" w:eastAsia="zh-CN"/>
        </w:rPr>
        <w:t>1年</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D4197A">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bookmarkStart w:id="534" w:name="_GoBack"/>
      <w:bookmarkEnd w:id="534"/>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称：桐庐县江南镇人民政府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址：桐庐县江南镇窄溪高山头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项目联系人（询问）：沈诗华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项目联系方式（询问）：13777804831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质疑联系人：骆曙恺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质疑联系方式：15356630608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称：杭州良筑工程造价咨询有限公司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址：桐庐县中艺大厦16楼</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翁宇峰</w:t>
      </w:r>
      <w:r>
        <w:rPr>
          <w:rFonts w:hint="eastAsia" w:ascii="宋体" w:hAnsi="宋体" w:cs="宋体"/>
          <w:color w:val="auto"/>
          <w:sz w:val="24"/>
          <w:highlight w:val="none"/>
        </w:rPr>
        <w:t xml:space="preserve"> </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17764584345</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郑小庆</w:t>
      </w:r>
      <w:r>
        <w:rPr>
          <w:rFonts w:hint="eastAsia" w:ascii="宋体" w:hAnsi="宋体" w:cs="宋体"/>
          <w:color w:val="auto"/>
          <w:sz w:val="24"/>
          <w:highlight w:val="none"/>
        </w:rPr>
        <w:t xml:space="preserve">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质疑联系方式：17855838252</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E32F679">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76"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江南镇食堂管理服务采购项目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餐饮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根据《关于印发中小企业划型标准规定的通知》（工信部联企业〔2011〕300号）第四条规定：餐饮行业。从业人员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人以下或营业收入</w:t>
            </w:r>
            <w:r>
              <w:rPr>
                <w:rFonts w:hint="eastAsia" w:ascii="宋体" w:hAnsi="宋体" w:cs="宋体"/>
                <w:b w:val="0"/>
                <w:bCs w:val="0"/>
                <w:color w:val="auto"/>
                <w:kern w:val="0"/>
                <w:sz w:val="24"/>
                <w:szCs w:val="24"/>
                <w:highlight w:val="none"/>
                <w:lang w:val="en-US" w:eastAsia="zh-CN" w:bidi="ar-SA"/>
              </w:rPr>
              <w:t>10000</w:t>
            </w:r>
            <w:r>
              <w:rPr>
                <w:rFonts w:hint="eastAsia" w:ascii="宋体" w:hAnsi="宋体" w:eastAsia="宋体" w:cs="宋体"/>
                <w:b w:val="0"/>
                <w:bCs w:val="0"/>
                <w:color w:val="auto"/>
                <w:kern w:val="0"/>
                <w:sz w:val="24"/>
                <w:szCs w:val="24"/>
                <w:highlight w:val="none"/>
                <w:lang w:val="en-US" w:eastAsia="zh-CN" w:bidi="ar-SA"/>
              </w:rPr>
              <w:t>万元以下的为中小微型企业。其中，从业人员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人及以上，且营业收入</w:t>
            </w:r>
            <w:r>
              <w:rPr>
                <w:rFonts w:hint="eastAsia" w:ascii="宋体" w:hAnsi="宋体" w:cs="宋体"/>
                <w:b w:val="0"/>
                <w:bCs w:val="0"/>
                <w:color w:val="auto"/>
                <w:kern w:val="0"/>
                <w:sz w:val="24"/>
                <w:szCs w:val="24"/>
                <w:highlight w:val="none"/>
                <w:lang w:val="en-US" w:eastAsia="zh-CN" w:bidi="ar-SA"/>
              </w:rPr>
              <w:t>2000</w:t>
            </w:r>
            <w:r>
              <w:rPr>
                <w:rFonts w:hint="eastAsia" w:ascii="宋体" w:hAnsi="宋体" w:eastAsia="宋体" w:cs="宋体"/>
                <w:b w:val="0"/>
                <w:bCs w:val="0"/>
                <w:color w:val="auto"/>
                <w:kern w:val="0"/>
                <w:sz w:val="24"/>
                <w:szCs w:val="24"/>
                <w:highlight w:val="none"/>
                <w:lang w:val="en-US" w:eastAsia="zh-CN" w:bidi="ar-SA"/>
              </w:rPr>
              <w:t>万元及以上的为中型企业；从业人员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人及以上，且营业收入</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万元及以上的为小型企业；从业人员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人以下或营业收入</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3"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62"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0EFC976E">
            <w:pPr>
              <w:snapToGrid w:val="0"/>
              <w:spacing w:line="360" w:lineRule="auto"/>
              <w:jc w:val="center"/>
              <w:rPr>
                <w:rFonts w:hint="eastAsia" w:ascii="宋体" w:hAnsi="宋体" w:cs="宋体"/>
                <w:color w:val="auto"/>
                <w:sz w:val="24"/>
                <w:highlight w:val="none"/>
              </w:rPr>
            </w:pPr>
          </w:p>
          <w:p w14:paraId="6A68DF05">
            <w:pPr>
              <w:snapToGrid w:val="0"/>
              <w:spacing w:line="360" w:lineRule="auto"/>
              <w:jc w:val="center"/>
              <w:rPr>
                <w:rFonts w:hint="eastAsia" w:ascii="宋体" w:hAnsi="宋体" w:cs="宋体"/>
                <w:color w:val="auto"/>
                <w:sz w:val="24"/>
                <w:highlight w:val="none"/>
              </w:rPr>
            </w:pPr>
          </w:p>
          <w:p w14:paraId="6C64C51F">
            <w:pPr>
              <w:snapToGrid w:val="0"/>
              <w:spacing w:line="360" w:lineRule="auto"/>
              <w:jc w:val="center"/>
              <w:rPr>
                <w:rFonts w:hint="eastAsia" w:ascii="宋体" w:hAnsi="宋体" w:cs="宋体"/>
                <w:color w:val="auto"/>
                <w:sz w:val="24"/>
                <w:highlight w:val="none"/>
              </w:rPr>
            </w:pPr>
          </w:p>
          <w:p w14:paraId="144CC41E">
            <w:pPr>
              <w:snapToGrid w:val="0"/>
              <w:spacing w:line="360" w:lineRule="auto"/>
              <w:jc w:val="center"/>
              <w:rPr>
                <w:rFonts w:hint="eastAsia" w:ascii="宋体" w:hAnsi="宋体" w:cs="宋体"/>
                <w:color w:val="auto"/>
                <w:sz w:val="24"/>
                <w:highlight w:val="none"/>
              </w:rPr>
            </w:pPr>
          </w:p>
          <w:p w14:paraId="0E2058F1">
            <w:pPr>
              <w:snapToGrid w:val="0"/>
              <w:spacing w:line="360" w:lineRule="auto"/>
              <w:jc w:val="center"/>
              <w:rPr>
                <w:rFonts w:hint="eastAsia"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6"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45FA55E2">
            <w:pPr>
              <w:snapToGrid w:val="0"/>
              <w:spacing w:line="360" w:lineRule="auto"/>
              <w:jc w:val="center"/>
              <w:rPr>
                <w:rFonts w:hint="eastAsia" w:ascii="宋体" w:hAnsi="宋体" w:cs="宋体"/>
                <w:color w:val="auto"/>
                <w:sz w:val="24"/>
                <w:highlight w:val="none"/>
              </w:rPr>
            </w:pPr>
          </w:p>
          <w:p w14:paraId="13DC96BD">
            <w:pPr>
              <w:snapToGrid w:val="0"/>
              <w:spacing w:line="360" w:lineRule="auto"/>
              <w:jc w:val="center"/>
              <w:rPr>
                <w:rFonts w:hint="eastAsia" w:ascii="宋体" w:hAnsi="宋体" w:cs="宋体"/>
                <w:color w:val="auto"/>
                <w:sz w:val="24"/>
                <w:highlight w:val="none"/>
              </w:rPr>
            </w:pPr>
          </w:p>
          <w:p w14:paraId="32C2B9F7">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8"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9"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4"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5EA80EF8">
            <w:pPr>
              <w:snapToGrid w:val="0"/>
              <w:spacing w:line="360" w:lineRule="auto"/>
              <w:jc w:val="center"/>
              <w:rPr>
                <w:rFonts w:hint="eastAsia" w:ascii="宋体" w:hAnsi="宋体" w:cs="宋体"/>
                <w:color w:val="auto"/>
                <w:sz w:val="24"/>
                <w:highlight w:val="none"/>
              </w:rPr>
            </w:pPr>
          </w:p>
          <w:p w14:paraId="16FED5E2">
            <w:pPr>
              <w:snapToGrid w:val="0"/>
              <w:spacing w:line="360" w:lineRule="auto"/>
              <w:jc w:val="center"/>
              <w:rPr>
                <w:rFonts w:hint="eastAsia"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45"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04867BED">
            <w:pPr>
              <w:snapToGrid w:val="0"/>
              <w:spacing w:line="360" w:lineRule="auto"/>
              <w:jc w:val="center"/>
              <w:rPr>
                <w:rFonts w:hint="eastAsia" w:ascii="宋体" w:hAnsi="宋体" w:cs="宋体"/>
                <w:color w:val="auto"/>
                <w:sz w:val="24"/>
                <w:highlight w:val="none"/>
              </w:rPr>
            </w:pPr>
          </w:p>
          <w:p w14:paraId="5A8DFF5D">
            <w:pPr>
              <w:snapToGrid w:val="0"/>
              <w:spacing w:line="360" w:lineRule="auto"/>
              <w:jc w:val="center"/>
              <w:rPr>
                <w:rFonts w:hint="eastAsia" w:ascii="宋体" w:hAnsi="宋体" w:cs="宋体"/>
                <w:color w:val="auto"/>
                <w:sz w:val="24"/>
                <w:highlight w:val="none"/>
              </w:rPr>
            </w:pPr>
          </w:p>
          <w:p w14:paraId="7C9DC01D">
            <w:pPr>
              <w:snapToGrid w:val="0"/>
              <w:spacing w:line="360" w:lineRule="auto"/>
              <w:jc w:val="center"/>
              <w:rPr>
                <w:rFonts w:hint="eastAsia" w:ascii="宋体" w:hAnsi="宋体" w:cs="宋体"/>
                <w:color w:val="auto"/>
                <w:sz w:val="24"/>
                <w:highlight w:val="none"/>
              </w:rPr>
            </w:pPr>
          </w:p>
          <w:p w14:paraId="667BC84A">
            <w:pPr>
              <w:snapToGrid w:val="0"/>
              <w:spacing w:line="360" w:lineRule="auto"/>
              <w:jc w:val="center"/>
              <w:rPr>
                <w:rFonts w:hint="eastAsia"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26"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4201546E">
            <w:pPr>
              <w:snapToGrid w:val="0"/>
              <w:spacing w:line="360" w:lineRule="auto"/>
              <w:jc w:val="center"/>
              <w:rPr>
                <w:rFonts w:hint="eastAsia" w:ascii="宋体" w:hAnsi="宋体" w:cs="宋体"/>
                <w:color w:val="auto"/>
                <w:sz w:val="24"/>
                <w:highlight w:val="none"/>
              </w:rPr>
            </w:pPr>
          </w:p>
          <w:p w14:paraId="4E25916E">
            <w:pPr>
              <w:snapToGrid w:val="0"/>
              <w:spacing w:line="360" w:lineRule="auto"/>
              <w:jc w:val="center"/>
              <w:rPr>
                <w:rFonts w:hint="eastAsia"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桐庐县中艺大厦16楼</w:t>
            </w:r>
            <w:r>
              <w:rPr>
                <w:rFonts w:hint="eastAsia" w:hAnsi="宋体" w:cs="宋体"/>
                <w:color w:val="auto"/>
                <w:sz w:val="24"/>
                <w:highlight w:val="none"/>
                <w:u w:val="single"/>
                <w:lang w:val="en-US" w:eastAsia="zh-CN"/>
              </w:rPr>
              <w:t>1618室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翁宇峰</w:t>
            </w:r>
            <w:r>
              <w:rPr>
                <w:rFonts w:hint="eastAsia" w:hAnsi="宋体" w:cs="宋体"/>
                <w:color w:val="auto"/>
                <w:sz w:val="24"/>
                <w:highlight w:val="none"/>
                <w:u w:val="single"/>
                <w:lang w:val="en-US" w:eastAsia="zh-CN"/>
              </w:rPr>
              <w:t>17764584345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1B8D8A3">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次代理服务费按浙价服【2003】77号文收取。开评标过程中产生的其他费用和代理服务费由中标单位在领取中标通知书时，一次性支付给代理公司，上述费用应含在投标报价中（不得单独列项），供应商应在投标报价让利中考虑上述费用。</w:t>
            </w:r>
          </w:p>
          <w:p w14:paraId="2961F4EE">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收款单位名称： 杭州良筑工程造价咨询有限公司桐庐分公司</w:t>
            </w:r>
          </w:p>
          <w:p w14:paraId="2F9FBA1A">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 xml:space="preserve">帐号：10472000000489545 </w:t>
            </w:r>
          </w:p>
          <w:p w14:paraId="35238FF6">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开户行：华夏银行股份有限公司杭州桐庐支行</w:t>
            </w:r>
          </w:p>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（税号）统一社会信用代码：91330122MAC5FWW49W</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2C34A00">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hint="eastAsia" w:ascii="宋体" w:hAnsi="宋体" w:cs="宋体"/>
          <w:color w:val="auto"/>
          <w:sz w:val="24"/>
          <w:highlight w:val="none"/>
          <w:lang w:val="en-US" w:eastAsia="zh-CN"/>
        </w:rPr>
        <w:t>0.</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403820"/>
      <w:bookmarkEnd w:id="16"/>
      <w:bookmarkStart w:id="17" w:name="_Hlt75236290"/>
      <w:bookmarkEnd w:id="17"/>
      <w:bookmarkStart w:id="18" w:name="_Hlt74707468"/>
      <w:bookmarkEnd w:id="18"/>
      <w:bookmarkStart w:id="19" w:name="_Hlt68072990"/>
      <w:bookmarkEnd w:id="19"/>
      <w:bookmarkStart w:id="20" w:name="_Hlt74730295"/>
      <w:bookmarkEnd w:id="20"/>
      <w:bookmarkStart w:id="21" w:name="_Hlt74714665"/>
      <w:bookmarkEnd w:id="21"/>
      <w:bookmarkStart w:id="22" w:name="_Hlt68072998"/>
      <w:bookmarkEnd w:id="22"/>
      <w:bookmarkStart w:id="23" w:name="_Hlt75236011"/>
      <w:bookmarkEnd w:id="23"/>
      <w:bookmarkStart w:id="24" w:name="_Hlt74729768"/>
      <w:bookmarkEnd w:id="24"/>
      <w:bookmarkStart w:id="25" w:name="_Hlt75236101"/>
      <w:bookmarkEnd w:id="25"/>
      <w:bookmarkStart w:id="26" w:name="_Hlt68057669"/>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413624F">
      <w:pPr>
        <w:pStyle w:val="2"/>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ascii="宋体" w:hAnsi="宋体" w:eastAsia="宋体" w:cs="宋体"/>
          <w:b w:val="0"/>
          <w:bCs w:val="0"/>
          <w:color w:val="000000"/>
          <w:kern w:val="2"/>
          <w:sz w:val="28"/>
          <w:szCs w:val="28"/>
          <w:lang w:val="en-US" w:eastAsia="zh-CN" w:bidi="ar-SA"/>
        </w:rPr>
      </w:pPr>
      <w:bookmarkStart w:id="28" w:name="_Toc109735380"/>
      <w:bookmarkStart w:id="29" w:name="_Toc21497"/>
      <w:bookmarkStart w:id="30" w:name="_Toc22161"/>
      <w:bookmarkStart w:id="31" w:name="_Toc712685417"/>
      <w:bookmarkStart w:id="32" w:name="_Toc1090105998"/>
      <w:bookmarkStart w:id="33" w:name="_Toc1174019623"/>
      <w:r>
        <w:rPr>
          <w:rFonts w:hint="eastAsia" w:ascii="宋体" w:hAnsi="宋体" w:eastAsia="宋体" w:cs="宋体"/>
          <w:b/>
          <w:bCs/>
          <w:color w:val="000000"/>
          <w:kern w:val="2"/>
          <w:sz w:val="28"/>
          <w:szCs w:val="28"/>
          <w:lang w:val="en-US" w:eastAsia="zh-CN" w:bidi="ar-SA"/>
        </w:rPr>
        <w:t>一、</w:t>
      </w:r>
      <w:bookmarkEnd w:id="28"/>
      <w:bookmarkEnd w:id="29"/>
      <w:bookmarkEnd w:id="30"/>
      <w:bookmarkEnd w:id="31"/>
      <w:bookmarkEnd w:id="32"/>
      <w:bookmarkEnd w:id="33"/>
      <w:r>
        <w:rPr>
          <w:rFonts w:hint="eastAsia" w:ascii="宋体" w:hAnsi="宋体" w:eastAsia="宋体" w:cs="宋体"/>
          <w:b/>
          <w:bCs/>
          <w:color w:val="000000"/>
          <w:kern w:val="2"/>
          <w:sz w:val="28"/>
          <w:szCs w:val="28"/>
          <w:lang w:val="en-US" w:eastAsia="zh-CN" w:bidi="ar-SA"/>
        </w:rPr>
        <w:t>项目概况：</w:t>
      </w:r>
    </w:p>
    <w:p w14:paraId="0D895571">
      <w:pPr>
        <w:pStyle w:val="85"/>
        <w:ind w:firstLine="480"/>
        <w:rPr>
          <w:rFonts w:hint="eastAsia"/>
          <w:lang w:val="en-US" w:eastAsia="zh-CN"/>
        </w:rPr>
      </w:pPr>
      <w:bookmarkStart w:id="34" w:name="_Toc17211"/>
      <w:bookmarkStart w:id="35" w:name="_Toc913680509"/>
      <w:bookmarkStart w:id="36" w:name="_Toc1699462951"/>
      <w:bookmarkStart w:id="37" w:name="_Toc1586516546"/>
      <w:bookmarkStart w:id="38" w:name="_Toc109735383"/>
      <w:bookmarkStart w:id="39" w:name="_Toc16241"/>
      <w:r>
        <w:rPr>
          <w:rFonts w:hint="eastAsia"/>
          <w:lang w:val="en-US" w:eastAsia="zh-CN"/>
        </w:rPr>
        <w:t xml:space="preserve"> </w:t>
      </w:r>
      <w:r>
        <w:rPr>
          <w:rFonts w:hint="eastAsia"/>
          <w:highlight w:val="none"/>
          <w:lang w:val="en-US" w:eastAsia="zh-CN"/>
        </w:rPr>
        <w:t>江南镇食堂位于桐庐县江南镇窄溪高山头江南镇人民政府，含1个大餐厅、4个包厢、后厨及其他配套用房；主要服务对象：江南镇人民政府工作人员，用餐人数约210人。餐饮服务包括早餐、午餐、晚餐。</w:t>
      </w:r>
    </w:p>
    <w:p w14:paraId="0598CBBA">
      <w:pPr>
        <w:pStyle w:val="2"/>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二、</w:t>
      </w:r>
      <w:bookmarkEnd w:id="34"/>
      <w:bookmarkEnd w:id="35"/>
      <w:bookmarkEnd w:id="36"/>
      <w:bookmarkEnd w:id="37"/>
      <w:bookmarkEnd w:id="38"/>
      <w:bookmarkEnd w:id="39"/>
      <w:r>
        <w:rPr>
          <w:rFonts w:hint="eastAsia" w:ascii="宋体" w:hAnsi="宋体" w:eastAsia="宋体" w:cs="宋体"/>
          <w:b/>
          <w:bCs/>
          <w:color w:val="000000"/>
          <w:kern w:val="2"/>
          <w:sz w:val="28"/>
          <w:szCs w:val="28"/>
          <w:lang w:val="en-US" w:eastAsia="zh-CN" w:bidi="ar-SA"/>
        </w:rPr>
        <w:t>服务要求:</w:t>
      </w:r>
    </w:p>
    <w:p w14:paraId="53F0CD08">
      <w:pPr>
        <w:pStyle w:val="85"/>
        <w:ind w:firstLine="480"/>
        <w:rPr>
          <w:rFonts w:hint="eastAsia" w:ascii="宋体" w:hAnsi="宋体" w:eastAsia="宋体" w:cs="Times New Roman"/>
          <w:lang w:val="en-US" w:eastAsia="zh-CN"/>
        </w:rPr>
      </w:pPr>
      <w:bookmarkStart w:id="40" w:name="_Toc1281994470"/>
      <w:bookmarkStart w:id="41" w:name="_Toc32495"/>
      <w:bookmarkStart w:id="42" w:name="_Toc109735381"/>
      <w:r>
        <w:rPr>
          <w:rFonts w:hint="eastAsia" w:ascii="宋体" w:hAnsi="宋体" w:eastAsia="宋体" w:cs="Times New Roman"/>
          <w:lang w:val="en-US" w:eastAsia="zh-CN"/>
        </w:rPr>
        <w:t>2.1相关费用及经济指标</w:t>
      </w:r>
    </w:p>
    <w:p w14:paraId="43108FB9">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1）投标人需做好餐厅日常管理过程中设备维护与保养，保证其正常使用并做到不丢失。委托范围内的建筑装修、基本厨房设备、餐厅餐桌椅、电子刷卡设备等由甲方提供，乙方负责做好日常保养和维护工作。日常零星小维修由乙方直接联系甲方指定维修点进行维修，维修清单每周报行政管理人员审核，需采购厨房设备按相关手续申报，费用由甲方承担。如因使用不当造成设备损坏所产生的修理费用由乙方承担，正常损耗除外。</w:t>
      </w:r>
    </w:p>
    <w:p w14:paraId="4D943FA0">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（2）承包供应商准确核算原材料成本，并以成本价供应，定价经采购人同意后执行。承包供应商要保证利润率控制在采购人合同规定的范围内，最好能做到食堂收支基本平衡，如有盈亏，也应控制在+/-5%以内。</w:t>
      </w:r>
    </w:p>
    <w:p w14:paraId="5BE8D00F">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3）价格限制标准：菜价要严格执行食堂的高、中、低菜价标准，菜肴品也要按照食堂高、中、低的合理比例。采购人将随时调查饭菜质量、价格、食品卫生以及服务情况，并将有关信息通知投标人，投标人应虚心听取意见，采取措施及时解决存在的问题。</w:t>
      </w:r>
    </w:p>
    <w:p w14:paraId="101DE56B">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（4）采用电子刷卡消费，不得发生现金往来。</w:t>
      </w:r>
    </w:p>
    <w:p w14:paraId="2E44434A">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（5）低值易耗品，餐具、炊具、厨房用具、卫生清洁用品等由甲方购置，承包供应商建立台账并科学管理，控制使用量和损耗率。损耗率控制在10%以内，超出损耗率10%以外部分由承包供应商承担。</w:t>
      </w:r>
    </w:p>
    <w:p w14:paraId="3E62F694">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（6）按采购人要求与原服务单位完成项目交接。</w:t>
      </w:r>
    </w:p>
    <w:p w14:paraId="04D0B0A9">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2.2 餐饮服务要求</w:t>
      </w:r>
    </w:p>
    <w:p w14:paraId="4C577DB5">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（1）投标人要保证保质保量按时完成一日三餐的餐饮服务，并力求做到为采购人提供质优价廉、风味独特、品种丰富的饭菜。要有完成此项服务工作的设想、设计方案，更要有做好此项工作的服务承诺。</w:t>
      </w:r>
    </w:p>
    <w:p w14:paraId="1EFF5E93">
      <w:pPr>
        <w:pStyle w:val="85"/>
        <w:ind w:firstLine="480"/>
        <w:rPr>
          <w:rFonts w:hint="eastAsia" w:ascii="宋体" w:hAnsi="宋体" w:eastAsia="宋体" w:cs="Times New Roman"/>
          <w:highlight w:val="yellow"/>
          <w:lang w:val="en-US" w:eastAsia="zh-CN"/>
        </w:rPr>
      </w:pPr>
      <w:r>
        <w:rPr>
          <w:rFonts w:hint="eastAsia" w:ascii="宋体" w:hAnsi="宋体" w:eastAsia="宋体" w:cs="Times New Roman"/>
          <w:highlight w:val="none"/>
          <w:lang w:val="en-US" w:eastAsia="zh-CN"/>
        </w:rPr>
        <w:t>（2）每日膳食供应品种：早餐不少于8种，午餐不少于16种（其中小吃面食类2种），晚餐不少于6种（其中小吃面食类1种），包厢菜单按采购人实际需求为准。同时，各餐线每周至少10%不重样，每月至少推出2个新品。</w:t>
      </w:r>
    </w:p>
    <w:p w14:paraId="43BD612B">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（3）服务时间以甲方要求为准，保证正常供应期间不断档，不得提前结束营业。</w:t>
      </w:r>
    </w:p>
    <w:p w14:paraId="4DECA944">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（4）提供舒适整洁的就餐环境和优质高效的就餐服务，提高服务满意度。</w:t>
      </w:r>
    </w:p>
    <w:p w14:paraId="472DAF35">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2.3原材料管理</w:t>
      </w:r>
    </w:p>
    <w:p w14:paraId="3C1914F3">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（1）原材料由乙方制订采购计划，由甲方专职人员统一采购。</w:t>
      </w:r>
    </w:p>
    <w:p w14:paraId="753920DB">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投标人必须严格执行《食品安全法》，配合采购人规范各种食品的采购索证、验收、蔬菜农药残留监测以及存放、加工、出售、储存、留样等各个环节管理，食品储存、加工必须责任到人，切实明确职责；食堂从仓库专人领取后对主要食品（如米、面、油、肉类、豆制品、鸡蛋等）要专人管理，确保食品安全。</w:t>
      </w:r>
    </w:p>
    <w:p w14:paraId="17891FE3">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（3）乙方须做好原材料使用管理工作，每日登记原材料台账、出入库台账，并定期报送甲方。</w:t>
      </w:r>
    </w:p>
    <w:p w14:paraId="7D356697">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（4）甲方对乙方的材料使用和管理情况进行监督，乙方对原材料采购质量进行监督。</w:t>
      </w:r>
    </w:p>
    <w:p w14:paraId="2FDA6FB8">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2.4组织架构及人员管理</w:t>
      </w:r>
    </w:p>
    <w:p w14:paraId="5AF11DBE">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1）食堂工作人员由承包供应商自行招聘，并承担全部管理责任；采购人食堂管理部门有权对食堂用工情况进行监督和检查。工资标准要符合政府规定的最低标准，员工人身安全由投标人负责，员工相关保险（养老、社保 等费用）按政府规定的标准执行。投标人有义务对所聘员工在思想、业务、安全、健康、计划生育等方面进行教育、关爱和管理。投标人自行承担与员工因劳务纠纷所引起的相关经济和法律责任。包厢服务员女性、</w:t>
      </w:r>
      <w:r>
        <w:rPr>
          <w:rFonts w:hint="eastAsia" w:cs="Times New Roman"/>
          <w:lang w:val="en-US" w:eastAsia="zh-CN"/>
        </w:rPr>
        <w:t>5</w:t>
      </w:r>
      <w:r>
        <w:rPr>
          <w:rFonts w:hint="eastAsia" w:ascii="宋体" w:hAnsi="宋体" w:eastAsia="宋体" w:cs="Times New Roman"/>
          <w:lang w:val="en-US" w:eastAsia="zh-CN"/>
        </w:rPr>
        <w:t>5周岁以下，窗口服务员女性、</w:t>
      </w:r>
      <w:r>
        <w:rPr>
          <w:rFonts w:hint="eastAsia" w:cs="Times New Roman"/>
          <w:lang w:val="en-US" w:eastAsia="zh-CN"/>
        </w:rPr>
        <w:t>5</w:t>
      </w:r>
      <w:r>
        <w:rPr>
          <w:rFonts w:hint="eastAsia" w:ascii="宋体" w:hAnsi="宋体" w:eastAsia="宋体" w:cs="Times New Roman"/>
          <w:lang w:val="en-US" w:eastAsia="zh-CN"/>
        </w:rPr>
        <w:t>5周岁以下，要求相貌端庄、气质良好。</w:t>
      </w:r>
    </w:p>
    <w:p w14:paraId="4B7088E9">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（2）员工聘用合同的签订、终止、工资福利待遇等由承包供应商负责，与采购人无关。但投标人聘用食堂工作人员应相对稳定，不能频繁更换。严禁使用黑工、童工、不能用有不良记录的人。</w:t>
      </w:r>
    </w:p>
    <w:p w14:paraId="3A64E436">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（3）承包供应商须做好人员管理及补充工作，以保证经营服务的正常开展。</w:t>
      </w:r>
    </w:p>
    <w:p w14:paraId="6A27CF2D">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（4）承包供应商须制定组织架构，岗位职责和员工考核办法，并递交书面文件。</w:t>
      </w:r>
    </w:p>
    <w:p w14:paraId="1C4732E3">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（5）承包供应商须定期组织例会和员工培训，并接受采购人指定人员的监管。</w:t>
      </w:r>
    </w:p>
    <w:p w14:paraId="2A77D39A">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（6）食堂营业前，承包供应商须递交食堂工作人员名单，员工劳动合同复印件，健康证、厨师等级证书和营养师等级证书的复印件。</w:t>
      </w:r>
    </w:p>
    <w:p w14:paraId="34658D24">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（7）承包供应商进场工作人员必须符合国家劳动规定的用工要求，并持有有效的卫生健康证明，经培训合格后方可上岗。</w:t>
      </w:r>
    </w:p>
    <w:p w14:paraId="346C95E4">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（8）承包供应商必须为工作人员缴纳社会保险，每季度社保缴纳花名册需报送甲方。</w:t>
      </w:r>
    </w:p>
    <w:p w14:paraId="4909B8F4">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（9）承包供应商按实按月发放在职员工工资，每月员工工资表需报送采购人。</w:t>
      </w:r>
    </w:p>
    <w:p w14:paraId="64571268">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（10）食堂职工上班期间应穿戴规定的工作服、工作帽、口罩等。</w:t>
      </w:r>
    </w:p>
    <w:p w14:paraId="661C111A">
      <w:pPr>
        <w:pStyle w:val="85"/>
        <w:ind w:firstLine="3422" w:firstLineChars="1426"/>
        <w:rPr>
          <w:rFonts w:hint="eastAsia" w:ascii="宋体" w:hAnsi="宋体" w:eastAsia="宋体" w:cs="Times New Roman"/>
          <w:lang w:val="en-US" w:eastAsia="zh-CN"/>
        </w:rPr>
      </w:pPr>
      <w:r>
        <w:rPr>
          <w:rFonts w:hint="eastAsia" w:ascii="宋体" w:hAnsi="宋体" w:eastAsia="宋体" w:cs="Times New Roman"/>
          <w:lang w:val="en-US" w:eastAsia="zh-CN"/>
        </w:rPr>
        <w:t>食堂人员配置参照表</w:t>
      </w:r>
    </w:p>
    <w:tbl>
      <w:tblPr>
        <w:tblStyle w:val="62"/>
        <w:tblW w:w="9318" w:type="dxa"/>
        <w:tblInd w:w="0" w:type="dxa"/>
        <w:tblLayout w:type="fixed"/>
        <w:tblCellMar>
          <w:top w:w="0" w:type="dxa"/>
          <w:left w:w="108" w:type="dxa"/>
          <w:bottom w:w="0" w:type="dxa"/>
          <w:right w:w="108" w:type="dxa"/>
        </w:tblCellMar>
      </w:tblPr>
      <w:tblGrid>
        <w:gridCol w:w="1933"/>
        <w:gridCol w:w="5238"/>
        <w:gridCol w:w="2147"/>
      </w:tblGrid>
      <w:tr w14:paraId="348D8022">
        <w:tblPrEx>
          <w:tblCellMar>
            <w:top w:w="0" w:type="dxa"/>
            <w:left w:w="108" w:type="dxa"/>
            <w:bottom w:w="0" w:type="dxa"/>
            <w:right w:w="108" w:type="dxa"/>
          </w:tblCellMar>
        </w:tblPrEx>
        <w:trPr>
          <w:trHeight w:val="420" w:hRule="exact"/>
        </w:trPr>
        <w:tc>
          <w:tcPr>
            <w:tcW w:w="1933" w:type="dxa"/>
            <w:tcBorders>
              <w:top w:val="single" w:color="000000" w:sz="4" w:space="0"/>
              <w:left w:val="single" w:color="000000" w:sz="4" w:space="0"/>
              <w:bottom w:val="single" w:color="000000" w:sz="4" w:space="0"/>
              <w:right w:val="single" w:color="000000" w:sz="4" w:space="0"/>
            </w:tcBorders>
            <w:noWrap w:val="0"/>
            <w:vAlign w:val="center"/>
          </w:tcPr>
          <w:p w14:paraId="1C26425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238" w:type="dxa"/>
            <w:tcBorders>
              <w:top w:val="single" w:color="000000" w:sz="4" w:space="0"/>
              <w:left w:val="single" w:color="000000" w:sz="4" w:space="0"/>
              <w:bottom w:val="single" w:color="000000" w:sz="4" w:space="0"/>
              <w:right w:val="single" w:color="000000" w:sz="4" w:space="0"/>
            </w:tcBorders>
            <w:noWrap w:val="0"/>
            <w:vAlign w:val="center"/>
          </w:tcPr>
          <w:p w14:paraId="0C26B061">
            <w:pPr>
              <w:spacing w:line="360" w:lineRule="auto"/>
              <w:jc w:val="center"/>
              <w:rPr>
                <w:rFonts w:hint="eastAsia" w:ascii="宋体" w:hAnsi="宋体" w:eastAsia="宋体" w:cs="宋体"/>
                <w:sz w:val="24"/>
              </w:rPr>
            </w:pPr>
            <w:r>
              <w:rPr>
                <w:rFonts w:hint="eastAsia" w:ascii="宋体" w:hAnsi="宋体" w:eastAsia="宋体" w:cs="宋体"/>
                <w:sz w:val="24"/>
              </w:rPr>
              <w:t>内容</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00F55648">
            <w:pPr>
              <w:spacing w:line="360" w:lineRule="auto"/>
              <w:jc w:val="center"/>
              <w:rPr>
                <w:rFonts w:hint="eastAsia" w:ascii="宋体" w:hAnsi="宋体" w:eastAsia="宋体" w:cs="宋体"/>
                <w:sz w:val="24"/>
              </w:rPr>
            </w:pPr>
            <w:r>
              <w:rPr>
                <w:rFonts w:hint="eastAsia" w:ascii="宋体" w:hAnsi="宋体" w:eastAsia="宋体" w:cs="宋体"/>
                <w:sz w:val="24"/>
              </w:rPr>
              <w:t>数量</w:t>
            </w:r>
          </w:p>
        </w:tc>
      </w:tr>
      <w:tr w14:paraId="7F8D8F9F">
        <w:tblPrEx>
          <w:tblCellMar>
            <w:top w:w="0" w:type="dxa"/>
            <w:left w:w="108" w:type="dxa"/>
            <w:bottom w:w="0" w:type="dxa"/>
            <w:right w:w="108" w:type="dxa"/>
          </w:tblCellMar>
        </w:tblPrEx>
        <w:trPr>
          <w:trHeight w:val="420" w:hRule="exact"/>
        </w:trPr>
        <w:tc>
          <w:tcPr>
            <w:tcW w:w="1933" w:type="dxa"/>
            <w:tcBorders>
              <w:top w:val="single" w:color="000000" w:sz="4" w:space="0"/>
              <w:left w:val="single" w:color="000000" w:sz="4" w:space="0"/>
              <w:bottom w:val="single" w:color="000000" w:sz="4" w:space="0"/>
              <w:right w:val="single" w:color="000000" w:sz="4" w:space="0"/>
            </w:tcBorders>
            <w:noWrap w:val="0"/>
            <w:vAlign w:val="center"/>
          </w:tcPr>
          <w:p w14:paraId="20582476">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5238" w:type="dxa"/>
            <w:tcBorders>
              <w:top w:val="single" w:color="000000" w:sz="4" w:space="0"/>
              <w:left w:val="single" w:color="000000" w:sz="4" w:space="0"/>
              <w:bottom w:val="single" w:color="000000" w:sz="4" w:space="0"/>
              <w:right w:val="single" w:color="000000" w:sz="4" w:space="0"/>
            </w:tcBorders>
            <w:noWrap w:val="0"/>
            <w:vAlign w:val="center"/>
          </w:tcPr>
          <w:p w14:paraId="2D85EBA0">
            <w:pPr>
              <w:spacing w:line="360" w:lineRule="auto"/>
              <w:jc w:val="center"/>
              <w:rPr>
                <w:rFonts w:hint="eastAsia" w:ascii="宋体" w:hAnsi="宋体" w:eastAsia="宋体" w:cs="宋体"/>
                <w:sz w:val="24"/>
              </w:rPr>
            </w:pPr>
            <w:r>
              <w:rPr>
                <w:rFonts w:hint="eastAsia" w:ascii="宋体" w:hAnsi="宋体" w:eastAsia="宋体" w:cs="宋体"/>
                <w:sz w:val="24"/>
              </w:rPr>
              <w:t>厨师长</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44681FF4">
            <w:pPr>
              <w:spacing w:line="360" w:lineRule="auto"/>
              <w:jc w:val="center"/>
              <w:rPr>
                <w:rFonts w:hint="eastAsia" w:ascii="宋体" w:hAnsi="宋体" w:eastAsia="宋体" w:cs="宋体"/>
                <w:sz w:val="24"/>
              </w:rPr>
            </w:pPr>
            <w:r>
              <w:rPr>
                <w:rFonts w:hint="eastAsia" w:ascii="宋体" w:hAnsi="宋体" w:eastAsia="宋体" w:cs="宋体"/>
                <w:sz w:val="24"/>
              </w:rPr>
              <w:t>1人</w:t>
            </w:r>
          </w:p>
        </w:tc>
      </w:tr>
      <w:tr w14:paraId="4B01ED88">
        <w:tblPrEx>
          <w:tblCellMar>
            <w:top w:w="0" w:type="dxa"/>
            <w:left w:w="108" w:type="dxa"/>
            <w:bottom w:w="0" w:type="dxa"/>
            <w:right w:w="108" w:type="dxa"/>
          </w:tblCellMar>
        </w:tblPrEx>
        <w:trPr>
          <w:trHeight w:val="420" w:hRule="exact"/>
        </w:trPr>
        <w:tc>
          <w:tcPr>
            <w:tcW w:w="1933" w:type="dxa"/>
            <w:tcBorders>
              <w:top w:val="single" w:color="000000" w:sz="4" w:space="0"/>
              <w:left w:val="single" w:color="000000" w:sz="4" w:space="0"/>
              <w:bottom w:val="single" w:color="000000" w:sz="4" w:space="0"/>
              <w:right w:val="single" w:color="000000" w:sz="4" w:space="0"/>
            </w:tcBorders>
            <w:noWrap w:val="0"/>
            <w:vAlign w:val="center"/>
          </w:tcPr>
          <w:p w14:paraId="573F7A9E">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5238" w:type="dxa"/>
            <w:tcBorders>
              <w:top w:val="single" w:color="000000" w:sz="4" w:space="0"/>
              <w:left w:val="single" w:color="000000" w:sz="4" w:space="0"/>
              <w:bottom w:val="single" w:color="000000" w:sz="4" w:space="0"/>
              <w:right w:val="single" w:color="000000" w:sz="4" w:space="0"/>
            </w:tcBorders>
            <w:noWrap w:val="0"/>
            <w:vAlign w:val="center"/>
          </w:tcPr>
          <w:p w14:paraId="557C4A68">
            <w:pPr>
              <w:spacing w:line="360" w:lineRule="auto"/>
              <w:jc w:val="center"/>
              <w:rPr>
                <w:rFonts w:hint="eastAsia" w:ascii="宋体" w:hAnsi="宋体" w:eastAsia="宋体" w:cs="宋体"/>
                <w:sz w:val="24"/>
              </w:rPr>
            </w:pPr>
            <w:r>
              <w:rPr>
                <w:rFonts w:hint="eastAsia" w:ascii="宋体" w:hAnsi="宋体" w:eastAsia="宋体" w:cs="宋体"/>
                <w:sz w:val="24"/>
                <w:lang w:eastAsia="zh-CN"/>
              </w:rPr>
              <w:t>副厨师长</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41635BCD">
            <w:pPr>
              <w:spacing w:line="360" w:lineRule="auto"/>
              <w:jc w:val="center"/>
              <w:rPr>
                <w:rFonts w:hint="eastAsia" w:ascii="宋体" w:hAnsi="宋体" w:eastAsia="宋体" w:cs="宋体"/>
                <w:sz w:val="24"/>
              </w:rPr>
            </w:pPr>
            <w:r>
              <w:rPr>
                <w:rFonts w:hint="eastAsia" w:ascii="宋体" w:hAnsi="宋体" w:eastAsia="宋体" w:cs="宋体"/>
                <w:sz w:val="24"/>
              </w:rPr>
              <w:t>1人</w:t>
            </w:r>
          </w:p>
        </w:tc>
      </w:tr>
      <w:tr w14:paraId="3751F5BE">
        <w:tblPrEx>
          <w:tblCellMar>
            <w:top w:w="0" w:type="dxa"/>
            <w:left w:w="108" w:type="dxa"/>
            <w:bottom w:w="0" w:type="dxa"/>
            <w:right w:w="108" w:type="dxa"/>
          </w:tblCellMar>
        </w:tblPrEx>
        <w:trPr>
          <w:trHeight w:val="420" w:hRule="exact"/>
        </w:trPr>
        <w:tc>
          <w:tcPr>
            <w:tcW w:w="1933" w:type="dxa"/>
            <w:tcBorders>
              <w:top w:val="single" w:color="000000" w:sz="4" w:space="0"/>
              <w:left w:val="single" w:color="000000" w:sz="4" w:space="0"/>
              <w:bottom w:val="single" w:color="000000" w:sz="4" w:space="0"/>
              <w:right w:val="single" w:color="000000" w:sz="4" w:space="0"/>
            </w:tcBorders>
            <w:noWrap w:val="0"/>
            <w:vAlign w:val="center"/>
          </w:tcPr>
          <w:p w14:paraId="0A694B84">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5238" w:type="dxa"/>
            <w:tcBorders>
              <w:top w:val="single" w:color="000000" w:sz="4" w:space="0"/>
              <w:left w:val="single" w:color="000000" w:sz="4" w:space="0"/>
              <w:bottom w:val="single" w:color="000000" w:sz="4" w:space="0"/>
              <w:right w:val="single" w:color="000000" w:sz="4" w:space="0"/>
            </w:tcBorders>
            <w:noWrap w:val="0"/>
            <w:vAlign w:val="center"/>
          </w:tcPr>
          <w:p w14:paraId="35F6BA2C">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面点师</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1A48A272">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1人</w:t>
            </w:r>
          </w:p>
        </w:tc>
      </w:tr>
      <w:tr w14:paraId="3F047965">
        <w:tblPrEx>
          <w:tblCellMar>
            <w:top w:w="0" w:type="dxa"/>
            <w:left w:w="108" w:type="dxa"/>
            <w:bottom w:w="0" w:type="dxa"/>
            <w:right w:w="108" w:type="dxa"/>
          </w:tblCellMar>
        </w:tblPrEx>
        <w:trPr>
          <w:trHeight w:val="420" w:hRule="exact"/>
        </w:trPr>
        <w:tc>
          <w:tcPr>
            <w:tcW w:w="1933" w:type="dxa"/>
            <w:tcBorders>
              <w:top w:val="single" w:color="000000" w:sz="4" w:space="0"/>
              <w:left w:val="single" w:color="000000" w:sz="4" w:space="0"/>
              <w:bottom w:val="single" w:color="000000" w:sz="4" w:space="0"/>
              <w:right w:val="single" w:color="000000" w:sz="4" w:space="0"/>
            </w:tcBorders>
            <w:noWrap w:val="0"/>
            <w:vAlign w:val="center"/>
          </w:tcPr>
          <w:p w14:paraId="2E30FCAA">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5238" w:type="dxa"/>
            <w:tcBorders>
              <w:top w:val="single" w:color="000000" w:sz="4" w:space="0"/>
              <w:left w:val="single" w:color="000000" w:sz="4" w:space="0"/>
              <w:bottom w:val="single" w:color="000000" w:sz="4" w:space="0"/>
              <w:right w:val="single" w:color="000000" w:sz="4" w:space="0"/>
            </w:tcBorders>
            <w:noWrap w:val="0"/>
            <w:vAlign w:val="center"/>
          </w:tcPr>
          <w:p w14:paraId="582589D0">
            <w:pPr>
              <w:spacing w:line="360" w:lineRule="auto"/>
              <w:jc w:val="center"/>
              <w:rPr>
                <w:rFonts w:hint="eastAsia" w:ascii="宋体" w:hAnsi="宋体" w:eastAsia="宋体" w:cs="宋体"/>
                <w:sz w:val="24"/>
              </w:rPr>
            </w:pPr>
            <w:r>
              <w:rPr>
                <w:rFonts w:hint="eastAsia" w:ascii="宋体" w:hAnsi="宋体" w:eastAsia="宋体" w:cs="宋体"/>
                <w:sz w:val="24"/>
              </w:rPr>
              <w:t>服务员</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32D0085A">
            <w:pPr>
              <w:spacing w:line="360" w:lineRule="auto"/>
              <w:jc w:val="center"/>
              <w:rPr>
                <w:rFonts w:hint="eastAsia" w:ascii="宋体" w:hAnsi="宋体" w:eastAsia="宋体" w:cs="宋体"/>
                <w:sz w:val="24"/>
              </w:rPr>
            </w:pPr>
            <w:r>
              <w:rPr>
                <w:rFonts w:hint="eastAsia" w:ascii="宋体" w:hAnsi="宋体" w:eastAsia="宋体" w:cs="宋体"/>
                <w:sz w:val="24"/>
              </w:rPr>
              <w:t>2人</w:t>
            </w:r>
          </w:p>
        </w:tc>
      </w:tr>
      <w:tr w14:paraId="1EC9988B">
        <w:tblPrEx>
          <w:tblCellMar>
            <w:top w:w="0" w:type="dxa"/>
            <w:left w:w="108" w:type="dxa"/>
            <w:bottom w:w="0" w:type="dxa"/>
            <w:right w:w="108" w:type="dxa"/>
          </w:tblCellMar>
        </w:tblPrEx>
        <w:trPr>
          <w:trHeight w:val="420" w:hRule="exact"/>
        </w:trPr>
        <w:tc>
          <w:tcPr>
            <w:tcW w:w="1933" w:type="dxa"/>
            <w:tcBorders>
              <w:top w:val="single" w:color="000000" w:sz="4" w:space="0"/>
              <w:left w:val="single" w:color="000000" w:sz="4" w:space="0"/>
              <w:bottom w:val="single" w:color="000000" w:sz="4" w:space="0"/>
              <w:right w:val="single" w:color="000000" w:sz="4" w:space="0"/>
            </w:tcBorders>
            <w:noWrap w:val="0"/>
            <w:vAlign w:val="center"/>
          </w:tcPr>
          <w:p w14:paraId="4428A54E">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5238" w:type="dxa"/>
            <w:tcBorders>
              <w:top w:val="single" w:color="000000" w:sz="4" w:space="0"/>
              <w:left w:val="single" w:color="000000" w:sz="4" w:space="0"/>
              <w:bottom w:val="single" w:color="000000" w:sz="4" w:space="0"/>
              <w:right w:val="single" w:color="000000" w:sz="4" w:space="0"/>
            </w:tcBorders>
            <w:noWrap w:val="0"/>
            <w:vAlign w:val="center"/>
          </w:tcPr>
          <w:p w14:paraId="3586C04A">
            <w:pPr>
              <w:spacing w:line="360" w:lineRule="auto"/>
              <w:jc w:val="center"/>
              <w:rPr>
                <w:rFonts w:hint="eastAsia" w:ascii="宋体" w:hAnsi="宋体" w:eastAsia="宋体" w:cs="宋体"/>
                <w:sz w:val="24"/>
              </w:rPr>
            </w:pPr>
            <w:r>
              <w:rPr>
                <w:rFonts w:hint="eastAsia" w:ascii="宋体" w:hAnsi="宋体" w:eastAsia="宋体" w:cs="宋体"/>
                <w:sz w:val="24"/>
              </w:rPr>
              <w:t>打杂人员</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007C83AB">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人</w:t>
            </w:r>
          </w:p>
        </w:tc>
      </w:tr>
      <w:tr w14:paraId="0034494A">
        <w:tblPrEx>
          <w:tblCellMar>
            <w:top w:w="0" w:type="dxa"/>
            <w:left w:w="108" w:type="dxa"/>
            <w:bottom w:w="0" w:type="dxa"/>
            <w:right w:w="108" w:type="dxa"/>
          </w:tblCellMar>
        </w:tblPrEx>
        <w:trPr>
          <w:trHeight w:val="430" w:hRule="exact"/>
        </w:trPr>
        <w:tc>
          <w:tcPr>
            <w:tcW w:w="7171" w:type="dxa"/>
            <w:gridSpan w:val="2"/>
            <w:tcBorders>
              <w:top w:val="single" w:color="000000" w:sz="4" w:space="0"/>
              <w:left w:val="single" w:color="000000" w:sz="4" w:space="0"/>
              <w:bottom w:val="single" w:color="000000" w:sz="4" w:space="0"/>
              <w:right w:val="single" w:color="000000" w:sz="4" w:space="0"/>
            </w:tcBorders>
            <w:noWrap w:val="0"/>
            <w:vAlign w:val="center"/>
          </w:tcPr>
          <w:p w14:paraId="0A4F2946">
            <w:pPr>
              <w:spacing w:line="360" w:lineRule="auto"/>
              <w:jc w:val="center"/>
              <w:rPr>
                <w:rFonts w:hint="eastAsia" w:ascii="宋体" w:hAnsi="宋体" w:eastAsia="宋体" w:cs="宋体"/>
                <w:sz w:val="24"/>
              </w:rPr>
            </w:pPr>
            <w:r>
              <w:rPr>
                <w:rFonts w:hint="eastAsia" w:ascii="宋体" w:hAnsi="宋体" w:eastAsia="宋体" w:cs="宋体"/>
                <w:sz w:val="24"/>
              </w:rPr>
              <w:t>合计</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4DF4B4E3">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人</w:t>
            </w:r>
          </w:p>
        </w:tc>
      </w:tr>
    </w:tbl>
    <w:p w14:paraId="3E190399">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1. 原则上，人员配置总人数不得低于7人，乙方聘用人员要求全职在岗，以上组织架构及配置人数，为每餐约210人就餐的基础配置，可供参照。</w:t>
      </w:r>
    </w:p>
    <w:p w14:paraId="64109607">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 原则上，岗位和人员匹配，制定岗位职责和考核方法；最终岗位和人员附在委托合同上，作为合同组成部分。</w:t>
      </w:r>
    </w:p>
    <w:p w14:paraId="7F5C5DFD">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3. 如就餐需求增加，甲方将和乙方协商增加相应人员配置，原则上按每增加30人（含）就餐人员，相应增加1人食堂人员编制。</w:t>
      </w:r>
    </w:p>
    <w:p w14:paraId="0964ABEB">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4. 甲方有权提出更换人员的要求，乙方须在1个月内完成人员更换。</w:t>
      </w:r>
    </w:p>
    <w:p w14:paraId="307CC20D">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5. 乙方如要更换管理人员，须经甲方同意。</w:t>
      </w:r>
    </w:p>
    <w:p w14:paraId="44FF4637">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2.5安全管理</w:t>
      </w:r>
    </w:p>
    <w:p w14:paraId="35653238">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（1）承包供应商须做好食品安全管理工作。加强日常卫生管理，定期开展卫生检查。就餐环境、卫生防疫等必须达到国家法律法规、卫生防疫部门的要求和标准。</w:t>
      </w:r>
    </w:p>
    <w:p w14:paraId="4BC887DF">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（2）承包供应商须做好员工健康卫生管理工作。员工在岗时须按要求着装，佩戴工号、口罩、帽子等；每年组织员工进行餐饮服务从业人员健康检查。</w:t>
      </w:r>
    </w:p>
    <w:p w14:paraId="13B7E74A">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（3）承包供应商须做好消防安全管理工作。加强消防安全检查，做好烟道、油污池和其他重要厨房设备的使用维护，定期检查电源、火源，建立和健全各类工作台账，确保安全无事故。</w:t>
      </w:r>
    </w:p>
    <w:p w14:paraId="3E789249">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（4）承包供应商须做好节能环保工作。严格遵照节能有关法律法规及甲方制度规定，合理使用水、电、气、煤等。</w:t>
      </w:r>
    </w:p>
    <w:p w14:paraId="0D853886">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（5）承包供应商须加强食堂防火、防盗、防爆、防投毒等安全管理工作，因承包供应商管理不善引起的食物中毒、工伤等安全事故均由承包供应商承担相应法律责任。</w:t>
      </w:r>
    </w:p>
    <w:p w14:paraId="210DFC6F">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2.6其他要求</w:t>
      </w:r>
    </w:p>
    <w:p w14:paraId="41835E1F">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（1）投标人不得将食堂私自转让或委托他人经营，不能利用现有资产搞不法经营。一经发现，采购人有权取消其服务资格，并在履约保证金中扣除至少伍万元。</w:t>
      </w:r>
    </w:p>
    <w:p w14:paraId="1E9E2EC2">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（2）投标人必须按照采购人规定的营业时间经营，不得擅自提前结束营业，法定节假日根据采购人需求安排营业。</w:t>
      </w:r>
    </w:p>
    <w:p w14:paraId="72B3DAAF">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（3）投标人是食堂安全、卫生、防火、防盗等第一责任人，对相应工作负有直接责任和法律责任。</w:t>
      </w:r>
    </w:p>
    <w:p w14:paraId="2B863DC1">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4）投标人必须加强对设施设备的管理。食堂房屋、锅灶、蒸台、冰箱、保洁柜、消毒柜、蒸饭箱、保温售台等大件不锈钢炊具及餐桌椅、食堂内水电设施等等统一交给投标人使用及保管，在交接时造册清点验收，返还时有损失要赔偿。</w:t>
      </w:r>
    </w:p>
    <w:p w14:paraId="164105E0">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（5）投标人必须规范餐具消毒，按食品卫生法的要求做好各种餐具的清洗、消毒、保管。做好服务范围及公共区域环境卫生工作，门前三包，制定防鼠、防蝇、防毒、灭蟬螂等措施，并认真落实到人。</w:t>
      </w:r>
    </w:p>
    <w:p w14:paraId="5D62973C">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（6）投标人在管理食堂中如有失窃、火灾、食物中毒等安全事件发生，投标人要承担所造成的一切损失，并承担经济和法律责任。</w:t>
      </w:r>
    </w:p>
    <w:p w14:paraId="27A142F0">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（7）投标人负责人应亲自到场参加采购人召开的膳食或相关思政会议，听取职工代表及职能部门意见，有问题及时改正，负责人两次不亲自参加会议即视为违约。</w:t>
      </w:r>
    </w:p>
    <w:p w14:paraId="2686641B">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（8）投标人必须严格遵守《食品安全法》、《环境保护法》及采购人的相关规定，劳动用工要符合国家劳动法规的相关规定。</w:t>
      </w:r>
    </w:p>
    <w:p w14:paraId="2409C807">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（9）未经采购人同意投标人不得单独承接釆购人以外人员的用餐。</w:t>
      </w:r>
    </w:p>
    <w:p w14:paraId="1A4533A7">
      <w:pPr>
        <w:pStyle w:val="85"/>
        <w:ind w:firstLine="480"/>
        <w:rPr>
          <w:rFonts w:hint="eastAsia" w:ascii="宋体" w:hAnsi="宋体" w:eastAsia="宋体" w:cs="Times New Roman"/>
          <w:lang w:val="en-US" w:eastAsia="zh-CN"/>
        </w:rPr>
      </w:pPr>
      <w:r>
        <w:rPr>
          <w:rFonts w:hint="eastAsia" w:cs="Times New Roman"/>
          <w:lang w:val="en-US" w:eastAsia="zh-CN"/>
        </w:rPr>
        <w:t>（10）投标人需根据业主要求制作特色餐食，如减脂餐，清真菜等，具体以业主单位提出的要求为准。</w:t>
      </w:r>
    </w:p>
    <w:p w14:paraId="00AF4481">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2.7监督考评（详见附件《江南镇食堂管理制度》和《江南镇食堂管理考核办法》）</w:t>
      </w:r>
    </w:p>
    <w:p w14:paraId="76852338">
      <w:pPr>
        <w:pStyle w:val="2"/>
        <w:keepNext/>
        <w:keepLines/>
        <w:pageBreakBefore w:val="0"/>
        <w:widowControl w:val="0"/>
        <w:kinsoku/>
        <w:wordWrap/>
        <w:overflowPunct/>
        <w:topLinePunct w:val="0"/>
        <w:autoSpaceDE/>
        <w:autoSpaceDN/>
        <w:bidi w:val="0"/>
        <w:adjustRightInd/>
        <w:snapToGrid/>
        <w:spacing w:before="140" w:after="140" w:line="240" w:lineRule="auto"/>
        <w:ind w:left="0" w:leftChars="0" w:firstLine="0" w:firstLineChars="0"/>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三、</w:t>
      </w:r>
      <w:bookmarkEnd w:id="40"/>
      <w:bookmarkEnd w:id="41"/>
      <w:bookmarkEnd w:id="42"/>
      <w:r>
        <w:rPr>
          <w:rFonts w:hint="eastAsia" w:ascii="宋体" w:hAnsi="宋体" w:eastAsia="宋体" w:cs="宋体"/>
          <w:b/>
          <w:bCs/>
          <w:color w:val="000000"/>
          <w:kern w:val="2"/>
          <w:sz w:val="28"/>
          <w:szCs w:val="28"/>
          <w:lang w:val="en-US" w:eastAsia="zh-CN" w:bidi="ar-SA"/>
        </w:rPr>
        <w:t>服务周期：</w:t>
      </w:r>
    </w:p>
    <w:p w14:paraId="160475A9">
      <w:pPr>
        <w:pStyle w:val="85"/>
        <w:ind w:firstLine="480"/>
        <w:rPr>
          <w:rFonts w:hint="eastAsia" w:ascii="宋体" w:hAnsi="宋体" w:cs="宋体"/>
          <w:b/>
          <w:bCs/>
          <w:color w:val="000000"/>
          <w:kern w:val="2"/>
          <w:sz w:val="28"/>
          <w:szCs w:val="28"/>
          <w:lang w:val="en-US" w:eastAsia="zh-CN" w:bidi="ar-SA"/>
        </w:rPr>
      </w:pPr>
      <w:r>
        <w:rPr>
          <w:rFonts w:hint="eastAsia" w:cs="Times New Roman"/>
          <w:highlight w:val="none"/>
          <w:lang w:val="en-US" w:eastAsia="zh-CN"/>
        </w:rPr>
        <w:t>江南镇食堂管理服务采购项目自合同签订之日起，服务周期为1年。</w:t>
      </w:r>
    </w:p>
    <w:p w14:paraId="14AB53F6">
      <w:pPr>
        <w:widowControl/>
        <w:spacing w:line="360" w:lineRule="auto"/>
        <w:rPr>
          <w:rFonts w:hint="eastAsia" w:ascii="宋体" w:hAnsi="宋体" w:cs="宋体"/>
          <w:b/>
          <w:bCs/>
          <w:color w:val="000000"/>
          <w:kern w:val="2"/>
          <w:sz w:val="28"/>
          <w:szCs w:val="28"/>
          <w:lang w:val="en-US" w:eastAsia="zh-CN" w:bidi="ar-SA"/>
        </w:rPr>
      </w:pPr>
      <w:r>
        <w:rPr>
          <w:rFonts w:hint="eastAsia" w:ascii="宋体" w:hAnsi="宋体" w:cs="宋体"/>
          <w:b/>
          <w:bCs/>
          <w:color w:val="000000"/>
          <w:kern w:val="2"/>
          <w:sz w:val="28"/>
          <w:szCs w:val="28"/>
          <w:lang w:val="en-US" w:eastAsia="zh-CN" w:bidi="ar-SA"/>
        </w:rPr>
        <w:t>四、履约保证金</w:t>
      </w:r>
    </w:p>
    <w:p w14:paraId="6572AE1B">
      <w:pPr>
        <w:widowControl/>
        <w:spacing w:line="360" w:lineRule="auto"/>
        <w:ind w:firstLine="480" w:firstLineChars="200"/>
        <w:rPr>
          <w:rFonts w:hint="eastAsia" w:ascii="宋体" w:hAnsi="宋体" w:eastAsia="宋体" w:cs="宋体"/>
          <w:b/>
          <w:bCs/>
          <w:color w:val="000000"/>
          <w:kern w:val="2"/>
          <w:sz w:val="28"/>
          <w:szCs w:val="28"/>
          <w:lang w:val="en-US" w:eastAsia="zh-CN" w:bidi="ar-SA"/>
        </w:rPr>
      </w:pPr>
      <w:r>
        <w:rPr>
          <w:rFonts w:hint="eastAsia" w:ascii="宋体" w:hAnsi="宋体" w:cs="宋体"/>
          <w:color w:val="000000"/>
          <w:sz w:val="24"/>
          <w:lang w:eastAsia="zh-CN"/>
        </w:rPr>
        <w:t>履约保证金：中标人在签订合同前向采购单位交纳履约保证金（接受转账、银行保函、保险机构保证保险保单、融资担保公司保函），按合同总金额的0.1%计收，履约结束后自动退还。</w:t>
      </w:r>
    </w:p>
    <w:p w14:paraId="3EBF9D1D">
      <w:pPr>
        <w:widowControl/>
        <w:spacing w:line="360" w:lineRule="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五、合同支付</w:t>
      </w:r>
    </w:p>
    <w:p w14:paraId="20A42E33">
      <w:pPr>
        <w:widowControl/>
        <w:spacing w:line="360" w:lineRule="auto"/>
        <w:ind w:firstLine="480" w:firstLineChars="200"/>
        <w:rPr>
          <w:rFonts w:hint="eastAsia" w:ascii="宋体" w:hAnsi="宋体" w:cs="宋体"/>
          <w:color w:val="000000"/>
          <w:sz w:val="24"/>
          <w:lang w:val="en-US" w:eastAsia="zh-CN"/>
        </w:rPr>
      </w:pPr>
      <w:r>
        <w:rPr>
          <w:rFonts w:hint="eastAsia" w:ascii="宋体" w:hAnsi="宋体" w:eastAsia="宋体" w:cs="宋体"/>
          <w:color w:val="000000"/>
          <w:sz w:val="24"/>
        </w:rPr>
        <w:t>1、项目合同签订后七个工作日内支付合同价款的</w:t>
      </w:r>
      <w:r>
        <w:rPr>
          <w:rFonts w:hint="eastAsia" w:ascii="宋体" w:hAnsi="宋体" w:cs="宋体"/>
          <w:color w:val="000000"/>
          <w:sz w:val="24"/>
          <w:lang w:val="en-US" w:eastAsia="zh-CN"/>
        </w:rPr>
        <w:t>60</w:t>
      </w:r>
      <w:r>
        <w:rPr>
          <w:rFonts w:hint="eastAsia" w:ascii="宋体" w:hAnsi="宋体" w:eastAsia="宋体" w:cs="宋体"/>
          <w:color w:val="000000"/>
          <w:sz w:val="24"/>
        </w:rPr>
        <w:t>%作为预付款</w:t>
      </w:r>
      <w:r>
        <w:rPr>
          <w:rFonts w:hint="eastAsia" w:ascii="宋体" w:hAnsi="宋体" w:cs="宋体"/>
          <w:color w:val="000000"/>
          <w:sz w:val="24"/>
          <w:lang w:eastAsia="zh-CN"/>
        </w:rPr>
        <w:t>，剩余</w:t>
      </w:r>
      <w:r>
        <w:rPr>
          <w:rFonts w:hint="eastAsia" w:ascii="宋体" w:hAnsi="宋体" w:cs="宋体"/>
          <w:color w:val="000000"/>
          <w:sz w:val="24"/>
          <w:lang w:val="en-US" w:eastAsia="zh-CN"/>
        </w:rPr>
        <w:t>40%待合同期满后七个工作日内一次性付清。</w:t>
      </w:r>
    </w:p>
    <w:p w14:paraId="65BE24FC">
      <w:pPr>
        <w:pStyle w:val="2"/>
        <w:ind w:left="433" w:leftChars="202" w:hanging="9" w:hangingChars="4"/>
        <w:rPr>
          <w:rFonts w:hint="default"/>
          <w:lang w:val="en-US" w:eastAsia="zh-CN"/>
        </w:rPr>
      </w:pPr>
      <w:r>
        <w:rPr>
          <w:rFonts w:hint="eastAsia" w:ascii="宋体" w:hAnsi="宋体" w:eastAsia="宋体" w:cs="宋体"/>
          <w:b w:val="0"/>
          <w:bCs w:val="0"/>
          <w:color w:val="000000"/>
          <w:kern w:val="2"/>
          <w:sz w:val="24"/>
          <w:szCs w:val="24"/>
          <w:lang w:val="en-US" w:eastAsia="zh-CN" w:bidi="ar-SA"/>
        </w:rPr>
        <w:t>2、税费：本服务执行中相关的一切税费均由成交供应商负担。</w:t>
      </w:r>
    </w:p>
    <w:p w14:paraId="73E5D6BE">
      <w:pPr>
        <w:widowControl/>
        <w:spacing w:line="360" w:lineRule="auto"/>
        <w:rPr>
          <w:rFonts w:hint="eastAsia" w:ascii="宋体" w:hAnsi="宋体" w:eastAsia="宋体" w:cs="宋体"/>
          <w:b/>
          <w:bCs/>
          <w:color w:val="000000"/>
          <w:kern w:val="2"/>
          <w:sz w:val="28"/>
          <w:szCs w:val="28"/>
          <w:lang w:val="en-US" w:eastAsia="zh-CN" w:bidi="ar-SA"/>
        </w:rPr>
      </w:pPr>
      <w:r>
        <w:rPr>
          <w:rFonts w:hint="eastAsia" w:ascii="宋体" w:hAnsi="宋体" w:cs="宋体"/>
          <w:b/>
          <w:bCs/>
          <w:color w:val="000000"/>
          <w:kern w:val="2"/>
          <w:sz w:val="28"/>
          <w:szCs w:val="28"/>
          <w:lang w:val="en-US" w:eastAsia="zh-CN" w:bidi="ar-SA"/>
        </w:rPr>
        <w:t>六</w:t>
      </w:r>
      <w:r>
        <w:rPr>
          <w:rFonts w:hint="eastAsia" w:ascii="宋体" w:hAnsi="宋体" w:eastAsia="宋体" w:cs="宋体"/>
          <w:b/>
          <w:bCs/>
          <w:color w:val="000000"/>
          <w:kern w:val="2"/>
          <w:sz w:val="28"/>
          <w:szCs w:val="28"/>
          <w:lang w:val="en-US" w:eastAsia="zh-CN" w:bidi="ar-SA"/>
        </w:rPr>
        <w:t>、其他要求</w:t>
      </w:r>
    </w:p>
    <w:p w14:paraId="5D87B089">
      <w:pPr>
        <w:pStyle w:val="85"/>
        <w:ind w:firstLine="480"/>
        <w:rPr>
          <w:highlight w:val="none"/>
        </w:rPr>
      </w:pPr>
      <w:r>
        <w:rPr>
          <w:rFonts w:hint="eastAsia"/>
          <w:highlight w:val="none"/>
        </w:rPr>
        <w:t xml:space="preserve">1、供应商应保证，采购人在中华人民共和国使用该产品任何一部分时，免受第三方提出的侵犯其专利权、商标权或其他知识产权的起诉。如发生此类纠纷，由供应商承担一切责任。 </w:t>
      </w:r>
    </w:p>
    <w:p w14:paraId="293D6AA7">
      <w:pPr>
        <w:pStyle w:val="85"/>
        <w:ind w:firstLine="480"/>
        <w:rPr>
          <w:highlight w:val="none"/>
        </w:rPr>
      </w:pPr>
      <w:r>
        <w:rPr>
          <w:rFonts w:hint="eastAsia"/>
          <w:highlight w:val="none"/>
        </w:rPr>
        <w:t xml:space="preserve">2、供应商为执行本合同而提供的技术资料的使用权归采购人所有。 </w:t>
      </w:r>
    </w:p>
    <w:p w14:paraId="34F11E1F">
      <w:pPr>
        <w:pStyle w:val="85"/>
        <w:spacing w:line="480" w:lineRule="auto"/>
        <w:ind w:firstLine="480"/>
        <w:rPr>
          <w:rFonts w:hint="eastAsia"/>
          <w:highlight w:val="none"/>
        </w:rPr>
      </w:pPr>
      <w:r>
        <w:rPr>
          <w:rFonts w:hint="eastAsia"/>
          <w:highlight w:val="none"/>
        </w:rPr>
        <w:t>3、供应商必须承诺采购文件中提出的全部技术要求；如果以其中某些条款不响应时，应在投标文件中逐条列出，未列出的视同响应。</w:t>
      </w:r>
    </w:p>
    <w:p w14:paraId="75D319A4">
      <w:pPr>
        <w:spacing w:line="360" w:lineRule="auto"/>
        <w:jc w:val="both"/>
        <w:outlineLvl w:val="0"/>
        <w:rPr>
          <w:rFonts w:hint="eastAsia" w:ascii="宋体" w:hAnsi="宋体" w:cs="宋体"/>
          <w:b/>
          <w:color w:val="auto"/>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3" w:name="_Toc184313277"/>
      <w:bookmarkEnd w:id="43"/>
      <w:bookmarkStart w:id="44" w:name="_Toc184312084"/>
      <w:bookmarkEnd w:id="44"/>
      <w:bookmarkStart w:id="45" w:name="_Toc184313293"/>
      <w:bookmarkEnd w:id="45"/>
      <w:bookmarkStart w:id="46" w:name="_Toc184313252"/>
      <w:bookmarkEnd w:id="46"/>
      <w:bookmarkStart w:id="47" w:name="_Toc184308049"/>
      <w:bookmarkEnd w:id="47"/>
      <w:bookmarkStart w:id="48" w:name="_Toc184314421"/>
      <w:bookmarkEnd w:id="48"/>
      <w:bookmarkStart w:id="49" w:name="_Toc184308045"/>
      <w:bookmarkEnd w:id="49"/>
      <w:bookmarkStart w:id="50" w:name="_Toc184310297"/>
      <w:bookmarkEnd w:id="50"/>
      <w:bookmarkStart w:id="51" w:name="_Toc184313310"/>
      <w:bookmarkEnd w:id="51"/>
      <w:bookmarkStart w:id="52" w:name="_Toc184312101"/>
      <w:bookmarkEnd w:id="52"/>
      <w:bookmarkStart w:id="53" w:name="_Toc184312128"/>
      <w:bookmarkEnd w:id="53"/>
      <w:bookmarkStart w:id="54" w:name="_Toc184314480"/>
      <w:bookmarkEnd w:id="54"/>
      <w:bookmarkStart w:id="55" w:name="_Toc184314440"/>
      <w:bookmarkEnd w:id="55"/>
      <w:bookmarkStart w:id="56" w:name="_Toc184308056"/>
      <w:bookmarkEnd w:id="56"/>
      <w:bookmarkStart w:id="57" w:name="_Toc184312080"/>
      <w:bookmarkEnd w:id="57"/>
      <w:bookmarkStart w:id="58" w:name="_Toc184308037"/>
      <w:bookmarkEnd w:id="58"/>
      <w:bookmarkStart w:id="59" w:name="_Toc184312085"/>
      <w:bookmarkEnd w:id="59"/>
      <w:bookmarkStart w:id="60" w:name="_Toc184314464"/>
      <w:bookmarkEnd w:id="60"/>
      <w:bookmarkStart w:id="61" w:name="_Toc184308039"/>
      <w:bookmarkEnd w:id="61"/>
      <w:bookmarkStart w:id="62" w:name="_Toc184308038"/>
      <w:bookmarkEnd w:id="62"/>
      <w:bookmarkStart w:id="63" w:name="_Toc184314470"/>
      <w:bookmarkEnd w:id="63"/>
      <w:bookmarkStart w:id="64" w:name="_Toc184308043"/>
      <w:bookmarkEnd w:id="64"/>
      <w:bookmarkStart w:id="65" w:name="_Toc184310337"/>
      <w:bookmarkEnd w:id="65"/>
      <w:bookmarkStart w:id="66" w:name="_Toc184308051"/>
      <w:bookmarkEnd w:id="66"/>
      <w:bookmarkStart w:id="67" w:name="_Toc184310298"/>
      <w:bookmarkEnd w:id="67"/>
      <w:bookmarkStart w:id="68" w:name="_Toc184312100"/>
      <w:bookmarkEnd w:id="68"/>
      <w:bookmarkStart w:id="69" w:name="_Toc184310302"/>
      <w:bookmarkEnd w:id="69"/>
      <w:bookmarkStart w:id="70" w:name="_Toc184314478"/>
      <w:bookmarkEnd w:id="70"/>
      <w:bookmarkStart w:id="71" w:name="_Toc184308107"/>
      <w:bookmarkEnd w:id="71"/>
      <w:bookmarkStart w:id="72" w:name="_Toc184314452"/>
      <w:bookmarkEnd w:id="72"/>
      <w:bookmarkStart w:id="73" w:name="_Toc184312124"/>
      <w:bookmarkEnd w:id="73"/>
      <w:bookmarkStart w:id="74" w:name="_Toc184308076"/>
      <w:bookmarkEnd w:id="74"/>
      <w:bookmarkStart w:id="75" w:name="_Toc184310283"/>
      <w:bookmarkEnd w:id="75"/>
      <w:bookmarkStart w:id="76" w:name="_Toc184314444"/>
      <w:bookmarkEnd w:id="76"/>
      <w:bookmarkStart w:id="77" w:name="_Toc184313304"/>
      <w:bookmarkEnd w:id="77"/>
      <w:bookmarkStart w:id="78" w:name="_Toc184314475"/>
      <w:bookmarkEnd w:id="78"/>
      <w:bookmarkStart w:id="79" w:name="_Toc184313283"/>
      <w:bookmarkEnd w:id="79"/>
      <w:bookmarkStart w:id="80" w:name="_Toc184310304"/>
      <w:bookmarkEnd w:id="80"/>
      <w:bookmarkStart w:id="81" w:name="_Toc184312133"/>
      <w:bookmarkEnd w:id="81"/>
      <w:bookmarkStart w:id="82" w:name="_Toc184308101"/>
      <w:bookmarkEnd w:id="82"/>
      <w:bookmarkStart w:id="83" w:name="_Toc184314445"/>
      <w:bookmarkEnd w:id="83"/>
      <w:bookmarkStart w:id="84" w:name="_Toc184310319"/>
      <w:bookmarkEnd w:id="84"/>
      <w:bookmarkStart w:id="85" w:name="_Toc184313269"/>
      <w:bookmarkEnd w:id="85"/>
      <w:bookmarkStart w:id="86" w:name="_Toc184314410"/>
      <w:bookmarkEnd w:id="86"/>
      <w:bookmarkStart w:id="87" w:name="_Toc184308098"/>
      <w:bookmarkEnd w:id="87"/>
      <w:bookmarkStart w:id="88" w:name="_Toc184310326"/>
      <w:bookmarkEnd w:id="88"/>
      <w:bookmarkStart w:id="89" w:name="_Toc184313308"/>
      <w:bookmarkEnd w:id="89"/>
      <w:bookmarkStart w:id="90" w:name="_Toc184314418"/>
      <w:bookmarkEnd w:id="90"/>
      <w:bookmarkStart w:id="91" w:name="_Toc184308065"/>
      <w:bookmarkEnd w:id="91"/>
      <w:bookmarkStart w:id="92" w:name="_Toc184312103"/>
      <w:bookmarkEnd w:id="92"/>
      <w:bookmarkStart w:id="93" w:name="_Toc184308066"/>
      <w:bookmarkEnd w:id="93"/>
      <w:bookmarkStart w:id="94" w:name="_Toc184308074"/>
      <w:bookmarkEnd w:id="94"/>
      <w:bookmarkStart w:id="95" w:name="_Toc184308072"/>
      <w:bookmarkEnd w:id="95"/>
      <w:bookmarkStart w:id="96" w:name="_Toc184314435"/>
      <w:bookmarkEnd w:id="96"/>
      <w:bookmarkStart w:id="97" w:name="_Toc184313274"/>
      <w:bookmarkEnd w:id="97"/>
      <w:bookmarkStart w:id="98" w:name="_Toc184314434"/>
      <w:bookmarkEnd w:id="98"/>
      <w:bookmarkStart w:id="99" w:name="_Toc184314412"/>
      <w:bookmarkEnd w:id="99"/>
      <w:bookmarkStart w:id="100" w:name="_Toc184312071"/>
      <w:bookmarkEnd w:id="100"/>
      <w:bookmarkStart w:id="101" w:name="_Toc184312122"/>
      <w:bookmarkEnd w:id="101"/>
      <w:bookmarkStart w:id="102" w:name="_Toc184314474"/>
      <w:bookmarkEnd w:id="102"/>
      <w:bookmarkStart w:id="103" w:name="_Toc184310310"/>
      <w:bookmarkEnd w:id="103"/>
      <w:bookmarkStart w:id="104" w:name="_Toc184312110"/>
      <w:bookmarkEnd w:id="104"/>
      <w:bookmarkStart w:id="105" w:name="_Toc184312137"/>
      <w:bookmarkEnd w:id="105"/>
      <w:bookmarkStart w:id="106" w:name="_Toc184313289"/>
      <w:bookmarkEnd w:id="106"/>
      <w:bookmarkStart w:id="107" w:name="_Toc184313253"/>
      <w:bookmarkEnd w:id="107"/>
      <w:bookmarkStart w:id="108" w:name="_Toc184310336"/>
      <w:bookmarkEnd w:id="108"/>
      <w:bookmarkStart w:id="109" w:name="_Toc184308104"/>
      <w:bookmarkEnd w:id="109"/>
      <w:bookmarkStart w:id="110" w:name="_Toc184313265"/>
      <w:bookmarkEnd w:id="110"/>
      <w:bookmarkStart w:id="111" w:name="_Toc184313240"/>
      <w:bookmarkEnd w:id="111"/>
      <w:bookmarkStart w:id="112" w:name="_Toc184313307"/>
      <w:bookmarkEnd w:id="112"/>
      <w:bookmarkStart w:id="113" w:name="_Toc184310323"/>
      <w:bookmarkEnd w:id="113"/>
      <w:bookmarkStart w:id="114" w:name="_Toc184314428"/>
      <w:bookmarkEnd w:id="114"/>
      <w:bookmarkStart w:id="115" w:name="_Toc184312102"/>
      <w:bookmarkEnd w:id="115"/>
      <w:bookmarkStart w:id="116" w:name="_Toc184312088"/>
      <w:bookmarkEnd w:id="116"/>
      <w:bookmarkStart w:id="117" w:name="_Toc184310281"/>
      <w:bookmarkEnd w:id="117"/>
      <w:bookmarkStart w:id="118" w:name="_Toc184308099"/>
      <w:bookmarkEnd w:id="118"/>
      <w:bookmarkStart w:id="119" w:name="_Toc184313276"/>
      <w:bookmarkEnd w:id="119"/>
      <w:bookmarkStart w:id="120" w:name="_Toc184312087"/>
      <w:bookmarkEnd w:id="120"/>
      <w:bookmarkStart w:id="121" w:name="_Toc184310305"/>
      <w:bookmarkEnd w:id="121"/>
      <w:bookmarkStart w:id="122" w:name="_Toc184308062"/>
      <w:bookmarkEnd w:id="122"/>
      <w:bookmarkStart w:id="123" w:name="_Toc184314455"/>
      <w:bookmarkEnd w:id="123"/>
      <w:bookmarkStart w:id="124" w:name="_Toc184313262"/>
      <w:bookmarkEnd w:id="124"/>
      <w:bookmarkStart w:id="125" w:name="_Toc184313243"/>
      <w:bookmarkEnd w:id="125"/>
      <w:bookmarkStart w:id="126" w:name="_Toc184313298"/>
      <w:bookmarkEnd w:id="126"/>
      <w:bookmarkStart w:id="127" w:name="_Toc184312106"/>
      <w:bookmarkEnd w:id="127"/>
      <w:bookmarkStart w:id="128" w:name="_Toc184308083"/>
      <w:bookmarkEnd w:id="128"/>
      <w:bookmarkStart w:id="129" w:name="_Toc184310327"/>
      <w:bookmarkEnd w:id="129"/>
      <w:bookmarkStart w:id="130" w:name="_Toc184310291"/>
      <w:bookmarkEnd w:id="130"/>
      <w:bookmarkStart w:id="131" w:name="_Toc184314450"/>
      <w:bookmarkEnd w:id="131"/>
      <w:bookmarkStart w:id="132" w:name="_Toc184313241"/>
      <w:bookmarkEnd w:id="132"/>
      <w:bookmarkStart w:id="133" w:name="_Toc184312117"/>
      <w:bookmarkEnd w:id="133"/>
      <w:bookmarkStart w:id="134" w:name="_Toc184313284"/>
      <w:bookmarkEnd w:id="134"/>
      <w:bookmarkStart w:id="135" w:name="_Toc184312135"/>
      <w:bookmarkEnd w:id="135"/>
      <w:bookmarkStart w:id="136" w:name="_Toc184314473"/>
      <w:bookmarkEnd w:id="136"/>
      <w:bookmarkStart w:id="137" w:name="_Toc184310318"/>
      <w:bookmarkEnd w:id="137"/>
      <w:bookmarkStart w:id="138" w:name="_Toc184314417"/>
      <w:bookmarkEnd w:id="138"/>
      <w:bookmarkStart w:id="139" w:name="_Toc184308061"/>
      <w:bookmarkEnd w:id="139"/>
      <w:bookmarkStart w:id="140" w:name="_Toc184310289"/>
      <w:bookmarkEnd w:id="140"/>
      <w:bookmarkStart w:id="141" w:name="_Toc184312076"/>
      <w:bookmarkEnd w:id="141"/>
      <w:bookmarkStart w:id="142" w:name="_Toc184314416"/>
      <w:bookmarkEnd w:id="142"/>
      <w:bookmarkStart w:id="143" w:name="_Toc184312116"/>
      <w:bookmarkEnd w:id="143"/>
      <w:bookmarkStart w:id="144" w:name="_Toc184312092"/>
      <w:bookmarkEnd w:id="144"/>
      <w:bookmarkStart w:id="145" w:name="_Toc184308079"/>
      <w:bookmarkEnd w:id="145"/>
      <w:bookmarkStart w:id="146" w:name="_Toc184312132"/>
      <w:bookmarkEnd w:id="146"/>
      <w:bookmarkStart w:id="147" w:name="_Toc184310286"/>
      <w:bookmarkEnd w:id="147"/>
      <w:bookmarkStart w:id="148" w:name="_Toc184310303"/>
      <w:bookmarkEnd w:id="148"/>
      <w:bookmarkStart w:id="149" w:name="_Toc184314449"/>
      <w:bookmarkEnd w:id="149"/>
      <w:bookmarkStart w:id="150" w:name="_Toc184310279"/>
      <w:bookmarkEnd w:id="150"/>
      <w:bookmarkStart w:id="151" w:name="_Toc184310272"/>
      <w:bookmarkEnd w:id="151"/>
      <w:bookmarkStart w:id="152" w:name="_Toc184314432"/>
      <w:bookmarkEnd w:id="152"/>
      <w:bookmarkStart w:id="153" w:name="_Toc184313245"/>
      <w:bookmarkEnd w:id="153"/>
      <w:bookmarkStart w:id="154" w:name="_Toc184312109"/>
      <w:bookmarkEnd w:id="154"/>
      <w:bookmarkStart w:id="155" w:name="_Toc184314431"/>
      <w:bookmarkEnd w:id="155"/>
      <w:bookmarkStart w:id="156" w:name="_Toc184314479"/>
      <w:bookmarkEnd w:id="156"/>
      <w:bookmarkStart w:id="157" w:name="_Toc184308087"/>
      <w:bookmarkEnd w:id="157"/>
      <w:bookmarkStart w:id="158" w:name="_Toc184310329"/>
      <w:bookmarkEnd w:id="158"/>
      <w:bookmarkStart w:id="159" w:name="_Toc184314413"/>
      <w:bookmarkEnd w:id="159"/>
      <w:bookmarkStart w:id="160" w:name="_Toc184310315"/>
      <w:bookmarkEnd w:id="160"/>
      <w:bookmarkStart w:id="161" w:name="_Toc184312139"/>
      <w:bookmarkEnd w:id="161"/>
      <w:bookmarkStart w:id="162" w:name="_Toc184314433"/>
      <w:bookmarkEnd w:id="162"/>
      <w:bookmarkStart w:id="163" w:name="_Toc184314471"/>
      <w:bookmarkEnd w:id="163"/>
      <w:bookmarkStart w:id="164" w:name="_Toc184308040"/>
      <w:bookmarkEnd w:id="164"/>
      <w:bookmarkStart w:id="165" w:name="_Toc184310339"/>
      <w:bookmarkEnd w:id="165"/>
      <w:bookmarkStart w:id="166" w:name="_Toc184308047"/>
      <w:bookmarkEnd w:id="166"/>
      <w:bookmarkStart w:id="167" w:name="_Toc184310282"/>
      <w:bookmarkEnd w:id="167"/>
      <w:bookmarkStart w:id="168" w:name="_Toc184313278"/>
      <w:bookmarkEnd w:id="168"/>
      <w:bookmarkStart w:id="169" w:name="_Toc184308088"/>
      <w:bookmarkEnd w:id="169"/>
      <w:bookmarkStart w:id="170" w:name="_Toc184314448"/>
      <w:bookmarkEnd w:id="170"/>
      <w:bookmarkStart w:id="171" w:name="_Toc184310317"/>
      <w:bookmarkEnd w:id="171"/>
      <w:bookmarkStart w:id="172" w:name="_Toc184312134"/>
      <w:bookmarkEnd w:id="172"/>
      <w:bookmarkStart w:id="173" w:name="_Toc184313247"/>
      <w:bookmarkEnd w:id="173"/>
      <w:bookmarkStart w:id="174" w:name="_Toc184308093"/>
      <w:bookmarkEnd w:id="174"/>
      <w:bookmarkStart w:id="175" w:name="_Toc184308089"/>
      <w:bookmarkEnd w:id="175"/>
      <w:bookmarkStart w:id="176" w:name="_Toc184314466"/>
      <w:bookmarkEnd w:id="176"/>
      <w:bookmarkStart w:id="177" w:name="_Toc184310344"/>
      <w:bookmarkEnd w:id="177"/>
      <w:bookmarkStart w:id="178" w:name="_Toc184312114"/>
      <w:bookmarkEnd w:id="178"/>
      <w:bookmarkStart w:id="179" w:name="_Toc184308052"/>
      <w:bookmarkEnd w:id="179"/>
      <w:bookmarkStart w:id="180" w:name="_Toc184312130"/>
      <w:bookmarkEnd w:id="180"/>
      <w:bookmarkStart w:id="181" w:name="_Toc184314465"/>
      <w:bookmarkEnd w:id="181"/>
      <w:bookmarkStart w:id="182" w:name="_Toc184308063"/>
      <w:bookmarkEnd w:id="182"/>
      <w:bookmarkStart w:id="183" w:name="_Toc184312113"/>
      <w:bookmarkEnd w:id="183"/>
      <w:bookmarkStart w:id="184" w:name="_Toc184314482"/>
      <w:bookmarkEnd w:id="184"/>
      <w:bookmarkStart w:id="185" w:name="_Toc184314436"/>
      <w:bookmarkEnd w:id="185"/>
      <w:bookmarkStart w:id="186" w:name="_Toc184314477"/>
      <w:bookmarkEnd w:id="186"/>
      <w:bookmarkStart w:id="187" w:name="_Toc184313258"/>
      <w:bookmarkEnd w:id="187"/>
      <w:bookmarkStart w:id="188" w:name="_Toc184310328"/>
      <w:bookmarkEnd w:id="188"/>
      <w:bookmarkStart w:id="189" w:name="_Toc184308041"/>
      <w:bookmarkEnd w:id="189"/>
      <w:bookmarkStart w:id="190" w:name="_Toc184310333"/>
      <w:bookmarkEnd w:id="190"/>
      <w:bookmarkStart w:id="191" w:name="_Toc184308105"/>
      <w:bookmarkEnd w:id="191"/>
      <w:bookmarkStart w:id="192" w:name="_Toc184308090"/>
      <w:bookmarkEnd w:id="192"/>
      <w:bookmarkStart w:id="193" w:name="_Toc184312089"/>
      <w:bookmarkEnd w:id="193"/>
      <w:bookmarkStart w:id="194" w:name="_Toc184314438"/>
      <w:bookmarkEnd w:id="194"/>
      <w:bookmarkStart w:id="195" w:name="_Toc184314469"/>
      <w:bookmarkEnd w:id="195"/>
      <w:bookmarkStart w:id="196" w:name="_Toc184313255"/>
      <w:bookmarkEnd w:id="196"/>
      <w:bookmarkStart w:id="197" w:name="_Toc184310316"/>
      <w:bookmarkEnd w:id="197"/>
      <w:bookmarkStart w:id="198" w:name="_Toc184312068"/>
      <w:bookmarkEnd w:id="198"/>
      <w:bookmarkStart w:id="199" w:name="_Toc184314453"/>
      <w:bookmarkEnd w:id="199"/>
      <w:bookmarkStart w:id="200" w:name="_Toc184312090"/>
      <w:bookmarkEnd w:id="200"/>
      <w:bookmarkStart w:id="201" w:name="_Toc184313251"/>
      <w:bookmarkEnd w:id="201"/>
      <w:bookmarkStart w:id="202" w:name="_Toc184310335"/>
      <w:bookmarkEnd w:id="202"/>
      <w:bookmarkStart w:id="203" w:name="_Toc184314481"/>
      <w:bookmarkEnd w:id="203"/>
      <w:bookmarkStart w:id="204" w:name="_Toc184308053"/>
      <w:bookmarkEnd w:id="204"/>
      <w:bookmarkStart w:id="205" w:name="_Toc184312074"/>
      <w:bookmarkEnd w:id="205"/>
      <w:bookmarkStart w:id="206" w:name="_Toc184313259"/>
      <w:bookmarkEnd w:id="206"/>
      <w:bookmarkStart w:id="207" w:name="_Toc184308102"/>
      <w:bookmarkEnd w:id="207"/>
      <w:bookmarkStart w:id="208" w:name="_Toc184314461"/>
      <w:bookmarkEnd w:id="208"/>
      <w:bookmarkStart w:id="209" w:name="_Toc184308106"/>
      <w:bookmarkEnd w:id="209"/>
      <w:bookmarkStart w:id="210" w:name="_Toc184308078"/>
      <w:bookmarkEnd w:id="210"/>
      <w:bookmarkStart w:id="211" w:name="_Toc184314423"/>
      <w:bookmarkEnd w:id="211"/>
      <w:bookmarkStart w:id="212" w:name="_Toc184308084"/>
      <w:bookmarkEnd w:id="212"/>
      <w:bookmarkStart w:id="213" w:name="_Toc184310324"/>
      <w:bookmarkEnd w:id="213"/>
      <w:bookmarkStart w:id="214" w:name="_Toc184312131"/>
      <w:bookmarkEnd w:id="214"/>
      <w:bookmarkStart w:id="215" w:name="_Toc184310280"/>
      <w:bookmarkEnd w:id="215"/>
      <w:bookmarkStart w:id="216" w:name="_Toc184310340"/>
      <w:bookmarkEnd w:id="216"/>
      <w:bookmarkStart w:id="217" w:name="_Toc184308096"/>
      <w:bookmarkEnd w:id="217"/>
      <w:bookmarkStart w:id="218" w:name="_Toc184313306"/>
      <w:bookmarkEnd w:id="218"/>
      <w:bookmarkStart w:id="219" w:name="_Toc184314420"/>
      <w:bookmarkEnd w:id="219"/>
      <w:bookmarkStart w:id="220" w:name="_Toc184312073"/>
      <w:bookmarkEnd w:id="220"/>
      <w:bookmarkStart w:id="221" w:name="_Toc184313290"/>
      <w:bookmarkEnd w:id="221"/>
      <w:bookmarkStart w:id="222" w:name="_Toc184310288"/>
      <w:bookmarkEnd w:id="222"/>
      <w:bookmarkStart w:id="223" w:name="_Toc184314426"/>
      <w:bookmarkEnd w:id="223"/>
      <w:bookmarkStart w:id="224" w:name="_Toc184308068"/>
      <w:bookmarkEnd w:id="224"/>
      <w:bookmarkStart w:id="225" w:name="_Toc184312081"/>
      <w:bookmarkEnd w:id="225"/>
      <w:bookmarkStart w:id="226" w:name="_Toc184312136"/>
      <w:bookmarkEnd w:id="226"/>
      <w:bookmarkStart w:id="227" w:name="_Toc184314414"/>
      <w:bookmarkEnd w:id="227"/>
      <w:bookmarkStart w:id="228" w:name="_Toc184314429"/>
      <w:bookmarkEnd w:id="228"/>
      <w:bookmarkStart w:id="229" w:name="_Toc184310276"/>
      <w:bookmarkEnd w:id="229"/>
      <w:bookmarkStart w:id="230" w:name="_Toc184310294"/>
      <w:bookmarkEnd w:id="230"/>
      <w:bookmarkStart w:id="231" w:name="_Toc184313279"/>
      <w:bookmarkEnd w:id="231"/>
      <w:bookmarkStart w:id="232" w:name="_Toc184314446"/>
      <w:bookmarkEnd w:id="232"/>
      <w:bookmarkStart w:id="233" w:name="_Toc184310292"/>
      <w:bookmarkEnd w:id="233"/>
      <w:bookmarkStart w:id="234" w:name="_Toc184312121"/>
      <w:bookmarkEnd w:id="234"/>
      <w:bookmarkStart w:id="235" w:name="_Toc184310334"/>
      <w:bookmarkEnd w:id="235"/>
      <w:bookmarkStart w:id="236" w:name="_Toc184308092"/>
      <w:bookmarkEnd w:id="236"/>
      <w:bookmarkStart w:id="237" w:name="_Toc184314447"/>
      <w:bookmarkEnd w:id="237"/>
      <w:bookmarkStart w:id="238" w:name="_Toc184314441"/>
      <w:bookmarkEnd w:id="238"/>
      <w:bookmarkStart w:id="239" w:name="_Toc184308081"/>
      <w:bookmarkEnd w:id="239"/>
      <w:bookmarkStart w:id="240" w:name="_Toc184314422"/>
      <w:bookmarkEnd w:id="240"/>
      <w:bookmarkStart w:id="241" w:name="_Toc184308042"/>
      <w:bookmarkEnd w:id="241"/>
      <w:bookmarkStart w:id="242" w:name="_Toc184308094"/>
      <w:bookmarkEnd w:id="242"/>
      <w:bookmarkStart w:id="243" w:name="_Toc184310331"/>
      <w:bookmarkEnd w:id="243"/>
      <w:bookmarkStart w:id="244" w:name="_Toc184313266"/>
      <w:bookmarkEnd w:id="244"/>
      <w:bookmarkStart w:id="245" w:name="_Toc184308064"/>
      <w:bookmarkEnd w:id="245"/>
      <w:bookmarkStart w:id="246" w:name="_Toc184312115"/>
      <w:bookmarkEnd w:id="246"/>
      <w:bookmarkStart w:id="247" w:name="_Toc184312098"/>
      <w:bookmarkEnd w:id="247"/>
      <w:bookmarkStart w:id="248" w:name="_Toc184314424"/>
      <w:bookmarkEnd w:id="248"/>
      <w:bookmarkStart w:id="249" w:name="_Toc184312072"/>
      <w:bookmarkEnd w:id="249"/>
      <w:bookmarkStart w:id="250" w:name="_Toc184313238"/>
      <w:bookmarkEnd w:id="250"/>
      <w:bookmarkStart w:id="251" w:name="_Toc184310284"/>
      <w:bookmarkEnd w:id="251"/>
      <w:bookmarkStart w:id="252" w:name="_Toc184313288"/>
      <w:bookmarkEnd w:id="252"/>
      <w:bookmarkStart w:id="253" w:name="_Toc184308070"/>
      <w:bookmarkEnd w:id="253"/>
      <w:bookmarkStart w:id="254" w:name="_Toc184310306"/>
      <w:bookmarkEnd w:id="254"/>
      <w:bookmarkStart w:id="255" w:name="_Toc184312097"/>
      <w:bookmarkEnd w:id="255"/>
      <w:bookmarkStart w:id="256" w:name="_Toc184313303"/>
      <w:bookmarkEnd w:id="256"/>
      <w:bookmarkStart w:id="257" w:name="_Toc184313242"/>
      <w:bookmarkEnd w:id="257"/>
      <w:bookmarkStart w:id="258" w:name="_Toc184314437"/>
      <w:bookmarkEnd w:id="258"/>
      <w:bookmarkStart w:id="259" w:name="_Toc184310307"/>
      <w:bookmarkEnd w:id="259"/>
      <w:bookmarkStart w:id="260" w:name="_Toc184312112"/>
      <w:bookmarkEnd w:id="260"/>
      <w:bookmarkStart w:id="261" w:name="_Toc184314476"/>
      <w:bookmarkEnd w:id="261"/>
      <w:bookmarkStart w:id="262" w:name="_Toc184308048"/>
      <w:bookmarkEnd w:id="262"/>
      <w:bookmarkStart w:id="263" w:name="_Toc184313302"/>
      <w:bookmarkEnd w:id="263"/>
      <w:bookmarkStart w:id="264" w:name="_Toc184308108"/>
      <w:bookmarkEnd w:id="264"/>
      <w:bookmarkStart w:id="265" w:name="_Toc184308097"/>
      <w:bookmarkEnd w:id="265"/>
      <w:bookmarkStart w:id="266" w:name="_Toc184310332"/>
      <w:bookmarkEnd w:id="266"/>
      <w:bookmarkStart w:id="267" w:name="_Toc184314425"/>
      <w:bookmarkEnd w:id="267"/>
      <w:bookmarkStart w:id="268" w:name="_Toc184310309"/>
      <w:bookmarkEnd w:id="268"/>
      <w:bookmarkStart w:id="269" w:name="_Toc184310275"/>
      <w:bookmarkEnd w:id="269"/>
      <w:bookmarkStart w:id="270" w:name="_Toc184314472"/>
      <w:bookmarkEnd w:id="270"/>
      <w:bookmarkStart w:id="271" w:name="_Toc184312125"/>
      <w:bookmarkEnd w:id="271"/>
      <w:bookmarkStart w:id="272" w:name="_Toc184308086"/>
      <w:bookmarkEnd w:id="272"/>
      <w:bookmarkStart w:id="273" w:name="_Toc184314456"/>
      <w:bookmarkEnd w:id="273"/>
      <w:bookmarkStart w:id="274" w:name="_Toc184310278"/>
      <w:bookmarkEnd w:id="274"/>
      <w:bookmarkStart w:id="275" w:name="_Toc184312138"/>
      <w:bookmarkEnd w:id="275"/>
      <w:bookmarkStart w:id="276" w:name="_Toc184312111"/>
      <w:bookmarkEnd w:id="276"/>
      <w:bookmarkStart w:id="277" w:name="_Toc184314463"/>
      <w:bookmarkEnd w:id="277"/>
      <w:bookmarkStart w:id="278" w:name="_Toc184314459"/>
      <w:bookmarkEnd w:id="278"/>
      <w:bookmarkStart w:id="279" w:name="_Toc184308095"/>
      <w:bookmarkEnd w:id="279"/>
      <w:bookmarkStart w:id="280" w:name="_Toc184310320"/>
      <w:bookmarkEnd w:id="280"/>
      <w:bookmarkStart w:id="281" w:name="_Toc184313297"/>
      <w:bookmarkEnd w:id="281"/>
      <w:bookmarkStart w:id="282" w:name="_Toc184313244"/>
      <w:bookmarkEnd w:id="282"/>
      <w:bookmarkStart w:id="283" w:name="_Toc184312070"/>
      <w:bookmarkEnd w:id="283"/>
      <w:bookmarkStart w:id="284" w:name="_Toc184308067"/>
      <w:bookmarkEnd w:id="284"/>
      <w:bookmarkStart w:id="285" w:name="_Toc184313270"/>
      <w:bookmarkEnd w:id="285"/>
      <w:bookmarkStart w:id="286" w:name="_Toc184314411"/>
      <w:bookmarkEnd w:id="286"/>
      <w:bookmarkStart w:id="287" w:name="_Toc184313272"/>
      <w:bookmarkEnd w:id="287"/>
      <w:bookmarkStart w:id="288" w:name="_Toc184310343"/>
      <w:bookmarkEnd w:id="288"/>
      <w:bookmarkStart w:id="289" w:name="_Toc184314443"/>
      <w:bookmarkEnd w:id="289"/>
      <w:bookmarkStart w:id="290" w:name="_Toc184308082"/>
      <w:bookmarkEnd w:id="290"/>
      <w:bookmarkStart w:id="291" w:name="_Toc184310290"/>
      <w:bookmarkEnd w:id="291"/>
      <w:bookmarkStart w:id="292" w:name="_Toc184310273"/>
      <w:bookmarkEnd w:id="292"/>
      <w:bookmarkStart w:id="293" w:name="_Toc184312075"/>
      <w:bookmarkEnd w:id="293"/>
      <w:bookmarkStart w:id="294" w:name="_Toc184314442"/>
      <w:bookmarkEnd w:id="294"/>
      <w:bookmarkStart w:id="295" w:name="_Toc184313271"/>
      <w:bookmarkEnd w:id="295"/>
      <w:bookmarkStart w:id="296" w:name="_Toc184312091"/>
      <w:bookmarkEnd w:id="296"/>
      <w:bookmarkStart w:id="297" w:name="_Toc184310330"/>
      <w:bookmarkEnd w:id="297"/>
      <w:bookmarkStart w:id="298" w:name="_Toc184310312"/>
      <w:bookmarkEnd w:id="298"/>
      <w:bookmarkStart w:id="299" w:name="_Toc184314415"/>
      <w:bookmarkEnd w:id="299"/>
      <w:bookmarkStart w:id="300" w:name="_Toc184308055"/>
      <w:bookmarkEnd w:id="300"/>
      <w:bookmarkStart w:id="301" w:name="_Toc184310293"/>
      <w:bookmarkEnd w:id="301"/>
      <w:bookmarkStart w:id="302" w:name="_Toc184308100"/>
      <w:bookmarkEnd w:id="302"/>
      <w:bookmarkStart w:id="303" w:name="_Toc184308077"/>
      <w:bookmarkEnd w:id="303"/>
      <w:bookmarkStart w:id="304" w:name="_Toc184313273"/>
      <w:bookmarkEnd w:id="304"/>
      <w:bookmarkStart w:id="305" w:name="_Toc184310308"/>
      <w:bookmarkEnd w:id="305"/>
      <w:bookmarkStart w:id="306" w:name="_Toc184310322"/>
      <w:bookmarkEnd w:id="306"/>
      <w:bookmarkStart w:id="307" w:name="_Toc184308080"/>
      <w:bookmarkEnd w:id="307"/>
      <w:bookmarkStart w:id="308" w:name="_Toc184312078"/>
      <w:bookmarkEnd w:id="308"/>
      <w:bookmarkStart w:id="309" w:name="_Toc184312107"/>
      <w:bookmarkEnd w:id="309"/>
      <w:bookmarkStart w:id="310" w:name="_Toc184313239"/>
      <w:bookmarkEnd w:id="310"/>
      <w:bookmarkStart w:id="311" w:name="_Toc184312105"/>
      <w:bookmarkEnd w:id="311"/>
      <w:bookmarkStart w:id="312" w:name="_Toc184312104"/>
      <w:bookmarkEnd w:id="312"/>
      <w:bookmarkStart w:id="313" w:name="_Toc184313282"/>
      <w:bookmarkEnd w:id="313"/>
      <w:bookmarkStart w:id="314" w:name="_Toc184310314"/>
      <w:bookmarkEnd w:id="314"/>
      <w:bookmarkStart w:id="315" w:name="_Toc184310338"/>
      <w:bookmarkEnd w:id="315"/>
      <w:bookmarkStart w:id="316" w:name="_Toc184313246"/>
      <w:bookmarkEnd w:id="316"/>
      <w:bookmarkStart w:id="317" w:name="_Toc184308058"/>
      <w:bookmarkEnd w:id="317"/>
      <w:bookmarkStart w:id="318" w:name="_Toc184310301"/>
      <w:bookmarkEnd w:id="318"/>
      <w:bookmarkStart w:id="319" w:name="_Toc184308054"/>
      <w:bookmarkEnd w:id="319"/>
      <w:bookmarkStart w:id="320" w:name="_Toc184314467"/>
      <w:bookmarkEnd w:id="320"/>
      <w:bookmarkStart w:id="321" w:name="_Toc184314419"/>
      <w:bookmarkEnd w:id="321"/>
      <w:bookmarkStart w:id="322" w:name="_Toc184310299"/>
      <w:bookmarkEnd w:id="322"/>
      <w:bookmarkStart w:id="323" w:name="_Toc184312083"/>
      <w:bookmarkEnd w:id="323"/>
      <w:bookmarkStart w:id="324" w:name="_Toc184312086"/>
      <w:bookmarkEnd w:id="324"/>
      <w:bookmarkStart w:id="325" w:name="_Toc184308071"/>
      <w:bookmarkEnd w:id="325"/>
      <w:bookmarkStart w:id="326" w:name="_Toc184313296"/>
      <w:bookmarkEnd w:id="326"/>
      <w:bookmarkStart w:id="327" w:name="_Toc184308075"/>
      <w:bookmarkEnd w:id="327"/>
      <w:bookmarkStart w:id="328" w:name="_Toc184313291"/>
      <w:bookmarkEnd w:id="328"/>
      <w:bookmarkStart w:id="329" w:name="_Toc184313300"/>
      <w:bookmarkEnd w:id="329"/>
      <w:bookmarkStart w:id="330" w:name="_Toc184308044"/>
      <w:bookmarkEnd w:id="330"/>
      <w:bookmarkStart w:id="331" w:name="_Toc184308057"/>
      <w:bookmarkEnd w:id="331"/>
      <w:bookmarkStart w:id="332" w:name="_Toc184308069"/>
      <w:bookmarkEnd w:id="332"/>
      <w:bookmarkStart w:id="333" w:name="_Toc184313275"/>
      <w:bookmarkEnd w:id="333"/>
      <w:bookmarkStart w:id="334" w:name="_Toc184313280"/>
      <w:bookmarkEnd w:id="334"/>
      <w:bookmarkStart w:id="335" w:name="_Toc184314462"/>
      <w:bookmarkEnd w:id="335"/>
      <w:bookmarkStart w:id="336" w:name="_Toc184312119"/>
      <w:bookmarkEnd w:id="336"/>
      <w:bookmarkStart w:id="337" w:name="_Toc184310321"/>
      <w:bookmarkEnd w:id="337"/>
      <w:bookmarkStart w:id="338" w:name="_Toc184312108"/>
      <w:bookmarkEnd w:id="338"/>
      <w:bookmarkStart w:id="339" w:name="_Toc184312096"/>
      <w:bookmarkEnd w:id="339"/>
      <w:bookmarkStart w:id="340" w:name="_Toc184308103"/>
      <w:bookmarkEnd w:id="340"/>
      <w:bookmarkStart w:id="341" w:name="_Toc184312127"/>
      <w:bookmarkEnd w:id="341"/>
      <w:bookmarkStart w:id="342" w:name="_Toc184313305"/>
      <w:bookmarkEnd w:id="342"/>
      <w:bookmarkStart w:id="343" w:name="_Toc184314439"/>
      <w:bookmarkEnd w:id="343"/>
      <w:bookmarkStart w:id="344" w:name="_Toc184313261"/>
      <w:bookmarkEnd w:id="344"/>
      <w:bookmarkStart w:id="345" w:name="_Toc184313249"/>
      <w:bookmarkEnd w:id="345"/>
      <w:bookmarkStart w:id="346" w:name="_Toc184314457"/>
      <w:bookmarkEnd w:id="346"/>
      <w:bookmarkStart w:id="347" w:name="_Toc184310285"/>
      <w:bookmarkEnd w:id="347"/>
      <w:bookmarkStart w:id="348" w:name="_Toc184310274"/>
      <w:bookmarkEnd w:id="348"/>
      <w:bookmarkStart w:id="349" w:name="_Toc184308060"/>
      <w:bookmarkEnd w:id="349"/>
      <w:bookmarkStart w:id="350" w:name="_Toc184313281"/>
      <w:bookmarkEnd w:id="350"/>
      <w:bookmarkStart w:id="351" w:name="_Toc184313260"/>
      <w:bookmarkEnd w:id="351"/>
      <w:bookmarkStart w:id="352" w:name="_Toc184313256"/>
      <w:bookmarkEnd w:id="352"/>
      <w:bookmarkStart w:id="353" w:name="_Toc184313301"/>
      <w:bookmarkEnd w:id="353"/>
      <w:bookmarkStart w:id="354" w:name="_Toc184312093"/>
      <w:bookmarkEnd w:id="354"/>
      <w:bookmarkStart w:id="355" w:name="_Toc184312095"/>
      <w:bookmarkEnd w:id="355"/>
      <w:bookmarkStart w:id="356" w:name="_Toc184313285"/>
      <w:bookmarkEnd w:id="356"/>
      <w:bookmarkStart w:id="357" w:name="_Toc184312069"/>
      <w:bookmarkEnd w:id="357"/>
      <w:bookmarkStart w:id="358" w:name="_Toc184312079"/>
      <w:bookmarkEnd w:id="358"/>
      <w:bookmarkStart w:id="359" w:name="_Toc184310295"/>
      <w:bookmarkEnd w:id="359"/>
      <w:bookmarkStart w:id="360" w:name="_Toc184313294"/>
      <w:bookmarkEnd w:id="360"/>
      <w:bookmarkStart w:id="361" w:name="_Toc184310300"/>
      <w:bookmarkEnd w:id="361"/>
      <w:bookmarkStart w:id="362" w:name="_Toc184314468"/>
      <w:bookmarkEnd w:id="362"/>
      <w:bookmarkStart w:id="363" w:name="_Toc184314430"/>
      <w:bookmarkEnd w:id="363"/>
      <w:bookmarkStart w:id="364" w:name="_Toc184312094"/>
      <w:bookmarkEnd w:id="364"/>
      <w:bookmarkStart w:id="365" w:name="_Toc184312120"/>
      <w:bookmarkEnd w:id="365"/>
      <w:bookmarkStart w:id="366" w:name="_Toc184308036"/>
      <w:bookmarkEnd w:id="366"/>
      <w:bookmarkStart w:id="367" w:name="_Toc184314458"/>
      <w:bookmarkEnd w:id="367"/>
      <w:bookmarkStart w:id="368" w:name="_Toc184313264"/>
      <w:bookmarkEnd w:id="368"/>
      <w:bookmarkStart w:id="369" w:name="_Toc184313248"/>
      <w:bookmarkEnd w:id="369"/>
      <w:bookmarkStart w:id="370" w:name="_Toc184310277"/>
      <w:bookmarkEnd w:id="370"/>
      <w:bookmarkStart w:id="371" w:name="_Toc184314451"/>
      <w:bookmarkEnd w:id="371"/>
      <w:bookmarkStart w:id="372" w:name="_Toc184312082"/>
      <w:bookmarkEnd w:id="372"/>
      <w:bookmarkStart w:id="373" w:name="_Toc184312077"/>
      <w:bookmarkEnd w:id="373"/>
      <w:bookmarkStart w:id="374" w:name="_Toc184312129"/>
      <w:bookmarkEnd w:id="374"/>
      <w:bookmarkStart w:id="375" w:name="_Toc184308059"/>
      <w:bookmarkEnd w:id="375"/>
      <w:bookmarkStart w:id="376" w:name="_Toc184313292"/>
      <w:bookmarkEnd w:id="376"/>
      <w:bookmarkStart w:id="377" w:name="_Toc184314454"/>
      <w:bookmarkEnd w:id="377"/>
      <w:bookmarkStart w:id="378" w:name="_Toc184313286"/>
      <w:bookmarkEnd w:id="378"/>
      <w:bookmarkStart w:id="379" w:name="_Toc184312126"/>
      <w:bookmarkEnd w:id="379"/>
      <w:bookmarkStart w:id="380" w:name="_Toc184308050"/>
      <w:bookmarkEnd w:id="380"/>
      <w:bookmarkStart w:id="381" w:name="_Toc184313309"/>
      <w:bookmarkEnd w:id="381"/>
      <w:bookmarkStart w:id="382" w:name="_Toc184313250"/>
      <w:bookmarkEnd w:id="382"/>
      <w:bookmarkStart w:id="383" w:name="_Toc184312099"/>
      <w:bookmarkEnd w:id="383"/>
      <w:bookmarkStart w:id="384" w:name="_Toc184314460"/>
      <w:bookmarkEnd w:id="384"/>
      <w:bookmarkStart w:id="385" w:name="_Toc184310325"/>
      <w:bookmarkEnd w:id="385"/>
      <w:bookmarkStart w:id="386" w:name="_Toc184308046"/>
      <w:bookmarkEnd w:id="386"/>
      <w:bookmarkStart w:id="387" w:name="_Toc184313287"/>
      <w:bookmarkEnd w:id="387"/>
      <w:bookmarkStart w:id="388" w:name="_Toc184312123"/>
      <w:bookmarkEnd w:id="388"/>
      <w:bookmarkStart w:id="389" w:name="_Toc184313299"/>
      <w:bookmarkEnd w:id="389"/>
      <w:bookmarkStart w:id="390" w:name="_Toc184313268"/>
      <w:bookmarkEnd w:id="390"/>
      <w:bookmarkStart w:id="391" w:name="_Toc184313295"/>
      <w:bookmarkEnd w:id="391"/>
      <w:bookmarkStart w:id="392" w:name="_Toc184314427"/>
      <w:bookmarkEnd w:id="392"/>
      <w:bookmarkStart w:id="393" w:name="_Toc184313254"/>
      <w:bookmarkEnd w:id="393"/>
      <w:bookmarkStart w:id="394" w:name="_Toc184308091"/>
      <w:bookmarkEnd w:id="394"/>
      <w:bookmarkStart w:id="395" w:name="_Toc184313267"/>
      <w:bookmarkEnd w:id="395"/>
      <w:bookmarkStart w:id="396" w:name="_Toc184313257"/>
      <w:bookmarkEnd w:id="396"/>
      <w:bookmarkStart w:id="397" w:name="_Toc184308073"/>
      <w:bookmarkEnd w:id="397"/>
      <w:bookmarkStart w:id="398" w:name="_Toc184310342"/>
      <w:bookmarkEnd w:id="398"/>
      <w:bookmarkStart w:id="399" w:name="_Toc184310341"/>
      <w:bookmarkEnd w:id="399"/>
      <w:bookmarkStart w:id="400" w:name="_Toc184312118"/>
      <w:bookmarkEnd w:id="400"/>
      <w:bookmarkStart w:id="401" w:name="_Toc184310287"/>
      <w:bookmarkEnd w:id="401"/>
      <w:bookmarkStart w:id="402" w:name="_Toc184308085"/>
      <w:bookmarkEnd w:id="402"/>
      <w:bookmarkStart w:id="403" w:name="_Toc184313263"/>
      <w:bookmarkEnd w:id="403"/>
      <w:bookmarkStart w:id="404" w:name="_Toc184310311"/>
      <w:bookmarkEnd w:id="404"/>
      <w:bookmarkStart w:id="405" w:name="_Toc184310296"/>
      <w:bookmarkEnd w:id="405"/>
      <w:bookmarkStart w:id="406" w:name="_Toc184312067"/>
      <w:bookmarkEnd w:id="406"/>
      <w:bookmarkStart w:id="407" w:name="_Toc184310313"/>
      <w:bookmarkEnd w:id="407"/>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469"/>
        <w:gridCol w:w="6896"/>
        <w:gridCol w:w="754"/>
        <w:gridCol w:w="774"/>
      </w:tblGrid>
      <w:tr w14:paraId="1C61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46" w:type="dxa"/>
            <w:noWrap w:val="0"/>
            <w:vAlign w:val="center"/>
          </w:tcPr>
          <w:p w14:paraId="48D2E6C4">
            <w:pPr>
              <w:widowControl/>
              <w:spacing w:line="240" w:lineRule="auto"/>
              <w:ind w:firstLine="0" w:firstLineChars="0"/>
              <w:jc w:val="center"/>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序号</w:t>
            </w:r>
          </w:p>
        </w:tc>
        <w:tc>
          <w:tcPr>
            <w:tcW w:w="1469" w:type="dxa"/>
            <w:noWrap w:val="0"/>
            <w:vAlign w:val="center"/>
          </w:tcPr>
          <w:p w14:paraId="0576D752">
            <w:pPr>
              <w:widowControl/>
              <w:spacing w:line="240" w:lineRule="auto"/>
              <w:ind w:firstLine="0" w:firstLineChars="0"/>
              <w:jc w:val="center"/>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评分项目</w:t>
            </w:r>
          </w:p>
        </w:tc>
        <w:tc>
          <w:tcPr>
            <w:tcW w:w="6896" w:type="dxa"/>
            <w:noWrap w:val="0"/>
            <w:vAlign w:val="center"/>
          </w:tcPr>
          <w:p w14:paraId="38D01380">
            <w:pPr>
              <w:widowControl/>
              <w:spacing w:line="240" w:lineRule="auto"/>
              <w:ind w:firstLine="0" w:firstLineChars="0"/>
              <w:jc w:val="center"/>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评分内容</w:t>
            </w:r>
          </w:p>
        </w:tc>
        <w:tc>
          <w:tcPr>
            <w:tcW w:w="754" w:type="dxa"/>
            <w:noWrap w:val="0"/>
            <w:vAlign w:val="center"/>
          </w:tcPr>
          <w:p w14:paraId="3B5E680C">
            <w:pPr>
              <w:widowControl/>
              <w:spacing w:line="240" w:lineRule="auto"/>
              <w:ind w:firstLine="0" w:firstLineChars="0"/>
              <w:jc w:val="center"/>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分值</w:t>
            </w:r>
          </w:p>
        </w:tc>
        <w:tc>
          <w:tcPr>
            <w:tcW w:w="774" w:type="dxa"/>
            <w:noWrap w:val="0"/>
            <w:vAlign w:val="center"/>
          </w:tcPr>
          <w:p w14:paraId="2512CA4A">
            <w:pPr>
              <w:widowControl/>
              <w:spacing w:line="240" w:lineRule="auto"/>
              <w:ind w:firstLine="0" w:firstLineChars="0"/>
              <w:jc w:val="center"/>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打分方法</w:t>
            </w:r>
          </w:p>
        </w:tc>
      </w:tr>
      <w:tr w14:paraId="1C4F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noWrap w:val="0"/>
            <w:vAlign w:val="center"/>
          </w:tcPr>
          <w:p w14:paraId="1F797BDE">
            <w:pPr>
              <w:widowControl/>
              <w:spacing w:line="240" w:lineRule="auto"/>
              <w:ind w:firstLine="0" w:firstLineChars="0"/>
              <w:jc w:val="center"/>
              <w:textAlignment w:val="center"/>
              <w:rPr>
                <w:rFonts w:hint="eastAsia" w:ascii="宋体" w:hAnsi="宋体" w:eastAsia="宋体" w:cs="宋体"/>
                <w:i w:val="0"/>
                <w:iCs w:val="0"/>
                <w:snapToGrid w:val="0"/>
                <w:color w:val="auto"/>
                <w:kern w:val="0"/>
                <w:sz w:val="24"/>
                <w:szCs w:val="24"/>
                <w:highlight w:val="none"/>
                <w:lang w:val="en-US" w:eastAsia="zh-CN" w:bidi="ar"/>
              </w:rPr>
            </w:pPr>
            <w:r>
              <w:rPr>
                <w:rFonts w:hint="eastAsia" w:ascii="宋体" w:hAnsi="宋体" w:eastAsia="宋体" w:cs="宋体"/>
                <w:i w:val="0"/>
                <w:iCs w:val="0"/>
                <w:snapToGrid w:val="0"/>
                <w:color w:val="auto"/>
                <w:kern w:val="0"/>
                <w:sz w:val="24"/>
                <w:szCs w:val="24"/>
                <w:highlight w:val="none"/>
                <w:lang w:val="en-US" w:eastAsia="zh-CN" w:bidi="ar"/>
              </w:rPr>
              <w:t>1</w:t>
            </w:r>
          </w:p>
        </w:tc>
        <w:tc>
          <w:tcPr>
            <w:tcW w:w="1469" w:type="dxa"/>
            <w:noWrap w:val="0"/>
            <w:vAlign w:val="center"/>
          </w:tcPr>
          <w:p w14:paraId="723F3610">
            <w:pPr>
              <w:widowControl/>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投标人资质</w:t>
            </w:r>
          </w:p>
          <w:p w14:paraId="7ABA7F7A">
            <w:pPr>
              <w:widowControl/>
              <w:spacing w:line="240" w:lineRule="auto"/>
              <w:ind w:firstLine="0" w:firstLineChars="0"/>
              <w:rPr>
                <w:rFonts w:hint="eastAsia" w:ascii="宋体" w:hAnsi="宋体" w:eastAsia="宋体" w:cs="宋体"/>
                <w:i w:val="0"/>
                <w:iCs w:val="0"/>
                <w:color w:val="auto"/>
                <w:kern w:val="2"/>
                <w:sz w:val="24"/>
                <w:szCs w:val="24"/>
                <w:highlight w:val="none"/>
                <w:lang w:val="zh-CN" w:eastAsia="zh-CN" w:bidi="ar-SA"/>
              </w:rPr>
            </w:pPr>
          </w:p>
        </w:tc>
        <w:tc>
          <w:tcPr>
            <w:tcW w:w="6896" w:type="dxa"/>
            <w:noWrap w:val="0"/>
            <w:vAlign w:val="top"/>
          </w:tcPr>
          <w:p w14:paraId="551DF1D3">
            <w:pPr>
              <w:widowControl/>
              <w:spacing w:line="240" w:lineRule="auto"/>
              <w:ind w:firstLine="0" w:firstLineChars="0"/>
              <w:jc w:val="left"/>
              <w:textAlignment w:val="center"/>
              <w:rPr>
                <w:rFonts w:hint="eastAsia" w:ascii="宋体" w:hAnsi="宋体" w:eastAsia="宋体" w:cs="宋体"/>
                <w:i w:val="0"/>
                <w:iCs w:val="0"/>
                <w:snapToGrid w:val="0"/>
                <w:color w:val="auto"/>
                <w:kern w:val="0"/>
                <w:sz w:val="24"/>
                <w:szCs w:val="24"/>
                <w:highlight w:val="none"/>
                <w:lang w:val="zh-CN" w:bidi="ar"/>
              </w:rPr>
            </w:pPr>
            <w:r>
              <w:rPr>
                <w:rFonts w:hint="eastAsia" w:ascii="宋体" w:hAnsi="宋体" w:eastAsia="宋体" w:cs="宋体"/>
                <w:i w:val="0"/>
                <w:iCs w:val="0"/>
                <w:snapToGrid w:val="0"/>
                <w:color w:val="auto"/>
                <w:kern w:val="0"/>
                <w:sz w:val="24"/>
                <w:szCs w:val="24"/>
                <w:highlight w:val="none"/>
                <w:lang w:val="zh-CN" w:bidi="ar"/>
              </w:rPr>
              <w:t>管理体系认证</w:t>
            </w:r>
          </w:p>
          <w:p w14:paraId="01B011BD">
            <w:pPr>
              <w:widowControl/>
              <w:spacing w:line="240" w:lineRule="auto"/>
              <w:ind w:firstLine="0" w:firstLineChars="0"/>
              <w:jc w:val="left"/>
              <w:textAlignment w:val="center"/>
              <w:rPr>
                <w:rFonts w:hint="eastAsia" w:ascii="宋体" w:hAnsi="宋体" w:eastAsia="宋体" w:cs="宋体"/>
                <w:i w:val="0"/>
                <w:iCs w:val="0"/>
                <w:snapToGrid w:val="0"/>
                <w:color w:val="auto"/>
                <w:kern w:val="0"/>
                <w:sz w:val="24"/>
                <w:szCs w:val="24"/>
                <w:highlight w:val="none"/>
                <w:lang w:val="zh-CN" w:eastAsia="zh-CN" w:bidi="ar"/>
              </w:rPr>
            </w:pPr>
            <w:r>
              <w:rPr>
                <w:rFonts w:hint="eastAsia" w:ascii="宋体" w:hAnsi="宋体" w:eastAsia="宋体" w:cs="宋体"/>
                <w:i w:val="0"/>
                <w:iCs w:val="0"/>
                <w:snapToGrid w:val="0"/>
                <w:color w:val="auto"/>
                <w:kern w:val="0"/>
                <w:sz w:val="24"/>
                <w:szCs w:val="24"/>
                <w:highlight w:val="none"/>
                <w:lang w:val="zh-CN" w:eastAsia="zh-CN" w:bidi="ar"/>
              </w:rPr>
              <w:t>1.ISO9001质量管理体系认证证书；</w:t>
            </w:r>
          </w:p>
          <w:p w14:paraId="55897A2F">
            <w:pPr>
              <w:widowControl/>
              <w:spacing w:line="240" w:lineRule="auto"/>
              <w:ind w:firstLine="0" w:firstLineChars="0"/>
              <w:jc w:val="left"/>
              <w:textAlignment w:val="center"/>
              <w:rPr>
                <w:rFonts w:hint="eastAsia" w:ascii="宋体" w:hAnsi="宋体" w:eastAsia="宋体" w:cs="宋体"/>
                <w:i w:val="0"/>
                <w:iCs w:val="0"/>
                <w:snapToGrid w:val="0"/>
                <w:color w:val="auto"/>
                <w:kern w:val="0"/>
                <w:sz w:val="24"/>
                <w:szCs w:val="24"/>
                <w:highlight w:val="none"/>
                <w:lang w:val="zh-CN" w:eastAsia="zh-CN" w:bidi="ar"/>
              </w:rPr>
            </w:pPr>
            <w:r>
              <w:rPr>
                <w:rFonts w:hint="eastAsia" w:ascii="宋体" w:hAnsi="宋体" w:eastAsia="宋体" w:cs="宋体"/>
                <w:i w:val="0"/>
                <w:iCs w:val="0"/>
                <w:snapToGrid w:val="0"/>
                <w:color w:val="auto"/>
                <w:kern w:val="0"/>
                <w:sz w:val="24"/>
                <w:szCs w:val="24"/>
                <w:highlight w:val="none"/>
                <w:lang w:val="zh-CN" w:eastAsia="zh-CN" w:bidi="ar"/>
              </w:rPr>
              <w:t>2.ISO1400</w:t>
            </w:r>
            <w:r>
              <w:rPr>
                <w:rFonts w:hint="eastAsia" w:ascii="宋体" w:hAnsi="宋体" w:eastAsia="宋体" w:cs="宋体"/>
                <w:i w:val="0"/>
                <w:iCs w:val="0"/>
                <w:snapToGrid w:val="0"/>
                <w:color w:val="auto"/>
                <w:kern w:val="0"/>
                <w:sz w:val="24"/>
                <w:szCs w:val="24"/>
                <w:highlight w:val="none"/>
                <w:lang w:val="en-US" w:eastAsia="zh-CN" w:bidi="ar"/>
              </w:rPr>
              <w:t>1</w:t>
            </w:r>
            <w:r>
              <w:rPr>
                <w:rFonts w:hint="eastAsia" w:ascii="宋体" w:hAnsi="宋体" w:eastAsia="宋体" w:cs="宋体"/>
                <w:i w:val="0"/>
                <w:iCs w:val="0"/>
                <w:snapToGrid w:val="0"/>
                <w:color w:val="auto"/>
                <w:kern w:val="0"/>
                <w:sz w:val="24"/>
                <w:szCs w:val="24"/>
                <w:highlight w:val="none"/>
                <w:lang w:val="zh-CN" w:eastAsia="zh-CN" w:bidi="ar"/>
              </w:rPr>
              <w:t>环境管理体系认证证书；</w:t>
            </w:r>
          </w:p>
          <w:p w14:paraId="7710399B">
            <w:pPr>
              <w:widowControl/>
              <w:spacing w:line="240" w:lineRule="auto"/>
              <w:ind w:firstLine="0" w:firstLineChars="0"/>
              <w:jc w:val="left"/>
              <w:textAlignment w:val="center"/>
              <w:rPr>
                <w:rFonts w:hint="eastAsia" w:ascii="宋体" w:hAnsi="宋体" w:eastAsia="宋体" w:cs="宋体"/>
                <w:i w:val="0"/>
                <w:iCs w:val="0"/>
                <w:snapToGrid w:val="0"/>
                <w:color w:val="auto"/>
                <w:kern w:val="0"/>
                <w:sz w:val="24"/>
                <w:szCs w:val="24"/>
                <w:highlight w:val="none"/>
                <w:lang w:val="en-US" w:eastAsia="zh-CN" w:bidi="ar"/>
              </w:rPr>
            </w:pPr>
            <w:r>
              <w:rPr>
                <w:rFonts w:hint="eastAsia" w:ascii="宋体" w:hAnsi="宋体" w:eastAsia="宋体" w:cs="宋体"/>
                <w:i w:val="0"/>
                <w:iCs w:val="0"/>
                <w:snapToGrid w:val="0"/>
                <w:color w:val="auto"/>
                <w:kern w:val="0"/>
                <w:sz w:val="24"/>
                <w:szCs w:val="24"/>
                <w:highlight w:val="none"/>
                <w:lang w:val="en-US" w:eastAsia="zh-CN" w:bidi="ar"/>
              </w:rPr>
              <w:t>3.</w:t>
            </w:r>
            <w:r>
              <w:rPr>
                <w:rFonts w:hint="eastAsia" w:ascii="宋体" w:hAnsi="宋体" w:eastAsia="宋体" w:cs="宋体"/>
                <w:i w:val="0"/>
                <w:iCs w:val="0"/>
                <w:snapToGrid w:val="0"/>
                <w:color w:val="auto"/>
                <w:kern w:val="0"/>
                <w:sz w:val="24"/>
                <w:szCs w:val="24"/>
                <w:highlight w:val="none"/>
                <w:lang w:val="zh-CN" w:eastAsia="zh-CN" w:bidi="ar"/>
              </w:rPr>
              <w:t>ISO</w:t>
            </w:r>
            <w:r>
              <w:rPr>
                <w:rFonts w:hint="eastAsia" w:ascii="宋体" w:hAnsi="宋体" w:eastAsia="宋体" w:cs="宋体"/>
                <w:i w:val="0"/>
                <w:iCs w:val="0"/>
                <w:snapToGrid w:val="0"/>
                <w:color w:val="auto"/>
                <w:kern w:val="0"/>
                <w:sz w:val="24"/>
                <w:szCs w:val="24"/>
                <w:highlight w:val="none"/>
                <w:lang w:val="en-US" w:eastAsia="zh-CN" w:bidi="ar"/>
              </w:rPr>
              <w:t>45</w:t>
            </w:r>
            <w:r>
              <w:rPr>
                <w:rFonts w:hint="eastAsia" w:ascii="宋体" w:hAnsi="宋体" w:eastAsia="宋体" w:cs="宋体"/>
                <w:i w:val="0"/>
                <w:iCs w:val="0"/>
                <w:snapToGrid w:val="0"/>
                <w:color w:val="auto"/>
                <w:kern w:val="0"/>
                <w:sz w:val="24"/>
                <w:szCs w:val="24"/>
                <w:highlight w:val="none"/>
                <w:lang w:val="zh-CN" w:eastAsia="zh-CN" w:bidi="ar"/>
              </w:rPr>
              <w:t>00</w:t>
            </w:r>
            <w:r>
              <w:rPr>
                <w:rFonts w:hint="eastAsia" w:ascii="宋体" w:hAnsi="宋体" w:eastAsia="宋体" w:cs="宋体"/>
                <w:i w:val="0"/>
                <w:iCs w:val="0"/>
                <w:snapToGrid w:val="0"/>
                <w:color w:val="auto"/>
                <w:kern w:val="0"/>
                <w:sz w:val="24"/>
                <w:szCs w:val="24"/>
                <w:highlight w:val="none"/>
                <w:lang w:val="en-US" w:eastAsia="zh-CN" w:bidi="ar"/>
              </w:rPr>
              <w:t>1职业健康安全管理体系认证证书；</w:t>
            </w:r>
          </w:p>
          <w:p w14:paraId="43B8956F">
            <w:pPr>
              <w:widowControl/>
              <w:spacing w:line="240" w:lineRule="auto"/>
              <w:ind w:firstLine="0" w:firstLineChars="0"/>
              <w:jc w:val="left"/>
              <w:textAlignment w:val="center"/>
              <w:rPr>
                <w:rFonts w:hint="eastAsia" w:ascii="宋体" w:hAnsi="宋体" w:eastAsia="宋体" w:cs="宋体"/>
                <w:i w:val="0"/>
                <w:iCs w:val="0"/>
                <w:snapToGrid w:val="0"/>
                <w:color w:val="auto"/>
                <w:kern w:val="0"/>
                <w:sz w:val="24"/>
                <w:szCs w:val="24"/>
                <w:highlight w:val="none"/>
                <w:lang w:val="en-US" w:eastAsia="zh-CN" w:bidi="ar"/>
              </w:rPr>
            </w:pPr>
            <w:r>
              <w:rPr>
                <w:rFonts w:hint="eastAsia" w:ascii="宋体" w:hAnsi="宋体" w:eastAsia="宋体" w:cs="宋体"/>
                <w:i w:val="0"/>
                <w:iCs w:val="0"/>
                <w:snapToGrid w:val="0"/>
                <w:color w:val="auto"/>
                <w:kern w:val="0"/>
                <w:sz w:val="24"/>
                <w:szCs w:val="24"/>
                <w:highlight w:val="none"/>
                <w:lang w:val="en-US" w:eastAsia="zh-CN" w:bidi="ar"/>
              </w:rPr>
              <w:t>4.危害分析与关键控制点（HACCP）；</w:t>
            </w:r>
          </w:p>
          <w:p w14:paraId="059BE284">
            <w:pPr>
              <w:widowControl/>
              <w:spacing w:line="240" w:lineRule="auto"/>
              <w:ind w:firstLine="0" w:firstLineChars="0"/>
              <w:jc w:val="left"/>
              <w:textAlignment w:val="center"/>
              <w:rPr>
                <w:rFonts w:hint="eastAsia" w:ascii="宋体" w:hAnsi="宋体" w:eastAsia="宋体" w:cs="宋体"/>
                <w:i w:val="0"/>
                <w:iCs w:val="0"/>
                <w:snapToGrid w:val="0"/>
                <w:color w:val="auto"/>
                <w:kern w:val="0"/>
                <w:sz w:val="24"/>
                <w:szCs w:val="24"/>
                <w:highlight w:val="none"/>
                <w:lang w:val="en-US" w:eastAsia="zh-CN" w:bidi="ar"/>
              </w:rPr>
            </w:pPr>
            <w:r>
              <w:rPr>
                <w:rFonts w:hint="eastAsia" w:ascii="宋体" w:hAnsi="宋体" w:eastAsia="宋体" w:cs="宋体"/>
                <w:i w:val="0"/>
                <w:iCs w:val="0"/>
                <w:snapToGrid w:val="0"/>
                <w:color w:val="auto"/>
                <w:kern w:val="0"/>
                <w:sz w:val="24"/>
                <w:szCs w:val="24"/>
                <w:highlight w:val="none"/>
                <w:lang w:val="en-US" w:eastAsia="zh-CN" w:bidi="ar"/>
              </w:rPr>
              <w:t>5.ISO22000食品安全管理体系</w:t>
            </w:r>
          </w:p>
          <w:p w14:paraId="2F4EB781">
            <w:pPr>
              <w:widowControl/>
              <w:spacing w:line="240" w:lineRule="auto"/>
              <w:ind w:firstLine="0" w:firstLineChars="0"/>
              <w:jc w:val="left"/>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snapToGrid w:val="0"/>
                <w:color w:val="auto"/>
                <w:kern w:val="0"/>
                <w:sz w:val="24"/>
                <w:szCs w:val="24"/>
                <w:highlight w:val="none"/>
                <w:lang w:val="en-US" w:eastAsia="zh-CN" w:bidi="ar"/>
              </w:rPr>
              <w:t>投标人获得的有效的认证证书情况，提供扫描件，每一项得1分，此项最高5分。（提供证书原件扫描件，查询渠道：全国认证认可信息公共服务平台http://cx.cnca.cn/CertECloud/result/skipResultList可查询）</w:t>
            </w:r>
          </w:p>
        </w:tc>
        <w:tc>
          <w:tcPr>
            <w:tcW w:w="754" w:type="dxa"/>
            <w:noWrap w:val="0"/>
            <w:vAlign w:val="center"/>
          </w:tcPr>
          <w:p w14:paraId="5A0F5B9E">
            <w:pPr>
              <w:widowControl/>
              <w:spacing w:line="240" w:lineRule="auto"/>
              <w:ind w:firstLine="0" w:firstLineChars="0"/>
              <w:jc w:val="center"/>
              <w:textAlignment w:val="center"/>
              <w:rPr>
                <w:rFonts w:hint="eastAsia" w:ascii="宋体" w:hAnsi="宋体" w:eastAsia="宋体" w:cs="宋体"/>
                <w:i w:val="0"/>
                <w:iCs w:val="0"/>
                <w:snapToGrid w:val="0"/>
                <w:color w:val="auto"/>
                <w:kern w:val="0"/>
                <w:sz w:val="24"/>
                <w:szCs w:val="24"/>
                <w:highlight w:val="none"/>
                <w:lang w:val="en-US" w:eastAsia="zh-CN" w:bidi="ar"/>
              </w:rPr>
            </w:pPr>
            <w:r>
              <w:rPr>
                <w:rFonts w:hint="eastAsia" w:ascii="宋体" w:hAnsi="宋体" w:eastAsia="宋体" w:cs="宋体"/>
                <w:i w:val="0"/>
                <w:iCs w:val="0"/>
                <w:color w:val="auto"/>
                <w:sz w:val="24"/>
                <w:szCs w:val="24"/>
                <w:highlight w:val="none"/>
                <w:lang w:val="en-US" w:eastAsia="zh-CN"/>
              </w:rPr>
              <w:t>5</w:t>
            </w:r>
          </w:p>
        </w:tc>
        <w:tc>
          <w:tcPr>
            <w:tcW w:w="774" w:type="dxa"/>
            <w:noWrap w:val="0"/>
            <w:vAlign w:val="center"/>
          </w:tcPr>
          <w:p w14:paraId="034CB1B9">
            <w:pPr>
              <w:widowControl/>
              <w:spacing w:line="240" w:lineRule="auto"/>
              <w:ind w:firstLine="0" w:firstLineChars="0"/>
              <w:jc w:val="center"/>
              <w:textAlignment w:val="center"/>
              <w:rPr>
                <w:rFonts w:hint="eastAsia" w:ascii="宋体" w:hAnsi="宋体" w:eastAsia="宋体" w:cs="宋体"/>
                <w:i w:val="0"/>
                <w:iCs w:val="0"/>
                <w:snapToGrid w:val="0"/>
                <w:color w:val="auto"/>
                <w:kern w:val="0"/>
                <w:sz w:val="24"/>
                <w:szCs w:val="24"/>
                <w:highlight w:val="none"/>
                <w:lang w:val="en-US" w:eastAsia="zh-CN" w:bidi="ar"/>
              </w:rPr>
            </w:pPr>
            <w:r>
              <w:rPr>
                <w:rFonts w:hint="eastAsia" w:ascii="宋体" w:hAnsi="宋体" w:eastAsia="宋体" w:cs="宋体"/>
                <w:i w:val="0"/>
                <w:iCs w:val="0"/>
                <w:snapToGrid w:val="0"/>
                <w:color w:val="auto"/>
                <w:kern w:val="0"/>
                <w:sz w:val="24"/>
                <w:szCs w:val="24"/>
                <w:highlight w:val="none"/>
                <w:lang w:bidi="ar"/>
              </w:rPr>
              <w:t>客观分</w:t>
            </w:r>
          </w:p>
        </w:tc>
      </w:tr>
      <w:tr w14:paraId="3799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noWrap w:val="0"/>
            <w:vAlign w:val="center"/>
          </w:tcPr>
          <w:p w14:paraId="419E2611">
            <w:pPr>
              <w:spacing w:line="240" w:lineRule="auto"/>
              <w:ind w:firstLine="0" w:firstLineChars="0"/>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2</w:t>
            </w:r>
          </w:p>
        </w:tc>
        <w:tc>
          <w:tcPr>
            <w:tcW w:w="1469" w:type="dxa"/>
            <w:noWrap w:val="0"/>
            <w:vAlign w:val="center"/>
          </w:tcPr>
          <w:p w14:paraId="1F1B6EA9">
            <w:pPr>
              <w:widowControl/>
              <w:spacing w:line="240" w:lineRule="auto"/>
              <w:ind w:firstLine="0" w:firstLineChars="0"/>
              <w:jc w:val="center"/>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snapToGrid w:val="0"/>
                <w:color w:val="auto"/>
                <w:kern w:val="0"/>
                <w:sz w:val="24"/>
                <w:szCs w:val="24"/>
                <w:highlight w:val="none"/>
                <w:lang w:bidi="ar"/>
              </w:rPr>
              <w:t>类似业绩</w:t>
            </w:r>
          </w:p>
        </w:tc>
        <w:tc>
          <w:tcPr>
            <w:tcW w:w="6896" w:type="dxa"/>
            <w:noWrap w:val="0"/>
            <w:vAlign w:val="center"/>
          </w:tcPr>
          <w:p w14:paraId="1144CABD">
            <w:pPr>
              <w:widowControl/>
              <w:spacing w:line="240" w:lineRule="auto"/>
              <w:ind w:firstLine="0" w:firstLineChars="0"/>
              <w:jc w:val="left"/>
              <w:textAlignment w:val="center"/>
              <w:rPr>
                <w:rFonts w:hint="eastAsia" w:ascii="宋体" w:hAnsi="宋体" w:eastAsia="宋体" w:cs="宋体"/>
                <w:i w:val="0"/>
                <w:iCs w:val="0"/>
                <w:snapToGrid w:val="0"/>
                <w:color w:val="auto"/>
                <w:kern w:val="0"/>
                <w:sz w:val="24"/>
                <w:szCs w:val="24"/>
                <w:highlight w:val="none"/>
                <w:lang w:bidi="ar"/>
              </w:rPr>
            </w:pPr>
            <w:r>
              <w:rPr>
                <w:rFonts w:hint="eastAsia" w:ascii="宋体" w:hAnsi="宋体" w:eastAsia="宋体" w:cs="宋体"/>
                <w:i w:val="0"/>
                <w:iCs w:val="0"/>
                <w:snapToGrid w:val="0"/>
                <w:color w:val="auto"/>
                <w:kern w:val="0"/>
                <w:sz w:val="24"/>
                <w:szCs w:val="24"/>
                <w:highlight w:val="none"/>
                <w:lang w:bidi="ar"/>
              </w:rPr>
              <w:t>投标人自202</w:t>
            </w:r>
            <w:r>
              <w:rPr>
                <w:rFonts w:hint="eastAsia" w:ascii="宋体" w:hAnsi="宋体" w:eastAsia="宋体" w:cs="宋体"/>
                <w:i w:val="0"/>
                <w:iCs w:val="0"/>
                <w:snapToGrid w:val="0"/>
                <w:color w:val="auto"/>
                <w:kern w:val="0"/>
                <w:sz w:val="24"/>
                <w:szCs w:val="24"/>
                <w:highlight w:val="none"/>
                <w:lang w:val="en-US" w:eastAsia="zh-CN" w:bidi="ar"/>
              </w:rPr>
              <w:t>1</w:t>
            </w:r>
            <w:r>
              <w:rPr>
                <w:rFonts w:hint="eastAsia" w:ascii="宋体" w:hAnsi="宋体" w:eastAsia="宋体" w:cs="宋体"/>
                <w:i w:val="0"/>
                <w:iCs w:val="0"/>
                <w:snapToGrid w:val="0"/>
                <w:color w:val="auto"/>
                <w:kern w:val="0"/>
                <w:sz w:val="24"/>
                <w:szCs w:val="24"/>
                <w:highlight w:val="none"/>
                <w:lang w:bidi="ar"/>
              </w:rPr>
              <w:t>年1月1日起至今（以合同签订时间为准）完成的具有类似项目业绩，单个业绩（合同）得</w:t>
            </w:r>
            <w:r>
              <w:rPr>
                <w:rFonts w:hint="eastAsia" w:ascii="宋体" w:hAnsi="宋体" w:eastAsia="宋体" w:cs="宋体"/>
                <w:i w:val="0"/>
                <w:iCs w:val="0"/>
                <w:snapToGrid w:val="0"/>
                <w:color w:val="auto"/>
                <w:kern w:val="0"/>
                <w:sz w:val="24"/>
                <w:szCs w:val="24"/>
                <w:highlight w:val="none"/>
                <w:lang w:val="en-US" w:eastAsia="zh-CN" w:bidi="ar"/>
              </w:rPr>
              <w:t>0.5</w:t>
            </w:r>
            <w:r>
              <w:rPr>
                <w:rFonts w:hint="eastAsia" w:ascii="宋体" w:hAnsi="宋体" w:eastAsia="宋体" w:cs="宋体"/>
                <w:i w:val="0"/>
                <w:iCs w:val="0"/>
                <w:snapToGrid w:val="0"/>
                <w:color w:val="auto"/>
                <w:kern w:val="0"/>
                <w:sz w:val="24"/>
                <w:szCs w:val="24"/>
                <w:highlight w:val="none"/>
                <w:lang w:bidi="ar"/>
              </w:rPr>
              <w:t>分，最高得1分。</w:t>
            </w:r>
          </w:p>
          <w:p w14:paraId="210C7016">
            <w:pPr>
              <w:widowControl/>
              <w:spacing w:line="240" w:lineRule="auto"/>
              <w:ind w:firstLine="0" w:firstLineChars="0"/>
              <w:jc w:val="left"/>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snapToGrid w:val="0"/>
                <w:color w:val="auto"/>
                <w:kern w:val="0"/>
                <w:sz w:val="24"/>
                <w:szCs w:val="24"/>
                <w:highlight w:val="none"/>
                <w:lang w:bidi="ar"/>
              </w:rPr>
              <w:t>注：要求提供</w:t>
            </w:r>
            <w:r>
              <w:rPr>
                <w:rFonts w:hint="eastAsia" w:ascii="宋体" w:hAnsi="宋体" w:eastAsia="宋体" w:cs="宋体"/>
                <w:i w:val="0"/>
                <w:iCs w:val="0"/>
                <w:snapToGrid w:val="0"/>
                <w:color w:val="auto"/>
                <w:kern w:val="0"/>
                <w:sz w:val="24"/>
                <w:szCs w:val="24"/>
                <w:highlight w:val="none"/>
                <w:lang w:val="en-US" w:eastAsia="zh-CN" w:bidi="ar"/>
              </w:rPr>
              <w:t>中标（成交）通知书和</w:t>
            </w:r>
            <w:r>
              <w:rPr>
                <w:rFonts w:hint="eastAsia" w:ascii="宋体" w:hAnsi="宋体" w:eastAsia="宋体" w:cs="宋体"/>
                <w:i w:val="0"/>
                <w:iCs w:val="0"/>
                <w:snapToGrid w:val="0"/>
                <w:color w:val="auto"/>
                <w:kern w:val="0"/>
                <w:sz w:val="24"/>
                <w:szCs w:val="24"/>
                <w:highlight w:val="none"/>
                <w:lang w:bidi="ar"/>
              </w:rPr>
              <w:t>合同复印件并加盖投标人公章。不提供或提供不全、缺项漏项不得分。</w:t>
            </w:r>
          </w:p>
        </w:tc>
        <w:tc>
          <w:tcPr>
            <w:tcW w:w="754" w:type="dxa"/>
            <w:noWrap w:val="0"/>
            <w:vAlign w:val="center"/>
          </w:tcPr>
          <w:p w14:paraId="5EF628F2">
            <w:pPr>
              <w:spacing w:line="240" w:lineRule="auto"/>
              <w:ind w:firstLine="0" w:firstLineChars="0"/>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1</w:t>
            </w:r>
          </w:p>
        </w:tc>
        <w:tc>
          <w:tcPr>
            <w:tcW w:w="774" w:type="dxa"/>
            <w:noWrap w:val="0"/>
            <w:vAlign w:val="center"/>
          </w:tcPr>
          <w:p w14:paraId="61D927C8">
            <w:pPr>
              <w:widowControl/>
              <w:spacing w:line="240" w:lineRule="auto"/>
              <w:ind w:firstLine="0" w:firstLineChars="0"/>
              <w:jc w:val="center"/>
              <w:textAlignment w:val="center"/>
              <w:rPr>
                <w:rFonts w:hint="eastAsia" w:ascii="宋体" w:hAnsi="宋体" w:eastAsia="宋体" w:cs="宋体"/>
                <w:i w:val="0"/>
                <w:iCs w:val="0"/>
                <w:snapToGrid w:val="0"/>
                <w:color w:val="auto"/>
                <w:kern w:val="0"/>
                <w:sz w:val="24"/>
                <w:szCs w:val="24"/>
                <w:highlight w:val="none"/>
                <w:lang w:val="en-US" w:eastAsia="zh-CN" w:bidi="ar"/>
              </w:rPr>
            </w:pPr>
            <w:r>
              <w:rPr>
                <w:rFonts w:hint="eastAsia" w:ascii="宋体" w:hAnsi="宋体" w:eastAsia="宋体" w:cs="宋体"/>
                <w:i w:val="0"/>
                <w:iCs w:val="0"/>
                <w:snapToGrid w:val="0"/>
                <w:color w:val="auto"/>
                <w:kern w:val="0"/>
                <w:sz w:val="24"/>
                <w:szCs w:val="24"/>
                <w:highlight w:val="none"/>
                <w:lang w:bidi="ar"/>
              </w:rPr>
              <w:t>客观分</w:t>
            </w:r>
          </w:p>
        </w:tc>
      </w:tr>
      <w:tr w14:paraId="367C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vMerge w:val="restart"/>
            <w:noWrap w:val="0"/>
            <w:vAlign w:val="center"/>
          </w:tcPr>
          <w:p w14:paraId="72A1AD5A">
            <w:pPr>
              <w:spacing w:line="240" w:lineRule="auto"/>
              <w:ind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3</w:t>
            </w:r>
          </w:p>
        </w:tc>
        <w:tc>
          <w:tcPr>
            <w:tcW w:w="1469" w:type="dxa"/>
            <w:vMerge w:val="restart"/>
            <w:noWrap w:val="0"/>
            <w:vAlign w:val="center"/>
          </w:tcPr>
          <w:p w14:paraId="23877674">
            <w:pPr>
              <w:spacing w:line="240" w:lineRule="auto"/>
              <w:ind w:firstLine="0" w:firstLineChars="0"/>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服务总体设想及组织架构模式</w:t>
            </w:r>
          </w:p>
          <w:p w14:paraId="127D005D">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6896" w:type="dxa"/>
            <w:noWrap w:val="0"/>
            <w:vAlign w:val="center"/>
          </w:tcPr>
          <w:p w14:paraId="141DC57E">
            <w:pPr>
              <w:widowControl w:val="0"/>
              <w:spacing w:after="0" w:line="240" w:lineRule="auto"/>
              <w:ind w:firstLine="0" w:firstLineChars="0"/>
              <w:jc w:val="both"/>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en-US" w:eastAsia="zh-CN" w:bidi="ar-SA"/>
              </w:rPr>
              <w:t>1、</w:t>
            </w:r>
            <w:r>
              <w:rPr>
                <w:rFonts w:hint="eastAsia" w:ascii="宋体" w:hAnsi="宋体" w:eastAsia="宋体" w:cs="宋体"/>
                <w:i w:val="0"/>
                <w:iCs w:val="0"/>
                <w:color w:val="auto"/>
                <w:kern w:val="2"/>
                <w:sz w:val="24"/>
                <w:szCs w:val="24"/>
                <w:highlight w:val="none"/>
                <w:lang w:val="zh-CN" w:eastAsia="zh-CN" w:bidi="ar-SA"/>
              </w:rPr>
              <w:t>根据</w:t>
            </w:r>
            <w:r>
              <w:rPr>
                <w:rFonts w:hint="eastAsia" w:ascii="宋体" w:hAnsi="宋体" w:eastAsia="宋体" w:cs="宋体"/>
                <w:i w:val="0"/>
                <w:iCs w:val="0"/>
                <w:color w:val="auto"/>
                <w:kern w:val="2"/>
                <w:sz w:val="24"/>
                <w:szCs w:val="24"/>
                <w:highlight w:val="none"/>
                <w:lang w:val="en-US" w:eastAsia="zh-CN" w:bidi="ar-SA"/>
              </w:rPr>
              <w:t>江南镇镇政府</w:t>
            </w:r>
            <w:r>
              <w:rPr>
                <w:rFonts w:hint="eastAsia" w:ascii="宋体" w:hAnsi="宋体" w:eastAsia="宋体" w:cs="宋体"/>
                <w:i w:val="0"/>
                <w:iCs w:val="0"/>
                <w:color w:val="auto"/>
                <w:kern w:val="2"/>
                <w:sz w:val="24"/>
                <w:szCs w:val="24"/>
                <w:highlight w:val="none"/>
                <w:lang w:val="zh-CN" w:eastAsia="zh-CN" w:bidi="ar-SA"/>
              </w:rPr>
              <w:t>食堂现状、特点提出合理的食堂服务理念，提出服务总体设想、服务定位、目标，投标人的管理模式能够切合实际，投标方案充分考虑采购人的日常需求，且安全优质可行，对本次食堂服务内容的目标有较深入的理解和渗透</w:t>
            </w:r>
            <w:r>
              <w:rPr>
                <w:rFonts w:hint="eastAsia" w:ascii="宋体" w:hAnsi="宋体" w:eastAsia="宋体" w:cs="宋体"/>
                <w:i w:val="0"/>
                <w:iCs w:val="0"/>
                <w:snapToGrid w:val="0"/>
                <w:color w:val="auto"/>
                <w:kern w:val="0"/>
                <w:sz w:val="24"/>
                <w:szCs w:val="24"/>
                <w:highlight w:val="none"/>
                <w:lang w:val="en-US" w:eastAsia="zh-CN" w:bidi="ar"/>
              </w:rPr>
              <w:t>，</w:t>
            </w:r>
            <w:r>
              <w:rPr>
                <w:rStyle w:val="373"/>
                <w:rFonts w:hint="eastAsia" w:ascii="宋体" w:hAnsi="宋体" w:eastAsia="宋体" w:cs="宋体"/>
                <w:i w:val="0"/>
                <w:iCs w:val="0"/>
                <w:snapToGrid w:val="0"/>
                <w:color w:val="auto"/>
                <w:kern w:val="2"/>
                <w:sz w:val="24"/>
                <w:szCs w:val="24"/>
                <w:highlight w:val="none"/>
                <w:lang w:val="en-US"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1BB5E4AB">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285A0CC4">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039D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546" w:type="dxa"/>
            <w:vMerge w:val="continue"/>
            <w:noWrap w:val="0"/>
            <w:vAlign w:val="center"/>
          </w:tcPr>
          <w:p w14:paraId="49415F67">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2C2F2433">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7F7E1E02">
            <w:pPr>
              <w:widowControl w:val="0"/>
              <w:spacing w:after="0" w:line="240" w:lineRule="auto"/>
              <w:ind w:firstLine="0" w:firstLineChars="0"/>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2、投标人具</w:t>
            </w:r>
            <w:r>
              <w:rPr>
                <w:rFonts w:hint="eastAsia" w:ascii="宋体" w:hAnsi="宋体" w:eastAsia="宋体" w:cs="宋体"/>
                <w:i w:val="0"/>
                <w:iCs w:val="0"/>
                <w:color w:val="auto"/>
                <w:kern w:val="2"/>
                <w:sz w:val="24"/>
                <w:szCs w:val="24"/>
                <w:highlight w:val="none"/>
                <w:lang w:val="zh-CN" w:eastAsia="zh-CN" w:bidi="ar-SA"/>
              </w:rPr>
              <w:t>有完善的组织架构、规范的食堂操作流程及管理工作计划及实施时间，并建立和完善库存管理制度、食堂管理制度及其配套服务制度等，管理服务水平是否符合国家和行业标准，体现标准化服务</w:t>
            </w:r>
            <w:r>
              <w:rPr>
                <w:rFonts w:hint="eastAsia" w:ascii="宋体" w:hAnsi="宋体" w:eastAsia="宋体" w:cs="宋体"/>
                <w:i w:val="0"/>
                <w:iCs w:val="0"/>
                <w:snapToGrid w:val="0"/>
                <w:color w:val="auto"/>
                <w:kern w:val="0"/>
                <w:sz w:val="24"/>
                <w:szCs w:val="24"/>
                <w:highlight w:val="none"/>
                <w:lang w:val="en-US" w:eastAsia="zh-CN" w:bidi="ar"/>
              </w:rPr>
              <w:t>，</w:t>
            </w:r>
            <w:r>
              <w:rPr>
                <w:rStyle w:val="373"/>
                <w:rFonts w:hint="eastAsia" w:ascii="宋体" w:hAnsi="宋体" w:eastAsia="宋体" w:cs="宋体"/>
                <w:i w:val="0"/>
                <w:iCs w:val="0"/>
                <w:snapToGrid w:val="0"/>
                <w:color w:val="auto"/>
                <w:kern w:val="2"/>
                <w:sz w:val="24"/>
                <w:szCs w:val="24"/>
                <w:highlight w:val="none"/>
                <w:lang w:val="en-US"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0750B288">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6E53B1DD">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6468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546" w:type="dxa"/>
            <w:vMerge w:val="continue"/>
            <w:noWrap w:val="0"/>
            <w:vAlign w:val="center"/>
          </w:tcPr>
          <w:p w14:paraId="40F4CC93">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21A95DBA">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6681E99A">
            <w:pPr>
              <w:adjustRightInd w:val="0"/>
              <w:snapToGrid w:val="0"/>
              <w:spacing w:line="240" w:lineRule="auto"/>
              <w:ind w:firstLine="0" w:firstLine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zh-CN"/>
              </w:rPr>
              <w:t>根据投标人对解决</w:t>
            </w:r>
            <w:r>
              <w:rPr>
                <w:rFonts w:hint="eastAsia" w:ascii="宋体" w:hAnsi="宋体" w:eastAsia="宋体" w:cs="宋体"/>
                <w:i w:val="0"/>
                <w:iCs w:val="0"/>
                <w:color w:val="auto"/>
                <w:kern w:val="2"/>
                <w:sz w:val="24"/>
                <w:szCs w:val="24"/>
                <w:highlight w:val="none"/>
                <w:lang w:val="en-US" w:eastAsia="zh-CN" w:bidi="ar-SA"/>
              </w:rPr>
              <w:t>江南镇镇政府</w:t>
            </w:r>
            <w:r>
              <w:rPr>
                <w:rFonts w:hint="eastAsia" w:ascii="宋体" w:hAnsi="宋体" w:eastAsia="宋体" w:cs="宋体"/>
                <w:i w:val="0"/>
                <w:iCs w:val="0"/>
                <w:color w:val="auto"/>
                <w:sz w:val="24"/>
                <w:szCs w:val="24"/>
                <w:highlight w:val="none"/>
                <w:lang w:val="zh-CN"/>
              </w:rPr>
              <w:t>食堂重点、难点问题的方案给分，问题判断是否精准到位，解决方案是否安全可行，</w:t>
            </w:r>
            <w:r>
              <w:rPr>
                <w:rStyle w:val="373"/>
                <w:rFonts w:hint="eastAsia" w:ascii="宋体" w:hAnsi="宋体" w:eastAsia="宋体" w:cs="宋体"/>
                <w:i w:val="0"/>
                <w:iCs w:val="0"/>
                <w:snapToGrid w:val="0"/>
                <w:color w:val="auto"/>
                <w:sz w:val="24"/>
                <w:szCs w:val="24"/>
                <w:highlight w:val="none"/>
                <w:lang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0E9B9BA1">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1407058D">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22D6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546" w:type="dxa"/>
            <w:noWrap w:val="0"/>
            <w:vAlign w:val="center"/>
          </w:tcPr>
          <w:p w14:paraId="41DD0F47">
            <w:pPr>
              <w:spacing w:line="240" w:lineRule="auto"/>
              <w:ind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w:t>
            </w:r>
          </w:p>
        </w:tc>
        <w:tc>
          <w:tcPr>
            <w:tcW w:w="1469" w:type="dxa"/>
            <w:noWrap w:val="0"/>
            <w:vAlign w:val="center"/>
          </w:tcPr>
          <w:p w14:paraId="012242E0">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整体管理制度</w:t>
            </w:r>
          </w:p>
          <w:p w14:paraId="087113E2">
            <w:pPr>
              <w:spacing w:line="240" w:lineRule="auto"/>
              <w:ind w:firstLine="0" w:firstLineChars="0"/>
              <w:jc w:val="both"/>
              <w:rPr>
                <w:rFonts w:hint="eastAsia" w:ascii="宋体" w:hAnsi="宋体" w:eastAsia="宋体" w:cs="宋体"/>
                <w:i w:val="0"/>
                <w:iCs w:val="0"/>
                <w:color w:val="auto"/>
                <w:sz w:val="24"/>
                <w:szCs w:val="24"/>
                <w:highlight w:val="none"/>
                <w:lang w:val="zh-CN"/>
              </w:rPr>
            </w:pPr>
          </w:p>
        </w:tc>
        <w:tc>
          <w:tcPr>
            <w:tcW w:w="6896" w:type="dxa"/>
            <w:noWrap w:val="0"/>
            <w:vAlign w:val="center"/>
          </w:tcPr>
          <w:p w14:paraId="447347F3">
            <w:pPr>
              <w:adjustRightInd w:val="0"/>
              <w:snapToGrid w:val="0"/>
              <w:spacing w:line="240" w:lineRule="auto"/>
              <w:ind w:firstLine="0" w:firstLine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投标人有较完善的管理规章制度，能清晰简练地列出主要管理流程：</w:t>
            </w:r>
            <w:r>
              <w:rPr>
                <w:rFonts w:hint="eastAsia" w:ascii="宋体" w:hAnsi="宋体" w:eastAsia="宋体" w:cs="宋体"/>
                <w:i w:val="0"/>
                <w:iCs w:val="0"/>
                <w:color w:val="auto"/>
                <w:sz w:val="24"/>
                <w:szCs w:val="24"/>
                <w:highlight w:val="none"/>
              </w:rPr>
              <w:t>岗位职责、</w:t>
            </w:r>
            <w:r>
              <w:rPr>
                <w:rFonts w:hint="eastAsia" w:ascii="宋体" w:hAnsi="宋体" w:eastAsia="宋体" w:cs="宋体"/>
                <w:i w:val="0"/>
                <w:iCs w:val="0"/>
                <w:color w:val="auto"/>
                <w:sz w:val="24"/>
                <w:szCs w:val="24"/>
                <w:highlight w:val="none"/>
                <w:lang w:val="zh-CN"/>
              </w:rPr>
              <w:t>运作流程</w:t>
            </w:r>
            <w:r>
              <w:rPr>
                <w:rFonts w:hint="eastAsia" w:ascii="宋体" w:hAnsi="宋体" w:eastAsia="宋体" w:cs="宋体"/>
                <w:i w:val="0"/>
                <w:iCs w:val="0"/>
                <w:color w:val="auto"/>
                <w:sz w:val="24"/>
                <w:szCs w:val="24"/>
                <w:highlight w:val="none"/>
              </w:rPr>
              <w:t>、考核机制、</w:t>
            </w:r>
            <w:r>
              <w:rPr>
                <w:rFonts w:hint="eastAsia" w:ascii="宋体" w:hAnsi="宋体" w:eastAsia="宋体" w:cs="宋体"/>
                <w:i w:val="0"/>
                <w:iCs w:val="0"/>
                <w:color w:val="auto"/>
                <w:sz w:val="24"/>
                <w:szCs w:val="24"/>
                <w:highlight w:val="none"/>
                <w:lang w:val="zh-CN"/>
              </w:rPr>
              <w:t>激励机制、监督机制、惩戒机制、自我约束机制、信息反馈渠道及处理机制，管理指标承诺达到食堂管理标准，专家根据各项制度的完善性及可操作性给分</w:t>
            </w:r>
            <w:r>
              <w:rPr>
                <w:rFonts w:hint="eastAsia" w:ascii="宋体" w:hAnsi="宋体" w:eastAsia="宋体" w:cs="宋体"/>
                <w:i w:val="0"/>
                <w:iCs w:val="0"/>
                <w:snapToGrid w:val="0"/>
                <w:color w:val="auto"/>
                <w:kern w:val="0"/>
                <w:sz w:val="24"/>
                <w:szCs w:val="24"/>
                <w:highlight w:val="none"/>
                <w:lang w:bidi="ar"/>
              </w:rPr>
              <w:t>，</w:t>
            </w:r>
            <w:r>
              <w:rPr>
                <w:rStyle w:val="373"/>
                <w:rFonts w:hint="eastAsia" w:ascii="宋体" w:hAnsi="宋体" w:eastAsia="宋体" w:cs="宋体"/>
                <w:i w:val="0"/>
                <w:iCs w:val="0"/>
                <w:snapToGrid w:val="0"/>
                <w:color w:val="auto"/>
                <w:sz w:val="24"/>
                <w:szCs w:val="24"/>
                <w:highlight w:val="none"/>
                <w:lang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771B6161">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14753F69">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131C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jc w:val="center"/>
        </w:trPr>
        <w:tc>
          <w:tcPr>
            <w:tcW w:w="546" w:type="dxa"/>
            <w:vMerge w:val="restart"/>
            <w:noWrap w:val="0"/>
            <w:vAlign w:val="center"/>
          </w:tcPr>
          <w:p w14:paraId="45AB0AFD">
            <w:pPr>
              <w:spacing w:line="240" w:lineRule="auto"/>
              <w:ind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5</w:t>
            </w:r>
          </w:p>
        </w:tc>
        <w:tc>
          <w:tcPr>
            <w:tcW w:w="1469" w:type="dxa"/>
            <w:vMerge w:val="restart"/>
            <w:noWrap w:val="0"/>
            <w:vAlign w:val="center"/>
          </w:tcPr>
          <w:p w14:paraId="5D5A3C7F">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食堂服务方案</w:t>
            </w:r>
          </w:p>
          <w:p w14:paraId="31CA5646">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340D6C39">
            <w:pPr>
              <w:widowControl w:val="0"/>
              <w:spacing w:after="0" w:line="240" w:lineRule="auto"/>
              <w:ind w:firstLine="0" w:firstLineChars="0"/>
              <w:jc w:val="both"/>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b/>
                <w:bCs/>
                <w:i w:val="0"/>
                <w:iCs w:val="0"/>
                <w:color w:val="auto"/>
                <w:kern w:val="2"/>
                <w:sz w:val="24"/>
                <w:szCs w:val="24"/>
                <w:highlight w:val="none"/>
                <w:lang w:val="en-US" w:eastAsia="zh-CN" w:bidi="ar-SA"/>
              </w:rPr>
              <w:t>1、食堂服务方案</w:t>
            </w:r>
            <w:r>
              <w:rPr>
                <w:rFonts w:hint="eastAsia" w:ascii="宋体" w:hAnsi="宋体" w:eastAsia="宋体" w:cs="宋体"/>
                <w:i w:val="0"/>
                <w:iCs w:val="0"/>
                <w:color w:val="auto"/>
                <w:kern w:val="2"/>
                <w:sz w:val="24"/>
                <w:szCs w:val="24"/>
                <w:highlight w:val="none"/>
                <w:lang w:val="en-US" w:eastAsia="zh-CN" w:bidi="ar-SA"/>
              </w:rPr>
              <w:t>：文明服务、快速响应。服务人员是否仪容仪表端庄大方，上班着干净整洁工作服，语言规范，使用普通话，服务态度亲切和蔼，有问必答，文明礼貌，不粗言秽语和高声叫喊，服务人员在工作中要维护好食堂就餐秩序，坚持三勤服务，即“嘴勤、手勤、眼勤”，及时提供各项服务</w:t>
            </w:r>
            <w:r>
              <w:rPr>
                <w:rFonts w:hint="eastAsia" w:ascii="宋体" w:hAnsi="宋体" w:eastAsia="宋体" w:cs="宋体"/>
                <w:i w:val="0"/>
                <w:iCs w:val="0"/>
                <w:snapToGrid w:val="0"/>
                <w:color w:val="auto"/>
                <w:kern w:val="0"/>
                <w:sz w:val="24"/>
                <w:szCs w:val="24"/>
                <w:highlight w:val="none"/>
                <w:lang w:val="en-US" w:eastAsia="zh-CN" w:bidi="ar"/>
              </w:rPr>
              <w:t>，</w:t>
            </w:r>
            <w:r>
              <w:rPr>
                <w:rStyle w:val="373"/>
                <w:rFonts w:hint="eastAsia" w:ascii="宋体" w:hAnsi="宋体" w:eastAsia="宋体" w:cs="宋体"/>
                <w:i w:val="0"/>
                <w:iCs w:val="0"/>
                <w:snapToGrid w:val="0"/>
                <w:color w:val="auto"/>
                <w:kern w:val="2"/>
                <w:sz w:val="24"/>
                <w:szCs w:val="24"/>
                <w:highlight w:val="none"/>
                <w:lang w:val="en-US"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415233D7">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57EB9392">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6ABA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546" w:type="dxa"/>
            <w:vMerge w:val="continue"/>
            <w:noWrap w:val="0"/>
            <w:vAlign w:val="center"/>
          </w:tcPr>
          <w:p w14:paraId="6D17AC4E">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69A0890F">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530DBA79">
            <w:pPr>
              <w:adjustRightInd w:val="0"/>
              <w:snapToGrid w:val="0"/>
              <w:spacing w:line="240" w:lineRule="auto"/>
              <w:ind w:firstLine="0" w:firstLineChars="0"/>
              <w:jc w:val="left"/>
              <w:rPr>
                <w:rFonts w:hint="eastAsia" w:ascii="宋体" w:hAnsi="宋体" w:eastAsia="宋体" w:cs="宋体"/>
                <w:i w:val="0"/>
                <w:iCs w:val="0"/>
                <w:color w:val="auto"/>
                <w:sz w:val="24"/>
                <w:szCs w:val="24"/>
                <w:highlight w:val="none"/>
                <w:lang w:val="zh-CN"/>
              </w:rPr>
            </w:pPr>
            <w:r>
              <w:rPr>
                <w:rFonts w:hint="eastAsia" w:ascii="宋体" w:hAnsi="宋体" w:eastAsia="宋体" w:cs="宋体"/>
                <w:b/>
                <w:bCs/>
                <w:i w:val="0"/>
                <w:iCs w:val="0"/>
                <w:color w:val="auto"/>
                <w:sz w:val="24"/>
                <w:szCs w:val="24"/>
                <w:highlight w:val="none"/>
              </w:rPr>
              <w:t>2、食堂安全方案</w:t>
            </w:r>
            <w:r>
              <w:rPr>
                <w:rFonts w:hint="eastAsia" w:ascii="宋体" w:hAnsi="宋体" w:eastAsia="宋体" w:cs="宋体"/>
                <w:i w:val="0"/>
                <w:iCs w:val="0"/>
                <w:color w:val="auto"/>
                <w:sz w:val="24"/>
                <w:szCs w:val="24"/>
                <w:highlight w:val="none"/>
              </w:rPr>
              <w:t>：食品安全、生产安全、烧烫伤、</w:t>
            </w:r>
            <w:r>
              <w:rPr>
                <w:rFonts w:hint="eastAsia" w:ascii="宋体" w:hAnsi="宋体" w:eastAsia="宋体" w:cs="宋体"/>
                <w:i w:val="0"/>
                <w:iCs w:val="0"/>
                <w:color w:val="auto"/>
                <w:kern w:val="0"/>
                <w:sz w:val="24"/>
                <w:szCs w:val="24"/>
                <w:highlight w:val="none"/>
              </w:rPr>
              <w:t>消防、</w:t>
            </w:r>
            <w:r>
              <w:rPr>
                <w:rFonts w:hint="eastAsia" w:ascii="宋体" w:hAnsi="宋体" w:eastAsia="宋体" w:cs="宋体"/>
                <w:i w:val="0"/>
                <w:iCs w:val="0"/>
                <w:color w:val="auto"/>
                <w:sz w:val="24"/>
                <w:szCs w:val="24"/>
                <w:highlight w:val="none"/>
              </w:rPr>
              <w:t>防火防盗安全防范巡查等</w:t>
            </w:r>
            <w:r>
              <w:rPr>
                <w:rFonts w:hint="eastAsia" w:ascii="宋体" w:hAnsi="宋体" w:eastAsia="宋体" w:cs="宋体"/>
                <w:i w:val="0"/>
                <w:iCs w:val="0"/>
                <w:color w:val="auto"/>
                <w:kern w:val="0"/>
                <w:sz w:val="24"/>
                <w:szCs w:val="24"/>
                <w:highlight w:val="none"/>
              </w:rPr>
              <w:t>治安及意外事故处理</w:t>
            </w:r>
            <w:r>
              <w:rPr>
                <w:rFonts w:hint="eastAsia" w:ascii="宋体" w:hAnsi="宋体" w:eastAsia="宋体" w:cs="宋体"/>
                <w:i w:val="0"/>
                <w:iCs w:val="0"/>
                <w:color w:val="auto"/>
                <w:sz w:val="24"/>
                <w:szCs w:val="24"/>
                <w:highlight w:val="none"/>
              </w:rPr>
              <w:t>的风险分析及可行控制方案，投标人是否建立健全安全生产制度，保证食品安全，保障就餐人员的身体健康，并按采购人要求对食堂所需有关蔬菜、食品安全实行最优质的保证</w:t>
            </w:r>
            <w:r>
              <w:rPr>
                <w:rFonts w:hint="eastAsia" w:ascii="宋体" w:hAnsi="宋体" w:eastAsia="宋体" w:cs="宋体"/>
                <w:i w:val="0"/>
                <w:iCs w:val="0"/>
                <w:snapToGrid w:val="0"/>
                <w:color w:val="auto"/>
                <w:kern w:val="0"/>
                <w:sz w:val="24"/>
                <w:szCs w:val="24"/>
                <w:highlight w:val="none"/>
                <w:lang w:bidi="ar"/>
              </w:rPr>
              <w:t>，</w:t>
            </w:r>
            <w:r>
              <w:rPr>
                <w:rStyle w:val="373"/>
                <w:rFonts w:hint="eastAsia" w:ascii="宋体" w:hAnsi="宋体" w:eastAsia="宋体" w:cs="宋体"/>
                <w:i w:val="0"/>
                <w:iCs w:val="0"/>
                <w:snapToGrid w:val="0"/>
                <w:color w:val="auto"/>
                <w:sz w:val="24"/>
                <w:szCs w:val="24"/>
                <w:highlight w:val="none"/>
                <w:lang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6D08CE17">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4C37A87C">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449E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546" w:type="dxa"/>
            <w:vMerge w:val="continue"/>
            <w:noWrap w:val="0"/>
            <w:vAlign w:val="center"/>
          </w:tcPr>
          <w:p w14:paraId="0E0CF0D5">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1AB9C57B">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334A6CBB">
            <w:pPr>
              <w:widowControl w:val="0"/>
              <w:spacing w:after="0" w:line="240" w:lineRule="auto"/>
              <w:ind w:firstLine="0" w:firstLineChars="0"/>
              <w:jc w:val="both"/>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b/>
                <w:bCs/>
                <w:i w:val="0"/>
                <w:iCs w:val="0"/>
                <w:color w:val="auto"/>
                <w:kern w:val="2"/>
                <w:sz w:val="24"/>
                <w:szCs w:val="24"/>
                <w:highlight w:val="none"/>
                <w:lang w:val="en-US" w:eastAsia="zh-CN" w:bidi="ar-SA"/>
              </w:rPr>
              <w:t>3、</w:t>
            </w:r>
            <w:r>
              <w:rPr>
                <w:rFonts w:hint="eastAsia" w:ascii="宋体" w:hAnsi="宋体" w:eastAsia="宋体" w:cs="宋体"/>
                <w:b/>
                <w:bCs/>
                <w:i w:val="0"/>
                <w:iCs w:val="0"/>
                <w:color w:val="auto"/>
                <w:kern w:val="0"/>
                <w:sz w:val="24"/>
                <w:szCs w:val="24"/>
                <w:highlight w:val="none"/>
                <w:lang w:val="en-US" w:eastAsia="zh-CN" w:bidi="ar-SA"/>
              </w:rPr>
              <w:t>食品质量控制方案：</w:t>
            </w:r>
            <w:r>
              <w:rPr>
                <w:rFonts w:hint="eastAsia" w:ascii="宋体" w:hAnsi="宋体" w:eastAsia="宋体" w:cs="宋体"/>
                <w:i w:val="0"/>
                <w:iCs w:val="0"/>
                <w:color w:val="auto"/>
                <w:kern w:val="2"/>
                <w:sz w:val="24"/>
                <w:szCs w:val="24"/>
                <w:highlight w:val="none"/>
                <w:lang w:val="en-US" w:eastAsia="zh-CN" w:bidi="ar-SA"/>
              </w:rPr>
              <w:t>对食堂工作的全过程，即对食品及原材料、调料的保管、储存、制作加工、配售等工作进行全面质量管理，是否定期对食堂职工进行质量管理教育，普及全面质量管理的基本知识和方法，树立质量意识。投标人是否进行内部质量自查和自我监督，建立内部质量检查小组，每月实施质量检查工作，记录检查结果，建立质量检查档案，组织职工在日常工作中开展质量自查、互查活动，是否执行食品48小时留样制度，发生食品中毒后，用于检测</w:t>
            </w:r>
            <w:r>
              <w:rPr>
                <w:rFonts w:hint="eastAsia" w:ascii="宋体" w:hAnsi="宋体" w:eastAsia="宋体" w:cs="宋体"/>
                <w:i w:val="0"/>
                <w:iCs w:val="0"/>
                <w:snapToGrid w:val="0"/>
                <w:color w:val="auto"/>
                <w:kern w:val="0"/>
                <w:sz w:val="24"/>
                <w:szCs w:val="24"/>
                <w:highlight w:val="none"/>
                <w:lang w:val="en-US" w:eastAsia="zh-CN" w:bidi="ar"/>
              </w:rPr>
              <w:t>，</w:t>
            </w:r>
            <w:r>
              <w:rPr>
                <w:rStyle w:val="373"/>
                <w:rFonts w:hint="eastAsia" w:ascii="宋体" w:hAnsi="宋体" w:eastAsia="宋体" w:cs="宋体"/>
                <w:i w:val="0"/>
                <w:iCs w:val="0"/>
                <w:snapToGrid w:val="0"/>
                <w:color w:val="auto"/>
                <w:kern w:val="2"/>
                <w:sz w:val="24"/>
                <w:szCs w:val="24"/>
                <w:highlight w:val="none"/>
                <w:lang w:val="en-US"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6DF85C44">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5A52F882">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21E0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546" w:type="dxa"/>
            <w:vMerge w:val="continue"/>
            <w:noWrap w:val="0"/>
            <w:vAlign w:val="center"/>
          </w:tcPr>
          <w:p w14:paraId="536CA67A">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589A3E55">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26381500">
            <w:pPr>
              <w:adjustRightInd w:val="0"/>
              <w:snapToGrid w:val="0"/>
              <w:spacing w:line="240" w:lineRule="auto"/>
              <w:ind w:firstLine="0" w:firstLineChars="0"/>
              <w:jc w:val="left"/>
              <w:rPr>
                <w:rFonts w:hint="eastAsia" w:ascii="宋体" w:hAnsi="宋体" w:eastAsia="宋体" w:cs="宋体"/>
                <w:i w:val="0"/>
                <w:iCs w:val="0"/>
                <w:color w:val="auto"/>
                <w:sz w:val="24"/>
                <w:szCs w:val="24"/>
                <w:highlight w:val="none"/>
                <w:lang w:val="zh-CN"/>
              </w:rPr>
            </w:pPr>
            <w:r>
              <w:rPr>
                <w:rFonts w:hint="eastAsia" w:ascii="宋体" w:hAnsi="宋体" w:eastAsia="宋体" w:cs="宋体"/>
                <w:b/>
                <w:bCs/>
                <w:i w:val="0"/>
                <w:iCs w:val="0"/>
                <w:color w:val="auto"/>
                <w:sz w:val="24"/>
                <w:szCs w:val="24"/>
                <w:highlight w:val="none"/>
              </w:rPr>
              <w:t>4、</w:t>
            </w:r>
            <w:r>
              <w:rPr>
                <w:rFonts w:hint="eastAsia" w:ascii="宋体" w:hAnsi="宋体" w:eastAsia="宋体" w:cs="宋体"/>
                <w:b/>
                <w:bCs/>
                <w:i w:val="0"/>
                <w:iCs w:val="0"/>
                <w:color w:val="auto"/>
                <w:kern w:val="0"/>
                <w:sz w:val="24"/>
                <w:szCs w:val="24"/>
                <w:highlight w:val="none"/>
                <w:lang w:val="zh-CN"/>
              </w:rPr>
              <w:t>卫生管理控制方案：</w:t>
            </w:r>
            <w:r>
              <w:rPr>
                <w:rFonts w:hint="eastAsia" w:ascii="宋体" w:hAnsi="宋体" w:eastAsia="宋体" w:cs="宋体"/>
                <w:i w:val="0"/>
                <w:iCs w:val="0"/>
                <w:color w:val="auto"/>
                <w:sz w:val="24"/>
                <w:szCs w:val="24"/>
                <w:highlight w:val="none"/>
              </w:rPr>
              <w:t>厨房作业区分区明确，标注明晰，物品归类有序，生食物和熟食物的盛用容器、刀具等严格区分，厨房不积存脏水污物，厨房地面、墙壁无污物。工作人员进入厨房作业区必须着工作服戴工作帽，工作服饰保持整洁干净，做好个人卫生，不留长指甲，工作前或工作中接触脏物后必须洗手，不得对着食物咳嗽、打喷嚏，不能用工作服擦鼻涕、擦汗、擦手或厨具等，不能随地吐痰。餐厅餐桌椅摆放整齐、桌上物品摆放有序，餐具整洁干净，摆放有序，每餐洗净后及时进行消毒。餐饮具使用前必须做到一洗、二刷、三冲、四消毒、五保洁，符合国家有关卫生标准。未经消毒的餐饮具均不得使用，禁止重复使用一次性餐具。按照采购人要求开展灭“四害”工作。根据投标人提供的食品卫生、人员卫生、环境卫生、垃圾处理方案等情况给分</w:t>
            </w:r>
            <w:r>
              <w:rPr>
                <w:rFonts w:hint="eastAsia" w:ascii="宋体" w:hAnsi="宋体" w:eastAsia="宋体" w:cs="宋体"/>
                <w:i w:val="0"/>
                <w:iCs w:val="0"/>
                <w:snapToGrid w:val="0"/>
                <w:color w:val="auto"/>
                <w:kern w:val="0"/>
                <w:sz w:val="24"/>
                <w:szCs w:val="24"/>
                <w:highlight w:val="none"/>
                <w:lang w:bidi="ar"/>
              </w:rPr>
              <w:t>，</w:t>
            </w:r>
            <w:r>
              <w:rPr>
                <w:rStyle w:val="373"/>
                <w:rFonts w:hint="eastAsia" w:ascii="宋体" w:hAnsi="宋体" w:eastAsia="宋体" w:cs="宋体"/>
                <w:i w:val="0"/>
                <w:iCs w:val="0"/>
                <w:snapToGrid w:val="0"/>
                <w:color w:val="auto"/>
                <w:sz w:val="24"/>
                <w:szCs w:val="24"/>
                <w:highlight w:val="none"/>
                <w:lang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5BF8263A">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2678A3C7">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2C1F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546" w:type="dxa"/>
            <w:vMerge w:val="continue"/>
            <w:noWrap w:val="0"/>
            <w:vAlign w:val="center"/>
          </w:tcPr>
          <w:p w14:paraId="59ED2BAF">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2E2D398D">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2F2731C3">
            <w:pPr>
              <w:widowControl w:val="0"/>
              <w:spacing w:after="0" w:line="240" w:lineRule="auto"/>
              <w:ind w:firstLine="0" w:firstLineChars="0"/>
              <w:jc w:val="both"/>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b/>
                <w:bCs/>
                <w:i w:val="0"/>
                <w:iCs w:val="0"/>
                <w:color w:val="auto"/>
                <w:kern w:val="2"/>
                <w:sz w:val="24"/>
                <w:szCs w:val="24"/>
                <w:highlight w:val="none"/>
                <w:lang w:val="en-US" w:eastAsia="zh-CN" w:bidi="ar-SA"/>
              </w:rPr>
              <w:t>5、食堂配餐方案</w:t>
            </w:r>
            <w:r>
              <w:rPr>
                <w:rFonts w:hint="eastAsia" w:ascii="宋体" w:hAnsi="宋体" w:eastAsia="宋体" w:cs="宋体"/>
                <w:i w:val="0"/>
                <w:iCs w:val="0"/>
                <w:color w:val="auto"/>
                <w:kern w:val="2"/>
                <w:sz w:val="24"/>
                <w:szCs w:val="24"/>
                <w:highlight w:val="none"/>
                <w:lang w:val="en-US" w:eastAsia="zh-CN" w:bidi="ar-SA"/>
              </w:rPr>
              <w:t>：结合区江南镇镇政府员工营养需求，提供详细的配餐方案，分季节时令科学组配，节庆提供特色菜品，日常提供各类小吃糕点甜品等，针对配餐的安全、新鲜、营养、荤素搭配、提供切实可行的配餐方案，菜谱每周排列一次，经常更换菜肴的花式品种，提供适合员工口味的菜肴，每周菜谱荤素重复率均不得高于70%</w:t>
            </w:r>
            <w:r>
              <w:rPr>
                <w:rFonts w:hint="eastAsia" w:ascii="宋体" w:hAnsi="宋体" w:eastAsia="宋体" w:cs="宋体"/>
                <w:i w:val="0"/>
                <w:iCs w:val="0"/>
                <w:snapToGrid w:val="0"/>
                <w:color w:val="auto"/>
                <w:kern w:val="0"/>
                <w:sz w:val="24"/>
                <w:szCs w:val="24"/>
                <w:highlight w:val="none"/>
                <w:lang w:val="en-US" w:eastAsia="zh-CN" w:bidi="ar"/>
              </w:rPr>
              <w:t>，</w:t>
            </w:r>
            <w:r>
              <w:rPr>
                <w:rStyle w:val="373"/>
                <w:rFonts w:hint="eastAsia" w:ascii="宋体" w:hAnsi="宋体" w:eastAsia="宋体" w:cs="宋体"/>
                <w:i w:val="0"/>
                <w:iCs w:val="0"/>
                <w:snapToGrid w:val="0"/>
                <w:color w:val="auto"/>
                <w:kern w:val="2"/>
                <w:sz w:val="24"/>
                <w:szCs w:val="24"/>
                <w:highlight w:val="none"/>
                <w:lang w:val="en-US"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449ED7BF">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08F01C82">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777B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546" w:type="dxa"/>
            <w:vMerge w:val="continue"/>
            <w:noWrap w:val="0"/>
            <w:vAlign w:val="center"/>
          </w:tcPr>
          <w:p w14:paraId="2C927AD6">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6056DB86">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3F216141">
            <w:pPr>
              <w:adjustRightInd w:val="0"/>
              <w:snapToGrid w:val="0"/>
              <w:spacing w:line="240" w:lineRule="auto"/>
              <w:ind w:firstLine="0" w:firstLineChars="0"/>
              <w:jc w:val="left"/>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6、成本控制措施方案：</w:t>
            </w:r>
            <w:r>
              <w:rPr>
                <w:rFonts w:hint="eastAsia" w:ascii="宋体" w:hAnsi="宋体" w:eastAsia="宋体" w:cs="宋体"/>
                <w:i w:val="0"/>
                <w:iCs w:val="0"/>
                <w:color w:val="auto"/>
                <w:sz w:val="24"/>
                <w:szCs w:val="24"/>
                <w:highlight w:val="none"/>
              </w:rPr>
              <w:t>结合</w:t>
            </w:r>
            <w:r>
              <w:rPr>
                <w:rFonts w:hint="eastAsia" w:ascii="宋体" w:hAnsi="宋体" w:eastAsia="宋体" w:cs="宋体"/>
                <w:i w:val="0"/>
                <w:iCs w:val="0"/>
                <w:color w:val="auto"/>
                <w:kern w:val="2"/>
                <w:sz w:val="24"/>
                <w:szCs w:val="24"/>
                <w:highlight w:val="none"/>
                <w:lang w:val="en-US" w:eastAsia="zh-CN" w:bidi="ar-SA"/>
              </w:rPr>
              <w:t>江南镇镇</w:t>
            </w:r>
            <w:r>
              <w:rPr>
                <w:rFonts w:hint="eastAsia" w:ascii="宋体" w:hAnsi="宋体" w:eastAsia="宋体" w:cs="宋体"/>
                <w:i w:val="0"/>
                <w:iCs w:val="0"/>
                <w:color w:val="auto"/>
                <w:sz w:val="24"/>
                <w:szCs w:val="24"/>
                <w:highlight w:val="none"/>
              </w:rPr>
              <w:t>政府员工用餐需求，本着“厉行节约、反对浪费”原则，提供成本控制管理详细方案，</w:t>
            </w:r>
            <w:r>
              <w:rPr>
                <w:rFonts w:hint="eastAsia" w:ascii="宋体" w:hAnsi="宋体" w:eastAsia="宋体" w:cs="宋体"/>
                <w:bCs/>
                <w:i w:val="0"/>
                <w:iCs w:val="0"/>
                <w:color w:val="auto"/>
                <w:sz w:val="24"/>
                <w:szCs w:val="24"/>
                <w:highlight w:val="none"/>
              </w:rPr>
              <w:t>杜绝食材加工过程中人为造成的浪费，</w:t>
            </w:r>
            <w:r>
              <w:rPr>
                <w:rFonts w:hint="eastAsia" w:ascii="宋体" w:hAnsi="宋体" w:eastAsia="宋体" w:cs="宋体"/>
                <w:i w:val="0"/>
                <w:iCs w:val="0"/>
                <w:color w:val="auto"/>
                <w:sz w:val="24"/>
                <w:szCs w:val="24"/>
                <w:highlight w:val="none"/>
              </w:rPr>
              <w:t>落实好“跑冒滴漏”管理制度，做好节水、节电、节气等工作，提供成本核算、菜品定价、损耗管控等方面的方案</w:t>
            </w:r>
            <w:r>
              <w:rPr>
                <w:rFonts w:hint="eastAsia" w:ascii="宋体" w:hAnsi="宋体" w:eastAsia="宋体" w:cs="宋体"/>
                <w:i w:val="0"/>
                <w:iCs w:val="0"/>
                <w:snapToGrid w:val="0"/>
                <w:color w:val="auto"/>
                <w:kern w:val="0"/>
                <w:sz w:val="24"/>
                <w:szCs w:val="24"/>
                <w:highlight w:val="none"/>
                <w:lang w:bidi="ar"/>
              </w:rPr>
              <w:t>，</w:t>
            </w:r>
            <w:r>
              <w:rPr>
                <w:rStyle w:val="373"/>
                <w:rFonts w:hint="eastAsia" w:ascii="宋体" w:hAnsi="宋体" w:eastAsia="宋体" w:cs="宋体"/>
                <w:i w:val="0"/>
                <w:iCs w:val="0"/>
                <w:snapToGrid w:val="0"/>
                <w:color w:val="auto"/>
                <w:sz w:val="24"/>
                <w:szCs w:val="24"/>
                <w:highlight w:val="none"/>
                <w:lang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2D5F3717">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218C9CAD">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5595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46" w:type="dxa"/>
            <w:vMerge w:val="continue"/>
            <w:noWrap w:val="0"/>
            <w:vAlign w:val="center"/>
          </w:tcPr>
          <w:p w14:paraId="1B76AEC2">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38369D8C">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22AA62F9">
            <w:pPr>
              <w:adjustRightInd w:val="0"/>
              <w:snapToGrid w:val="0"/>
              <w:spacing w:line="240" w:lineRule="auto"/>
              <w:ind w:firstLine="0" w:firstLineChars="0"/>
              <w:jc w:val="left"/>
              <w:rPr>
                <w:rFonts w:hint="eastAsia" w:ascii="宋体" w:hAnsi="宋体" w:eastAsia="宋体" w:cs="宋体"/>
                <w:i w:val="0"/>
                <w:iCs w:val="0"/>
                <w:color w:val="auto"/>
                <w:sz w:val="24"/>
                <w:szCs w:val="24"/>
                <w:highlight w:val="none"/>
                <w:lang w:val="zh-CN"/>
              </w:rPr>
            </w:pPr>
            <w:r>
              <w:rPr>
                <w:rFonts w:hint="eastAsia" w:ascii="宋体" w:hAnsi="宋体" w:eastAsia="宋体" w:cs="宋体"/>
                <w:b/>
                <w:bCs/>
                <w:i w:val="0"/>
                <w:iCs w:val="0"/>
                <w:color w:val="auto"/>
                <w:sz w:val="24"/>
                <w:szCs w:val="24"/>
                <w:highlight w:val="none"/>
              </w:rPr>
              <w:t>7、餐饮节约方案：</w:t>
            </w:r>
            <w:r>
              <w:rPr>
                <w:rFonts w:hint="eastAsia" w:ascii="宋体" w:hAnsi="宋体" w:eastAsia="宋体" w:cs="宋体"/>
                <w:i w:val="0"/>
                <w:iCs w:val="0"/>
                <w:color w:val="auto"/>
                <w:sz w:val="24"/>
                <w:szCs w:val="24"/>
                <w:highlight w:val="none"/>
              </w:rPr>
              <w:t>结合新</w:t>
            </w:r>
            <w:r>
              <w:rPr>
                <w:rFonts w:hint="eastAsia" w:ascii="宋体" w:hAnsi="宋体" w:eastAsia="宋体" w:cs="宋体"/>
                <w:i w:val="0"/>
                <w:iCs w:val="0"/>
                <w:color w:val="auto"/>
                <w:kern w:val="2"/>
                <w:sz w:val="24"/>
                <w:szCs w:val="24"/>
                <w:highlight w:val="none"/>
                <w:lang w:val="en-US" w:eastAsia="zh-CN" w:bidi="ar-SA"/>
              </w:rPr>
              <w:t>江南镇镇政府</w:t>
            </w:r>
            <w:r>
              <w:rPr>
                <w:rFonts w:hint="eastAsia" w:ascii="宋体" w:hAnsi="宋体" w:eastAsia="宋体" w:cs="宋体"/>
                <w:i w:val="0"/>
                <w:iCs w:val="0"/>
                <w:color w:val="auto"/>
                <w:sz w:val="24"/>
                <w:szCs w:val="24"/>
                <w:highlight w:val="none"/>
              </w:rPr>
              <w:t>员工用餐需求，本着“厉行节约、反对浪费”原则，提供餐饮节约等详细方案，</w:t>
            </w:r>
            <w:r>
              <w:rPr>
                <w:rFonts w:hint="eastAsia" w:ascii="宋体" w:hAnsi="宋体" w:eastAsia="宋体" w:cs="宋体"/>
                <w:bCs/>
                <w:i w:val="0"/>
                <w:iCs w:val="0"/>
                <w:color w:val="auto"/>
                <w:sz w:val="24"/>
                <w:szCs w:val="24"/>
                <w:highlight w:val="none"/>
              </w:rPr>
              <w:t>杜绝食材加工过程中人为造成的浪费，及时掌握就餐情况，分时分段精准烹饪，减少剩菜剩饭的产生</w:t>
            </w:r>
            <w:r>
              <w:rPr>
                <w:rFonts w:hint="eastAsia" w:ascii="宋体" w:hAnsi="宋体" w:eastAsia="宋体" w:cs="宋体"/>
                <w:i w:val="0"/>
                <w:iCs w:val="0"/>
                <w:color w:val="auto"/>
                <w:sz w:val="24"/>
                <w:szCs w:val="24"/>
                <w:highlight w:val="none"/>
              </w:rPr>
              <w:t>等方面的方案</w:t>
            </w:r>
            <w:r>
              <w:rPr>
                <w:rFonts w:hint="eastAsia" w:ascii="宋体" w:hAnsi="宋体" w:eastAsia="宋体" w:cs="宋体"/>
                <w:i w:val="0"/>
                <w:iCs w:val="0"/>
                <w:snapToGrid w:val="0"/>
                <w:color w:val="auto"/>
                <w:kern w:val="0"/>
                <w:sz w:val="24"/>
                <w:szCs w:val="24"/>
                <w:highlight w:val="none"/>
                <w:lang w:bidi="ar"/>
              </w:rPr>
              <w:t>，</w:t>
            </w:r>
            <w:r>
              <w:rPr>
                <w:rStyle w:val="373"/>
                <w:rFonts w:hint="eastAsia" w:ascii="宋体" w:hAnsi="宋体" w:eastAsia="宋体" w:cs="宋体"/>
                <w:i w:val="0"/>
                <w:iCs w:val="0"/>
                <w:snapToGrid w:val="0"/>
                <w:color w:val="auto"/>
                <w:sz w:val="24"/>
                <w:szCs w:val="24"/>
                <w:highlight w:val="none"/>
                <w:lang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00F00092">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425F204A">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2A92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546" w:type="dxa"/>
            <w:vMerge w:val="restart"/>
            <w:noWrap w:val="0"/>
            <w:vAlign w:val="center"/>
          </w:tcPr>
          <w:p w14:paraId="71CCA3EF">
            <w:pPr>
              <w:spacing w:line="240" w:lineRule="auto"/>
              <w:ind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6</w:t>
            </w:r>
          </w:p>
        </w:tc>
        <w:tc>
          <w:tcPr>
            <w:tcW w:w="1469" w:type="dxa"/>
            <w:vMerge w:val="restart"/>
            <w:noWrap w:val="0"/>
            <w:vAlign w:val="center"/>
          </w:tcPr>
          <w:p w14:paraId="36F12E14">
            <w:pPr>
              <w:spacing w:line="240" w:lineRule="auto"/>
              <w:ind w:firstLine="0" w:firstLineChars="0"/>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食堂管理方案</w:t>
            </w:r>
          </w:p>
          <w:p w14:paraId="20828502">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4296B4CA">
            <w:pPr>
              <w:widowControl w:val="0"/>
              <w:spacing w:after="0" w:line="240" w:lineRule="auto"/>
              <w:ind w:firstLine="0" w:firstLineChars="0"/>
              <w:jc w:val="both"/>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b/>
                <w:bCs/>
                <w:i w:val="0"/>
                <w:iCs w:val="0"/>
                <w:color w:val="auto"/>
                <w:kern w:val="2"/>
                <w:sz w:val="24"/>
                <w:szCs w:val="24"/>
                <w:highlight w:val="none"/>
                <w:lang w:val="en-US" w:eastAsia="zh-CN" w:bidi="ar-SA"/>
              </w:rPr>
              <w:t>1、应急预案方案：</w:t>
            </w:r>
            <w:r>
              <w:rPr>
                <w:rFonts w:hint="eastAsia" w:ascii="宋体" w:hAnsi="宋体" w:eastAsia="宋体" w:cs="宋体"/>
                <w:i w:val="0"/>
                <w:iCs w:val="0"/>
                <w:color w:val="auto"/>
                <w:kern w:val="2"/>
                <w:sz w:val="24"/>
                <w:szCs w:val="24"/>
                <w:highlight w:val="none"/>
                <w:lang w:val="en-US" w:eastAsia="zh-CN" w:bidi="ar-SA"/>
              </w:rPr>
              <w:t>就餐人员加班、重大活动、公务接待或其他紧急用餐、停水停电、自然灾害（如防汛、抗台、抗雪）、卫生防疫等特殊应急情况的服务响应</w:t>
            </w:r>
            <w:r>
              <w:rPr>
                <w:rFonts w:hint="eastAsia" w:ascii="宋体" w:hAnsi="宋体" w:eastAsia="宋体" w:cs="宋体"/>
                <w:bCs/>
                <w:i w:val="0"/>
                <w:iCs w:val="0"/>
                <w:color w:val="auto"/>
                <w:kern w:val="2"/>
                <w:sz w:val="24"/>
                <w:szCs w:val="24"/>
                <w:highlight w:val="none"/>
                <w:lang w:val="en-US" w:eastAsia="zh-CN" w:bidi="ar-SA"/>
              </w:rPr>
              <w:t>工作，应安排人员做好全程服务，事态严重的要配备充足增援力量，做好24小时值班和抢险救灾工作</w:t>
            </w:r>
            <w:r>
              <w:rPr>
                <w:rFonts w:hint="eastAsia" w:ascii="宋体" w:hAnsi="宋体" w:eastAsia="宋体" w:cs="宋体"/>
                <w:i w:val="0"/>
                <w:iCs w:val="0"/>
                <w:color w:val="auto"/>
                <w:kern w:val="0"/>
                <w:sz w:val="24"/>
                <w:szCs w:val="24"/>
                <w:highlight w:val="none"/>
                <w:lang w:val="en-US" w:eastAsia="zh-CN" w:bidi="ar-SA"/>
              </w:rPr>
              <w:t>方案</w:t>
            </w:r>
            <w:r>
              <w:rPr>
                <w:rFonts w:hint="eastAsia" w:ascii="宋体" w:hAnsi="宋体" w:eastAsia="宋体" w:cs="宋体"/>
                <w:i w:val="0"/>
                <w:iCs w:val="0"/>
                <w:snapToGrid w:val="0"/>
                <w:color w:val="auto"/>
                <w:kern w:val="0"/>
                <w:sz w:val="24"/>
                <w:szCs w:val="24"/>
                <w:highlight w:val="none"/>
                <w:lang w:val="en-US" w:eastAsia="zh-CN" w:bidi="ar"/>
              </w:rPr>
              <w:t>，</w:t>
            </w:r>
            <w:r>
              <w:rPr>
                <w:rStyle w:val="373"/>
                <w:rFonts w:hint="eastAsia" w:ascii="宋体" w:hAnsi="宋体" w:eastAsia="宋体" w:cs="宋体"/>
                <w:i w:val="0"/>
                <w:iCs w:val="0"/>
                <w:snapToGrid w:val="0"/>
                <w:color w:val="auto"/>
                <w:kern w:val="2"/>
                <w:sz w:val="24"/>
                <w:szCs w:val="24"/>
                <w:highlight w:val="none"/>
                <w:lang w:val="en-US"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5B1884AE">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66DC8483">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0DDB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46" w:type="dxa"/>
            <w:vMerge w:val="continue"/>
            <w:noWrap w:val="0"/>
            <w:vAlign w:val="center"/>
          </w:tcPr>
          <w:p w14:paraId="4F132CB9">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556CF23E">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652E4EFD">
            <w:pPr>
              <w:widowControl w:val="0"/>
              <w:spacing w:after="0" w:line="240" w:lineRule="auto"/>
              <w:ind w:firstLine="0" w:firstLineChars="0"/>
              <w:jc w:val="both"/>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b/>
                <w:bCs/>
                <w:i w:val="0"/>
                <w:iCs w:val="0"/>
                <w:color w:val="auto"/>
                <w:kern w:val="2"/>
                <w:sz w:val="24"/>
                <w:szCs w:val="24"/>
                <w:highlight w:val="none"/>
                <w:lang w:val="en-US" w:eastAsia="zh-CN" w:bidi="ar-SA"/>
              </w:rPr>
              <w:t>2、场地设施设备管理方案</w:t>
            </w:r>
            <w:r>
              <w:rPr>
                <w:rFonts w:hint="eastAsia" w:ascii="宋体" w:hAnsi="宋体" w:eastAsia="宋体" w:cs="宋体"/>
                <w:i w:val="0"/>
                <w:iCs w:val="0"/>
                <w:color w:val="auto"/>
                <w:kern w:val="2"/>
                <w:sz w:val="24"/>
                <w:szCs w:val="24"/>
                <w:highlight w:val="none"/>
                <w:lang w:val="en-US" w:eastAsia="zh-CN" w:bidi="ar-SA"/>
              </w:rPr>
              <w:t>：</w:t>
            </w:r>
            <w:r>
              <w:rPr>
                <w:rFonts w:hint="eastAsia" w:ascii="宋体" w:hAnsi="宋体" w:eastAsia="宋体" w:cs="宋体"/>
                <w:i w:val="0"/>
                <w:iCs w:val="0"/>
                <w:color w:val="auto"/>
                <w:kern w:val="0"/>
                <w:sz w:val="24"/>
                <w:szCs w:val="24"/>
                <w:highlight w:val="none"/>
                <w:lang w:val="en-US" w:eastAsia="zh-CN" w:bidi="ar-SA"/>
              </w:rPr>
              <w:t>在服务期内应保持食堂区域内的设施完好、环境状况良好，并接受采购人或其授权人员的检查。投标人负责厨房设施的维护，若发生设施损坏、环境卫生不理想等情况，所需维修费及管理费须照价赔偿。采购人提供的所有设备、设施、工具由投标人使用的，除正常使用折旧外，必须保证各设备、设施、工具的完好性</w:t>
            </w:r>
            <w:r>
              <w:rPr>
                <w:rFonts w:hint="eastAsia" w:ascii="宋体" w:hAnsi="宋体" w:eastAsia="宋体" w:cs="宋体"/>
                <w:i w:val="0"/>
                <w:iCs w:val="0"/>
                <w:snapToGrid w:val="0"/>
                <w:color w:val="auto"/>
                <w:kern w:val="0"/>
                <w:sz w:val="24"/>
                <w:szCs w:val="24"/>
                <w:highlight w:val="none"/>
                <w:lang w:val="en-US" w:eastAsia="zh-CN" w:bidi="ar"/>
              </w:rPr>
              <w:t>，</w:t>
            </w:r>
            <w:r>
              <w:rPr>
                <w:rStyle w:val="373"/>
                <w:rFonts w:hint="eastAsia" w:ascii="宋体" w:hAnsi="宋体" w:eastAsia="宋体" w:cs="宋体"/>
                <w:i w:val="0"/>
                <w:iCs w:val="0"/>
                <w:snapToGrid w:val="0"/>
                <w:color w:val="auto"/>
                <w:kern w:val="2"/>
                <w:sz w:val="24"/>
                <w:szCs w:val="24"/>
                <w:highlight w:val="none"/>
                <w:lang w:val="en-US"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0DD24F0E">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1893CA1C">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1C10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546" w:type="dxa"/>
            <w:vMerge w:val="continue"/>
            <w:noWrap w:val="0"/>
            <w:vAlign w:val="center"/>
          </w:tcPr>
          <w:p w14:paraId="6405D7BD">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64FCE127">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116E8817">
            <w:pPr>
              <w:widowControl w:val="0"/>
              <w:spacing w:after="0" w:line="240" w:lineRule="auto"/>
              <w:ind w:firstLine="0" w:firstLineChars="0"/>
              <w:jc w:val="both"/>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b/>
                <w:bCs/>
                <w:i w:val="0"/>
                <w:iCs w:val="0"/>
                <w:color w:val="auto"/>
                <w:kern w:val="2"/>
                <w:sz w:val="24"/>
                <w:szCs w:val="24"/>
                <w:highlight w:val="none"/>
                <w:lang w:val="en-US" w:eastAsia="zh-CN" w:bidi="ar-SA"/>
              </w:rPr>
              <w:t>3、进场交接方案：</w:t>
            </w:r>
            <w:r>
              <w:rPr>
                <w:rFonts w:hint="eastAsia" w:ascii="宋体" w:hAnsi="宋体" w:eastAsia="宋体" w:cs="宋体"/>
                <w:i w:val="0"/>
                <w:iCs w:val="0"/>
                <w:color w:val="auto"/>
                <w:kern w:val="2"/>
                <w:sz w:val="24"/>
                <w:szCs w:val="24"/>
                <w:highlight w:val="none"/>
                <w:lang w:val="en-US" w:eastAsia="zh-CN" w:bidi="ar-SA"/>
              </w:rPr>
              <w:t>承诺做好</w:t>
            </w:r>
            <w:r>
              <w:rPr>
                <w:rFonts w:hint="eastAsia" w:ascii="宋体" w:hAnsi="宋体" w:eastAsia="宋体" w:cs="宋体"/>
                <w:bCs/>
                <w:i w:val="0"/>
                <w:iCs w:val="0"/>
                <w:color w:val="auto"/>
                <w:kern w:val="2"/>
                <w:sz w:val="24"/>
                <w:szCs w:val="24"/>
                <w:highlight w:val="none"/>
                <w:lang w:val="en-US" w:eastAsia="zh-CN" w:bidi="ar-SA"/>
              </w:rPr>
              <w:t>工作的交接，</w:t>
            </w:r>
            <w:r>
              <w:rPr>
                <w:rFonts w:hint="eastAsia" w:ascii="宋体" w:hAnsi="宋体" w:eastAsia="宋体" w:cs="宋体"/>
                <w:i w:val="0"/>
                <w:iCs w:val="0"/>
                <w:color w:val="auto"/>
                <w:kern w:val="2"/>
                <w:sz w:val="24"/>
                <w:szCs w:val="24"/>
                <w:highlight w:val="none"/>
                <w:lang w:val="en-US" w:eastAsia="zh-CN" w:bidi="ar-SA"/>
              </w:rPr>
              <w:t>详细说明进场筹备工作和与原履约方交接的工作方案，以及本项目履约结束后与下一中标人的交接方案，交接过渡时间、内容、标准、办法、要求等必须秉承公平合理的原则，并在采购人规定的时间内完成交接</w:t>
            </w:r>
            <w:r>
              <w:rPr>
                <w:rFonts w:hint="eastAsia" w:ascii="宋体" w:hAnsi="宋体" w:eastAsia="宋体" w:cs="宋体"/>
                <w:i w:val="0"/>
                <w:iCs w:val="0"/>
                <w:snapToGrid w:val="0"/>
                <w:color w:val="auto"/>
                <w:kern w:val="0"/>
                <w:sz w:val="24"/>
                <w:szCs w:val="24"/>
                <w:highlight w:val="none"/>
                <w:lang w:val="en-US" w:eastAsia="zh-CN" w:bidi="ar"/>
              </w:rPr>
              <w:t>，</w:t>
            </w:r>
            <w:r>
              <w:rPr>
                <w:rStyle w:val="373"/>
                <w:rFonts w:hint="eastAsia" w:ascii="宋体" w:hAnsi="宋体" w:eastAsia="宋体" w:cs="宋体"/>
                <w:i w:val="0"/>
                <w:iCs w:val="0"/>
                <w:snapToGrid w:val="0"/>
                <w:color w:val="auto"/>
                <w:kern w:val="2"/>
                <w:sz w:val="24"/>
                <w:szCs w:val="24"/>
                <w:highlight w:val="none"/>
                <w:lang w:val="en-US"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4B5ED2E3">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5D87A0EE">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3ED6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546" w:type="dxa"/>
            <w:vMerge w:val="continue"/>
            <w:noWrap w:val="0"/>
            <w:vAlign w:val="center"/>
          </w:tcPr>
          <w:p w14:paraId="22E12AB7">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43A52B26">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3366E45D">
            <w:pPr>
              <w:widowControl w:val="0"/>
              <w:spacing w:after="0" w:line="240" w:lineRule="auto"/>
              <w:ind w:firstLine="0" w:firstLineChars="0"/>
              <w:jc w:val="both"/>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b/>
                <w:bCs/>
                <w:i w:val="0"/>
                <w:iCs w:val="0"/>
                <w:color w:val="auto"/>
                <w:kern w:val="2"/>
                <w:sz w:val="24"/>
                <w:szCs w:val="24"/>
                <w:highlight w:val="none"/>
                <w:lang w:val="en-US" w:eastAsia="zh-CN" w:bidi="ar-SA"/>
              </w:rPr>
              <w:t>4、投诉处理方案：</w:t>
            </w:r>
            <w:r>
              <w:rPr>
                <w:rFonts w:hint="eastAsia" w:ascii="宋体" w:hAnsi="宋体" w:eastAsia="宋体" w:cs="宋体"/>
                <w:i w:val="0"/>
                <w:iCs w:val="0"/>
                <w:color w:val="auto"/>
                <w:kern w:val="2"/>
                <w:sz w:val="24"/>
                <w:szCs w:val="24"/>
                <w:highlight w:val="none"/>
                <w:lang w:val="en-US" w:eastAsia="zh-CN" w:bidi="ar-SA"/>
              </w:rPr>
              <w:t>处理食堂投诉事件的操作流程，取证、追溯、汇报、处理等方案，重视安全工作各环节的管理，科学安排餐饮服务的工作流程，做到精细化管理，如发生餐饮安全、卫生事故（如在菜品里发现异物）等投诉事件，须提供取证、追溯、汇报、处理等方案</w:t>
            </w:r>
            <w:r>
              <w:rPr>
                <w:rFonts w:hint="eastAsia" w:ascii="宋体" w:hAnsi="宋体" w:eastAsia="宋体" w:cs="宋体"/>
                <w:i w:val="0"/>
                <w:iCs w:val="0"/>
                <w:snapToGrid w:val="0"/>
                <w:color w:val="auto"/>
                <w:kern w:val="0"/>
                <w:sz w:val="24"/>
                <w:szCs w:val="24"/>
                <w:highlight w:val="none"/>
                <w:lang w:val="en-US" w:eastAsia="zh-CN" w:bidi="ar"/>
              </w:rPr>
              <w:t>，</w:t>
            </w:r>
            <w:r>
              <w:rPr>
                <w:rStyle w:val="373"/>
                <w:rFonts w:hint="eastAsia" w:ascii="宋体" w:hAnsi="宋体" w:eastAsia="宋体" w:cs="宋体"/>
                <w:i w:val="0"/>
                <w:iCs w:val="0"/>
                <w:snapToGrid w:val="0"/>
                <w:color w:val="auto"/>
                <w:kern w:val="2"/>
                <w:sz w:val="24"/>
                <w:szCs w:val="24"/>
                <w:highlight w:val="none"/>
                <w:lang w:val="en-US"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4EDEEDC8">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199F5B12">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3428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546" w:type="dxa"/>
            <w:vMerge w:val="continue"/>
            <w:noWrap w:val="0"/>
            <w:vAlign w:val="center"/>
          </w:tcPr>
          <w:p w14:paraId="26E572BF">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0F3A8297">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54383391">
            <w:pPr>
              <w:adjustRightInd w:val="0"/>
              <w:snapToGrid w:val="0"/>
              <w:spacing w:line="240" w:lineRule="auto"/>
              <w:ind w:firstLine="0" w:firstLineChars="0"/>
              <w:jc w:val="left"/>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5、迎检工作方案：</w:t>
            </w:r>
            <w:r>
              <w:rPr>
                <w:rFonts w:hint="eastAsia" w:ascii="宋体" w:hAnsi="宋体" w:eastAsia="宋体" w:cs="宋体"/>
                <w:i w:val="0"/>
                <w:iCs w:val="0"/>
                <w:color w:val="auto"/>
                <w:sz w:val="24"/>
                <w:szCs w:val="24"/>
                <w:highlight w:val="none"/>
              </w:rPr>
              <w:t>根据采购人需要，提供其他劳动服务，包括疫情防控、垃圾分类、文明指数测评、爱国卫生、平安三率等临时性创建、迎检项目的保障配合方案，投标人必须配合采购人及有关部门做好工作，并指定专职人员协助工作，直到圆满完成任务</w:t>
            </w:r>
            <w:r>
              <w:rPr>
                <w:rFonts w:hint="eastAsia" w:ascii="宋体" w:hAnsi="宋体" w:eastAsia="宋体" w:cs="宋体"/>
                <w:i w:val="0"/>
                <w:iCs w:val="0"/>
                <w:snapToGrid w:val="0"/>
                <w:color w:val="auto"/>
                <w:kern w:val="0"/>
                <w:sz w:val="24"/>
                <w:szCs w:val="24"/>
                <w:highlight w:val="none"/>
                <w:lang w:bidi="ar"/>
              </w:rPr>
              <w:t>，</w:t>
            </w:r>
            <w:r>
              <w:rPr>
                <w:rStyle w:val="373"/>
                <w:rFonts w:hint="eastAsia" w:ascii="宋体" w:hAnsi="宋体" w:eastAsia="宋体" w:cs="宋体"/>
                <w:i w:val="0"/>
                <w:iCs w:val="0"/>
                <w:snapToGrid w:val="0"/>
                <w:color w:val="auto"/>
                <w:sz w:val="24"/>
                <w:szCs w:val="24"/>
                <w:highlight w:val="none"/>
                <w:lang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01078D35">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114F621A">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6AE5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546" w:type="dxa"/>
            <w:vMerge w:val="continue"/>
            <w:noWrap w:val="0"/>
            <w:vAlign w:val="center"/>
          </w:tcPr>
          <w:p w14:paraId="44A2FA8A">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2E361344">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02E47FED">
            <w:pPr>
              <w:adjustRightInd w:val="0"/>
              <w:snapToGrid w:val="0"/>
              <w:spacing w:line="240" w:lineRule="auto"/>
              <w:ind w:firstLine="0" w:firstLineChars="0"/>
              <w:jc w:val="left"/>
              <w:rPr>
                <w:rStyle w:val="373"/>
                <w:rFonts w:hint="eastAsia" w:ascii="宋体" w:hAnsi="宋体" w:eastAsia="宋体" w:cs="宋体"/>
                <w:i w:val="0"/>
                <w:iCs w:val="0"/>
                <w:snapToGrid w:val="0"/>
                <w:color w:val="auto"/>
                <w:sz w:val="24"/>
                <w:szCs w:val="24"/>
                <w:highlight w:val="none"/>
                <w:lang w:bidi="ar"/>
              </w:rPr>
            </w:pPr>
            <w:r>
              <w:rPr>
                <w:rFonts w:hint="eastAsia" w:ascii="宋体" w:hAnsi="宋体" w:eastAsia="宋体" w:cs="宋体"/>
                <w:b/>
                <w:bCs/>
                <w:i w:val="0"/>
                <w:iCs w:val="0"/>
                <w:color w:val="auto"/>
                <w:sz w:val="24"/>
                <w:szCs w:val="24"/>
                <w:highlight w:val="none"/>
              </w:rPr>
              <w:t>6、员工队伍稳定方案：</w:t>
            </w:r>
            <w:r>
              <w:rPr>
                <w:rStyle w:val="373"/>
                <w:rFonts w:hint="eastAsia" w:ascii="宋体" w:hAnsi="宋体" w:eastAsia="宋体" w:cs="宋体"/>
                <w:i w:val="0"/>
                <w:iCs w:val="0"/>
                <w:snapToGrid w:val="0"/>
                <w:color w:val="auto"/>
                <w:sz w:val="24"/>
                <w:szCs w:val="24"/>
                <w:highlight w:val="none"/>
                <w:lang w:bidi="ar"/>
              </w:rPr>
              <w:t>稳定员工队伍的具体措施等，充分保障员工权益，福利等要求，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4202EA47">
            <w:pPr>
              <w:adjustRightInd w:val="0"/>
              <w:snapToGrid w:val="0"/>
              <w:spacing w:line="240" w:lineRule="auto"/>
              <w:ind w:firstLine="0" w:firstLineChars="0"/>
              <w:jc w:val="center"/>
              <w:rPr>
                <w:rStyle w:val="373"/>
                <w:rFonts w:hint="eastAsia" w:ascii="宋体" w:hAnsi="宋体" w:eastAsia="宋体" w:cs="宋体"/>
                <w:i w:val="0"/>
                <w:iCs w:val="0"/>
                <w:snapToGrid w:val="0"/>
                <w:color w:val="auto"/>
                <w:sz w:val="24"/>
                <w:szCs w:val="24"/>
                <w:highlight w:val="none"/>
                <w:lang w:bidi="ar"/>
              </w:rPr>
            </w:pPr>
            <w:r>
              <w:rPr>
                <w:rStyle w:val="373"/>
                <w:rFonts w:hint="eastAsia" w:ascii="宋体" w:hAnsi="宋体" w:eastAsia="宋体" w:cs="宋体"/>
                <w:i w:val="0"/>
                <w:iCs w:val="0"/>
                <w:snapToGrid w:val="0"/>
                <w:color w:val="auto"/>
                <w:sz w:val="24"/>
                <w:szCs w:val="24"/>
                <w:highlight w:val="none"/>
                <w:lang w:bidi="ar"/>
              </w:rPr>
              <w:t>3</w:t>
            </w:r>
          </w:p>
        </w:tc>
        <w:tc>
          <w:tcPr>
            <w:tcW w:w="774" w:type="dxa"/>
            <w:noWrap w:val="0"/>
            <w:vAlign w:val="center"/>
          </w:tcPr>
          <w:p w14:paraId="2758031E">
            <w:pPr>
              <w:adjustRightInd w:val="0"/>
              <w:snapToGrid w:val="0"/>
              <w:spacing w:line="240" w:lineRule="auto"/>
              <w:ind w:firstLine="0" w:firstLineChars="0"/>
              <w:jc w:val="center"/>
              <w:rPr>
                <w:rStyle w:val="373"/>
                <w:rFonts w:hint="eastAsia" w:ascii="宋体" w:hAnsi="宋体" w:eastAsia="宋体" w:cs="宋体"/>
                <w:i w:val="0"/>
                <w:iCs w:val="0"/>
                <w:snapToGrid w:val="0"/>
                <w:color w:val="auto"/>
                <w:sz w:val="24"/>
                <w:szCs w:val="24"/>
                <w:highlight w:val="none"/>
                <w:lang w:bidi="ar"/>
              </w:rPr>
            </w:pPr>
            <w:r>
              <w:rPr>
                <w:rStyle w:val="373"/>
                <w:rFonts w:hint="eastAsia" w:ascii="宋体" w:hAnsi="宋体" w:eastAsia="宋体" w:cs="宋体"/>
                <w:i w:val="0"/>
                <w:iCs w:val="0"/>
                <w:snapToGrid w:val="0"/>
                <w:color w:val="auto"/>
                <w:sz w:val="24"/>
                <w:szCs w:val="24"/>
                <w:highlight w:val="none"/>
                <w:lang w:bidi="ar"/>
              </w:rPr>
              <w:t>主观分</w:t>
            </w:r>
          </w:p>
        </w:tc>
      </w:tr>
      <w:tr w14:paraId="11FF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546" w:type="dxa"/>
            <w:vMerge w:val="restart"/>
            <w:noWrap w:val="0"/>
            <w:vAlign w:val="center"/>
          </w:tcPr>
          <w:p w14:paraId="7DF169A5">
            <w:pPr>
              <w:spacing w:line="240" w:lineRule="auto"/>
              <w:ind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7</w:t>
            </w:r>
          </w:p>
        </w:tc>
        <w:tc>
          <w:tcPr>
            <w:tcW w:w="1469" w:type="dxa"/>
            <w:vMerge w:val="restart"/>
            <w:noWrap w:val="0"/>
            <w:vAlign w:val="center"/>
          </w:tcPr>
          <w:p w14:paraId="6B411AE1">
            <w:pPr>
              <w:spacing w:line="240" w:lineRule="auto"/>
              <w:ind w:firstLine="0" w:firstLineChars="0"/>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rPr>
              <w:t>人员配置</w:t>
            </w:r>
          </w:p>
        </w:tc>
        <w:tc>
          <w:tcPr>
            <w:tcW w:w="6896" w:type="dxa"/>
            <w:noWrap w:val="0"/>
            <w:vAlign w:val="center"/>
          </w:tcPr>
          <w:p w14:paraId="5191EC28">
            <w:pPr>
              <w:widowControl/>
              <w:spacing w:line="240" w:lineRule="auto"/>
              <w:ind w:firstLine="0" w:firstLineChars="0"/>
              <w:jc w:val="left"/>
              <w:textAlignment w:val="center"/>
              <w:rPr>
                <w:rFonts w:hint="eastAsia" w:ascii="宋体" w:hAnsi="宋体" w:eastAsia="宋体" w:cs="宋体"/>
                <w:i w:val="0"/>
                <w:iCs w:val="0"/>
                <w:snapToGrid w:val="0"/>
                <w:color w:val="auto"/>
                <w:kern w:val="0"/>
                <w:sz w:val="24"/>
                <w:szCs w:val="24"/>
                <w:highlight w:val="none"/>
                <w:lang w:bidi="ar"/>
              </w:rPr>
            </w:pPr>
            <w:r>
              <w:rPr>
                <w:rFonts w:hint="eastAsia" w:ascii="宋体" w:hAnsi="宋体" w:eastAsia="宋体" w:cs="宋体"/>
                <w:i w:val="0"/>
                <w:iCs w:val="0"/>
                <w:snapToGrid w:val="0"/>
                <w:color w:val="auto"/>
                <w:kern w:val="0"/>
                <w:sz w:val="24"/>
                <w:szCs w:val="24"/>
                <w:highlight w:val="none"/>
                <w:lang w:bidi="ar"/>
              </w:rPr>
              <w:t>1、</w:t>
            </w:r>
            <w:r>
              <w:rPr>
                <w:rFonts w:hint="eastAsia" w:ascii="宋体" w:hAnsi="宋体" w:eastAsia="宋体" w:cs="宋体"/>
                <w:i w:val="0"/>
                <w:iCs w:val="0"/>
                <w:color w:val="auto"/>
                <w:sz w:val="24"/>
                <w:szCs w:val="24"/>
                <w:highlight w:val="none"/>
                <w:lang w:val="zh-CN"/>
              </w:rPr>
              <w:t>拟担任本项目的</w:t>
            </w:r>
            <w:r>
              <w:rPr>
                <w:rFonts w:hint="eastAsia" w:ascii="宋体" w:hAnsi="宋体" w:eastAsia="宋体" w:cs="宋体"/>
                <w:i w:val="0"/>
                <w:iCs w:val="0"/>
                <w:snapToGrid w:val="0"/>
                <w:color w:val="auto"/>
                <w:kern w:val="0"/>
                <w:sz w:val="24"/>
                <w:szCs w:val="24"/>
                <w:highlight w:val="none"/>
                <w:lang w:bidi="ar"/>
              </w:rPr>
              <w:t>项目经理</w:t>
            </w:r>
            <w:r>
              <w:rPr>
                <w:rFonts w:hint="eastAsia" w:ascii="宋体" w:hAnsi="宋体" w:eastAsia="宋体" w:cs="宋体"/>
                <w:i w:val="0"/>
                <w:iCs w:val="0"/>
                <w:snapToGrid w:val="0"/>
                <w:color w:val="auto"/>
                <w:kern w:val="0"/>
                <w:sz w:val="24"/>
                <w:szCs w:val="24"/>
                <w:highlight w:val="none"/>
                <w:lang w:eastAsia="zh-CN" w:bidi="ar"/>
              </w:rPr>
              <w:t>具</w:t>
            </w:r>
            <w:r>
              <w:rPr>
                <w:rFonts w:hint="eastAsia" w:ascii="宋体" w:hAnsi="宋体" w:eastAsia="宋体" w:cs="宋体"/>
                <w:i w:val="0"/>
                <w:iCs w:val="0"/>
                <w:snapToGrid w:val="0"/>
                <w:color w:val="auto"/>
                <w:kern w:val="0"/>
                <w:sz w:val="24"/>
                <w:szCs w:val="24"/>
                <w:highlight w:val="none"/>
                <w:lang w:bidi="ar"/>
              </w:rPr>
              <w:t>有高级餐饮职业经理人证书的得</w:t>
            </w:r>
            <w:r>
              <w:rPr>
                <w:rFonts w:hint="eastAsia" w:ascii="宋体" w:hAnsi="宋体" w:eastAsia="宋体" w:cs="宋体"/>
                <w:i w:val="0"/>
                <w:iCs w:val="0"/>
                <w:snapToGrid w:val="0"/>
                <w:color w:val="auto"/>
                <w:kern w:val="0"/>
                <w:sz w:val="24"/>
                <w:szCs w:val="24"/>
                <w:highlight w:val="none"/>
                <w:lang w:val="en-US" w:eastAsia="zh-CN" w:bidi="ar"/>
              </w:rPr>
              <w:t>3</w:t>
            </w:r>
            <w:r>
              <w:rPr>
                <w:rFonts w:hint="eastAsia" w:ascii="宋体" w:hAnsi="宋体" w:eastAsia="宋体" w:cs="宋体"/>
                <w:i w:val="0"/>
                <w:iCs w:val="0"/>
                <w:snapToGrid w:val="0"/>
                <w:color w:val="auto"/>
                <w:kern w:val="0"/>
                <w:sz w:val="24"/>
                <w:szCs w:val="24"/>
                <w:highlight w:val="none"/>
                <w:lang w:bidi="ar"/>
              </w:rPr>
              <w:t>分</w:t>
            </w:r>
            <w:r>
              <w:rPr>
                <w:rFonts w:hint="eastAsia" w:ascii="宋体" w:hAnsi="宋体" w:eastAsia="宋体" w:cs="宋体"/>
                <w:i w:val="0"/>
                <w:iCs w:val="0"/>
                <w:snapToGrid w:val="0"/>
                <w:color w:val="auto"/>
                <w:kern w:val="0"/>
                <w:sz w:val="24"/>
                <w:szCs w:val="24"/>
                <w:highlight w:val="none"/>
                <w:lang w:eastAsia="zh-CN" w:bidi="ar"/>
              </w:rPr>
              <w:t>；具</w:t>
            </w:r>
            <w:r>
              <w:rPr>
                <w:rFonts w:hint="eastAsia" w:ascii="宋体" w:hAnsi="宋体" w:eastAsia="宋体" w:cs="宋体"/>
                <w:i w:val="0"/>
                <w:iCs w:val="0"/>
                <w:snapToGrid w:val="0"/>
                <w:color w:val="auto"/>
                <w:kern w:val="0"/>
                <w:sz w:val="24"/>
                <w:szCs w:val="24"/>
                <w:highlight w:val="none"/>
                <w:lang w:bidi="ar"/>
              </w:rPr>
              <w:t>有中级餐饮职业经理人证书的得</w:t>
            </w:r>
            <w:r>
              <w:rPr>
                <w:rFonts w:hint="eastAsia" w:ascii="宋体" w:hAnsi="宋体" w:eastAsia="宋体" w:cs="宋体"/>
                <w:i w:val="0"/>
                <w:iCs w:val="0"/>
                <w:snapToGrid w:val="0"/>
                <w:color w:val="auto"/>
                <w:kern w:val="0"/>
                <w:sz w:val="24"/>
                <w:szCs w:val="24"/>
                <w:highlight w:val="none"/>
                <w:lang w:val="en-US" w:eastAsia="zh-CN" w:bidi="ar"/>
              </w:rPr>
              <w:t>2</w:t>
            </w:r>
            <w:r>
              <w:rPr>
                <w:rFonts w:hint="eastAsia" w:ascii="宋体" w:hAnsi="宋体" w:eastAsia="宋体" w:cs="宋体"/>
                <w:i w:val="0"/>
                <w:iCs w:val="0"/>
                <w:snapToGrid w:val="0"/>
                <w:color w:val="auto"/>
                <w:kern w:val="0"/>
                <w:sz w:val="24"/>
                <w:szCs w:val="24"/>
                <w:highlight w:val="none"/>
                <w:lang w:bidi="ar"/>
              </w:rPr>
              <w:t>分</w:t>
            </w:r>
            <w:r>
              <w:rPr>
                <w:rFonts w:hint="eastAsia" w:ascii="宋体" w:hAnsi="宋体" w:eastAsia="宋体" w:cs="宋体"/>
                <w:i w:val="0"/>
                <w:iCs w:val="0"/>
                <w:snapToGrid w:val="0"/>
                <w:color w:val="auto"/>
                <w:kern w:val="0"/>
                <w:sz w:val="24"/>
                <w:szCs w:val="24"/>
                <w:highlight w:val="none"/>
                <w:lang w:eastAsia="zh-CN" w:bidi="ar"/>
              </w:rPr>
              <w:t>；具</w:t>
            </w:r>
            <w:r>
              <w:rPr>
                <w:rFonts w:hint="eastAsia" w:ascii="宋体" w:hAnsi="宋体" w:eastAsia="宋体" w:cs="宋体"/>
                <w:i w:val="0"/>
                <w:iCs w:val="0"/>
                <w:snapToGrid w:val="0"/>
                <w:color w:val="auto"/>
                <w:kern w:val="0"/>
                <w:sz w:val="24"/>
                <w:szCs w:val="24"/>
                <w:highlight w:val="none"/>
                <w:lang w:bidi="ar"/>
              </w:rPr>
              <w:t>有初级餐饮职业经理人证书的得</w:t>
            </w:r>
            <w:r>
              <w:rPr>
                <w:rFonts w:hint="eastAsia" w:ascii="宋体" w:hAnsi="宋体" w:eastAsia="宋体" w:cs="宋体"/>
                <w:i w:val="0"/>
                <w:iCs w:val="0"/>
                <w:snapToGrid w:val="0"/>
                <w:color w:val="auto"/>
                <w:kern w:val="0"/>
                <w:sz w:val="24"/>
                <w:szCs w:val="24"/>
                <w:highlight w:val="none"/>
                <w:lang w:val="en-US" w:eastAsia="zh-CN" w:bidi="ar"/>
              </w:rPr>
              <w:t>1</w:t>
            </w:r>
            <w:r>
              <w:rPr>
                <w:rFonts w:hint="eastAsia" w:ascii="宋体" w:hAnsi="宋体" w:eastAsia="宋体" w:cs="宋体"/>
                <w:i w:val="0"/>
                <w:iCs w:val="0"/>
                <w:snapToGrid w:val="0"/>
                <w:color w:val="auto"/>
                <w:kern w:val="0"/>
                <w:sz w:val="24"/>
                <w:szCs w:val="24"/>
                <w:highlight w:val="none"/>
                <w:lang w:bidi="ar"/>
              </w:rPr>
              <w:t>分</w:t>
            </w:r>
            <w:r>
              <w:rPr>
                <w:rFonts w:hint="eastAsia" w:ascii="宋体" w:hAnsi="宋体" w:eastAsia="宋体" w:cs="宋体"/>
                <w:i w:val="0"/>
                <w:iCs w:val="0"/>
                <w:snapToGrid w:val="0"/>
                <w:color w:val="auto"/>
                <w:kern w:val="0"/>
                <w:sz w:val="24"/>
                <w:szCs w:val="24"/>
                <w:highlight w:val="none"/>
                <w:lang w:eastAsia="zh-CN" w:bidi="ar"/>
              </w:rPr>
              <w:t>；同时具备</w:t>
            </w:r>
            <w:r>
              <w:rPr>
                <w:rFonts w:hint="eastAsia" w:ascii="宋体" w:hAnsi="宋体" w:eastAsia="宋体" w:cs="宋体"/>
                <w:i w:val="0"/>
                <w:iCs w:val="0"/>
                <w:snapToGrid w:val="0"/>
                <w:color w:val="auto"/>
                <w:kern w:val="0"/>
                <w:sz w:val="24"/>
                <w:szCs w:val="24"/>
                <w:highlight w:val="none"/>
                <w:lang w:bidi="ar"/>
              </w:rPr>
              <w:t>高级</w:t>
            </w:r>
            <w:r>
              <w:rPr>
                <w:rFonts w:hint="eastAsia" w:ascii="宋体" w:hAnsi="宋体" w:eastAsia="宋体" w:cs="宋体"/>
                <w:i w:val="0"/>
                <w:iCs w:val="0"/>
                <w:snapToGrid w:val="0"/>
                <w:color w:val="auto"/>
                <w:kern w:val="0"/>
                <w:sz w:val="24"/>
                <w:szCs w:val="24"/>
                <w:highlight w:val="none"/>
                <w:lang w:eastAsia="zh-CN" w:bidi="ar"/>
              </w:rPr>
              <w:t>营养师证书的得</w:t>
            </w:r>
            <w:r>
              <w:rPr>
                <w:rFonts w:hint="eastAsia" w:ascii="宋体" w:hAnsi="宋体" w:eastAsia="宋体" w:cs="宋体"/>
                <w:i w:val="0"/>
                <w:iCs w:val="0"/>
                <w:snapToGrid w:val="0"/>
                <w:color w:val="auto"/>
                <w:kern w:val="0"/>
                <w:sz w:val="24"/>
                <w:szCs w:val="24"/>
                <w:highlight w:val="none"/>
                <w:lang w:val="en-US" w:eastAsia="zh-CN" w:bidi="ar"/>
              </w:rPr>
              <w:t>3分。</w:t>
            </w:r>
          </w:p>
          <w:p w14:paraId="2A343480">
            <w:pPr>
              <w:adjustRightInd w:val="0"/>
              <w:snapToGrid w:val="0"/>
              <w:spacing w:line="240" w:lineRule="auto"/>
              <w:ind w:firstLine="0" w:firstLineChars="0"/>
              <w:jc w:val="left"/>
              <w:rPr>
                <w:rFonts w:hint="eastAsia" w:ascii="宋体" w:hAnsi="宋体" w:eastAsia="宋体" w:cs="宋体"/>
                <w:b/>
                <w:bCs/>
                <w:i w:val="0"/>
                <w:iCs w:val="0"/>
                <w:color w:val="auto"/>
                <w:sz w:val="24"/>
                <w:szCs w:val="24"/>
                <w:highlight w:val="none"/>
                <w:lang w:val="zh-CN"/>
              </w:rPr>
            </w:pPr>
            <w:r>
              <w:rPr>
                <w:rFonts w:hint="eastAsia" w:ascii="宋体" w:hAnsi="宋体" w:eastAsia="宋体" w:cs="宋体"/>
                <w:i w:val="0"/>
                <w:iCs w:val="0"/>
                <w:color w:val="auto"/>
                <w:sz w:val="24"/>
                <w:szCs w:val="24"/>
                <w:highlight w:val="none"/>
              </w:rPr>
              <w:t>注：要求提供</w:t>
            </w:r>
            <w:r>
              <w:rPr>
                <w:rFonts w:hint="eastAsia" w:ascii="宋体" w:hAnsi="宋体" w:eastAsia="宋体" w:cs="宋体"/>
                <w:i w:val="0"/>
                <w:iCs w:val="0"/>
                <w:snapToGrid w:val="0"/>
                <w:color w:val="auto"/>
                <w:kern w:val="0"/>
                <w:sz w:val="24"/>
                <w:szCs w:val="24"/>
                <w:highlight w:val="none"/>
                <w:u w:val="none"/>
                <w:lang w:bidi="ar"/>
              </w:rPr>
              <w:t>职业经理人证书</w:t>
            </w:r>
            <w:r>
              <w:rPr>
                <w:rFonts w:hint="eastAsia" w:ascii="宋体" w:hAnsi="宋体" w:eastAsia="宋体" w:cs="宋体"/>
                <w:i w:val="0"/>
                <w:iCs w:val="0"/>
                <w:snapToGrid w:val="0"/>
                <w:color w:val="auto"/>
                <w:kern w:val="0"/>
                <w:sz w:val="24"/>
                <w:szCs w:val="24"/>
                <w:highlight w:val="none"/>
                <w:u w:val="none"/>
                <w:lang w:eastAsia="zh-CN" w:bidi="ar"/>
              </w:rPr>
              <w:t>、</w:t>
            </w:r>
            <w:r>
              <w:rPr>
                <w:rFonts w:hint="eastAsia" w:ascii="宋体" w:hAnsi="宋体" w:eastAsia="宋体" w:cs="宋体"/>
                <w:i w:val="0"/>
                <w:iCs w:val="0"/>
                <w:snapToGrid w:val="0"/>
                <w:color w:val="auto"/>
                <w:kern w:val="0"/>
                <w:sz w:val="24"/>
                <w:szCs w:val="24"/>
                <w:highlight w:val="none"/>
                <w:lang w:eastAsia="zh-CN" w:bidi="ar"/>
              </w:rPr>
              <w:t>营养师证书、</w:t>
            </w:r>
            <w:r>
              <w:rPr>
                <w:rFonts w:hint="eastAsia" w:ascii="宋体" w:hAnsi="宋体" w:eastAsia="宋体" w:cs="宋体"/>
                <w:i w:val="0"/>
                <w:iCs w:val="0"/>
                <w:color w:val="auto"/>
                <w:sz w:val="24"/>
                <w:szCs w:val="24"/>
                <w:highlight w:val="none"/>
              </w:rPr>
              <w:t>身份证复印件并加盖投标人公章</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b/>
                <w:bCs/>
                <w:color w:val="auto"/>
                <w:sz w:val="24"/>
                <w:szCs w:val="24"/>
                <w:highlight w:val="none"/>
              </w:rPr>
              <w:t>近三个月内任意一个月的在投标单位的社保证明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退休人员提供劳动合同</w:t>
            </w:r>
            <w:r>
              <w:rPr>
                <w:rFonts w:hint="eastAsia" w:ascii="宋体" w:hAnsi="宋体" w:eastAsia="宋体" w:cs="宋体"/>
                <w:b/>
                <w:bCs/>
                <w:color w:val="auto"/>
                <w:sz w:val="24"/>
                <w:szCs w:val="24"/>
                <w:highlight w:val="none"/>
                <w:lang w:eastAsia="zh-CN"/>
              </w:rPr>
              <w:t>），</w:t>
            </w:r>
            <w:r>
              <w:rPr>
                <w:rFonts w:hint="eastAsia" w:ascii="宋体" w:hAnsi="宋体" w:eastAsia="宋体" w:cs="宋体"/>
                <w:i w:val="0"/>
                <w:iCs w:val="0"/>
                <w:color w:val="auto"/>
                <w:sz w:val="24"/>
                <w:szCs w:val="24"/>
                <w:highlight w:val="none"/>
              </w:rPr>
              <w:t>不提供或提供不全、缺项漏项不得分。</w:t>
            </w:r>
          </w:p>
        </w:tc>
        <w:tc>
          <w:tcPr>
            <w:tcW w:w="754" w:type="dxa"/>
            <w:noWrap w:val="0"/>
            <w:vAlign w:val="center"/>
          </w:tcPr>
          <w:p w14:paraId="4B707B7D">
            <w:pPr>
              <w:spacing w:line="240" w:lineRule="auto"/>
              <w:ind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6</w:t>
            </w:r>
          </w:p>
        </w:tc>
        <w:tc>
          <w:tcPr>
            <w:tcW w:w="774" w:type="dxa"/>
            <w:noWrap w:val="0"/>
            <w:vAlign w:val="center"/>
          </w:tcPr>
          <w:p w14:paraId="798B4339">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客观分</w:t>
            </w:r>
          </w:p>
        </w:tc>
      </w:tr>
      <w:tr w14:paraId="5A67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546" w:type="dxa"/>
            <w:vMerge w:val="continue"/>
            <w:noWrap w:val="0"/>
            <w:vAlign w:val="center"/>
          </w:tcPr>
          <w:p w14:paraId="731CA4AA">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619EF1FD">
            <w:pPr>
              <w:spacing w:line="240" w:lineRule="auto"/>
              <w:ind w:firstLine="0" w:firstLineChars="0"/>
              <w:jc w:val="center"/>
              <w:rPr>
                <w:rFonts w:hint="eastAsia" w:ascii="宋体" w:hAnsi="宋体" w:eastAsia="宋体" w:cs="宋体"/>
                <w:i w:val="0"/>
                <w:iCs w:val="0"/>
                <w:color w:val="auto"/>
                <w:sz w:val="24"/>
                <w:szCs w:val="24"/>
                <w:highlight w:val="none"/>
                <w:lang w:val="zh-CN"/>
              </w:rPr>
            </w:pPr>
          </w:p>
        </w:tc>
        <w:tc>
          <w:tcPr>
            <w:tcW w:w="6896" w:type="dxa"/>
            <w:noWrap w:val="0"/>
            <w:vAlign w:val="center"/>
          </w:tcPr>
          <w:p w14:paraId="7CC74232">
            <w:pPr>
              <w:numPr>
                <w:ilvl w:val="0"/>
                <w:numId w:val="1"/>
              </w:numPr>
              <w:adjustRightInd w:val="0"/>
              <w:snapToGrid w:val="0"/>
              <w:spacing w:line="240" w:lineRule="auto"/>
              <w:ind w:firstLine="0" w:firstLine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拟担任本项目的厨师长具有</w:t>
            </w:r>
            <w:r>
              <w:rPr>
                <w:rFonts w:hint="eastAsia" w:ascii="宋体" w:hAnsi="宋体" w:eastAsia="宋体" w:cs="宋体"/>
                <w:i w:val="0"/>
                <w:iCs w:val="0"/>
                <w:color w:val="auto"/>
                <w:sz w:val="24"/>
                <w:szCs w:val="24"/>
                <w:highlight w:val="none"/>
                <w:lang w:val="zh-CN" w:eastAsia="zh-CN"/>
              </w:rPr>
              <w:t>中式烹调师职业资格</w:t>
            </w:r>
            <w:r>
              <w:rPr>
                <w:rFonts w:hint="eastAsia" w:ascii="宋体" w:hAnsi="宋体" w:eastAsia="宋体" w:cs="宋体"/>
                <w:i w:val="0"/>
                <w:iCs w:val="0"/>
                <w:color w:val="auto"/>
                <w:sz w:val="24"/>
                <w:szCs w:val="24"/>
                <w:highlight w:val="none"/>
                <w:lang w:val="zh-CN"/>
              </w:rPr>
              <w:t>的</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获得政府部门授予的荣誉表彰</w:t>
            </w:r>
            <w:r>
              <w:rPr>
                <w:rFonts w:hint="eastAsia" w:ascii="宋体" w:hAnsi="宋体" w:eastAsia="宋体" w:cs="宋体"/>
                <w:i w:val="0"/>
                <w:iCs w:val="0"/>
                <w:color w:val="auto"/>
                <w:sz w:val="24"/>
                <w:szCs w:val="24"/>
                <w:highlight w:val="none"/>
                <w:lang w:val="zh-CN"/>
              </w:rPr>
              <w:t>的</w:t>
            </w:r>
            <w:r>
              <w:rPr>
                <w:rFonts w:hint="eastAsia" w:ascii="宋体" w:hAnsi="宋体" w:eastAsia="宋体" w:cs="宋体"/>
                <w:i w:val="0"/>
                <w:iCs w:val="0"/>
                <w:color w:val="auto"/>
                <w:sz w:val="24"/>
                <w:szCs w:val="24"/>
                <w:highlight w:val="none"/>
                <w:lang w:val="en-US" w:eastAsia="zh-CN"/>
              </w:rPr>
              <w:t>每个加1</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最高2分；</w:t>
            </w:r>
          </w:p>
          <w:p w14:paraId="57747CDD">
            <w:pPr>
              <w:adjustRightInd w:val="0"/>
              <w:snapToGrid w:val="0"/>
              <w:spacing w:line="240" w:lineRule="auto"/>
              <w:ind w:firstLine="0" w:firstLineChars="0"/>
              <w:jc w:val="left"/>
              <w:rPr>
                <w:rFonts w:hint="eastAsia" w:ascii="宋体" w:hAnsi="宋体" w:eastAsia="宋体" w:cs="宋体"/>
                <w:b/>
                <w:bCs/>
                <w:i w:val="0"/>
                <w:iCs w:val="0"/>
                <w:color w:val="auto"/>
                <w:sz w:val="24"/>
                <w:szCs w:val="24"/>
                <w:highlight w:val="none"/>
                <w:lang w:val="zh-CN"/>
              </w:rPr>
            </w:pPr>
            <w:r>
              <w:rPr>
                <w:rFonts w:hint="eastAsia" w:ascii="宋体" w:hAnsi="宋体" w:eastAsia="宋体" w:cs="宋体"/>
                <w:i w:val="0"/>
                <w:iCs w:val="0"/>
                <w:color w:val="auto"/>
                <w:sz w:val="24"/>
                <w:szCs w:val="24"/>
                <w:highlight w:val="none"/>
              </w:rPr>
              <w:t>注：要求提供</w:t>
            </w:r>
            <w:r>
              <w:rPr>
                <w:rFonts w:hint="eastAsia" w:ascii="宋体" w:hAnsi="宋体" w:eastAsia="宋体" w:cs="宋体"/>
                <w:i w:val="0"/>
                <w:iCs w:val="0"/>
                <w:color w:val="auto"/>
                <w:sz w:val="24"/>
                <w:szCs w:val="24"/>
                <w:highlight w:val="none"/>
                <w:lang w:val="zh-CN" w:eastAsia="zh-CN"/>
              </w:rPr>
              <w:t>中式烹调师职业资格证书、</w:t>
            </w:r>
            <w:r>
              <w:rPr>
                <w:rFonts w:hint="eastAsia" w:ascii="宋体" w:hAnsi="宋体" w:eastAsia="宋体" w:cs="宋体"/>
                <w:i w:val="0"/>
                <w:iCs w:val="0"/>
                <w:color w:val="auto"/>
                <w:sz w:val="24"/>
                <w:szCs w:val="24"/>
                <w:highlight w:val="none"/>
              </w:rPr>
              <w:t>身份证复印件并加盖投标人公章</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b/>
                <w:bCs/>
                <w:color w:val="auto"/>
                <w:sz w:val="24"/>
                <w:szCs w:val="24"/>
                <w:highlight w:val="none"/>
              </w:rPr>
              <w:t>近三个月内任意一个月的在投标单位的社保证明</w:t>
            </w:r>
            <w:r>
              <w:rPr>
                <w:rFonts w:hint="eastAsia" w:ascii="宋体" w:hAnsi="宋体" w:eastAsia="宋体" w:cs="宋体"/>
                <w:b/>
                <w:bCs/>
                <w:color w:val="auto"/>
                <w:sz w:val="24"/>
                <w:szCs w:val="24"/>
                <w:highlight w:val="none"/>
                <w:lang w:eastAsia="zh-CN"/>
              </w:rPr>
              <w:t>，</w:t>
            </w:r>
            <w:r>
              <w:rPr>
                <w:rFonts w:hint="eastAsia" w:ascii="宋体" w:hAnsi="宋体" w:eastAsia="宋体" w:cs="宋体"/>
                <w:i w:val="0"/>
                <w:iCs w:val="0"/>
                <w:color w:val="auto"/>
                <w:sz w:val="24"/>
                <w:szCs w:val="24"/>
                <w:highlight w:val="none"/>
              </w:rPr>
              <w:t>不提供或提供不全、缺项漏项不得分。</w:t>
            </w:r>
          </w:p>
        </w:tc>
        <w:tc>
          <w:tcPr>
            <w:tcW w:w="754" w:type="dxa"/>
            <w:noWrap w:val="0"/>
            <w:vAlign w:val="center"/>
          </w:tcPr>
          <w:p w14:paraId="1BF16EFA">
            <w:pPr>
              <w:spacing w:line="240" w:lineRule="auto"/>
              <w:ind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5</w:t>
            </w:r>
          </w:p>
        </w:tc>
        <w:tc>
          <w:tcPr>
            <w:tcW w:w="774" w:type="dxa"/>
            <w:noWrap w:val="0"/>
            <w:vAlign w:val="center"/>
          </w:tcPr>
          <w:p w14:paraId="025C9153">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客观分</w:t>
            </w:r>
          </w:p>
        </w:tc>
      </w:tr>
      <w:tr w14:paraId="41E9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546" w:type="dxa"/>
            <w:vMerge w:val="continue"/>
            <w:noWrap w:val="0"/>
            <w:vAlign w:val="center"/>
          </w:tcPr>
          <w:p w14:paraId="22CA1111">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51A43693">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6896" w:type="dxa"/>
            <w:noWrap w:val="0"/>
            <w:vAlign w:val="center"/>
          </w:tcPr>
          <w:p w14:paraId="32A946BC">
            <w:pPr>
              <w:adjustRightInd w:val="0"/>
              <w:snapToGrid w:val="0"/>
              <w:spacing w:line="240" w:lineRule="auto"/>
              <w:ind w:firstLine="0" w:firstLineChars="0"/>
              <w:jc w:val="left"/>
              <w:rPr>
                <w:rFonts w:hint="eastAsia" w:ascii="宋体" w:hAnsi="宋体" w:eastAsia="宋体" w:cs="宋体"/>
                <w:b/>
                <w:bCs/>
                <w:i w:val="0"/>
                <w:iCs w:val="0"/>
                <w:color w:val="auto"/>
                <w:sz w:val="24"/>
                <w:szCs w:val="24"/>
                <w:highlight w:val="none"/>
                <w:lang w:val="zh-CN"/>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zh-CN"/>
              </w:rPr>
              <w:t>拟派驻本项目的工作人员（</w:t>
            </w:r>
            <w:r>
              <w:rPr>
                <w:rFonts w:hint="eastAsia" w:ascii="宋体" w:hAnsi="宋体" w:eastAsia="宋体" w:cs="宋体"/>
                <w:i w:val="0"/>
                <w:iCs w:val="0"/>
                <w:color w:val="auto"/>
                <w:sz w:val="24"/>
                <w:szCs w:val="24"/>
                <w:highlight w:val="none"/>
              </w:rPr>
              <w:t>除项目经理和厨师长外</w:t>
            </w:r>
            <w:r>
              <w:rPr>
                <w:rFonts w:hint="eastAsia" w:ascii="宋体" w:hAnsi="宋体" w:eastAsia="宋体" w:cs="宋体"/>
                <w:i w:val="0"/>
                <w:iCs w:val="0"/>
                <w:color w:val="auto"/>
                <w:sz w:val="24"/>
                <w:szCs w:val="24"/>
                <w:highlight w:val="none"/>
                <w:lang w:val="zh-CN"/>
              </w:rPr>
              <w:t>）有厨师证书的每个得</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zh-CN"/>
              </w:rPr>
              <w:t>分，最高</w:t>
            </w:r>
            <w:r>
              <w:rPr>
                <w:rFonts w:hint="eastAsia" w:ascii="宋体" w:hAnsi="宋体" w:eastAsia="宋体" w:cs="宋体"/>
                <w:i w:val="0"/>
                <w:iCs w:val="0"/>
                <w:color w:val="auto"/>
                <w:sz w:val="24"/>
                <w:szCs w:val="24"/>
                <w:highlight w:val="none"/>
                <w:lang w:val="en-US" w:eastAsia="zh-CN"/>
              </w:rPr>
              <w:t>2分</w:t>
            </w:r>
            <w:r>
              <w:rPr>
                <w:rFonts w:hint="eastAsia" w:ascii="宋体" w:hAnsi="宋体" w:eastAsia="宋体" w:cs="宋体"/>
                <w:i w:val="0"/>
                <w:iCs w:val="0"/>
                <w:color w:val="auto"/>
                <w:sz w:val="24"/>
                <w:szCs w:val="24"/>
                <w:highlight w:val="none"/>
                <w:lang w:val="zh-CN"/>
              </w:rPr>
              <w:t>；有中式面点师证书的每个得1分，最高</w:t>
            </w:r>
            <w:r>
              <w:rPr>
                <w:rFonts w:hint="eastAsia" w:ascii="宋体" w:hAnsi="宋体" w:eastAsia="宋体" w:cs="宋体"/>
                <w:i w:val="0"/>
                <w:iCs w:val="0"/>
                <w:color w:val="auto"/>
                <w:sz w:val="24"/>
                <w:szCs w:val="24"/>
                <w:highlight w:val="none"/>
                <w:lang w:val="en-US" w:eastAsia="zh-CN"/>
              </w:rPr>
              <w:t>2分</w:t>
            </w: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rPr>
              <w:t>要求提供</w:t>
            </w:r>
            <w:r>
              <w:rPr>
                <w:rFonts w:hint="eastAsia" w:ascii="宋体" w:hAnsi="宋体" w:eastAsia="宋体" w:cs="宋体"/>
                <w:i w:val="0"/>
                <w:iCs w:val="0"/>
                <w:color w:val="auto"/>
                <w:sz w:val="24"/>
                <w:szCs w:val="24"/>
                <w:highlight w:val="none"/>
                <w:lang w:val="zh-CN"/>
              </w:rPr>
              <w:t>职业资格证书</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rPr>
              <w:t>身份证复印件并加盖投标人公章</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b/>
                <w:bCs/>
                <w:color w:val="auto"/>
                <w:sz w:val="24"/>
                <w:szCs w:val="24"/>
                <w:highlight w:val="none"/>
              </w:rPr>
              <w:t>近三个月内任意一个月的在投标单位的社保证明</w:t>
            </w:r>
            <w:r>
              <w:rPr>
                <w:rFonts w:hint="eastAsia" w:ascii="宋体" w:hAnsi="宋体" w:eastAsia="宋体" w:cs="宋体"/>
                <w:b/>
                <w:bCs/>
                <w:color w:val="auto"/>
                <w:sz w:val="24"/>
                <w:szCs w:val="24"/>
                <w:highlight w:val="none"/>
                <w:lang w:eastAsia="zh-CN"/>
              </w:rPr>
              <w:t>，</w:t>
            </w:r>
            <w:r>
              <w:rPr>
                <w:rFonts w:hint="eastAsia" w:ascii="宋体" w:hAnsi="宋体" w:eastAsia="宋体" w:cs="宋体"/>
                <w:i w:val="0"/>
                <w:iCs w:val="0"/>
                <w:color w:val="auto"/>
                <w:sz w:val="24"/>
                <w:szCs w:val="24"/>
                <w:highlight w:val="none"/>
              </w:rPr>
              <w:t>不提供或提供不全、缺项漏项不得分</w:t>
            </w:r>
            <w:r>
              <w:rPr>
                <w:rFonts w:hint="eastAsia" w:ascii="宋体" w:hAnsi="宋体" w:eastAsia="宋体" w:cs="宋体"/>
                <w:i w:val="0"/>
                <w:iCs w:val="0"/>
                <w:color w:val="auto"/>
                <w:sz w:val="24"/>
                <w:szCs w:val="24"/>
                <w:highlight w:val="none"/>
                <w:lang w:val="zh-CN"/>
              </w:rPr>
              <w:t>）。</w:t>
            </w:r>
          </w:p>
        </w:tc>
        <w:tc>
          <w:tcPr>
            <w:tcW w:w="754" w:type="dxa"/>
            <w:noWrap w:val="0"/>
            <w:vAlign w:val="center"/>
          </w:tcPr>
          <w:p w14:paraId="7AF0CA2B">
            <w:pPr>
              <w:spacing w:line="240" w:lineRule="auto"/>
              <w:ind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w:t>
            </w:r>
          </w:p>
        </w:tc>
        <w:tc>
          <w:tcPr>
            <w:tcW w:w="774" w:type="dxa"/>
            <w:noWrap w:val="0"/>
            <w:vAlign w:val="center"/>
          </w:tcPr>
          <w:p w14:paraId="2BD0D7F0">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客观</w:t>
            </w:r>
            <w:r>
              <w:rPr>
                <w:rFonts w:hint="eastAsia" w:ascii="宋体" w:hAnsi="宋体" w:eastAsia="宋体" w:cs="宋体"/>
                <w:i w:val="0"/>
                <w:iCs w:val="0"/>
                <w:color w:val="auto"/>
                <w:sz w:val="24"/>
                <w:szCs w:val="24"/>
                <w:highlight w:val="none"/>
              </w:rPr>
              <w:t>分</w:t>
            </w:r>
          </w:p>
        </w:tc>
      </w:tr>
      <w:tr w14:paraId="5CB8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546" w:type="dxa"/>
            <w:vMerge w:val="continue"/>
            <w:noWrap w:val="0"/>
            <w:vAlign w:val="center"/>
          </w:tcPr>
          <w:p w14:paraId="3535BF6E">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56019485">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6896" w:type="dxa"/>
            <w:noWrap w:val="0"/>
            <w:vAlign w:val="center"/>
          </w:tcPr>
          <w:p w14:paraId="092CDAE8">
            <w:pPr>
              <w:adjustRightInd w:val="0"/>
              <w:snapToGrid w:val="0"/>
              <w:spacing w:line="240" w:lineRule="auto"/>
              <w:ind w:firstLine="0" w:firstLineChars="0"/>
              <w:jc w:val="left"/>
              <w:rPr>
                <w:rFonts w:hint="eastAsia" w:ascii="宋体" w:hAnsi="宋体" w:eastAsia="宋体" w:cs="宋体"/>
                <w:b w:val="0"/>
                <w:bCs w:val="0"/>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rPr>
              <w:t>4、</w:t>
            </w:r>
            <w:r>
              <w:rPr>
                <w:rFonts w:hint="eastAsia" w:ascii="宋体" w:hAnsi="宋体" w:eastAsia="宋体" w:cs="宋体"/>
                <w:b w:val="0"/>
                <w:bCs w:val="0"/>
                <w:i w:val="0"/>
                <w:iCs w:val="0"/>
                <w:color w:val="auto"/>
                <w:sz w:val="24"/>
                <w:szCs w:val="24"/>
                <w:highlight w:val="none"/>
                <w:lang w:val="zh-CN"/>
              </w:rPr>
              <w:t>拟派驻本项目的所有人员安全性、稳定性，如人员有无不良记录、文明礼仪、健康情况、员工就职稳定情况等是否满足采购人要求。</w:t>
            </w:r>
            <w:r>
              <w:rPr>
                <w:rStyle w:val="373"/>
                <w:rFonts w:hint="eastAsia" w:ascii="宋体" w:hAnsi="宋体" w:eastAsia="宋体" w:cs="宋体"/>
                <w:b w:val="0"/>
                <w:bCs w:val="0"/>
                <w:i w:val="0"/>
                <w:iCs w:val="0"/>
                <w:snapToGrid w:val="0"/>
                <w:color w:val="auto"/>
                <w:sz w:val="24"/>
                <w:szCs w:val="24"/>
                <w:highlight w:val="none"/>
                <w:lang w:bidi="ar"/>
              </w:rPr>
              <w:t>内容完整、规范、针对性强的得3分，内容较完整，合理性、可行性、针对性一般的得2分，内容完整度一般，存在瑕疵或不足，与本项目实际有偏差的得1分，未提供相关内容的得0分。（0-3分）</w:t>
            </w:r>
          </w:p>
          <w:p w14:paraId="5345BE47">
            <w:pPr>
              <w:adjustRightInd w:val="0"/>
              <w:snapToGrid w:val="0"/>
              <w:spacing w:line="240" w:lineRule="auto"/>
              <w:ind w:firstLine="0" w:firstLineChars="0"/>
              <w:jc w:val="left"/>
              <w:rPr>
                <w:rFonts w:hint="eastAsia" w:ascii="宋体" w:hAnsi="宋体" w:eastAsia="宋体" w:cs="宋体"/>
                <w:b/>
                <w:bCs/>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lang w:val="zh-CN"/>
              </w:rPr>
              <w:t>注：需提供相关证明、证书的复印件并加盖投标人公章。</w:t>
            </w:r>
          </w:p>
        </w:tc>
        <w:tc>
          <w:tcPr>
            <w:tcW w:w="754" w:type="dxa"/>
            <w:noWrap w:val="0"/>
            <w:vAlign w:val="center"/>
          </w:tcPr>
          <w:p w14:paraId="100DAB04">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0207AB5C">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主观分</w:t>
            </w:r>
          </w:p>
        </w:tc>
      </w:tr>
      <w:tr w14:paraId="6C99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546" w:type="dxa"/>
            <w:vMerge w:val="restart"/>
            <w:noWrap w:val="0"/>
            <w:vAlign w:val="center"/>
          </w:tcPr>
          <w:p w14:paraId="589C1D66">
            <w:pPr>
              <w:spacing w:line="240" w:lineRule="auto"/>
              <w:ind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8</w:t>
            </w:r>
          </w:p>
        </w:tc>
        <w:tc>
          <w:tcPr>
            <w:tcW w:w="1469" w:type="dxa"/>
            <w:vMerge w:val="restart"/>
            <w:noWrap w:val="0"/>
            <w:vAlign w:val="center"/>
          </w:tcPr>
          <w:p w14:paraId="08A9D16D">
            <w:pPr>
              <w:spacing w:line="240" w:lineRule="auto"/>
              <w:ind w:firstLine="0" w:firstLineChars="0"/>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rPr>
              <w:t>培训方案</w:t>
            </w:r>
          </w:p>
        </w:tc>
        <w:tc>
          <w:tcPr>
            <w:tcW w:w="6896" w:type="dxa"/>
            <w:noWrap w:val="0"/>
            <w:vAlign w:val="center"/>
          </w:tcPr>
          <w:p w14:paraId="691C099C">
            <w:pPr>
              <w:spacing w:line="240" w:lineRule="auto"/>
              <w:ind w:firstLine="0" w:firstLineChars="0"/>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1、厨师团队轮岗培训制度完善，思路清晰、培训内容科学合理，</w:t>
            </w:r>
            <w:r>
              <w:rPr>
                <w:rFonts w:hint="eastAsia" w:ascii="宋体" w:hAnsi="宋体" w:eastAsia="宋体" w:cs="宋体"/>
                <w:i w:val="0"/>
                <w:iCs w:val="0"/>
                <w:snapToGrid w:val="0"/>
                <w:color w:val="auto"/>
                <w:kern w:val="0"/>
                <w:sz w:val="24"/>
                <w:szCs w:val="24"/>
                <w:highlight w:val="none"/>
                <w:lang w:bidi="ar"/>
              </w:rPr>
              <w:t>满足采购需求，</w:t>
            </w:r>
            <w:r>
              <w:rPr>
                <w:rStyle w:val="373"/>
                <w:rFonts w:hint="eastAsia" w:ascii="宋体" w:hAnsi="宋体" w:eastAsia="宋体" w:cs="宋体"/>
                <w:i w:val="0"/>
                <w:iCs w:val="0"/>
                <w:snapToGrid w:val="0"/>
                <w:color w:val="auto"/>
                <w:sz w:val="24"/>
                <w:szCs w:val="24"/>
                <w:highlight w:val="none"/>
                <w:lang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67FA3EF8">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65C22F30">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3EDD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546" w:type="dxa"/>
            <w:vMerge w:val="continue"/>
            <w:noWrap w:val="0"/>
            <w:vAlign w:val="center"/>
          </w:tcPr>
          <w:p w14:paraId="6FEC5F4A">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1469" w:type="dxa"/>
            <w:vMerge w:val="continue"/>
            <w:noWrap w:val="0"/>
            <w:vAlign w:val="center"/>
          </w:tcPr>
          <w:p w14:paraId="4F7D3F46">
            <w:pPr>
              <w:spacing w:line="240" w:lineRule="auto"/>
              <w:ind w:firstLine="0" w:firstLineChars="0"/>
              <w:jc w:val="center"/>
              <w:rPr>
                <w:rFonts w:hint="eastAsia" w:ascii="宋体" w:hAnsi="宋体" w:eastAsia="宋体" w:cs="宋体"/>
                <w:i w:val="0"/>
                <w:iCs w:val="0"/>
                <w:color w:val="auto"/>
                <w:sz w:val="24"/>
                <w:szCs w:val="24"/>
                <w:highlight w:val="none"/>
              </w:rPr>
            </w:pPr>
          </w:p>
        </w:tc>
        <w:tc>
          <w:tcPr>
            <w:tcW w:w="6896" w:type="dxa"/>
            <w:noWrap w:val="0"/>
            <w:vAlign w:val="center"/>
          </w:tcPr>
          <w:p w14:paraId="7D8E3678">
            <w:pPr>
              <w:spacing w:line="240" w:lineRule="auto"/>
              <w:ind w:firstLine="0" w:firstLineChars="0"/>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2、服务团队的培训制度完善，思路清晰、培训内容科学合理，</w:t>
            </w:r>
            <w:r>
              <w:rPr>
                <w:rFonts w:hint="eastAsia" w:ascii="宋体" w:hAnsi="宋体" w:eastAsia="宋体" w:cs="宋体"/>
                <w:i w:val="0"/>
                <w:iCs w:val="0"/>
                <w:snapToGrid w:val="0"/>
                <w:color w:val="auto"/>
                <w:kern w:val="0"/>
                <w:sz w:val="24"/>
                <w:szCs w:val="24"/>
                <w:highlight w:val="none"/>
                <w:lang w:bidi="ar"/>
              </w:rPr>
              <w:t>满足采购需求，</w:t>
            </w:r>
            <w:r>
              <w:rPr>
                <w:rStyle w:val="373"/>
                <w:rFonts w:hint="eastAsia" w:ascii="宋体" w:hAnsi="宋体" w:eastAsia="宋体" w:cs="宋体"/>
                <w:i w:val="0"/>
                <w:iCs w:val="0"/>
                <w:snapToGrid w:val="0"/>
                <w:color w:val="auto"/>
                <w:sz w:val="24"/>
                <w:szCs w:val="24"/>
                <w:highlight w:val="none"/>
                <w:lang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3B009B97">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23B66A35">
            <w:pPr>
              <w:widowControl/>
              <w:spacing w:line="240" w:lineRule="auto"/>
              <w:ind w:firstLine="0" w:firstLineChars="0"/>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kern w:val="0"/>
                <w:sz w:val="24"/>
                <w:szCs w:val="24"/>
                <w:highlight w:val="none"/>
                <w:lang w:bidi="ar"/>
              </w:rPr>
              <w:t>主观分</w:t>
            </w:r>
          </w:p>
        </w:tc>
      </w:tr>
      <w:tr w14:paraId="5195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46" w:type="dxa"/>
            <w:noWrap w:val="0"/>
            <w:vAlign w:val="center"/>
          </w:tcPr>
          <w:p w14:paraId="6FC82686">
            <w:pPr>
              <w:spacing w:line="240" w:lineRule="auto"/>
              <w:ind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9</w:t>
            </w:r>
          </w:p>
        </w:tc>
        <w:tc>
          <w:tcPr>
            <w:tcW w:w="1469" w:type="dxa"/>
            <w:noWrap w:val="0"/>
            <w:vAlign w:val="center"/>
          </w:tcPr>
          <w:p w14:paraId="15D2B076">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特色服务优惠方案</w:t>
            </w:r>
          </w:p>
        </w:tc>
        <w:tc>
          <w:tcPr>
            <w:tcW w:w="6896" w:type="dxa"/>
            <w:noWrap w:val="0"/>
            <w:vAlign w:val="center"/>
          </w:tcPr>
          <w:p w14:paraId="2F462E9D">
            <w:pPr>
              <w:pStyle w:val="258"/>
              <w:spacing w:before="0" w:line="240" w:lineRule="auto"/>
              <w:ind w:firstLine="0" w:firstLineChars="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bidi="ar"/>
              </w:rPr>
              <w:t>根据投标人针对本项目</w:t>
            </w:r>
            <w:r>
              <w:rPr>
                <w:rFonts w:hint="eastAsia" w:ascii="宋体" w:hAnsi="宋体" w:eastAsia="宋体" w:cs="宋体"/>
                <w:i w:val="0"/>
                <w:iCs w:val="0"/>
                <w:color w:val="auto"/>
                <w:sz w:val="24"/>
                <w:szCs w:val="24"/>
                <w:highlight w:val="none"/>
              </w:rPr>
              <w:t>提供的特色服务</w:t>
            </w:r>
            <w:r>
              <w:rPr>
                <w:rFonts w:hint="eastAsia" w:ascii="宋体" w:hAnsi="宋体" w:eastAsia="宋体" w:cs="宋体"/>
                <w:i w:val="0"/>
                <w:iCs w:val="0"/>
                <w:color w:val="auto"/>
                <w:sz w:val="24"/>
                <w:szCs w:val="24"/>
                <w:highlight w:val="none"/>
                <w:lang w:bidi="ar"/>
              </w:rPr>
              <w:t>及菜品创新亮点及其他配套服务承诺和优惠方案是否满足采购需</w:t>
            </w:r>
            <w:r>
              <w:rPr>
                <w:rFonts w:hint="eastAsia" w:ascii="宋体" w:hAnsi="宋体" w:eastAsia="宋体" w:cs="宋体"/>
                <w:i w:val="0"/>
                <w:iCs w:val="0"/>
                <w:snapToGrid w:val="0"/>
                <w:color w:val="auto"/>
                <w:kern w:val="0"/>
                <w:sz w:val="24"/>
                <w:szCs w:val="24"/>
                <w:highlight w:val="none"/>
                <w:lang w:bidi="ar"/>
              </w:rPr>
              <w:t>求，</w:t>
            </w:r>
            <w:r>
              <w:rPr>
                <w:rStyle w:val="373"/>
                <w:rFonts w:hint="eastAsia" w:ascii="宋体" w:hAnsi="宋体" w:eastAsia="宋体" w:cs="宋体"/>
                <w:i w:val="0"/>
                <w:iCs w:val="0"/>
                <w:snapToGrid w:val="0"/>
                <w:color w:val="auto"/>
                <w:sz w:val="24"/>
                <w:szCs w:val="24"/>
                <w:highlight w:val="none"/>
                <w:lang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754" w:type="dxa"/>
            <w:noWrap w:val="0"/>
            <w:vAlign w:val="center"/>
          </w:tcPr>
          <w:p w14:paraId="5FEF8697">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774" w:type="dxa"/>
            <w:noWrap w:val="0"/>
            <w:vAlign w:val="center"/>
          </w:tcPr>
          <w:p w14:paraId="6BDC8820">
            <w:pPr>
              <w:widowControl/>
              <w:spacing w:line="240" w:lineRule="auto"/>
              <w:ind w:firstLine="0" w:firstLineChars="0"/>
              <w:jc w:val="center"/>
              <w:textAlignment w:val="center"/>
              <w:rPr>
                <w:rFonts w:hint="eastAsia" w:ascii="宋体" w:hAnsi="宋体" w:eastAsia="宋体" w:cs="宋体"/>
                <w:i w:val="0"/>
                <w:iCs w:val="0"/>
                <w:snapToGrid w:val="0"/>
                <w:color w:val="auto"/>
                <w:kern w:val="0"/>
                <w:sz w:val="24"/>
                <w:szCs w:val="24"/>
                <w:highlight w:val="none"/>
                <w:lang w:bidi="ar"/>
              </w:rPr>
            </w:pPr>
            <w:r>
              <w:rPr>
                <w:rFonts w:hint="eastAsia" w:ascii="宋体" w:hAnsi="宋体" w:eastAsia="宋体" w:cs="宋体"/>
                <w:i w:val="0"/>
                <w:iCs w:val="0"/>
                <w:snapToGrid w:val="0"/>
                <w:color w:val="auto"/>
                <w:kern w:val="0"/>
                <w:sz w:val="24"/>
                <w:szCs w:val="24"/>
                <w:highlight w:val="none"/>
                <w:lang w:bidi="ar"/>
              </w:rPr>
              <w:t>主观分</w:t>
            </w:r>
          </w:p>
        </w:tc>
      </w:tr>
      <w:tr w14:paraId="64F0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46" w:type="dxa"/>
            <w:noWrap w:val="0"/>
            <w:vAlign w:val="center"/>
          </w:tcPr>
          <w:p w14:paraId="5FA6BEB1">
            <w:pPr>
              <w:spacing w:line="240" w:lineRule="auto"/>
              <w:ind w:firstLine="0" w:firstLineChars="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w:t>
            </w:r>
          </w:p>
        </w:tc>
        <w:tc>
          <w:tcPr>
            <w:tcW w:w="1469" w:type="dxa"/>
            <w:noWrap w:val="0"/>
            <w:vAlign w:val="center"/>
          </w:tcPr>
          <w:p w14:paraId="16C71CCE">
            <w:pPr>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食品安全责任保险</w:t>
            </w:r>
          </w:p>
        </w:tc>
        <w:tc>
          <w:tcPr>
            <w:tcW w:w="6896" w:type="dxa"/>
            <w:noWrap w:val="0"/>
            <w:vAlign w:val="center"/>
          </w:tcPr>
          <w:p w14:paraId="7912ACEB">
            <w:pPr>
              <w:pStyle w:val="258"/>
              <w:spacing w:before="0" w:line="240" w:lineRule="auto"/>
              <w:ind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国家鼓励食品生产经营企业参加食品安全责任保险。投标人承诺中标后投保200万保额食品安全责任保险的，得</w:t>
            </w: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分。</w:t>
            </w:r>
          </w:p>
          <w:p w14:paraId="24A7F4DC">
            <w:pPr>
              <w:pStyle w:val="258"/>
              <w:spacing w:before="0" w:line="240" w:lineRule="auto"/>
              <w:ind w:firstLine="0" w:firstLineChars="0"/>
              <w:rPr>
                <w:rFonts w:hint="eastAsia" w:ascii="宋体" w:hAnsi="宋体" w:eastAsia="宋体" w:cs="宋体"/>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注：以上须提供承诺函并加盖投标人公章。</w:t>
            </w:r>
          </w:p>
        </w:tc>
        <w:tc>
          <w:tcPr>
            <w:tcW w:w="754" w:type="dxa"/>
            <w:noWrap w:val="0"/>
            <w:vAlign w:val="center"/>
          </w:tcPr>
          <w:p w14:paraId="72886076">
            <w:pPr>
              <w:spacing w:line="240" w:lineRule="auto"/>
              <w:ind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w:t>
            </w:r>
          </w:p>
        </w:tc>
        <w:tc>
          <w:tcPr>
            <w:tcW w:w="774" w:type="dxa"/>
            <w:noWrap w:val="0"/>
            <w:vAlign w:val="center"/>
          </w:tcPr>
          <w:p w14:paraId="2CFD11FD">
            <w:pPr>
              <w:widowControl/>
              <w:spacing w:line="240" w:lineRule="auto"/>
              <w:ind w:firstLine="0" w:firstLineChars="0"/>
              <w:jc w:val="center"/>
              <w:textAlignment w:val="center"/>
              <w:rPr>
                <w:rFonts w:hint="eastAsia" w:ascii="宋体" w:hAnsi="宋体" w:eastAsia="宋体" w:cs="宋体"/>
                <w:i w:val="0"/>
                <w:iCs w:val="0"/>
                <w:snapToGrid w:val="0"/>
                <w:color w:val="auto"/>
                <w:kern w:val="0"/>
                <w:sz w:val="24"/>
                <w:szCs w:val="24"/>
                <w:highlight w:val="none"/>
                <w:lang w:bidi="ar"/>
              </w:rPr>
            </w:pPr>
            <w:r>
              <w:rPr>
                <w:rFonts w:hint="eastAsia" w:ascii="宋体" w:hAnsi="宋体" w:eastAsia="宋体" w:cs="宋体"/>
                <w:i w:val="0"/>
                <w:iCs w:val="0"/>
                <w:snapToGrid w:val="0"/>
                <w:color w:val="auto"/>
                <w:kern w:val="0"/>
                <w:sz w:val="24"/>
                <w:szCs w:val="24"/>
                <w:highlight w:val="none"/>
                <w:lang w:bidi="ar"/>
              </w:rPr>
              <w:t>客观分</w:t>
            </w:r>
          </w:p>
        </w:tc>
      </w:tr>
      <w:tr w14:paraId="3FDC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546" w:type="dxa"/>
            <w:noWrap w:val="0"/>
            <w:vAlign w:val="center"/>
          </w:tcPr>
          <w:p w14:paraId="3153F377">
            <w:pPr>
              <w:spacing w:line="240" w:lineRule="auto"/>
              <w:ind w:firstLine="0" w:firstLineChars="0"/>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11</w:t>
            </w:r>
          </w:p>
        </w:tc>
        <w:tc>
          <w:tcPr>
            <w:tcW w:w="1469" w:type="dxa"/>
            <w:noWrap w:val="0"/>
            <w:vAlign w:val="center"/>
          </w:tcPr>
          <w:p w14:paraId="281BA3C8">
            <w:pPr>
              <w:widowControl/>
              <w:spacing w:line="240" w:lineRule="auto"/>
              <w:ind w:firstLine="0" w:firstLineChars="0"/>
              <w:jc w:val="center"/>
              <w:textAlignment w:val="center"/>
              <w:rPr>
                <w:rFonts w:hint="eastAsia" w:ascii="宋体" w:hAnsi="宋体" w:eastAsia="宋体" w:cs="宋体"/>
                <w:i w:val="0"/>
                <w:iCs w:val="0"/>
                <w:snapToGrid w:val="0"/>
                <w:color w:val="auto"/>
                <w:kern w:val="0"/>
                <w:sz w:val="24"/>
                <w:szCs w:val="24"/>
                <w:highlight w:val="none"/>
                <w:lang w:val="en-US" w:eastAsia="zh-CN" w:bidi="ar"/>
              </w:rPr>
            </w:pPr>
            <w:r>
              <w:rPr>
                <w:rFonts w:hint="eastAsia" w:ascii="宋体" w:hAnsi="宋体" w:eastAsia="宋体" w:cs="宋体"/>
                <w:i w:val="0"/>
                <w:iCs w:val="0"/>
                <w:snapToGrid w:val="0"/>
                <w:color w:val="auto"/>
                <w:kern w:val="0"/>
                <w:sz w:val="24"/>
                <w:szCs w:val="24"/>
                <w:highlight w:val="none"/>
                <w:lang w:val="en-US" w:eastAsia="zh-CN" w:bidi="ar"/>
              </w:rPr>
              <w:t>企业荣誉</w:t>
            </w:r>
          </w:p>
        </w:tc>
        <w:tc>
          <w:tcPr>
            <w:tcW w:w="6896" w:type="dxa"/>
            <w:noWrap w:val="0"/>
            <w:vAlign w:val="center"/>
          </w:tcPr>
          <w:p w14:paraId="554AFE0B">
            <w:pPr>
              <w:widowControl/>
              <w:spacing w:line="240" w:lineRule="auto"/>
              <w:ind w:firstLine="0" w:firstLineChars="0"/>
              <w:jc w:val="left"/>
              <w:textAlignment w:val="center"/>
              <w:rPr>
                <w:rFonts w:hint="eastAsia" w:ascii="宋体" w:hAnsi="宋体" w:eastAsia="宋体" w:cs="宋体"/>
                <w:i w:val="0"/>
                <w:iCs w:val="0"/>
                <w:snapToGrid w:val="0"/>
                <w:color w:val="auto"/>
                <w:kern w:val="0"/>
                <w:sz w:val="24"/>
                <w:szCs w:val="24"/>
                <w:highlight w:val="none"/>
                <w:lang w:bidi="ar"/>
              </w:rPr>
            </w:pPr>
            <w:r>
              <w:rPr>
                <w:rFonts w:hint="eastAsia" w:ascii="宋体" w:hAnsi="宋体" w:eastAsia="宋体" w:cs="宋体"/>
                <w:i w:val="0"/>
                <w:iCs w:val="0"/>
                <w:snapToGrid w:val="0"/>
                <w:color w:val="auto"/>
                <w:kern w:val="0"/>
                <w:sz w:val="24"/>
                <w:szCs w:val="24"/>
                <w:highlight w:val="none"/>
                <w:lang w:val="en-US" w:eastAsia="zh-CN" w:bidi="ar"/>
              </w:rPr>
              <w:t>2020年1月1日以来投标人获得过政府部门授予的相关表彰每个得1分，本项最高得2分。（需提供相关证明材料，否则不得分）</w:t>
            </w:r>
          </w:p>
        </w:tc>
        <w:tc>
          <w:tcPr>
            <w:tcW w:w="754" w:type="dxa"/>
            <w:noWrap w:val="0"/>
            <w:vAlign w:val="center"/>
          </w:tcPr>
          <w:p w14:paraId="17E8055E">
            <w:pPr>
              <w:spacing w:line="240" w:lineRule="auto"/>
              <w:ind w:firstLine="0" w:firstLineChars="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p>
        </w:tc>
        <w:tc>
          <w:tcPr>
            <w:tcW w:w="774" w:type="dxa"/>
            <w:noWrap w:val="0"/>
            <w:vAlign w:val="center"/>
          </w:tcPr>
          <w:p w14:paraId="19D6445C">
            <w:pPr>
              <w:widowControl/>
              <w:spacing w:line="240" w:lineRule="auto"/>
              <w:ind w:firstLine="0" w:firstLineChars="0"/>
              <w:jc w:val="center"/>
              <w:textAlignment w:val="center"/>
              <w:rPr>
                <w:rFonts w:hint="eastAsia" w:ascii="宋体" w:hAnsi="宋体" w:eastAsia="宋体" w:cs="宋体"/>
                <w:i w:val="0"/>
                <w:iCs w:val="0"/>
                <w:snapToGrid w:val="0"/>
                <w:color w:val="auto"/>
                <w:kern w:val="0"/>
                <w:sz w:val="24"/>
                <w:szCs w:val="24"/>
                <w:highlight w:val="none"/>
                <w:lang w:eastAsia="zh-CN" w:bidi="ar"/>
              </w:rPr>
            </w:pPr>
            <w:r>
              <w:rPr>
                <w:rFonts w:hint="eastAsia" w:ascii="宋体" w:hAnsi="宋体" w:eastAsia="宋体" w:cs="宋体"/>
                <w:i w:val="0"/>
                <w:iCs w:val="0"/>
                <w:snapToGrid w:val="0"/>
                <w:color w:val="auto"/>
                <w:kern w:val="0"/>
                <w:sz w:val="24"/>
                <w:szCs w:val="24"/>
                <w:highlight w:val="none"/>
                <w:lang w:bidi="ar"/>
              </w:rPr>
              <w:t>客观分</w:t>
            </w:r>
          </w:p>
        </w:tc>
      </w:tr>
      <w:tr w14:paraId="362F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546" w:type="dxa"/>
            <w:noWrap w:val="0"/>
            <w:vAlign w:val="center"/>
          </w:tcPr>
          <w:p w14:paraId="7B9EF62B">
            <w:pPr>
              <w:spacing w:line="240" w:lineRule="auto"/>
              <w:ind w:firstLine="0" w:firstLineChars="0"/>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12</w:t>
            </w:r>
          </w:p>
        </w:tc>
        <w:tc>
          <w:tcPr>
            <w:tcW w:w="1469" w:type="dxa"/>
            <w:noWrap w:val="0"/>
            <w:vAlign w:val="center"/>
          </w:tcPr>
          <w:p w14:paraId="16EA1D72">
            <w:pPr>
              <w:widowControl/>
              <w:spacing w:line="240" w:lineRule="auto"/>
              <w:ind w:firstLine="0" w:firstLineChars="0"/>
              <w:jc w:val="center"/>
              <w:textAlignment w:val="center"/>
              <w:rPr>
                <w:rFonts w:hint="eastAsia" w:ascii="宋体" w:hAnsi="宋体" w:eastAsia="宋体" w:cs="宋体"/>
                <w:i w:val="0"/>
                <w:iCs w:val="0"/>
                <w:snapToGrid w:val="0"/>
                <w:color w:val="auto"/>
                <w:kern w:val="0"/>
                <w:sz w:val="24"/>
                <w:szCs w:val="24"/>
                <w:highlight w:val="none"/>
                <w:lang w:val="en-US" w:eastAsia="zh-CN" w:bidi="ar"/>
              </w:rPr>
            </w:pPr>
            <w:r>
              <w:rPr>
                <w:rFonts w:hint="eastAsia" w:ascii="宋体" w:hAnsi="宋体" w:eastAsia="宋体" w:cs="宋体"/>
                <w:i w:val="0"/>
                <w:iCs w:val="0"/>
                <w:snapToGrid w:val="0"/>
                <w:color w:val="auto"/>
                <w:kern w:val="0"/>
                <w:sz w:val="24"/>
                <w:szCs w:val="24"/>
                <w:highlight w:val="none"/>
                <w:lang w:val="en-US" w:eastAsia="zh-CN" w:bidi="ar"/>
              </w:rPr>
              <w:t>价格</w:t>
            </w:r>
          </w:p>
        </w:tc>
        <w:tc>
          <w:tcPr>
            <w:tcW w:w="6896" w:type="dxa"/>
            <w:noWrap w:val="0"/>
            <w:vAlign w:val="center"/>
          </w:tcPr>
          <w:p w14:paraId="52144C07">
            <w:pPr>
              <w:widowControl/>
              <w:spacing w:line="240" w:lineRule="auto"/>
              <w:ind w:firstLine="0" w:firstLineChars="0"/>
              <w:jc w:val="left"/>
              <w:textAlignment w:val="center"/>
              <w:rPr>
                <w:rFonts w:hint="eastAsia" w:ascii="宋体" w:hAnsi="宋体" w:eastAsia="宋体" w:cs="宋体"/>
                <w:i w:val="0"/>
                <w:iCs w:val="0"/>
                <w:snapToGrid w:val="0"/>
                <w:color w:val="auto"/>
                <w:kern w:val="0"/>
                <w:sz w:val="24"/>
                <w:szCs w:val="24"/>
                <w:highlight w:val="none"/>
                <w:lang w:val="en-US" w:eastAsia="zh-CN" w:bidi="ar"/>
              </w:rPr>
            </w:pPr>
            <w:r>
              <w:rPr>
                <w:rFonts w:hint="eastAsia" w:ascii="宋体" w:hAnsi="宋体" w:eastAsia="宋体" w:cs="宋体"/>
                <w:i w:val="0"/>
                <w:iCs w:val="0"/>
                <w:snapToGrid w:val="0"/>
                <w:color w:val="auto"/>
                <w:kern w:val="0"/>
                <w:sz w:val="24"/>
                <w:szCs w:val="24"/>
                <w:highlight w:val="none"/>
                <w:lang w:val="en-US" w:eastAsia="zh-CN" w:bidi="ar"/>
              </w:rPr>
              <w:t>有效投标报价的最低价作为评标基准价，其最低报价为满分；按［投标报价得分=（评标基准价/投标报价）*10］的计算公式计算。评标过程中，不得去掉报价中的最高报价和最低报价。</w:t>
            </w:r>
          </w:p>
        </w:tc>
        <w:tc>
          <w:tcPr>
            <w:tcW w:w="754" w:type="dxa"/>
            <w:noWrap w:val="0"/>
            <w:vAlign w:val="center"/>
          </w:tcPr>
          <w:p w14:paraId="55C3040E">
            <w:pPr>
              <w:spacing w:line="240" w:lineRule="auto"/>
              <w:ind w:firstLine="0" w:firstLineChars="0"/>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w:t>
            </w:r>
          </w:p>
        </w:tc>
        <w:tc>
          <w:tcPr>
            <w:tcW w:w="774" w:type="dxa"/>
            <w:noWrap w:val="0"/>
            <w:vAlign w:val="center"/>
          </w:tcPr>
          <w:p w14:paraId="625E856F">
            <w:pPr>
              <w:widowControl/>
              <w:spacing w:line="240" w:lineRule="auto"/>
              <w:ind w:firstLine="0" w:firstLineChars="0"/>
              <w:jc w:val="center"/>
              <w:textAlignment w:val="center"/>
              <w:rPr>
                <w:rFonts w:hint="eastAsia" w:ascii="宋体" w:hAnsi="宋体" w:eastAsia="宋体" w:cs="宋体"/>
                <w:i w:val="0"/>
                <w:iCs w:val="0"/>
                <w:snapToGrid w:val="0"/>
                <w:color w:val="auto"/>
                <w:kern w:val="0"/>
                <w:sz w:val="24"/>
                <w:szCs w:val="24"/>
                <w:highlight w:val="none"/>
                <w:lang w:eastAsia="zh-CN" w:bidi="ar"/>
              </w:rPr>
            </w:pPr>
            <w:r>
              <w:rPr>
                <w:rFonts w:hint="eastAsia" w:ascii="宋体" w:hAnsi="宋体" w:eastAsia="宋体" w:cs="宋体"/>
                <w:i w:val="0"/>
                <w:iCs w:val="0"/>
                <w:snapToGrid w:val="0"/>
                <w:color w:val="auto"/>
                <w:kern w:val="0"/>
                <w:sz w:val="24"/>
                <w:szCs w:val="24"/>
                <w:highlight w:val="none"/>
                <w:lang w:eastAsia="zh-CN" w:bidi="ar"/>
              </w:rPr>
              <w:t>价格分</w:t>
            </w:r>
          </w:p>
        </w:tc>
      </w:tr>
    </w:tbl>
    <w:p w14:paraId="10D25606">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408" w:name="第五部分"/>
      <w:bookmarkStart w:id="409"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2"/>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410" w:name="_Toc19273"/>
      <w:bookmarkStart w:id="411" w:name="_Toc15367"/>
      <w:bookmarkStart w:id="412" w:name="_Toc22967"/>
      <w:bookmarkStart w:id="413" w:name="_Toc20421"/>
      <w:bookmarkStart w:id="414"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10"/>
      <w:bookmarkEnd w:id="411"/>
      <w:bookmarkEnd w:id="412"/>
      <w:bookmarkEnd w:id="413"/>
      <w:bookmarkEnd w:id="414"/>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15" w:name="_Toc6773"/>
      <w:bookmarkStart w:id="416" w:name="_Toc2918"/>
      <w:bookmarkStart w:id="417" w:name="_Toc22185"/>
      <w:bookmarkStart w:id="418" w:name="_Toc6311"/>
      <w:bookmarkStart w:id="419"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15"/>
      <w:bookmarkEnd w:id="416"/>
      <w:bookmarkEnd w:id="417"/>
      <w:bookmarkEnd w:id="418"/>
      <w:bookmarkEnd w:id="419"/>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20" w:name="_Toc13918"/>
      <w:bookmarkStart w:id="421" w:name="_Toc4929"/>
      <w:bookmarkStart w:id="422" w:name="_Toc1386"/>
      <w:bookmarkStart w:id="423" w:name="_Toc21124"/>
      <w:bookmarkStart w:id="424"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20"/>
      <w:bookmarkEnd w:id="421"/>
      <w:bookmarkEnd w:id="422"/>
      <w:bookmarkEnd w:id="423"/>
      <w:bookmarkEnd w:id="424"/>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25" w:name="_Toc3654"/>
      <w:bookmarkStart w:id="426" w:name="_Toc26916"/>
      <w:bookmarkStart w:id="427" w:name="_Toc30158"/>
      <w:bookmarkStart w:id="428" w:name="_Toc30506"/>
      <w:bookmarkStart w:id="429"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5"/>
    <w:bookmarkEnd w:id="426"/>
    <w:bookmarkEnd w:id="427"/>
    <w:bookmarkEnd w:id="428"/>
    <w:bookmarkEnd w:id="429"/>
    <w:p w14:paraId="2F5CCC91">
      <w:pPr>
        <w:pStyle w:val="960"/>
        <w:spacing w:before="0" w:beforeAutospacing="0" w:after="0" w:afterAutospacing="0" w:line="360" w:lineRule="auto"/>
        <w:ind w:firstLine="480"/>
        <w:rPr>
          <w:b/>
          <w:color w:val="auto"/>
          <w:highlight w:val="none"/>
        </w:rPr>
      </w:pPr>
      <w:bookmarkStart w:id="430" w:name="_Toc1814"/>
      <w:bookmarkStart w:id="431" w:name="_Toc10340"/>
      <w:bookmarkStart w:id="432" w:name="_Toc22618"/>
      <w:bookmarkStart w:id="433" w:name="_Toc31421"/>
      <w:bookmarkStart w:id="434" w:name="_Toc3625"/>
      <w:bookmarkStart w:id="435" w:name="_Toc11108"/>
      <w:bookmarkStart w:id="436" w:name="_Toc4760"/>
      <w:bookmarkStart w:id="437" w:name="_Toc8772"/>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30"/>
      <w:bookmarkEnd w:id="431"/>
      <w:bookmarkEnd w:id="432"/>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33"/>
      <w:bookmarkEnd w:id="434"/>
      <w:bookmarkEnd w:id="435"/>
      <w:bookmarkEnd w:id="436"/>
      <w:bookmarkEnd w:id="437"/>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38" w:name="_Toc5698"/>
      <w:bookmarkStart w:id="439" w:name="_Toc3079"/>
      <w:bookmarkStart w:id="440" w:name="_Toc8586"/>
      <w:bookmarkStart w:id="441" w:name="_Toc2375"/>
      <w:bookmarkStart w:id="442"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8"/>
      <w:bookmarkEnd w:id="439"/>
      <w:bookmarkEnd w:id="440"/>
      <w:bookmarkEnd w:id="441"/>
      <w:bookmarkEnd w:id="442"/>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43" w:name="_Toc26807"/>
      <w:bookmarkStart w:id="444" w:name="_Toc30329"/>
      <w:bookmarkStart w:id="445" w:name="_Toc32454"/>
      <w:bookmarkStart w:id="446" w:name="_Toc18683"/>
      <w:bookmarkStart w:id="447"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43"/>
    <w:bookmarkEnd w:id="444"/>
    <w:bookmarkEnd w:id="445"/>
    <w:bookmarkEnd w:id="446"/>
    <w:bookmarkEnd w:id="447"/>
    <w:p w14:paraId="1A3040A7">
      <w:pPr>
        <w:spacing w:line="560" w:lineRule="exact"/>
        <w:ind w:firstLine="482" w:firstLineChars="200"/>
        <w:outlineLvl w:val="0"/>
        <w:rPr>
          <w:rFonts w:ascii="宋体" w:hAnsi="宋体" w:cs="宋体"/>
          <w:b/>
          <w:color w:val="auto"/>
          <w:sz w:val="24"/>
          <w:highlight w:val="none"/>
        </w:rPr>
      </w:pPr>
      <w:bookmarkStart w:id="448" w:name="_Toc15583"/>
      <w:bookmarkStart w:id="449" w:name="_Toc16021"/>
      <w:bookmarkStart w:id="450" w:name="_Toc28375"/>
      <w:r>
        <w:rPr>
          <w:rFonts w:hint="eastAsia" w:ascii="宋体" w:hAnsi="宋体" w:cs="宋体"/>
          <w:b/>
          <w:color w:val="auto"/>
          <w:sz w:val="24"/>
          <w:highlight w:val="none"/>
        </w:rPr>
        <w:t>1.9合同争议的解决</w:t>
      </w:r>
      <w:bookmarkEnd w:id="448"/>
      <w:bookmarkEnd w:id="449"/>
      <w:bookmarkEnd w:id="450"/>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51" w:name="_Toc15322"/>
      <w:bookmarkStart w:id="452" w:name="_Toc11173"/>
      <w:bookmarkStart w:id="453" w:name="_Toc7245"/>
      <w:r>
        <w:rPr>
          <w:rFonts w:hint="eastAsia" w:ascii="宋体" w:hAnsi="宋体" w:cs="宋体"/>
          <w:b/>
          <w:color w:val="auto"/>
          <w:sz w:val="24"/>
          <w:highlight w:val="none"/>
        </w:rPr>
        <w:t>2.0 合同生效</w:t>
      </w:r>
      <w:bookmarkEnd w:id="451"/>
      <w:bookmarkEnd w:id="452"/>
      <w:bookmarkEnd w:id="453"/>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54" w:name="_Toc19680"/>
      <w:bookmarkStart w:id="455" w:name="_Toc25079"/>
      <w:bookmarkStart w:id="456" w:name="_Toc31297"/>
      <w:bookmarkStart w:id="457" w:name="_Toc5228"/>
      <w:bookmarkStart w:id="458" w:name="_Toc14021"/>
      <w:r>
        <w:rPr>
          <w:rFonts w:ascii="宋体" w:hAnsi="宋体"/>
          <w:b/>
          <w:color w:val="auto"/>
          <w:sz w:val="24"/>
          <w:highlight w:val="none"/>
        </w:rPr>
        <w:t>2.1 定义</w:t>
      </w:r>
      <w:bookmarkEnd w:id="454"/>
      <w:bookmarkEnd w:id="455"/>
      <w:bookmarkEnd w:id="456"/>
      <w:bookmarkEnd w:id="457"/>
      <w:bookmarkEnd w:id="458"/>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59" w:name="_Toc16752"/>
      <w:bookmarkStart w:id="460" w:name="_Toc23289"/>
      <w:bookmarkStart w:id="461" w:name="_Toc3769"/>
      <w:bookmarkStart w:id="462" w:name="_Toc31402"/>
      <w:bookmarkStart w:id="463" w:name="_Toc19539"/>
      <w:r>
        <w:rPr>
          <w:rFonts w:ascii="宋体" w:hAnsi="宋体"/>
          <w:b/>
          <w:color w:val="auto"/>
          <w:sz w:val="24"/>
          <w:highlight w:val="none"/>
        </w:rPr>
        <w:t>2.2 技术规范</w:t>
      </w:r>
      <w:bookmarkEnd w:id="459"/>
      <w:bookmarkEnd w:id="460"/>
      <w:bookmarkEnd w:id="461"/>
      <w:bookmarkEnd w:id="462"/>
      <w:bookmarkEnd w:id="463"/>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64" w:name="_Toc4133"/>
      <w:bookmarkStart w:id="465" w:name="_Toc27945"/>
      <w:bookmarkStart w:id="466" w:name="_Toc9161"/>
      <w:bookmarkStart w:id="467" w:name="_Toc12412"/>
      <w:bookmarkStart w:id="468" w:name="_Toc13673"/>
      <w:r>
        <w:rPr>
          <w:rFonts w:ascii="宋体" w:hAnsi="宋体"/>
          <w:b/>
          <w:color w:val="auto"/>
          <w:sz w:val="24"/>
          <w:highlight w:val="none"/>
        </w:rPr>
        <w:t>2.3 知识产权</w:t>
      </w:r>
      <w:bookmarkEnd w:id="464"/>
      <w:bookmarkEnd w:id="465"/>
      <w:bookmarkEnd w:id="466"/>
      <w:bookmarkEnd w:id="467"/>
      <w:bookmarkEnd w:id="468"/>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69" w:name="_Toc15447"/>
      <w:bookmarkStart w:id="470" w:name="_Toc26555"/>
      <w:bookmarkStart w:id="471" w:name="_Toc22011"/>
      <w:bookmarkStart w:id="472" w:name="_Toc32670"/>
      <w:bookmarkStart w:id="473" w:name="_Toc31233"/>
      <w:r>
        <w:rPr>
          <w:rFonts w:ascii="宋体" w:hAnsi="宋体"/>
          <w:b/>
          <w:color w:val="auto"/>
          <w:sz w:val="24"/>
          <w:highlight w:val="none"/>
        </w:rPr>
        <w:t>2.5 结算方式和付款条件</w:t>
      </w:r>
      <w:bookmarkEnd w:id="469"/>
      <w:bookmarkEnd w:id="470"/>
      <w:bookmarkEnd w:id="471"/>
      <w:bookmarkEnd w:id="472"/>
      <w:bookmarkEnd w:id="473"/>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74" w:name="_Toc30507"/>
      <w:bookmarkStart w:id="475" w:name="_Toc16163"/>
      <w:bookmarkStart w:id="476" w:name="_Toc13154"/>
      <w:bookmarkStart w:id="477" w:name="_Toc13467"/>
      <w:bookmarkStart w:id="478" w:name="_Toc18990"/>
      <w:r>
        <w:rPr>
          <w:rFonts w:ascii="宋体" w:hAnsi="宋体"/>
          <w:b/>
          <w:color w:val="auto"/>
          <w:sz w:val="24"/>
          <w:highlight w:val="none"/>
        </w:rPr>
        <w:t>2.6 技术资料和保密义务</w:t>
      </w:r>
      <w:bookmarkEnd w:id="474"/>
      <w:bookmarkEnd w:id="475"/>
      <w:bookmarkEnd w:id="476"/>
      <w:bookmarkEnd w:id="477"/>
      <w:bookmarkEnd w:id="478"/>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7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9"/>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8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80"/>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8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81"/>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82" w:name="_Toc10663"/>
      <w:bookmarkStart w:id="483" w:name="_Toc42"/>
      <w:bookmarkStart w:id="484" w:name="_Toc23368"/>
      <w:bookmarkStart w:id="485" w:name="_Toc26689"/>
      <w:bookmarkStart w:id="486" w:name="_Toc21830"/>
      <w:r>
        <w:rPr>
          <w:rFonts w:ascii="宋体" w:hAnsi="宋体"/>
          <w:b/>
          <w:color w:val="auto"/>
          <w:sz w:val="24"/>
          <w:highlight w:val="none"/>
        </w:rPr>
        <w:t>2.10 合同转让和分包</w:t>
      </w:r>
      <w:bookmarkEnd w:id="482"/>
      <w:bookmarkEnd w:id="483"/>
      <w:bookmarkEnd w:id="484"/>
      <w:bookmarkEnd w:id="485"/>
      <w:bookmarkEnd w:id="486"/>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87" w:name="_Toc26633"/>
      <w:bookmarkStart w:id="488" w:name="_Toc14371"/>
      <w:bookmarkStart w:id="489" w:name="_Toc4720"/>
      <w:bookmarkStart w:id="490" w:name="_Toc25571"/>
      <w:bookmarkStart w:id="491" w:name="_Toc32494"/>
      <w:r>
        <w:rPr>
          <w:rFonts w:ascii="宋体" w:hAnsi="宋体"/>
          <w:b/>
          <w:color w:val="auto"/>
          <w:sz w:val="24"/>
          <w:highlight w:val="none"/>
        </w:rPr>
        <w:t>2.11 不可抗力</w:t>
      </w:r>
      <w:bookmarkEnd w:id="487"/>
      <w:bookmarkEnd w:id="488"/>
      <w:bookmarkEnd w:id="489"/>
      <w:bookmarkEnd w:id="490"/>
      <w:bookmarkEnd w:id="491"/>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92" w:name="_Toc14115"/>
      <w:bookmarkStart w:id="493" w:name="_Toc3638"/>
      <w:bookmarkStart w:id="494" w:name="_Toc23854"/>
      <w:bookmarkStart w:id="495" w:name="_Toc24465"/>
      <w:bookmarkStart w:id="496" w:name="_Toc25783"/>
      <w:r>
        <w:rPr>
          <w:rFonts w:ascii="宋体" w:hAnsi="宋体"/>
          <w:b/>
          <w:color w:val="auto"/>
          <w:sz w:val="24"/>
          <w:highlight w:val="none"/>
        </w:rPr>
        <w:t>2.12 税费</w:t>
      </w:r>
      <w:bookmarkEnd w:id="492"/>
      <w:bookmarkEnd w:id="493"/>
      <w:bookmarkEnd w:id="494"/>
      <w:bookmarkEnd w:id="495"/>
      <w:bookmarkEnd w:id="496"/>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97" w:name="_Toc7315"/>
      <w:bookmarkStart w:id="498" w:name="_Toc26883"/>
      <w:bookmarkStart w:id="499" w:name="_Toc30105"/>
      <w:bookmarkStart w:id="500" w:name="_Toc14814"/>
      <w:bookmarkStart w:id="501" w:name="_Toc25525"/>
      <w:r>
        <w:rPr>
          <w:rFonts w:ascii="宋体" w:hAnsi="宋体"/>
          <w:b/>
          <w:color w:val="auto"/>
          <w:sz w:val="24"/>
          <w:highlight w:val="none"/>
        </w:rPr>
        <w:t>2.13 乙方破产</w:t>
      </w:r>
      <w:bookmarkEnd w:id="497"/>
      <w:bookmarkEnd w:id="498"/>
      <w:bookmarkEnd w:id="499"/>
      <w:bookmarkEnd w:id="500"/>
      <w:bookmarkEnd w:id="501"/>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502" w:name="_Toc1123"/>
      <w:bookmarkStart w:id="503" w:name="_Toc23323"/>
      <w:bookmarkStart w:id="504" w:name="_Toc2016"/>
      <w:r>
        <w:rPr>
          <w:rFonts w:ascii="宋体" w:hAnsi="宋体"/>
          <w:b/>
          <w:color w:val="auto"/>
          <w:sz w:val="24"/>
          <w:highlight w:val="none"/>
        </w:rPr>
        <w:t>2.14 合同中止、终止</w:t>
      </w:r>
      <w:bookmarkEnd w:id="502"/>
      <w:bookmarkEnd w:id="503"/>
      <w:bookmarkEnd w:id="504"/>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505" w:name="_Toc1969"/>
      <w:bookmarkStart w:id="506" w:name="_Toc17363"/>
      <w:bookmarkStart w:id="507" w:name="_Toc14525"/>
      <w:r>
        <w:rPr>
          <w:rFonts w:ascii="宋体" w:hAnsi="宋体"/>
          <w:b/>
          <w:color w:val="auto"/>
          <w:sz w:val="24"/>
          <w:highlight w:val="none"/>
        </w:rPr>
        <w:t>2.15 检验和验收</w:t>
      </w:r>
      <w:bookmarkEnd w:id="505"/>
      <w:bookmarkEnd w:id="506"/>
      <w:bookmarkEnd w:id="507"/>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508" w:name="_Toc12666"/>
      <w:bookmarkStart w:id="509" w:name="_Toc9808"/>
      <w:bookmarkStart w:id="510" w:name="_Toc31892"/>
      <w:bookmarkStart w:id="511" w:name="_Toc2308"/>
      <w:bookmarkStart w:id="512" w:name="_Toc25198"/>
      <w:r>
        <w:rPr>
          <w:rFonts w:ascii="宋体" w:hAnsi="宋体"/>
          <w:b/>
          <w:color w:val="auto"/>
          <w:sz w:val="24"/>
          <w:highlight w:val="none"/>
        </w:rPr>
        <w:t>2.16 通知和送达</w:t>
      </w:r>
      <w:bookmarkEnd w:id="508"/>
      <w:bookmarkEnd w:id="509"/>
      <w:bookmarkEnd w:id="510"/>
      <w:bookmarkEnd w:id="511"/>
      <w:bookmarkEnd w:id="512"/>
    </w:p>
    <w:p w14:paraId="2D57AD58">
      <w:pPr>
        <w:spacing w:line="560" w:lineRule="exact"/>
        <w:ind w:firstLine="480" w:firstLineChars="200"/>
        <w:rPr>
          <w:rFonts w:ascii="宋体" w:hAnsi="宋体"/>
          <w:color w:val="auto"/>
          <w:sz w:val="24"/>
          <w:highlight w:val="none"/>
        </w:rPr>
      </w:pPr>
      <w:bookmarkStart w:id="513" w:name="_Toc18401"/>
      <w:bookmarkStart w:id="514"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13"/>
      <w:bookmarkEnd w:id="514"/>
    </w:p>
    <w:p w14:paraId="79494EF1">
      <w:pPr>
        <w:spacing w:line="560" w:lineRule="exact"/>
        <w:ind w:firstLine="482" w:firstLineChars="200"/>
        <w:outlineLvl w:val="0"/>
        <w:rPr>
          <w:rFonts w:ascii="宋体" w:hAnsi="宋体"/>
          <w:b/>
          <w:color w:val="auto"/>
          <w:sz w:val="24"/>
          <w:highlight w:val="none"/>
        </w:rPr>
      </w:pPr>
      <w:bookmarkStart w:id="515" w:name="_Toc27644"/>
      <w:bookmarkStart w:id="516" w:name="_Toc28906"/>
      <w:bookmarkStart w:id="517" w:name="_Toc20808"/>
      <w:bookmarkStart w:id="518" w:name="_Toc5063"/>
      <w:bookmarkStart w:id="519"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15"/>
      <w:bookmarkEnd w:id="516"/>
      <w:bookmarkEnd w:id="517"/>
      <w:bookmarkEnd w:id="518"/>
      <w:bookmarkEnd w:id="519"/>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20" w:name="_Toc4355"/>
      <w:bookmarkStart w:id="521" w:name="_Toc18540"/>
      <w:bookmarkStart w:id="522" w:name="_Toc30599"/>
      <w:r>
        <w:rPr>
          <w:rFonts w:hint="eastAsia" w:ascii="宋体" w:hAnsi="宋体" w:cs="宋体"/>
          <w:b/>
          <w:color w:val="auto"/>
          <w:sz w:val="24"/>
          <w:highlight w:val="none"/>
        </w:rPr>
        <w:t>2.18 计量单位</w:t>
      </w:r>
      <w:bookmarkEnd w:id="520"/>
      <w:bookmarkEnd w:id="521"/>
      <w:bookmarkEnd w:id="522"/>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23" w:name="_Toc331685784"/>
      <w:r>
        <w:rPr>
          <w:rFonts w:hint="eastAsia" w:ascii="宋体" w:hAnsi="宋体" w:cs="宋体"/>
          <w:b/>
          <w:color w:val="auto"/>
          <w:sz w:val="24"/>
          <w:highlight w:val="none"/>
        </w:rPr>
        <w:t xml:space="preserve"> </w:t>
      </w:r>
      <w:bookmarkEnd w:id="523"/>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052B8CF3">
      <w:pP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8"/>
      <w:r>
        <w:rPr>
          <w:rFonts w:hint="eastAsia" w:ascii="宋体" w:hAnsi="宋体" w:cs="宋体"/>
          <w:b/>
          <w:color w:val="auto"/>
          <w:sz w:val="36"/>
          <w:szCs w:val="20"/>
          <w:highlight w:val="none"/>
        </w:rPr>
        <w:t xml:space="preserve"> </w:t>
      </w:r>
      <w:bookmarkEnd w:id="409"/>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4" w:name="_Hlk101257010"/>
      <w:r>
        <w:rPr>
          <w:rFonts w:hint="eastAsia" w:ascii="宋体" w:hAnsi="宋体" w:cs="宋体"/>
          <w:color w:val="auto"/>
          <w:sz w:val="24"/>
          <w:highlight w:val="none"/>
        </w:rPr>
        <w:t>（如果有)</w:t>
      </w:r>
      <w:bookmarkEnd w:id="524"/>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25EA4943">
      <w:pPr>
        <w:jc w:val="both"/>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1D68D51">
      <w:pPr>
        <w:snapToGrid w:val="0"/>
        <w:spacing w:line="360" w:lineRule="auto"/>
        <w:rPr>
          <w:rFonts w:hint="eastAsia" w:ascii="宋体" w:hAnsi="宋体" w:cs="宋体"/>
          <w:b/>
          <w:color w:val="auto"/>
          <w:kern w:val="0"/>
          <w:sz w:val="32"/>
          <w:szCs w:val="32"/>
          <w:highlight w:val="none"/>
        </w:rPr>
      </w:pPr>
    </w:p>
    <w:p w14:paraId="6BEE4E76">
      <w:pPr>
        <w:snapToGrid w:val="0"/>
        <w:spacing w:line="360" w:lineRule="auto"/>
        <w:ind w:firstLine="2249" w:firstLineChars="7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25" w:name="OLE_LINK13"/>
      <w:bookmarkStart w:id="526" w:name="OLE_LINK14"/>
      <w:r>
        <w:rPr>
          <w:rFonts w:hint="eastAsia" w:ascii="宋体" w:hAnsi="宋体" w:cs="宋体"/>
          <w:b/>
          <w:color w:val="auto"/>
          <w:spacing w:val="6"/>
          <w:sz w:val="32"/>
          <w:szCs w:val="32"/>
          <w:highlight w:val="none"/>
        </w:rPr>
        <w:t>残疾人福利性单位声明函</w:t>
      </w:r>
    </w:p>
    <w:bookmarkEnd w:id="525"/>
    <w:bookmarkEnd w:id="526"/>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91778B5">
      <w:pPr>
        <w:spacing w:line="360" w:lineRule="auto"/>
        <w:jc w:val="left"/>
        <w:rPr>
          <w:rFonts w:hint="eastAsia" w:ascii="宋体" w:hAnsi="宋体" w:cs="宋体"/>
          <w:b/>
          <w:color w:val="auto"/>
          <w:spacing w:val="6"/>
          <w:sz w:val="32"/>
          <w:szCs w:val="32"/>
          <w:highlight w:val="none"/>
        </w:rPr>
      </w:pPr>
    </w:p>
    <w:p w14:paraId="04B75C4D">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2A942F7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5F279CD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0381BD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both"/>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8"/>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9"/>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B489833">
      <w:pPr>
        <w:snapToGrid w:val="0"/>
        <w:spacing w:line="360" w:lineRule="auto"/>
        <w:rPr>
          <w:rFonts w:hint="eastAsia" w:ascii="宋体" w:hAnsi="宋体" w:cs="宋体"/>
          <w:b/>
          <w:color w:val="auto"/>
          <w:spacing w:val="6"/>
          <w:sz w:val="32"/>
          <w:szCs w:val="32"/>
          <w:highlight w:val="none"/>
        </w:rPr>
      </w:pPr>
    </w:p>
    <w:p w14:paraId="3805B7CC">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7E935FAA">
      <w:pPr>
        <w:autoSpaceDE w:val="0"/>
        <w:autoSpaceDN w:val="0"/>
        <w:jc w:val="both"/>
        <w:rPr>
          <w:rFonts w:ascii="宋体" w:hAnsi="宋体" w:cs="宋体"/>
          <w:b/>
          <w:color w:val="auto"/>
          <w:spacing w:val="6"/>
          <w:sz w:val="32"/>
          <w:szCs w:val="32"/>
          <w:highlight w:val="none"/>
        </w:rPr>
      </w:pPr>
    </w:p>
    <w:p w14:paraId="2D65876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086C65BE">
      <w:pPr>
        <w:spacing w:line="360" w:lineRule="auto"/>
        <w:ind w:right="420" w:firstLine="480" w:firstLineChars="200"/>
        <w:rPr>
          <w:rFonts w:hint="eastAsia" w:ascii="宋体" w:hAnsi="宋体" w:eastAsia="宋体" w:cs="宋体"/>
          <w:color w:val="auto"/>
          <w:sz w:val="24"/>
          <w:highlight w:val="none"/>
        </w:rPr>
      </w:pPr>
    </w:p>
    <w:p w14:paraId="2E3ABB36">
      <w:pPr>
        <w:spacing w:line="360" w:lineRule="auto"/>
        <w:ind w:right="420" w:firstLine="480" w:firstLineChars="200"/>
        <w:rPr>
          <w:rFonts w:hint="eastAsia" w:ascii="宋体" w:hAnsi="宋体" w:eastAsia="宋体" w:cs="宋体"/>
          <w:color w:val="auto"/>
          <w:sz w:val="24"/>
          <w:highlight w:val="none"/>
        </w:rPr>
      </w:pPr>
    </w:p>
    <w:p w14:paraId="6F147431">
      <w:pPr>
        <w:spacing w:line="360" w:lineRule="auto"/>
        <w:ind w:right="420" w:firstLine="480" w:firstLineChars="200"/>
        <w:rPr>
          <w:rFonts w:hint="eastAsia" w:ascii="宋体" w:hAnsi="宋体" w:eastAsia="宋体" w:cs="宋体"/>
          <w:color w:val="auto"/>
          <w:sz w:val="24"/>
          <w:highlight w:val="none"/>
        </w:rPr>
      </w:pPr>
    </w:p>
    <w:p w14:paraId="45A27AAE">
      <w:pPr>
        <w:spacing w:line="360" w:lineRule="auto"/>
        <w:ind w:right="420" w:firstLine="480" w:firstLineChars="200"/>
        <w:rPr>
          <w:rFonts w:hint="eastAsia" w:ascii="宋体" w:hAnsi="宋体" w:eastAsia="宋体" w:cs="宋体"/>
          <w:color w:val="auto"/>
          <w:sz w:val="24"/>
          <w:highlight w:val="none"/>
        </w:rPr>
      </w:pPr>
    </w:p>
    <w:p w14:paraId="51E84F56">
      <w:pPr>
        <w:spacing w:line="360" w:lineRule="auto"/>
        <w:ind w:right="420" w:firstLine="480" w:firstLineChars="200"/>
        <w:rPr>
          <w:rFonts w:hint="eastAsia" w:ascii="宋体" w:hAnsi="宋体" w:eastAsia="宋体" w:cs="宋体"/>
          <w:color w:val="auto"/>
          <w:sz w:val="24"/>
          <w:highlight w:val="none"/>
        </w:rPr>
      </w:pPr>
    </w:p>
    <w:p w14:paraId="38539CCD">
      <w:pPr>
        <w:spacing w:line="360" w:lineRule="auto"/>
        <w:ind w:right="420"/>
        <w:rPr>
          <w:rFonts w:hint="eastAsia" w:ascii="宋体" w:hAnsi="宋体" w:eastAsia="宋体" w:cs="宋体"/>
          <w:color w:val="auto"/>
          <w:sz w:val="24"/>
          <w:highlight w:val="none"/>
        </w:rPr>
      </w:pPr>
    </w:p>
    <w:p w14:paraId="63B7D50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8</w:t>
      </w:r>
      <w:r>
        <w:rPr>
          <w:rFonts w:hint="eastAsia" w:ascii="宋体" w:hAnsi="宋体" w:cs="宋体"/>
          <w:b/>
          <w:color w:val="auto"/>
          <w:sz w:val="36"/>
          <w:szCs w:val="20"/>
          <w:highlight w:val="none"/>
        </w:rPr>
        <w:t>：中小企业声明函</w:t>
      </w:r>
    </w:p>
    <w:p w14:paraId="64550CE2">
      <w:pPr>
        <w:adjustRightInd w:val="0"/>
        <w:snapToGrid w:val="0"/>
        <w:spacing w:line="300" w:lineRule="auto"/>
        <w:jc w:val="center"/>
        <w:rPr>
          <w:rFonts w:hint="eastAsia" w:ascii="宋体" w:hAnsi="宋体" w:cs="方正小标宋简体"/>
          <w:bCs/>
          <w:sz w:val="40"/>
          <w:szCs w:val="40"/>
          <w:lang w:eastAsia="zh-CN"/>
        </w:rPr>
      </w:pPr>
    </w:p>
    <w:p w14:paraId="0F285D5C">
      <w:pPr>
        <w:adjustRightInd w:val="0"/>
        <w:snapToGrid w:val="0"/>
        <w:spacing w:line="300" w:lineRule="auto"/>
        <w:jc w:val="center"/>
        <w:rPr>
          <w:rFonts w:ascii="宋体" w:hAnsi="宋体" w:cs="方正小标宋简体"/>
          <w:bCs/>
          <w:sz w:val="40"/>
          <w:szCs w:val="40"/>
        </w:rPr>
      </w:pPr>
      <w:r>
        <w:rPr>
          <w:rFonts w:hint="eastAsia" w:ascii="宋体" w:hAnsi="宋体" w:cs="方正小标宋简体"/>
          <w:bCs/>
          <w:sz w:val="40"/>
          <w:szCs w:val="40"/>
          <w:lang w:eastAsia="zh-CN"/>
        </w:rPr>
        <w:t>江南镇人民政府</w:t>
      </w:r>
      <w:r>
        <w:rPr>
          <w:rFonts w:hint="eastAsia" w:ascii="宋体" w:hAnsi="宋体" w:cs="方正小标宋简体"/>
          <w:bCs/>
          <w:sz w:val="40"/>
          <w:szCs w:val="40"/>
        </w:rPr>
        <w:t>食堂管理制度</w:t>
      </w:r>
    </w:p>
    <w:p w14:paraId="745CE9F2">
      <w:pPr>
        <w:ind w:firstLine="645"/>
        <w:rPr>
          <w:rFonts w:ascii="宋体" w:hAnsi="宋体"/>
          <w:sz w:val="32"/>
          <w:szCs w:val="32"/>
        </w:rPr>
      </w:pPr>
    </w:p>
    <w:p w14:paraId="4979BF5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为建立科学高效的自我约束和监督体系，规范权利运行，完善议事、审批、沟通和评价机制，保障</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食堂在经营管理和人员管理的各个环节提高效能，特制定本管理制度。</w:t>
      </w:r>
    </w:p>
    <w:p w14:paraId="6A61A83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一、基本原则</w:t>
      </w:r>
    </w:p>
    <w:p w14:paraId="670F9DF1">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系统性。本管理制度旨在</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食堂实现全面内控，内容涵盖财务收支管理、生产和保管、人员管理和考核等内容。</w:t>
      </w:r>
    </w:p>
    <w:p w14:paraId="162EE88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时效性。为完善食堂内部控制体系的时效性，本制度及《</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食堂管理考核办法》，应每半年进行增订或修改。</w:t>
      </w:r>
    </w:p>
    <w:p w14:paraId="08C4923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二、管理部门职能及人员职责</w:t>
      </w:r>
    </w:p>
    <w:p w14:paraId="3B68728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管理部门及职能：</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，负责</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食堂及相关事务的全面运营及管理。</w:t>
      </w:r>
    </w:p>
    <w:p w14:paraId="1304F34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管理人员及关键岗位人员职责：</w:t>
      </w:r>
    </w:p>
    <w:p w14:paraId="6AEDB77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：负责统筹管理、人事调任、议事决策、监督制度执行等；</w:t>
      </w:r>
    </w:p>
    <w:p w14:paraId="0ACF5CB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分管主任：负责日常工作监督，人员管理，就餐卡开通及日常收支审批等；</w:t>
      </w:r>
    </w:p>
    <w:p w14:paraId="63C8D76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行政管理人员：负责员工绩效考核，协助事务中心主任和分管主任实现工作目标；</w:t>
      </w:r>
    </w:p>
    <w:p w14:paraId="6EF88A4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财务人员：负责预算计划管理，财务收支管理；</w:t>
      </w:r>
    </w:p>
    <w:p w14:paraId="0C6951E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就餐卡管理员：负责工卡制作、补贴发放、信息管理等；</w:t>
      </w:r>
    </w:p>
    <w:p w14:paraId="473E6AC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零星采购员：负责食堂应急食品采购和日常食堂原材料验收；</w:t>
      </w:r>
    </w:p>
    <w:p w14:paraId="0328E60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食堂经理：负责食堂现场的生产、销售、服务等的全面管理，实现生产控制,产品和服务质量提升等目标，负责日常收支对账等工作。</w:t>
      </w:r>
    </w:p>
    <w:p w14:paraId="0883A25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厨师长：负责后厨生产工作，实现食品卫生、安全、质量、数量等内容均达标，负责实现收支盈亏平衡，对采购情况进行监督和反馈。</w:t>
      </w:r>
    </w:p>
    <w:p w14:paraId="166CC35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仓储管理员：负责食品原材料及易耗品的保管及使用规范化管理。</w:t>
      </w:r>
    </w:p>
    <w:p w14:paraId="300BA6B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三、一般性管理规定</w:t>
      </w:r>
    </w:p>
    <w:p w14:paraId="1C58084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遵守财务制度：仅限就餐卡支付；经营情况日清季结，账目清晰；生产费用按需申报，不应先产生事后再核销，严禁自行采购；认真做好结算（含餐券），不产生多、错、漏刷。</w:t>
      </w:r>
    </w:p>
    <w:p w14:paraId="77580DDB">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遵守生产标准管理：内容详见《</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食堂管理考核办法》。</w:t>
      </w:r>
    </w:p>
    <w:p w14:paraId="31CC224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遵守个人行为规范：内容详见《</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食堂管理考核办法》。</w:t>
      </w:r>
    </w:p>
    <w:p w14:paraId="7E73C5F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遵守消防规定：实现安全生产，不发生违规占用消防场所，毁坏消防设施设备等行为，积极配合消防检查、消防演练，学习消防知识。</w:t>
      </w:r>
    </w:p>
    <w:p w14:paraId="1AEA601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遵循公平、公正原则：不做破坏考核及影响团结的事情，如有异议，应向管理部门及管理人员提出，以会议决策的形式解决。</w:t>
      </w:r>
    </w:p>
    <w:p w14:paraId="4BA966D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四、人员管理及考核规定</w:t>
      </w:r>
    </w:p>
    <w:p w14:paraId="42D6B20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聘用员工：含</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零星采购人员，按《</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食堂管理考核办法》相关内容进行考核，核算考核奖金。</w:t>
      </w:r>
    </w:p>
    <w:p w14:paraId="365DEFE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餐饮企业聘用员工：按所签合同约定及《</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食堂管理考核办法》相关内容进行考核，人员工资及奖金分配报江南镇人民政府备案。</w:t>
      </w:r>
    </w:p>
    <w:p w14:paraId="459CD1C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五、财务收支管理与审批</w:t>
      </w:r>
    </w:p>
    <w:p w14:paraId="773D3FC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收入管理流程：</w:t>
      </w:r>
    </w:p>
    <w:p w14:paraId="308EF2A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餐线收入：由经办人核对每日收入，报具体负责食堂的行政管理人员，每月25日后，与财务人员、就餐卡管理员进行对账后报分管主任。</w:t>
      </w:r>
    </w:p>
    <w:p w14:paraId="4FF861DB">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客餐收入：由经办人开具当日收据并与接待科订餐人员核对、签字，每月25日汇总报食堂行政管理人员；外单位签单每月25日汇总报由财务人员对接各单位缴款。</w:t>
      </w:r>
    </w:p>
    <w:p w14:paraId="613EBD4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其他服务产品收入：由经办人与就餐卡管理员、服务方核对收入与产品清单；每月25日后，与财务人员进行对账。</w:t>
      </w:r>
    </w:p>
    <w:p w14:paraId="6D6C11C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支出管理流程：</w:t>
      </w:r>
    </w:p>
    <w:p w14:paraId="16D3726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设施设备类：符合政府采购规定条件的，按</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政府采购管理办法》相关规定进行采购；符合自行采购条件的，由乙方经理事前提出申请，报行政管理人员审核，经分管主任审批后，由零星采购员、经办人和行政管理人员等组成3人或以上的采购小组进行采购。</w:t>
      </w:r>
    </w:p>
    <w:p w14:paraId="314BC55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易耗品及食品原材料：由乙方经理提出采购申请，甲方按程序审批，由零星采购员进行采购。</w:t>
      </w:r>
    </w:p>
    <w:p w14:paraId="7E894CB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其他服务产品：由经办人与就餐卡管理员、服务方对账后提出付款申请；开具有效票据后，由行政管理人员、分管主任、</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审批后，由财务进行付款或核销。</w:t>
      </w:r>
    </w:p>
    <w:p w14:paraId="762844F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六、监督与满意度评价</w:t>
      </w:r>
    </w:p>
    <w:p w14:paraId="47433A94">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每月进行监督和满意度评价;(具体以食堂管理考核办法为准)</w:t>
      </w:r>
    </w:p>
    <w:p w14:paraId="1D821A8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七、其他</w:t>
      </w:r>
    </w:p>
    <w:p w14:paraId="3981DDF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1、如员工做出违反国家法律法规的行为，予以开除。</w:t>
      </w:r>
    </w:p>
    <w:p w14:paraId="0DBB3341">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2、如员工做出严重违反食品卫生监督部门或餐饮行业相关规定的行为，取消当月考核成绩；造成严重不良后果的，予以开除。</w:t>
      </w:r>
    </w:p>
    <w:p w14:paraId="3CF4AFC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3、如员工本人（或煽动他人）严重违反工作纪律、不服从管理，取消当月考核成绩；造成严重不良后果的，予以开除。</w:t>
      </w:r>
    </w:p>
    <w:p w14:paraId="1B335624">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八、本制度自20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月1日起执行。</w:t>
      </w:r>
    </w:p>
    <w:p w14:paraId="1DE15091">
      <w:pPr>
        <w:spacing w:line="360" w:lineRule="auto"/>
        <w:ind w:right="420" w:firstLine="480" w:firstLineChars="200"/>
        <w:rPr>
          <w:rFonts w:hint="eastAsia" w:ascii="宋体" w:hAnsi="宋体" w:eastAsia="宋体" w:cs="宋体"/>
          <w:color w:val="auto"/>
          <w:sz w:val="24"/>
          <w:highlight w:val="none"/>
        </w:rPr>
      </w:pPr>
    </w:p>
    <w:p w14:paraId="6482FA80">
      <w:pPr>
        <w:spacing w:line="360" w:lineRule="auto"/>
        <w:ind w:right="42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lang w:val="en-US" w:eastAsia="zh-CN"/>
        </w:rPr>
        <w:t xml:space="preserve">  </w:t>
      </w:r>
    </w:p>
    <w:p w14:paraId="0F5C814F">
      <w:pPr>
        <w:spacing w:line="360" w:lineRule="auto"/>
        <w:ind w:right="420" w:firstLine="800" w:firstLineChars="200"/>
        <w:rPr>
          <w:rFonts w:hint="eastAsia" w:ascii="宋体" w:hAnsi="宋体" w:eastAsia="宋体" w:cs="宋体"/>
          <w:color w:val="auto"/>
          <w:sz w:val="24"/>
          <w:highlight w:val="none"/>
        </w:rPr>
      </w:pPr>
      <w:r>
        <w:rPr>
          <w:rFonts w:hint="eastAsia" w:ascii="宋体" w:hAnsi="宋体" w:eastAsia="宋体" w:cs="方正小标宋简体"/>
          <w:bCs/>
          <w:sz w:val="40"/>
          <w:szCs w:val="40"/>
          <w:lang w:eastAsia="zh-CN"/>
        </w:rPr>
        <w:t>桐庐县江南镇人民政府食堂管理考核办法</w:t>
      </w:r>
    </w:p>
    <w:p w14:paraId="2AA766A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食堂考核主要有团队考核、管理人员考核二部分。各项考核按季度进行，年度考核得分为季度考核得分的平均值。</w:t>
      </w:r>
    </w:p>
    <w:p w14:paraId="411FBA0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团队考核内容适用于所有</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食堂团队，由</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（以下或简称甲方）组织相关人员和餐饮公司（以下或简称乙方）共同进行考核。</w:t>
      </w:r>
    </w:p>
    <w:p w14:paraId="19A2786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一、团队考核</w:t>
      </w:r>
    </w:p>
    <w:p w14:paraId="27B1B39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（一）考核内容</w:t>
      </w:r>
    </w:p>
    <w:p w14:paraId="73EE3AF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季度考核得分=经营管理考核得分*30%+满意度调查得分*30%+食堂管理小组考核得分*40%。食堂满意度得分为满意度得分的平均值。</w:t>
      </w:r>
    </w:p>
    <w:p w14:paraId="695C1DD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1．经营管理考核</w:t>
      </w:r>
    </w:p>
    <w:p w14:paraId="3A86E87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考核结果来源于分管主任（或授权的行政管理人员），每季度定期检查和不定期抽查。考核细则共十大类，其中组织管理、菜品与服务、经济指标、仓储管理、食品安全与卫生、环境卫生、精细化操作管理、消防与安全生产和餐厅形象等九大类为扣分项目，满分100分；第十类服务提升为加分项目，最高10分；内容详见附件《</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食堂经营管理考核细则》。</w:t>
      </w:r>
    </w:p>
    <w:p w14:paraId="18F7569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2．满意度调查</w:t>
      </w:r>
    </w:p>
    <w:p w14:paraId="7B125B7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考核结果来源于各个</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食堂的服务对象，由甲方每季度定期组织用餐单位评价，采用抽样调查和全员调查的方式，满分100分，内容详见附件《</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食堂满意度调查问卷》。</w:t>
      </w:r>
    </w:p>
    <w:p w14:paraId="558F104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（二）考核应用</w:t>
      </w:r>
    </w:p>
    <w:p w14:paraId="4A5CCB3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1.团队考核结果影响乙方考核奖金。</w:t>
      </w:r>
    </w:p>
    <w:p w14:paraId="2866BD6B">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乙方考核奖金包含所派驻人员考核奖金及管理考核奖金。 团队考核分低于70分，不计提考核奖金；考核分70（含）至85分，按合同约定方式进行核算；得分高于85分（含），满额计提考核奖金。连续两个季度低于80分（含），管理团队进行调整。如发生人员费用截留情况、不缴纳社保、破坏考核公平公正性及其他弄虚作假行为的情况，取消乙方当年管理考核奖金，扣主要管理人员当季考核奖金及一个月份的年度考核奖金；并追回截留部分金额、补缴相应费用、重新组织考核等。具体内容详见委托合同。</w:t>
      </w:r>
    </w:p>
    <w:p w14:paraId="510A4A2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2.团队考核结果与甲方聘用员工考核结果、考核奖金密切相关。</w:t>
      </w:r>
    </w:p>
    <w:p w14:paraId="79693AC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管理人员考核</w:t>
      </w:r>
    </w:p>
    <w:p w14:paraId="32A85F7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（一）考核内容</w:t>
      </w:r>
    </w:p>
    <w:p w14:paraId="3269CAF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由甲方每季组织考核小组对乙方进行考核，考核对象为乙方聘用的管理人员。考核结果取决于团队管理、成本管理和管理考核小组评价，内容详见《管理人员考核细则》。</w:t>
      </w:r>
    </w:p>
    <w:p w14:paraId="3280D2B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（二）考核应用</w:t>
      </w:r>
    </w:p>
    <w:p w14:paraId="6065C654">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季度管理考核奖金=季度考核分的百分比*季度管理考核奖金基数。</w:t>
      </w:r>
    </w:p>
    <w:p w14:paraId="6457C0C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团队年度考核平均分在85分（含）以上的，快餐线年度平均亏损率控制在5%以内，易耗品损耗率控制在10%以内的，甲方在合同款之外予以适当奖励。</w:t>
      </w:r>
    </w:p>
    <w:p w14:paraId="08CB1BF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按岗位职责的重要性制定不同岗位的季度管理考核奖金基数，由</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班子集体决议后执行。管理人员考核结果影响岗位任免或调用，连续两个月低于80分时降职任用或调岗。</w:t>
      </w:r>
    </w:p>
    <w:p w14:paraId="3E2DF65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三、自202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月1日起暂按本办法运行。</w:t>
      </w:r>
    </w:p>
    <w:p w14:paraId="57D0D9AB">
      <w:pPr>
        <w:spacing w:line="360" w:lineRule="auto"/>
        <w:ind w:right="420" w:firstLine="480" w:firstLineChars="200"/>
        <w:rPr>
          <w:rFonts w:hint="eastAsia" w:ascii="宋体" w:hAnsi="宋体" w:eastAsia="宋体" w:cs="宋体"/>
          <w:color w:val="auto"/>
          <w:sz w:val="24"/>
          <w:highlight w:val="none"/>
        </w:rPr>
      </w:pPr>
    </w:p>
    <w:p w14:paraId="3899142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附表：1. 《</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食堂经营管理考核细则》</w:t>
      </w:r>
    </w:p>
    <w:p w14:paraId="7783D9D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 《</w:t>
      </w:r>
      <w:r>
        <w:rPr>
          <w:rFonts w:hint="eastAsia" w:ascii="宋体" w:hAnsi="宋体" w:eastAsia="宋体" w:cs="宋体"/>
          <w:color w:val="auto"/>
          <w:sz w:val="24"/>
          <w:highlight w:val="none"/>
          <w:lang w:eastAsia="zh-CN"/>
        </w:rPr>
        <w:t>江南镇人民政府</w:t>
      </w:r>
      <w:r>
        <w:rPr>
          <w:rFonts w:hint="eastAsia" w:ascii="宋体" w:hAnsi="宋体" w:eastAsia="宋体" w:cs="宋体"/>
          <w:color w:val="auto"/>
          <w:sz w:val="24"/>
          <w:highlight w:val="none"/>
        </w:rPr>
        <w:t>食堂满意度调查问卷》</w:t>
      </w:r>
    </w:p>
    <w:p w14:paraId="4A8E575A">
      <w:pPr>
        <w:spacing w:line="360" w:lineRule="auto"/>
        <w:ind w:right="420"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3. 《管理人员考核细则》</w:t>
      </w:r>
    </w:p>
    <w:p w14:paraId="5B865CE4">
      <w:pPr>
        <w:spacing w:line="360" w:lineRule="auto"/>
        <w:ind w:right="420" w:firstLine="480" w:firstLineChars="200"/>
        <w:rPr>
          <w:rFonts w:hint="eastAsia" w:ascii="宋体" w:hAnsi="宋体" w:eastAsia="宋体" w:cs="宋体"/>
          <w:color w:val="auto"/>
          <w:sz w:val="24"/>
          <w:highlight w:val="none"/>
        </w:rPr>
      </w:pPr>
    </w:p>
    <w:p w14:paraId="5F937583">
      <w:pPr>
        <w:spacing w:line="360" w:lineRule="auto"/>
        <w:ind w:right="420" w:firstLine="480" w:firstLineChars="200"/>
        <w:rPr>
          <w:rFonts w:hint="eastAsia" w:ascii="宋体" w:hAnsi="宋体" w:eastAsia="宋体" w:cs="宋体"/>
          <w:color w:val="auto"/>
          <w:sz w:val="24"/>
          <w:highlight w:val="none"/>
        </w:rPr>
      </w:pPr>
    </w:p>
    <w:p w14:paraId="5D6A4DCE">
      <w:pPr>
        <w:spacing w:line="360" w:lineRule="auto"/>
        <w:ind w:right="420" w:firstLine="480" w:firstLineChars="200"/>
        <w:rPr>
          <w:rFonts w:hint="eastAsia" w:ascii="宋体" w:hAnsi="宋体" w:eastAsia="宋体" w:cs="宋体"/>
          <w:color w:val="auto"/>
          <w:sz w:val="24"/>
          <w:highlight w:val="none"/>
        </w:rPr>
      </w:pPr>
    </w:p>
    <w:p w14:paraId="2624CE91">
      <w:pPr>
        <w:spacing w:line="360" w:lineRule="auto"/>
        <w:ind w:right="420" w:firstLine="480" w:firstLineChars="200"/>
        <w:rPr>
          <w:rFonts w:hint="eastAsia" w:ascii="宋体" w:hAnsi="宋体" w:eastAsia="宋体" w:cs="宋体"/>
          <w:color w:val="auto"/>
          <w:sz w:val="24"/>
          <w:highlight w:val="none"/>
        </w:rPr>
      </w:pPr>
    </w:p>
    <w:p w14:paraId="32F3F85C">
      <w:pPr>
        <w:spacing w:line="360" w:lineRule="auto"/>
        <w:ind w:right="420" w:firstLine="480" w:firstLineChars="200"/>
        <w:rPr>
          <w:rFonts w:hint="eastAsia" w:ascii="宋体" w:hAnsi="宋体" w:eastAsia="宋体" w:cs="宋体"/>
          <w:color w:val="auto"/>
          <w:sz w:val="24"/>
          <w:highlight w:val="none"/>
        </w:rPr>
      </w:pPr>
    </w:p>
    <w:p w14:paraId="5A0F0717">
      <w:pPr>
        <w:spacing w:line="360" w:lineRule="auto"/>
        <w:ind w:right="420" w:firstLine="480" w:firstLineChars="200"/>
        <w:rPr>
          <w:rFonts w:hint="eastAsia" w:ascii="宋体" w:hAnsi="宋体" w:eastAsia="宋体" w:cs="宋体"/>
          <w:color w:val="auto"/>
          <w:sz w:val="24"/>
          <w:highlight w:val="none"/>
        </w:rPr>
      </w:pPr>
    </w:p>
    <w:p w14:paraId="67F336A4">
      <w:pPr>
        <w:spacing w:line="360" w:lineRule="auto"/>
        <w:ind w:right="420" w:firstLine="480" w:firstLineChars="200"/>
        <w:rPr>
          <w:rFonts w:hint="eastAsia" w:ascii="宋体" w:hAnsi="宋体" w:eastAsia="宋体" w:cs="宋体"/>
          <w:color w:val="auto"/>
          <w:sz w:val="24"/>
          <w:highlight w:val="none"/>
        </w:rPr>
      </w:pPr>
    </w:p>
    <w:p w14:paraId="6D8812DB">
      <w:pPr>
        <w:spacing w:line="360" w:lineRule="auto"/>
        <w:ind w:right="420" w:firstLine="480" w:firstLineChars="200"/>
        <w:rPr>
          <w:rFonts w:hint="eastAsia" w:ascii="宋体" w:hAnsi="宋体" w:eastAsia="宋体" w:cs="宋体"/>
          <w:color w:val="auto"/>
          <w:sz w:val="24"/>
          <w:highlight w:val="none"/>
        </w:rPr>
      </w:pPr>
    </w:p>
    <w:p w14:paraId="00B748F3">
      <w:pPr>
        <w:spacing w:line="360" w:lineRule="auto"/>
        <w:ind w:right="420" w:firstLine="480" w:firstLineChars="200"/>
        <w:rPr>
          <w:rFonts w:hint="eastAsia" w:ascii="宋体" w:hAnsi="宋体" w:eastAsia="宋体" w:cs="宋体"/>
          <w:color w:val="auto"/>
          <w:sz w:val="24"/>
          <w:highlight w:val="none"/>
        </w:rPr>
      </w:pPr>
    </w:p>
    <w:p w14:paraId="44904BB9">
      <w:pPr>
        <w:spacing w:line="360" w:lineRule="auto"/>
        <w:ind w:right="420" w:firstLine="480" w:firstLineChars="200"/>
        <w:rPr>
          <w:rFonts w:hint="eastAsia" w:ascii="宋体" w:hAnsi="宋体" w:eastAsia="宋体" w:cs="宋体"/>
          <w:color w:val="auto"/>
          <w:sz w:val="24"/>
          <w:highlight w:val="none"/>
        </w:rPr>
      </w:pPr>
    </w:p>
    <w:p w14:paraId="791A5CF5">
      <w:pPr>
        <w:spacing w:line="360" w:lineRule="auto"/>
        <w:ind w:right="420" w:firstLine="480" w:firstLineChars="200"/>
        <w:rPr>
          <w:rFonts w:hint="eastAsia" w:ascii="宋体" w:hAnsi="宋体" w:eastAsia="宋体" w:cs="宋体"/>
          <w:color w:val="auto"/>
          <w:sz w:val="24"/>
          <w:highlight w:val="none"/>
        </w:rPr>
      </w:pPr>
    </w:p>
    <w:p w14:paraId="64E80513">
      <w:pPr>
        <w:spacing w:line="360" w:lineRule="auto"/>
        <w:ind w:right="420" w:firstLine="480" w:firstLineChars="200"/>
        <w:rPr>
          <w:rFonts w:hint="eastAsia" w:ascii="宋体" w:hAnsi="宋体" w:eastAsia="宋体" w:cs="宋体"/>
          <w:color w:val="auto"/>
          <w:sz w:val="24"/>
          <w:highlight w:val="none"/>
        </w:rPr>
      </w:pPr>
    </w:p>
    <w:p w14:paraId="2A77532C">
      <w:pPr>
        <w:spacing w:line="360" w:lineRule="auto"/>
        <w:ind w:right="420" w:firstLine="480" w:firstLineChars="200"/>
        <w:rPr>
          <w:rFonts w:hint="eastAsia" w:ascii="宋体" w:hAnsi="宋体" w:eastAsia="宋体" w:cs="宋体"/>
          <w:color w:val="auto"/>
          <w:sz w:val="24"/>
          <w:highlight w:val="none"/>
        </w:rPr>
      </w:pPr>
    </w:p>
    <w:p w14:paraId="004F752C">
      <w:pPr>
        <w:adjustRightInd w:val="0"/>
        <w:snapToGrid w:val="0"/>
        <w:rPr>
          <w:rFonts w:ascii="宋体" w:hAnsi="宋体" w:cs="黑体"/>
          <w:bCs/>
          <w:sz w:val="28"/>
          <w:szCs w:val="28"/>
        </w:rPr>
      </w:pPr>
      <w:r>
        <w:rPr>
          <w:rFonts w:hint="eastAsia" w:ascii="宋体" w:hAnsi="宋体" w:cs="黑体"/>
          <w:bCs/>
          <w:sz w:val="28"/>
          <w:szCs w:val="28"/>
        </w:rPr>
        <w:t>附表1</w:t>
      </w:r>
    </w:p>
    <w:p w14:paraId="7163023F">
      <w:pPr>
        <w:adjustRightInd w:val="0"/>
        <w:snapToGrid w:val="0"/>
        <w:spacing w:line="300" w:lineRule="auto"/>
        <w:jc w:val="center"/>
        <w:rPr>
          <w:rFonts w:ascii="宋体" w:hAnsi="宋体" w:cs="方正小标宋简体"/>
          <w:sz w:val="44"/>
          <w:szCs w:val="44"/>
        </w:rPr>
      </w:pPr>
      <w:r>
        <w:rPr>
          <w:rFonts w:hint="eastAsia" w:ascii="宋体" w:hAnsi="宋体" w:cs="方正小标宋简体"/>
          <w:sz w:val="44"/>
          <w:szCs w:val="44"/>
          <w:lang w:eastAsia="zh-CN"/>
        </w:rPr>
        <w:t>江南镇</w:t>
      </w:r>
      <w:r>
        <w:rPr>
          <w:rFonts w:hint="eastAsia" w:ascii="宋体" w:hAnsi="宋体" w:cs="方正小标宋简体"/>
          <w:sz w:val="44"/>
          <w:szCs w:val="44"/>
        </w:rPr>
        <w:t>食堂经营管理考核细则</w:t>
      </w:r>
    </w:p>
    <w:p w14:paraId="062E04C7">
      <w:pPr>
        <w:adjustRightInd w:val="0"/>
        <w:snapToGrid w:val="0"/>
        <w:spacing w:line="300" w:lineRule="auto"/>
        <w:jc w:val="center"/>
        <w:rPr>
          <w:rFonts w:ascii="宋体" w:hAnsi="宋体" w:cs="方正小标宋简体"/>
        </w:rPr>
      </w:pPr>
    </w:p>
    <w:p w14:paraId="0A321232">
      <w:pPr>
        <w:adjustRightInd w:val="0"/>
        <w:snapToGrid w:val="0"/>
        <w:spacing w:line="300" w:lineRule="auto"/>
        <w:rPr>
          <w:rFonts w:ascii="宋体" w:hAnsi="宋体" w:cs="仿宋_GB2312"/>
          <w:sz w:val="28"/>
          <w:szCs w:val="28"/>
        </w:rPr>
      </w:pPr>
      <w:r>
        <w:rPr>
          <w:rFonts w:hint="eastAsia" w:ascii="宋体" w:hAnsi="宋体" w:cs="仿宋_GB2312"/>
          <w:sz w:val="24"/>
          <w:szCs w:val="24"/>
        </w:rPr>
        <w:t>考核对象：                         考核时间：</w:t>
      </w:r>
    </w:p>
    <w:tbl>
      <w:tblPr>
        <w:tblStyle w:val="62"/>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819"/>
        <w:gridCol w:w="1985"/>
        <w:gridCol w:w="709"/>
        <w:gridCol w:w="736"/>
      </w:tblGrid>
      <w:tr w14:paraId="6574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vAlign w:val="center"/>
          </w:tcPr>
          <w:p w14:paraId="63100C87">
            <w:pPr>
              <w:jc w:val="center"/>
              <w:rPr>
                <w:rFonts w:ascii="黑体" w:hAnsi="黑体" w:eastAsia="黑体"/>
                <w:sz w:val="24"/>
                <w:szCs w:val="24"/>
              </w:rPr>
            </w:pPr>
            <w:r>
              <w:rPr>
                <w:rFonts w:hint="eastAsia" w:ascii="黑体" w:hAnsi="黑体" w:eastAsia="黑体"/>
                <w:sz w:val="24"/>
                <w:szCs w:val="24"/>
              </w:rPr>
              <w:t>评分</w:t>
            </w:r>
          </w:p>
          <w:p w14:paraId="2EAED5E0">
            <w:pPr>
              <w:jc w:val="center"/>
              <w:rPr>
                <w:rFonts w:ascii="黑体" w:hAnsi="黑体" w:eastAsia="黑体"/>
                <w:sz w:val="24"/>
                <w:szCs w:val="24"/>
              </w:rPr>
            </w:pPr>
            <w:r>
              <w:rPr>
                <w:rFonts w:hint="eastAsia" w:ascii="黑体" w:hAnsi="黑体" w:eastAsia="黑体"/>
                <w:sz w:val="24"/>
                <w:szCs w:val="24"/>
              </w:rPr>
              <w:t>内容</w:t>
            </w:r>
          </w:p>
        </w:tc>
        <w:tc>
          <w:tcPr>
            <w:tcW w:w="4819" w:type="dxa"/>
            <w:tcBorders>
              <w:top w:val="single" w:color="auto" w:sz="4" w:space="0"/>
              <w:left w:val="nil"/>
              <w:bottom w:val="single" w:color="auto" w:sz="4" w:space="0"/>
              <w:right w:val="single" w:color="auto" w:sz="4" w:space="0"/>
            </w:tcBorders>
            <w:vAlign w:val="center"/>
          </w:tcPr>
          <w:p w14:paraId="26337C2D">
            <w:pPr>
              <w:jc w:val="center"/>
              <w:rPr>
                <w:rFonts w:ascii="黑体" w:hAnsi="黑体" w:eastAsia="黑体"/>
                <w:sz w:val="24"/>
                <w:szCs w:val="24"/>
              </w:rPr>
            </w:pPr>
            <w:r>
              <w:rPr>
                <w:rFonts w:hint="eastAsia" w:ascii="黑体" w:hAnsi="黑体" w:eastAsia="黑体"/>
                <w:sz w:val="24"/>
                <w:szCs w:val="24"/>
              </w:rPr>
              <w:t>评分内容及要求</w:t>
            </w:r>
          </w:p>
        </w:tc>
        <w:tc>
          <w:tcPr>
            <w:tcW w:w="1985" w:type="dxa"/>
            <w:tcBorders>
              <w:top w:val="single" w:color="auto" w:sz="4" w:space="0"/>
              <w:left w:val="nil"/>
              <w:bottom w:val="single" w:color="auto" w:sz="4" w:space="0"/>
              <w:right w:val="single" w:color="auto" w:sz="4" w:space="0"/>
            </w:tcBorders>
            <w:vAlign w:val="center"/>
          </w:tcPr>
          <w:p w14:paraId="6EFE9A18">
            <w:pPr>
              <w:jc w:val="center"/>
              <w:rPr>
                <w:rFonts w:ascii="黑体" w:hAnsi="黑体" w:eastAsia="黑体"/>
                <w:sz w:val="24"/>
                <w:szCs w:val="24"/>
              </w:rPr>
            </w:pPr>
            <w:r>
              <w:rPr>
                <w:rFonts w:hint="eastAsia" w:ascii="黑体" w:hAnsi="黑体" w:eastAsia="黑体"/>
                <w:sz w:val="24"/>
                <w:szCs w:val="24"/>
              </w:rPr>
              <w:t>评分标准</w:t>
            </w:r>
          </w:p>
        </w:tc>
        <w:tc>
          <w:tcPr>
            <w:tcW w:w="709" w:type="dxa"/>
            <w:tcBorders>
              <w:top w:val="single" w:color="auto" w:sz="4" w:space="0"/>
              <w:left w:val="nil"/>
              <w:bottom w:val="single" w:color="auto" w:sz="4" w:space="0"/>
              <w:right w:val="single" w:color="auto" w:sz="4" w:space="0"/>
            </w:tcBorders>
            <w:vAlign w:val="center"/>
          </w:tcPr>
          <w:p w14:paraId="17800BA8">
            <w:pPr>
              <w:jc w:val="center"/>
              <w:rPr>
                <w:rFonts w:ascii="黑体" w:hAnsi="黑体" w:eastAsia="黑体"/>
                <w:sz w:val="24"/>
                <w:szCs w:val="24"/>
              </w:rPr>
            </w:pPr>
            <w:r>
              <w:rPr>
                <w:rFonts w:hint="eastAsia" w:ascii="黑体" w:hAnsi="黑体" w:eastAsia="黑体"/>
                <w:sz w:val="24"/>
                <w:szCs w:val="24"/>
              </w:rPr>
              <w:t>分值</w:t>
            </w:r>
          </w:p>
        </w:tc>
        <w:tc>
          <w:tcPr>
            <w:tcW w:w="736" w:type="dxa"/>
            <w:tcBorders>
              <w:top w:val="single" w:color="auto" w:sz="4" w:space="0"/>
              <w:left w:val="nil"/>
              <w:bottom w:val="single" w:color="auto" w:sz="4" w:space="0"/>
              <w:right w:val="single" w:color="auto" w:sz="4" w:space="0"/>
            </w:tcBorders>
            <w:vAlign w:val="center"/>
          </w:tcPr>
          <w:p w14:paraId="51BB240D">
            <w:pPr>
              <w:jc w:val="center"/>
              <w:rPr>
                <w:rFonts w:ascii="黑体" w:hAnsi="黑体" w:eastAsia="黑体"/>
                <w:sz w:val="24"/>
                <w:szCs w:val="24"/>
              </w:rPr>
            </w:pPr>
            <w:r>
              <w:rPr>
                <w:rFonts w:hint="eastAsia" w:ascii="黑体" w:hAnsi="黑体" w:eastAsia="黑体"/>
                <w:sz w:val="24"/>
                <w:szCs w:val="24"/>
              </w:rPr>
              <w:t>扣分</w:t>
            </w:r>
          </w:p>
        </w:tc>
      </w:tr>
      <w:tr w14:paraId="1BB7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51" w:type="dxa"/>
            <w:vMerge w:val="restart"/>
            <w:tcBorders>
              <w:top w:val="nil"/>
              <w:left w:val="single" w:color="auto" w:sz="4" w:space="0"/>
              <w:bottom w:val="single" w:color="auto" w:sz="4" w:space="0"/>
              <w:right w:val="single" w:color="auto" w:sz="4" w:space="0"/>
            </w:tcBorders>
            <w:vAlign w:val="center"/>
          </w:tcPr>
          <w:p w14:paraId="741D0689">
            <w:pPr>
              <w:adjustRightInd w:val="0"/>
              <w:snapToGrid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（一</w:t>
            </w:r>
            <w:r>
              <w:rPr>
                <w:rFonts w:hint="eastAsia" w:ascii="宋体" w:hAnsi="宋体"/>
                <w:b/>
                <w:bCs/>
                <w:sz w:val="24"/>
                <w:szCs w:val="24"/>
              </w:rPr>
              <w:t>）</w:t>
            </w:r>
          </w:p>
          <w:p w14:paraId="33C6D5B0">
            <w:pPr>
              <w:adjustRightInd w:val="0"/>
              <w:snapToGrid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组</w:t>
            </w:r>
            <w:r>
              <w:rPr>
                <w:rFonts w:hint="eastAsia" w:ascii="宋体" w:hAnsi="宋体"/>
                <w:b/>
                <w:bCs/>
                <w:sz w:val="24"/>
                <w:szCs w:val="24"/>
              </w:rPr>
              <w:t>织</w:t>
            </w:r>
          </w:p>
          <w:p w14:paraId="6F18DE57">
            <w:pPr>
              <w:adjustRightInd w:val="0"/>
              <w:snapToGrid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管</w:t>
            </w:r>
            <w:r>
              <w:rPr>
                <w:rFonts w:hint="eastAsia" w:ascii="宋体" w:hAnsi="宋体"/>
                <w:b/>
                <w:bCs/>
                <w:sz w:val="24"/>
                <w:szCs w:val="24"/>
              </w:rPr>
              <w:t>理</w:t>
            </w:r>
          </w:p>
          <w:p w14:paraId="6145D422">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b/>
                <w:bCs/>
                <w:sz w:val="24"/>
                <w:szCs w:val="24"/>
              </w:rPr>
              <w:t>15</w:t>
            </w:r>
            <w:r>
              <w:rPr>
                <w:rFonts w:hint="eastAsia" w:ascii="宋体" w:hAnsi="宋体"/>
                <w:b/>
                <w:bCs/>
                <w:sz w:val="24"/>
                <w:szCs w:val="24"/>
              </w:rPr>
              <w:t>分</w:t>
            </w:r>
          </w:p>
        </w:tc>
        <w:tc>
          <w:tcPr>
            <w:tcW w:w="4819" w:type="dxa"/>
            <w:tcBorders>
              <w:top w:val="single" w:color="auto" w:sz="4" w:space="0"/>
              <w:left w:val="nil"/>
              <w:bottom w:val="single" w:color="auto" w:sz="4" w:space="0"/>
              <w:right w:val="single" w:color="auto" w:sz="4" w:space="0"/>
            </w:tcBorders>
            <w:vAlign w:val="center"/>
          </w:tcPr>
          <w:p w14:paraId="70DC857F">
            <w:pPr>
              <w:rPr>
                <w:rFonts w:ascii="Times New Roman" w:hAnsi="Times New Roman" w:eastAsia="仿宋_GB2312" w:cs="Times New Roman"/>
                <w:sz w:val="24"/>
                <w:szCs w:val="24"/>
              </w:rPr>
            </w:pPr>
            <w:r>
              <w:rPr>
                <w:rFonts w:hint="eastAsia" w:ascii="宋体" w:hAnsi="宋体"/>
                <w:sz w:val="24"/>
                <w:szCs w:val="24"/>
              </w:rPr>
              <w:t>组织架构：符合甲方要求优化，保持团队稳定；如有人员增减，应先报备，按流程进行；应在约定时间内完成人员更替，以不影响经营和服务质量为原则。</w:t>
            </w:r>
          </w:p>
        </w:tc>
        <w:tc>
          <w:tcPr>
            <w:tcW w:w="1985" w:type="dxa"/>
            <w:vMerge w:val="restart"/>
            <w:tcBorders>
              <w:top w:val="nil"/>
              <w:left w:val="nil"/>
              <w:bottom w:val="single" w:color="auto" w:sz="4" w:space="0"/>
              <w:right w:val="single" w:color="auto" w:sz="4" w:space="0"/>
            </w:tcBorders>
            <w:vAlign w:val="center"/>
          </w:tcPr>
          <w:p w14:paraId="5D78BCF1">
            <w:pPr>
              <w:rPr>
                <w:rFonts w:ascii="Times New Roman" w:hAnsi="Times New Roman" w:eastAsia="仿宋_GB2312" w:cs="Times New Roman"/>
                <w:sz w:val="24"/>
                <w:szCs w:val="24"/>
              </w:rPr>
            </w:pPr>
            <w:r>
              <w:rPr>
                <w:rFonts w:hint="eastAsia" w:ascii="宋体" w:hAnsi="宋体"/>
                <w:sz w:val="24"/>
                <w:szCs w:val="24"/>
              </w:rPr>
              <w:t>在单项分值内酌情扣分，扣完为止。</w:t>
            </w:r>
          </w:p>
        </w:tc>
        <w:tc>
          <w:tcPr>
            <w:tcW w:w="709" w:type="dxa"/>
            <w:tcBorders>
              <w:top w:val="single" w:color="auto" w:sz="4" w:space="0"/>
              <w:left w:val="nil"/>
              <w:bottom w:val="single" w:color="auto" w:sz="4" w:space="0"/>
              <w:right w:val="single" w:color="auto" w:sz="4" w:space="0"/>
            </w:tcBorders>
            <w:vAlign w:val="center"/>
          </w:tcPr>
          <w:p w14:paraId="60CF4FC4">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2F6D7A3C">
            <w:pPr>
              <w:jc w:val="center"/>
              <w:rPr>
                <w:rFonts w:ascii="Times New Roman" w:hAnsi="Times New Roman" w:eastAsia="仿宋_GB2312" w:cs="Times New Roman"/>
                <w:sz w:val="24"/>
                <w:szCs w:val="24"/>
              </w:rPr>
            </w:pPr>
          </w:p>
        </w:tc>
      </w:tr>
      <w:tr w14:paraId="4396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851" w:type="dxa"/>
            <w:vMerge w:val="continue"/>
            <w:tcBorders>
              <w:top w:val="nil"/>
              <w:left w:val="single" w:color="auto" w:sz="4" w:space="0"/>
              <w:bottom w:val="single" w:color="auto" w:sz="4" w:space="0"/>
              <w:right w:val="single" w:color="auto" w:sz="4" w:space="0"/>
            </w:tcBorders>
            <w:vAlign w:val="center"/>
          </w:tcPr>
          <w:p w14:paraId="7B441FB0">
            <w:pPr>
              <w:widowControl/>
              <w:jc w:val="left"/>
              <w:rPr>
                <w:rFonts w:ascii="Times New Roman" w:hAnsi="Times New Roman" w:eastAsia="仿宋_GB2312" w:cs="Times New Roman"/>
                <w:sz w:val="24"/>
                <w:szCs w:val="24"/>
              </w:rPr>
            </w:pPr>
          </w:p>
        </w:tc>
        <w:tc>
          <w:tcPr>
            <w:tcW w:w="4819" w:type="dxa"/>
            <w:tcBorders>
              <w:top w:val="single" w:color="auto" w:sz="4" w:space="0"/>
              <w:left w:val="nil"/>
              <w:bottom w:val="single" w:color="auto" w:sz="4" w:space="0"/>
              <w:right w:val="single" w:color="auto" w:sz="4" w:space="0"/>
            </w:tcBorders>
            <w:vAlign w:val="center"/>
          </w:tcPr>
          <w:p w14:paraId="51B8B5C5">
            <w:pPr>
              <w:rPr>
                <w:rFonts w:ascii="Times New Roman" w:hAnsi="Times New Roman" w:eastAsia="仿宋_GB2312" w:cs="Times New Roman"/>
                <w:sz w:val="24"/>
                <w:szCs w:val="24"/>
              </w:rPr>
            </w:pPr>
            <w:r>
              <w:rPr>
                <w:rFonts w:hint="eastAsia" w:ascii="宋体" w:hAnsi="宋体"/>
                <w:sz w:val="24"/>
                <w:szCs w:val="24"/>
              </w:rPr>
              <w:t>人员管理：健全且及时更新制度、岗位职责、考核标准、奖罚方案、评优方案、应急预案、岗位责任制等，并及时上墙或公布；制度普及并持续落实，要求员工熟悉内容；公平、合理、按期进行员工考勤、考核。</w:t>
            </w:r>
          </w:p>
        </w:tc>
        <w:tc>
          <w:tcPr>
            <w:tcW w:w="1985" w:type="dxa"/>
            <w:vMerge w:val="continue"/>
            <w:tcBorders>
              <w:top w:val="nil"/>
              <w:left w:val="nil"/>
              <w:bottom w:val="single" w:color="auto" w:sz="4" w:space="0"/>
              <w:right w:val="single" w:color="auto" w:sz="4" w:space="0"/>
            </w:tcBorders>
            <w:vAlign w:val="center"/>
          </w:tcPr>
          <w:p w14:paraId="6900C00C">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68EBCF99">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1F130889">
            <w:pPr>
              <w:jc w:val="center"/>
              <w:rPr>
                <w:rFonts w:ascii="Times New Roman" w:hAnsi="Times New Roman" w:eastAsia="仿宋_GB2312" w:cs="Times New Roman"/>
                <w:sz w:val="24"/>
                <w:szCs w:val="24"/>
              </w:rPr>
            </w:pPr>
          </w:p>
        </w:tc>
      </w:tr>
      <w:tr w14:paraId="3862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1" w:type="dxa"/>
            <w:vMerge w:val="continue"/>
            <w:tcBorders>
              <w:top w:val="nil"/>
              <w:left w:val="single" w:color="auto" w:sz="4" w:space="0"/>
              <w:bottom w:val="single" w:color="auto" w:sz="4" w:space="0"/>
              <w:right w:val="single" w:color="auto" w:sz="4" w:space="0"/>
            </w:tcBorders>
            <w:vAlign w:val="center"/>
          </w:tcPr>
          <w:p w14:paraId="5C0B54AC">
            <w:pPr>
              <w:widowControl/>
              <w:jc w:val="left"/>
              <w:rPr>
                <w:rFonts w:ascii="Times New Roman" w:hAnsi="Times New Roman" w:eastAsia="仿宋_GB2312" w:cs="Times New Roman"/>
                <w:sz w:val="24"/>
                <w:szCs w:val="24"/>
              </w:rPr>
            </w:pPr>
          </w:p>
        </w:tc>
        <w:tc>
          <w:tcPr>
            <w:tcW w:w="4819" w:type="dxa"/>
            <w:tcBorders>
              <w:top w:val="single" w:color="auto" w:sz="4" w:space="0"/>
              <w:left w:val="nil"/>
              <w:bottom w:val="single" w:color="auto" w:sz="4" w:space="0"/>
              <w:right w:val="single" w:color="auto" w:sz="4" w:space="0"/>
            </w:tcBorders>
            <w:vAlign w:val="center"/>
          </w:tcPr>
          <w:p w14:paraId="05752E85">
            <w:pPr>
              <w:rPr>
                <w:rFonts w:ascii="Times New Roman" w:hAnsi="Times New Roman" w:eastAsia="仿宋_GB2312" w:cs="Times New Roman"/>
                <w:sz w:val="24"/>
                <w:szCs w:val="24"/>
              </w:rPr>
            </w:pPr>
            <w:r>
              <w:rPr>
                <w:rFonts w:hint="eastAsia" w:ascii="宋体" w:hAnsi="宋体"/>
                <w:sz w:val="24"/>
                <w:szCs w:val="24"/>
              </w:rPr>
              <w:t>会议制度：健全制度；制定月度计划，按计划进行；重要会议先报备甲方。</w:t>
            </w:r>
          </w:p>
        </w:tc>
        <w:tc>
          <w:tcPr>
            <w:tcW w:w="1985" w:type="dxa"/>
            <w:vMerge w:val="continue"/>
            <w:tcBorders>
              <w:top w:val="nil"/>
              <w:left w:val="nil"/>
              <w:bottom w:val="single" w:color="auto" w:sz="4" w:space="0"/>
              <w:right w:val="single" w:color="auto" w:sz="4" w:space="0"/>
            </w:tcBorders>
            <w:vAlign w:val="center"/>
          </w:tcPr>
          <w:p w14:paraId="0971626F">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66881E4E">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618DB93E">
            <w:pPr>
              <w:jc w:val="center"/>
              <w:rPr>
                <w:rFonts w:ascii="Times New Roman" w:hAnsi="Times New Roman" w:eastAsia="仿宋_GB2312" w:cs="Times New Roman"/>
                <w:sz w:val="24"/>
                <w:szCs w:val="24"/>
              </w:rPr>
            </w:pPr>
          </w:p>
        </w:tc>
      </w:tr>
      <w:tr w14:paraId="44DD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1" w:type="dxa"/>
            <w:vMerge w:val="continue"/>
            <w:tcBorders>
              <w:top w:val="nil"/>
              <w:left w:val="single" w:color="auto" w:sz="4" w:space="0"/>
              <w:bottom w:val="single" w:color="auto" w:sz="4" w:space="0"/>
              <w:right w:val="single" w:color="auto" w:sz="4" w:space="0"/>
            </w:tcBorders>
            <w:vAlign w:val="center"/>
          </w:tcPr>
          <w:p w14:paraId="25C4F419">
            <w:pPr>
              <w:widowControl/>
              <w:jc w:val="left"/>
              <w:rPr>
                <w:rFonts w:ascii="Times New Roman" w:hAnsi="Times New Roman" w:eastAsia="仿宋_GB2312" w:cs="Times New Roman"/>
                <w:sz w:val="24"/>
                <w:szCs w:val="24"/>
              </w:rPr>
            </w:pPr>
          </w:p>
        </w:tc>
        <w:tc>
          <w:tcPr>
            <w:tcW w:w="4819" w:type="dxa"/>
            <w:tcBorders>
              <w:top w:val="single" w:color="auto" w:sz="4" w:space="0"/>
              <w:left w:val="nil"/>
              <w:bottom w:val="single" w:color="auto" w:sz="4" w:space="0"/>
              <w:right w:val="single" w:color="auto" w:sz="4" w:space="0"/>
            </w:tcBorders>
            <w:vAlign w:val="center"/>
          </w:tcPr>
          <w:p w14:paraId="780D526D">
            <w:pPr>
              <w:rPr>
                <w:rFonts w:ascii="Times New Roman" w:hAnsi="Times New Roman" w:eastAsia="仿宋_GB2312" w:cs="Times New Roman"/>
                <w:sz w:val="24"/>
                <w:szCs w:val="24"/>
              </w:rPr>
            </w:pPr>
            <w:r>
              <w:rPr>
                <w:rFonts w:hint="eastAsia" w:ascii="宋体" w:hAnsi="宋体"/>
                <w:sz w:val="24"/>
                <w:szCs w:val="24"/>
              </w:rPr>
              <w:t>培训制度：健全制度；制定月度计划，按计划进行；重要培训先报备甲方。</w:t>
            </w:r>
          </w:p>
        </w:tc>
        <w:tc>
          <w:tcPr>
            <w:tcW w:w="1985" w:type="dxa"/>
            <w:vMerge w:val="continue"/>
            <w:tcBorders>
              <w:top w:val="nil"/>
              <w:left w:val="nil"/>
              <w:bottom w:val="single" w:color="auto" w:sz="4" w:space="0"/>
              <w:right w:val="single" w:color="auto" w:sz="4" w:space="0"/>
            </w:tcBorders>
            <w:vAlign w:val="center"/>
          </w:tcPr>
          <w:p w14:paraId="4140B9BA">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692A5800">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0D9E1BB4">
            <w:pPr>
              <w:jc w:val="center"/>
              <w:rPr>
                <w:rFonts w:ascii="Times New Roman" w:hAnsi="Times New Roman" w:eastAsia="仿宋_GB2312" w:cs="Times New Roman"/>
                <w:sz w:val="24"/>
                <w:szCs w:val="24"/>
              </w:rPr>
            </w:pPr>
          </w:p>
        </w:tc>
      </w:tr>
      <w:tr w14:paraId="594A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1" w:type="dxa"/>
            <w:vMerge w:val="continue"/>
            <w:tcBorders>
              <w:top w:val="nil"/>
              <w:left w:val="single" w:color="auto" w:sz="4" w:space="0"/>
              <w:bottom w:val="single" w:color="auto" w:sz="4" w:space="0"/>
              <w:right w:val="single" w:color="auto" w:sz="4" w:space="0"/>
            </w:tcBorders>
            <w:vAlign w:val="center"/>
          </w:tcPr>
          <w:p w14:paraId="0BC65313">
            <w:pPr>
              <w:widowControl/>
              <w:jc w:val="left"/>
              <w:rPr>
                <w:rFonts w:ascii="Times New Roman" w:hAnsi="Times New Roman" w:eastAsia="仿宋_GB2312" w:cs="Times New Roman"/>
                <w:sz w:val="24"/>
                <w:szCs w:val="24"/>
              </w:rPr>
            </w:pPr>
          </w:p>
        </w:tc>
        <w:tc>
          <w:tcPr>
            <w:tcW w:w="4819" w:type="dxa"/>
            <w:tcBorders>
              <w:top w:val="single" w:color="auto" w:sz="4" w:space="0"/>
              <w:left w:val="nil"/>
              <w:bottom w:val="single" w:color="auto" w:sz="4" w:space="0"/>
              <w:right w:val="single" w:color="auto" w:sz="4" w:space="0"/>
            </w:tcBorders>
            <w:vAlign w:val="center"/>
          </w:tcPr>
          <w:p w14:paraId="5A8A64E6">
            <w:pPr>
              <w:rPr>
                <w:rFonts w:ascii="Times New Roman" w:hAnsi="Times New Roman" w:eastAsia="仿宋_GB2312" w:cs="Times New Roman"/>
                <w:sz w:val="24"/>
                <w:szCs w:val="24"/>
              </w:rPr>
            </w:pPr>
            <w:r>
              <w:rPr>
                <w:rFonts w:hint="eastAsia" w:ascii="宋体" w:hAnsi="宋体"/>
                <w:sz w:val="24"/>
                <w:szCs w:val="24"/>
              </w:rPr>
              <w:t>团队合作：员工团结，互相协作；能及时、良好地进行内部沟通；共同完成保障任务</w:t>
            </w:r>
            <w:r>
              <w:rPr>
                <w:rFonts w:ascii="Times New Roman" w:hAnsi="Times New Roman"/>
                <w:sz w:val="24"/>
                <w:szCs w:val="24"/>
              </w:rPr>
              <w:t>，</w:t>
            </w:r>
            <w:r>
              <w:rPr>
                <w:rFonts w:hint="eastAsia" w:ascii="宋体" w:hAnsi="宋体"/>
                <w:sz w:val="24"/>
                <w:szCs w:val="24"/>
              </w:rPr>
              <w:t>提升技能与理念</w:t>
            </w:r>
            <w:r>
              <w:rPr>
                <w:rFonts w:ascii="Times New Roman" w:hAnsi="Times New Roman"/>
                <w:sz w:val="24"/>
                <w:szCs w:val="24"/>
              </w:rPr>
              <w:t>，</w:t>
            </w:r>
            <w:r>
              <w:rPr>
                <w:rFonts w:hint="eastAsia" w:ascii="宋体" w:hAnsi="宋体"/>
                <w:sz w:val="24"/>
                <w:szCs w:val="24"/>
              </w:rPr>
              <w:t>提升个人素养。</w:t>
            </w:r>
          </w:p>
        </w:tc>
        <w:tc>
          <w:tcPr>
            <w:tcW w:w="1985" w:type="dxa"/>
            <w:vMerge w:val="restart"/>
            <w:tcBorders>
              <w:top w:val="nil"/>
              <w:left w:val="nil"/>
              <w:bottom w:val="single" w:color="auto" w:sz="4" w:space="0"/>
              <w:right w:val="single" w:color="auto" w:sz="4" w:space="0"/>
            </w:tcBorders>
            <w:vAlign w:val="center"/>
          </w:tcPr>
          <w:p w14:paraId="3CF994F3">
            <w:pPr>
              <w:rPr>
                <w:rFonts w:ascii="Times New Roman" w:hAnsi="Times New Roman" w:eastAsia="仿宋_GB2312" w:cs="Times New Roman"/>
                <w:sz w:val="24"/>
                <w:szCs w:val="24"/>
              </w:rPr>
            </w:pPr>
            <w:r>
              <w:rPr>
                <w:rFonts w:hint="eastAsia" w:ascii="宋体" w:hAnsi="宋体"/>
                <w:sz w:val="24"/>
                <w:szCs w:val="24"/>
              </w:rPr>
              <w:t>在单项分值内酌情扣分，扣完为止。</w:t>
            </w:r>
          </w:p>
        </w:tc>
        <w:tc>
          <w:tcPr>
            <w:tcW w:w="709" w:type="dxa"/>
            <w:tcBorders>
              <w:top w:val="single" w:color="auto" w:sz="4" w:space="0"/>
              <w:left w:val="nil"/>
              <w:bottom w:val="single" w:color="auto" w:sz="4" w:space="0"/>
              <w:right w:val="single" w:color="auto" w:sz="4" w:space="0"/>
            </w:tcBorders>
            <w:vAlign w:val="center"/>
          </w:tcPr>
          <w:p w14:paraId="59B53D8D">
            <w:pPr>
              <w:jc w:val="center"/>
              <w:rPr>
                <w:rFonts w:ascii="Times New Roman" w:hAnsi="Times New Roman" w:eastAsia="仿宋_GB2312" w:cs="Times New Roman"/>
                <w:b/>
                <w:bCs/>
                <w:sz w:val="24"/>
                <w:szCs w:val="24"/>
              </w:rPr>
            </w:pPr>
          </w:p>
          <w:p w14:paraId="6C455F4E">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3</w:t>
            </w:r>
          </w:p>
        </w:tc>
        <w:tc>
          <w:tcPr>
            <w:tcW w:w="736" w:type="dxa"/>
            <w:tcBorders>
              <w:top w:val="single" w:color="auto" w:sz="4" w:space="0"/>
              <w:left w:val="nil"/>
              <w:bottom w:val="single" w:color="auto" w:sz="4" w:space="0"/>
              <w:right w:val="single" w:color="auto" w:sz="4" w:space="0"/>
            </w:tcBorders>
            <w:vAlign w:val="center"/>
          </w:tcPr>
          <w:p w14:paraId="295F8305">
            <w:pPr>
              <w:jc w:val="center"/>
              <w:rPr>
                <w:rFonts w:ascii="Times New Roman" w:hAnsi="Times New Roman" w:eastAsia="仿宋_GB2312" w:cs="Times New Roman"/>
                <w:sz w:val="24"/>
                <w:szCs w:val="24"/>
              </w:rPr>
            </w:pPr>
          </w:p>
        </w:tc>
      </w:tr>
      <w:tr w14:paraId="560E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Merge w:val="continue"/>
            <w:tcBorders>
              <w:top w:val="nil"/>
              <w:left w:val="single" w:color="auto" w:sz="4" w:space="0"/>
              <w:bottom w:val="single" w:color="auto" w:sz="4" w:space="0"/>
              <w:right w:val="single" w:color="auto" w:sz="4" w:space="0"/>
            </w:tcBorders>
            <w:vAlign w:val="center"/>
          </w:tcPr>
          <w:p w14:paraId="0303B5AA">
            <w:pPr>
              <w:widowControl/>
              <w:jc w:val="left"/>
              <w:rPr>
                <w:rFonts w:ascii="Times New Roman" w:hAnsi="Times New Roman" w:eastAsia="仿宋_GB2312" w:cs="Times New Roman"/>
                <w:sz w:val="24"/>
                <w:szCs w:val="24"/>
              </w:rPr>
            </w:pPr>
          </w:p>
        </w:tc>
        <w:tc>
          <w:tcPr>
            <w:tcW w:w="4819" w:type="dxa"/>
            <w:tcBorders>
              <w:top w:val="single" w:color="auto" w:sz="4" w:space="0"/>
              <w:left w:val="nil"/>
              <w:bottom w:val="single" w:color="auto" w:sz="4" w:space="0"/>
              <w:right w:val="single" w:color="auto" w:sz="4" w:space="0"/>
            </w:tcBorders>
            <w:vAlign w:val="center"/>
          </w:tcPr>
          <w:p w14:paraId="23DB49EB">
            <w:pPr>
              <w:rPr>
                <w:rFonts w:ascii="Times New Roman" w:hAnsi="Times New Roman" w:eastAsia="仿宋_GB2312" w:cs="Times New Roman"/>
                <w:sz w:val="24"/>
                <w:szCs w:val="24"/>
              </w:rPr>
            </w:pPr>
            <w:r>
              <w:rPr>
                <w:rFonts w:hint="eastAsia" w:ascii="宋体" w:hAnsi="宋体"/>
                <w:sz w:val="24"/>
                <w:szCs w:val="24"/>
              </w:rPr>
              <w:t>员工职业技能：上岗前应掌握必备的职业技能和道德素质，重要岗位需具备相应证书。</w:t>
            </w:r>
          </w:p>
        </w:tc>
        <w:tc>
          <w:tcPr>
            <w:tcW w:w="1985" w:type="dxa"/>
            <w:vMerge w:val="continue"/>
            <w:tcBorders>
              <w:top w:val="nil"/>
              <w:left w:val="nil"/>
              <w:bottom w:val="single" w:color="auto" w:sz="4" w:space="0"/>
              <w:right w:val="single" w:color="auto" w:sz="4" w:space="0"/>
            </w:tcBorders>
            <w:vAlign w:val="center"/>
          </w:tcPr>
          <w:p w14:paraId="570971C8">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13674A04">
            <w:pPr>
              <w:jc w:val="center"/>
              <w:rPr>
                <w:rFonts w:ascii="Times New Roman" w:hAnsi="Times New Roman" w:eastAsia="仿宋_GB2312" w:cs="Times New Roman"/>
                <w:b/>
                <w:bCs/>
                <w:sz w:val="24"/>
                <w:szCs w:val="24"/>
              </w:rPr>
            </w:pPr>
          </w:p>
          <w:p w14:paraId="484CAB6B">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0C648B19">
            <w:pPr>
              <w:jc w:val="center"/>
              <w:rPr>
                <w:rFonts w:ascii="Times New Roman" w:hAnsi="Times New Roman" w:eastAsia="仿宋_GB2312" w:cs="Times New Roman"/>
                <w:sz w:val="24"/>
                <w:szCs w:val="24"/>
              </w:rPr>
            </w:pPr>
          </w:p>
        </w:tc>
      </w:tr>
      <w:tr w14:paraId="7FF1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Merge w:val="continue"/>
            <w:tcBorders>
              <w:top w:val="nil"/>
              <w:left w:val="single" w:color="auto" w:sz="4" w:space="0"/>
              <w:bottom w:val="single" w:color="auto" w:sz="4" w:space="0"/>
              <w:right w:val="single" w:color="auto" w:sz="4" w:space="0"/>
            </w:tcBorders>
            <w:vAlign w:val="center"/>
          </w:tcPr>
          <w:p w14:paraId="0A642BA4">
            <w:pPr>
              <w:widowControl/>
              <w:jc w:val="left"/>
              <w:rPr>
                <w:rFonts w:ascii="Times New Roman" w:hAnsi="Times New Roman" w:eastAsia="仿宋_GB2312" w:cs="Times New Roman"/>
                <w:sz w:val="24"/>
                <w:szCs w:val="24"/>
              </w:rPr>
            </w:pPr>
          </w:p>
        </w:tc>
        <w:tc>
          <w:tcPr>
            <w:tcW w:w="4819" w:type="dxa"/>
            <w:tcBorders>
              <w:top w:val="single" w:color="auto" w:sz="4" w:space="0"/>
              <w:left w:val="nil"/>
              <w:bottom w:val="single" w:color="auto" w:sz="4" w:space="0"/>
              <w:right w:val="single" w:color="auto" w:sz="4" w:space="0"/>
            </w:tcBorders>
            <w:vAlign w:val="center"/>
          </w:tcPr>
          <w:p w14:paraId="1EA8E34E">
            <w:pPr>
              <w:rPr>
                <w:rFonts w:ascii="Times New Roman" w:hAnsi="Times New Roman" w:eastAsia="仿宋_GB2312" w:cs="Times New Roman"/>
                <w:sz w:val="24"/>
                <w:szCs w:val="24"/>
              </w:rPr>
            </w:pPr>
            <w:r>
              <w:rPr>
                <w:rFonts w:hint="eastAsia" w:ascii="宋体" w:hAnsi="宋体"/>
                <w:sz w:val="24"/>
                <w:szCs w:val="24"/>
              </w:rPr>
              <w:t>员工健康：每年体检，健康证及时更新、上墙。</w:t>
            </w:r>
          </w:p>
        </w:tc>
        <w:tc>
          <w:tcPr>
            <w:tcW w:w="1985" w:type="dxa"/>
            <w:vMerge w:val="continue"/>
            <w:tcBorders>
              <w:top w:val="nil"/>
              <w:left w:val="nil"/>
              <w:bottom w:val="single" w:color="auto" w:sz="4" w:space="0"/>
              <w:right w:val="single" w:color="auto" w:sz="4" w:space="0"/>
            </w:tcBorders>
            <w:vAlign w:val="center"/>
          </w:tcPr>
          <w:p w14:paraId="0F80221E">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6288B95C">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1B010D81">
            <w:pPr>
              <w:jc w:val="center"/>
              <w:rPr>
                <w:rFonts w:ascii="Times New Roman" w:hAnsi="Times New Roman" w:eastAsia="仿宋_GB2312" w:cs="Times New Roman"/>
                <w:sz w:val="24"/>
                <w:szCs w:val="24"/>
              </w:rPr>
            </w:pPr>
          </w:p>
        </w:tc>
      </w:tr>
      <w:tr w14:paraId="5301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51" w:type="dxa"/>
            <w:vMerge w:val="continue"/>
            <w:tcBorders>
              <w:top w:val="nil"/>
              <w:left w:val="single" w:color="auto" w:sz="4" w:space="0"/>
              <w:bottom w:val="single" w:color="auto" w:sz="4" w:space="0"/>
              <w:right w:val="single" w:color="auto" w:sz="4" w:space="0"/>
            </w:tcBorders>
            <w:vAlign w:val="center"/>
          </w:tcPr>
          <w:p w14:paraId="3D9F64E8">
            <w:pPr>
              <w:widowControl/>
              <w:jc w:val="left"/>
              <w:rPr>
                <w:rFonts w:ascii="Times New Roman" w:hAnsi="Times New Roman" w:eastAsia="仿宋_GB2312" w:cs="Times New Roman"/>
                <w:sz w:val="24"/>
                <w:szCs w:val="24"/>
              </w:rPr>
            </w:pPr>
          </w:p>
        </w:tc>
        <w:tc>
          <w:tcPr>
            <w:tcW w:w="4819" w:type="dxa"/>
            <w:tcBorders>
              <w:top w:val="single" w:color="auto" w:sz="4" w:space="0"/>
              <w:left w:val="nil"/>
              <w:bottom w:val="single" w:color="auto" w:sz="4" w:space="0"/>
              <w:right w:val="single" w:color="auto" w:sz="4" w:space="0"/>
            </w:tcBorders>
            <w:vAlign w:val="center"/>
          </w:tcPr>
          <w:p w14:paraId="0F00618B">
            <w:pPr>
              <w:rPr>
                <w:rFonts w:ascii="Times New Roman" w:hAnsi="Times New Roman" w:eastAsia="仿宋_GB2312" w:cs="Times New Roman"/>
                <w:sz w:val="24"/>
                <w:szCs w:val="24"/>
              </w:rPr>
            </w:pPr>
            <w:r>
              <w:rPr>
                <w:rFonts w:hint="eastAsia" w:ascii="宋体" w:hAnsi="宋体"/>
                <w:sz w:val="24"/>
                <w:szCs w:val="24"/>
              </w:rPr>
              <w:t>工作纪律：员工遵守工作纪律；不擅自脱岗，在岗不做与工作无关的事；按规定和排班表上班和值班；按规定请假，主要管理人员请假超过</w:t>
            </w:r>
            <w:r>
              <w:rPr>
                <w:rFonts w:ascii="Times New Roman" w:hAnsi="Times New Roman" w:eastAsia="仿宋_GB2312" w:cs="Times New Roman"/>
                <w:sz w:val="24"/>
                <w:szCs w:val="24"/>
              </w:rPr>
              <w:t>2</w:t>
            </w:r>
            <w:r>
              <w:rPr>
                <w:rFonts w:hint="eastAsia" w:ascii="宋体" w:hAnsi="宋体"/>
                <w:sz w:val="24"/>
                <w:szCs w:val="24"/>
              </w:rPr>
              <w:t>天需经甲方批准。</w:t>
            </w:r>
          </w:p>
        </w:tc>
        <w:tc>
          <w:tcPr>
            <w:tcW w:w="1985" w:type="dxa"/>
            <w:tcBorders>
              <w:top w:val="single" w:color="auto" w:sz="4" w:space="0"/>
              <w:left w:val="nil"/>
              <w:bottom w:val="single" w:color="auto" w:sz="4" w:space="0"/>
              <w:right w:val="single" w:color="auto" w:sz="4" w:space="0"/>
            </w:tcBorders>
            <w:vAlign w:val="center"/>
          </w:tcPr>
          <w:p w14:paraId="41C58F0C">
            <w:pPr>
              <w:rPr>
                <w:rFonts w:ascii="Times New Roman" w:hAnsi="Times New Roman" w:eastAsia="仿宋_GB2312" w:cs="Times New Roman"/>
                <w:sz w:val="24"/>
                <w:szCs w:val="24"/>
              </w:rPr>
            </w:pPr>
            <w:r>
              <w:rPr>
                <w:rFonts w:hint="eastAsia" w:ascii="宋体" w:hAnsi="宋体"/>
                <w:sz w:val="24"/>
                <w:szCs w:val="24"/>
              </w:rPr>
              <w:t>每处不符扣</w:t>
            </w:r>
            <w:r>
              <w:rPr>
                <w:rFonts w:hint="eastAsia" w:cs="Times New Roman" w:asciiTheme="minorEastAsia" w:hAnsiTheme="minorEastAsia" w:eastAsiaTheme="minorEastAsia"/>
                <w:sz w:val="24"/>
                <w:szCs w:val="24"/>
              </w:rPr>
              <w:t>1</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315E1474">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6A89CF3B">
            <w:pPr>
              <w:jc w:val="center"/>
              <w:rPr>
                <w:rFonts w:ascii="Times New Roman" w:hAnsi="Times New Roman" w:eastAsia="仿宋_GB2312" w:cs="Times New Roman"/>
                <w:sz w:val="24"/>
                <w:szCs w:val="24"/>
              </w:rPr>
            </w:pPr>
          </w:p>
        </w:tc>
      </w:tr>
      <w:tr w14:paraId="5E78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1" w:type="dxa"/>
            <w:vMerge w:val="continue"/>
            <w:tcBorders>
              <w:top w:val="nil"/>
              <w:left w:val="single" w:color="auto" w:sz="4" w:space="0"/>
              <w:bottom w:val="single" w:color="auto" w:sz="4" w:space="0"/>
              <w:right w:val="single" w:color="auto" w:sz="4" w:space="0"/>
            </w:tcBorders>
            <w:vAlign w:val="center"/>
          </w:tcPr>
          <w:p w14:paraId="0B87CBA9">
            <w:pPr>
              <w:widowControl/>
              <w:jc w:val="left"/>
              <w:rPr>
                <w:rFonts w:ascii="Times New Roman" w:hAnsi="Times New Roman" w:eastAsia="仿宋_GB2312" w:cs="Times New Roman"/>
                <w:sz w:val="24"/>
                <w:szCs w:val="24"/>
              </w:rPr>
            </w:pPr>
          </w:p>
        </w:tc>
        <w:tc>
          <w:tcPr>
            <w:tcW w:w="4819" w:type="dxa"/>
            <w:tcBorders>
              <w:top w:val="single" w:color="auto" w:sz="4" w:space="0"/>
              <w:left w:val="nil"/>
              <w:bottom w:val="single" w:color="auto" w:sz="4" w:space="0"/>
              <w:right w:val="single" w:color="auto" w:sz="4" w:space="0"/>
            </w:tcBorders>
            <w:vAlign w:val="center"/>
          </w:tcPr>
          <w:p w14:paraId="349F5551">
            <w:pPr>
              <w:rPr>
                <w:rFonts w:ascii="Times New Roman" w:hAnsi="Times New Roman" w:eastAsia="仿宋_GB2312" w:cs="Times New Roman"/>
                <w:sz w:val="24"/>
                <w:szCs w:val="24"/>
              </w:rPr>
            </w:pPr>
            <w:r>
              <w:rPr>
                <w:rFonts w:hint="eastAsia" w:ascii="宋体" w:hAnsi="宋体"/>
                <w:sz w:val="24"/>
                <w:szCs w:val="24"/>
              </w:rPr>
              <w:t>仪容仪表：着装、发型整洁；佩戴工号牌、工帽、口罩、手套等；不佩戴首饰，不留长指甲、不涂指甲油等。</w:t>
            </w:r>
          </w:p>
        </w:tc>
        <w:tc>
          <w:tcPr>
            <w:tcW w:w="1985" w:type="dxa"/>
            <w:tcBorders>
              <w:top w:val="single" w:color="auto" w:sz="4" w:space="0"/>
              <w:left w:val="nil"/>
              <w:bottom w:val="single" w:color="auto" w:sz="4" w:space="0"/>
              <w:right w:val="single" w:color="auto" w:sz="4" w:space="0"/>
            </w:tcBorders>
            <w:vAlign w:val="center"/>
          </w:tcPr>
          <w:p w14:paraId="044559B7">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77996576">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19D3F6E6">
            <w:pPr>
              <w:jc w:val="center"/>
              <w:rPr>
                <w:rFonts w:ascii="Times New Roman" w:hAnsi="Times New Roman" w:eastAsia="仿宋_GB2312" w:cs="Times New Roman"/>
                <w:sz w:val="24"/>
                <w:szCs w:val="24"/>
              </w:rPr>
            </w:pPr>
          </w:p>
        </w:tc>
      </w:tr>
      <w:tr w14:paraId="1548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1" w:type="dxa"/>
            <w:vMerge w:val="continue"/>
            <w:tcBorders>
              <w:top w:val="nil"/>
              <w:left w:val="single" w:color="auto" w:sz="4" w:space="0"/>
              <w:bottom w:val="single" w:color="auto" w:sz="4" w:space="0"/>
              <w:right w:val="single" w:color="auto" w:sz="4" w:space="0"/>
            </w:tcBorders>
            <w:vAlign w:val="center"/>
          </w:tcPr>
          <w:p w14:paraId="48843C9F">
            <w:pPr>
              <w:widowControl/>
              <w:jc w:val="left"/>
              <w:rPr>
                <w:rFonts w:ascii="Times New Roman" w:hAnsi="Times New Roman" w:eastAsia="仿宋_GB2312" w:cs="Times New Roman"/>
                <w:sz w:val="24"/>
                <w:szCs w:val="24"/>
              </w:rPr>
            </w:pPr>
          </w:p>
        </w:tc>
        <w:tc>
          <w:tcPr>
            <w:tcW w:w="4819" w:type="dxa"/>
            <w:tcBorders>
              <w:top w:val="single" w:color="auto" w:sz="4" w:space="0"/>
              <w:left w:val="nil"/>
              <w:bottom w:val="single" w:color="auto" w:sz="4" w:space="0"/>
              <w:right w:val="single" w:color="auto" w:sz="4" w:space="0"/>
            </w:tcBorders>
            <w:vAlign w:val="center"/>
          </w:tcPr>
          <w:p w14:paraId="6BE70BD9">
            <w:pPr>
              <w:rPr>
                <w:rFonts w:ascii="Times New Roman" w:hAnsi="Times New Roman" w:eastAsia="仿宋_GB2312" w:cs="Times New Roman"/>
                <w:sz w:val="24"/>
                <w:szCs w:val="24"/>
              </w:rPr>
            </w:pPr>
            <w:r>
              <w:rPr>
                <w:rFonts w:hint="eastAsia" w:ascii="宋体" w:hAnsi="宋体"/>
                <w:sz w:val="24"/>
                <w:szCs w:val="24"/>
              </w:rPr>
              <w:t>文明礼貌：使用礼貌用语；不随意搭讪，不挑衅、取笑或辱骂顾客，避免与顾客发生口角。</w:t>
            </w:r>
          </w:p>
        </w:tc>
        <w:tc>
          <w:tcPr>
            <w:tcW w:w="1985" w:type="dxa"/>
            <w:tcBorders>
              <w:top w:val="single" w:color="auto" w:sz="4" w:space="0"/>
              <w:left w:val="nil"/>
              <w:bottom w:val="single" w:color="auto" w:sz="4" w:space="0"/>
              <w:right w:val="single" w:color="auto" w:sz="4" w:space="0"/>
            </w:tcBorders>
            <w:vAlign w:val="center"/>
          </w:tcPr>
          <w:p w14:paraId="6E984569">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543A0B15">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14F391AB">
            <w:pPr>
              <w:jc w:val="center"/>
              <w:rPr>
                <w:rFonts w:ascii="Times New Roman" w:hAnsi="Times New Roman" w:eastAsia="仿宋_GB2312" w:cs="Times New Roman"/>
                <w:sz w:val="24"/>
                <w:szCs w:val="24"/>
              </w:rPr>
            </w:pPr>
          </w:p>
        </w:tc>
      </w:tr>
      <w:tr w14:paraId="4255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14:paraId="2CD30ED6">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（二</w:t>
            </w:r>
            <w:r>
              <w:rPr>
                <w:rFonts w:hint="eastAsia" w:ascii="宋体" w:hAnsi="宋体"/>
                <w:b/>
                <w:bCs/>
                <w:sz w:val="24"/>
                <w:szCs w:val="24"/>
              </w:rPr>
              <w:t>）</w:t>
            </w:r>
          </w:p>
          <w:p w14:paraId="2A1ED160">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菜</w:t>
            </w:r>
            <w:r>
              <w:rPr>
                <w:rFonts w:hint="eastAsia" w:ascii="宋体" w:hAnsi="宋体"/>
                <w:b/>
                <w:bCs/>
                <w:sz w:val="24"/>
                <w:szCs w:val="24"/>
              </w:rPr>
              <w:t>品</w:t>
            </w:r>
          </w:p>
          <w:p w14:paraId="59976CAF">
            <w:pPr>
              <w:jc w:val="center"/>
              <w:rPr>
                <w:rFonts w:ascii="Times New Roman" w:hAnsi="Times New Roman" w:eastAsia="仿宋_GB2312" w:cs="Times New Roman"/>
                <w:b/>
                <w:bCs/>
                <w:sz w:val="24"/>
                <w:szCs w:val="24"/>
              </w:rPr>
            </w:pPr>
            <w:r>
              <w:rPr>
                <w:rFonts w:hint="eastAsia" w:ascii="宋体" w:hAnsi="宋体"/>
                <w:b/>
                <w:bCs/>
                <w:sz w:val="24"/>
                <w:szCs w:val="24"/>
              </w:rPr>
              <w:t>与</w:t>
            </w:r>
          </w:p>
          <w:p w14:paraId="7019A251">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服</w:t>
            </w:r>
            <w:r>
              <w:rPr>
                <w:rFonts w:hint="eastAsia" w:ascii="宋体" w:hAnsi="宋体"/>
                <w:b/>
                <w:bCs/>
                <w:sz w:val="24"/>
                <w:szCs w:val="24"/>
              </w:rPr>
              <w:t>务</w:t>
            </w:r>
          </w:p>
          <w:p w14:paraId="0C77074E">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15</w:t>
            </w:r>
            <w:r>
              <w:rPr>
                <w:rFonts w:hint="eastAsia" w:ascii="宋体" w:hAnsi="宋体"/>
                <w:b/>
                <w:bCs/>
                <w:sz w:val="24"/>
                <w:szCs w:val="24"/>
              </w:rPr>
              <w:t>分</w:t>
            </w:r>
          </w:p>
        </w:tc>
        <w:tc>
          <w:tcPr>
            <w:tcW w:w="4819" w:type="dxa"/>
            <w:tcBorders>
              <w:top w:val="single" w:color="auto" w:sz="4" w:space="0"/>
              <w:left w:val="nil"/>
              <w:bottom w:val="single" w:color="auto" w:sz="4" w:space="0"/>
              <w:right w:val="single" w:color="auto" w:sz="4" w:space="0"/>
            </w:tcBorders>
            <w:vAlign w:val="center"/>
          </w:tcPr>
          <w:p w14:paraId="6B243155">
            <w:pPr>
              <w:rPr>
                <w:rFonts w:ascii="Times New Roman" w:hAnsi="Times New Roman" w:eastAsia="仿宋_GB2312" w:cs="Times New Roman"/>
                <w:sz w:val="24"/>
                <w:szCs w:val="24"/>
              </w:rPr>
            </w:pPr>
            <w:r>
              <w:rPr>
                <w:rFonts w:hint="eastAsia" w:ascii="宋体" w:hAnsi="宋体"/>
                <w:sz w:val="24"/>
                <w:szCs w:val="24"/>
              </w:rPr>
              <w:t>快餐线菜品数量：不可低于甲方要求；样式及时更新，一个月内保持</w:t>
            </w:r>
            <w:r>
              <w:rPr>
                <w:rFonts w:ascii="Times New Roman" w:hAnsi="Times New Roman" w:eastAsia="仿宋_GB2312" w:cs="Times New Roman"/>
                <w:sz w:val="24"/>
                <w:szCs w:val="24"/>
              </w:rPr>
              <w:t>10%</w:t>
            </w:r>
            <w:r>
              <w:rPr>
                <w:rFonts w:hint="eastAsia" w:ascii="宋体" w:hAnsi="宋体"/>
                <w:sz w:val="24"/>
                <w:szCs w:val="24"/>
              </w:rPr>
              <w:t>品种不重样。</w:t>
            </w:r>
          </w:p>
        </w:tc>
        <w:tc>
          <w:tcPr>
            <w:tcW w:w="1985" w:type="dxa"/>
            <w:vMerge w:val="restart"/>
            <w:tcBorders>
              <w:top w:val="single" w:color="auto" w:sz="4" w:space="0"/>
              <w:left w:val="nil"/>
              <w:bottom w:val="single" w:color="auto" w:sz="4" w:space="0"/>
              <w:right w:val="single" w:color="auto" w:sz="4" w:space="0"/>
            </w:tcBorders>
            <w:vAlign w:val="center"/>
          </w:tcPr>
          <w:p w14:paraId="7D3ECA77">
            <w:pPr>
              <w:rPr>
                <w:rFonts w:ascii="Times New Roman" w:hAnsi="Times New Roman" w:eastAsia="仿宋_GB2312" w:cs="Times New Roman"/>
                <w:sz w:val="24"/>
                <w:szCs w:val="24"/>
              </w:rPr>
            </w:pPr>
            <w:r>
              <w:rPr>
                <w:rFonts w:hint="eastAsia" w:ascii="宋体" w:hAnsi="宋体"/>
                <w:sz w:val="24"/>
                <w:szCs w:val="24"/>
              </w:rPr>
              <w:t>在单项分值内酌情扣分，扣完为止。</w:t>
            </w:r>
          </w:p>
        </w:tc>
        <w:tc>
          <w:tcPr>
            <w:tcW w:w="709" w:type="dxa"/>
            <w:tcBorders>
              <w:top w:val="single" w:color="auto" w:sz="4" w:space="0"/>
              <w:left w:val="nil"/>
              <w:bottom w:val="single" w:color="auto" w:sz="4" w:space="0"/>
              <w:right w:val="single" w:color="auto" w:sz="4" w:space="0"/>
            </w:tcBorders>
            <w:vAlign w:val="center"/>
          </w:tcPr>
          <w:p w14:paraId="6C5B2C53">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69774E09">
            <w:pPr>
              <w:jc w:val="center"/>
              <w:rPr>
                <w:rFonts w:ascii="Times New Roman" w:hAnsi="Times New Roman" w:eastAsia="仿宋_GB2312" w:cs="Times New Roman"/>
                <w:sz w:val="24"/>
                <w:szCs w:val="24"/>
              </w:rPr>
            </w:pPr>
          </w:p>
        </w:tc>
      </w:tr>
      <w:tr w14:paraId="3698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vMerge w:val="continue"/>
            <w:tcBorders>
              <w:top w:val="nil"/>
              <w:left w:val="single" w:color="auto" w:sz="4" w:space="0"/>
              <w:bottom w:val="single" w:color="auto" w:sz="4" w:space="0"/>
              <w:right w:val="single" w:color="auto" w:sz="4" w:space="0"/>
            </w:tcBorders>
            <w:vAlign w:val="center"/>
          </w:tcPr>
          <w:p w14:paraId="706315E1">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46D472E0">
            <w:pPr>
              <w:rPr>
                <w:rFonts w:ascii="Times New Roman" w:hAnsi="Times New Roman" w:eastAsia="仿宋_GB2312" w:cs="Times New Roman"/>
                <w:sz w:val="24"/>
                <w:szCs w:val="24"/>
              </w:rPr>
            </w:pPr>
            <w:r>
              <w:rPr>
                <w:rFonts w:hint="eastAsia" w:ascii="宋体" w:hAnsi="宋体"/>
                <w:sz w:val="24"/>
                <w:szCs w:val="24"/>
              </w:rPr>
              <w:t>快餐线菜品质量：新鲜、可口；无发黄、焦糊、不符合营养的搭配等现象。</w:t>
            </w:r>
          </w:p>
        </w:tc>
        <w:tc>
          <w:tcPr>
            <w:tcW w:w="1985" w:type="dxa"/>
            <w:vMerge w:val="continue"/>
            <w:tcBorders>
              <w:top w:val="nil"/>
              <w:left w:val="nil"/>
              <w:bottom w:val="single" w:color="auto" w:sz="4" w:space="0"/>
              <w:right w:val="single" w:color="auto" w:sz="4" w:space="0"/>
            </w:tcBorders>
            <w:vAlign w:val="center"/>
          </w:tcPr>
          <w:p w14:paraId="6E92BB4F">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63FCD473">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4EA77494">
            <w:pPr>
              <w:jc w:val="center"/>
              <w:rPr>
                <w:rFonts w:ascii="Times New Roman" w:hAnsi="Times New Roman" w:eastAsia="仿宋_GB2312" w:cs="Times New Roman"/>
                <w:sz w:val="24"/>
                <w:szCs w:val="24"/>
              </w:rPr>
            </w:pPr>
          </w:p>
        </w:tc>
      </w:tr>
      <w:tr w14:paraId="759A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1" w:type="dxa"/>
            <w:vMerge w:val="continue"/>
            <w:tcBorders>
              <w:top w:val="nil"/>
              <w:left w:val="single" w:color="auto" w:sz="4" w:space="0"/>
              <w:bottom w:val="single" w:color="auto" w:sz="4" w:space="0"/>
              <w:right w:val="single" w:color="auto" w:sz="4" w:space="0"/>
            </w:tcBorders>
            <w:vAlign w:val="center"/>
          </w:tcPr>
          <w:p w14:paraId="2DFD50D4">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656CD9D7">
            <w:pPr>
              <w:rPr>
                <w:rFonts w:ascii="Times New Roman" w:hAnsi="Times New Roman" w:eastAsia="仿宋_GB2312" w:cs="Times New Roman"/>
                <w:sz w:val="24"/>
                <w:szCs w:val="24"/>
              </w:rPr>
            </w:pPr>
            <w:r>
              <w:rPr>
                <w:rFonts w:hint="eastAsia" w:ascii="宋体" w:hAnsi="宋体"/>
                <w:sz w:val="24"/>
                <w:szCs w:val="24"/>
              </w:rPr>
              <w:t>客餐菜品质量：符合</w:t>
            </w:r>
            <w:r>
              <w:rPr>
                <w:rFonts w:ascii="Times New Roman" w:hAnsi="Times New Roman" w:eastAsia="仿宋_GB2312" w:cs="Times New Roman"/>
                <w:sz w:val="24"/>
                <w:szCs w:val="24"/>
              </w:rPr>
              <w:t>“</w:t>
            </w:r>
            <w:r>
              <w:rPr>
                <w:rFonts w:hint="eastAsia" w:ascii="宋体" w:hAnsi="宋体"/>
                <w:sz w:val="24"/>
                <w:szCs w:val="24"/>
              </w:rPr>
              <w:t>色香味形</w:t>
            </w:r>
            <w:r>
              <w:rPr>
                <w:rFonts w:ascii="Times New Roman" w:hAnsi="Times New Roman" w:eastAsia="仿宋_GB2312" w:cs="Times New Roman"/>
                <w:sz w:val="24"/>
                <w:szCs w:val="24"/>
              </w:rPr>
              <w:t>”</w:t>
            </w:r>
            <w:r>
              <w:rPr>
                <w:rFonts w:hint="eastAsia" w:ascii="宋体" w:hAnsi="宋体"/>
                <w:sz w:val="24"/>
                <w:szCs w:val="24"/>
              </w:rPr>
              <w:t>的基本要求，搭配合理；按要求及时、有序出餐，满足用餐需求；符合八项规定。</w:t>
            </w:r>
          </w:p>
        </w:tc>
        <w:tc>
          <w:tcPr>
            <w:tcW w:w="1985" w:type="dxa"/>
            <w:vMerge w:val="continue"/>
            <w:tcBorders>
              <w:top w:val="nil"/>
              <w:left w:val="nil"/>
              <w:bottom w:val="single" w:color="auto" w:sz="4" w:space="0"/>
              <w:right w:val="single" w:color="auto" w:sz="4" w:space="0"/>
            </w:tcBorders>
            <w:vAlign w:val="center"/>
          </w:tcPr>
          <w:p w14:paraId="2995A428">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76EB36DD">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03FBA4BA">
            <w:pPr>
              <w:jc w:val="center"/>
              <w:rPr>
                <w:rFonts w:ascii="Times New Roman" w:hAnsi="Times New Roman" w:eastAsia="仿宋_GB2312" w:cs="Times New Roman"/>
                <w:sz w:val="24"/>
                <w:szCs w:val="24"/>
              </w:rPr>
            </w:pPr>
          </w:p>
        </w:tc>
      </w:tr>
      <w:tr w14:paraId="50E2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vMerge w:val="continue"/>
            <w:tcBorders>
              <w:top w:val="nil"/>
              <w:left w:val="single" w:color="auto" w:sz="4" w:space="0"/>
              <w:bottom w:val="single" w:color="auto" w:sz="4" w:space="0"/>
              <w:right w:val="single" w:color="auto" w:sz="4" w:space="0"/>
            </w:tcBorders>
            <w:vAlign w:val="center"/>
          </w:tcPr>
          <w:p w14:paraId="008DB9FC">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094E8AA4">
            <w:pPr>
              <w:rPr>
                <w:rFonts w:ascii="Times New Roman" w:hAnsi="Times New Roman" w:eastAsia="仿宋_GB2312" w:cs="Times New Roman"/>
                <w:sz w:val="24"/>
                <w:szCs w:val="24"/>
              </w:rPr>
            </w:pPr>
            <w:r>
              <w:rPr>
                <w:rFonts w:hint="eastAsia" w:ascii="宋体" w:hAnsi="宋体"/>
                <w:sz w:val="24"/>
                <w:szCs w:val="24"/>
              </w:rPr>
              <w:t>客餐菜品研发：每月研发新菜式并记录；每月应有客餐新菜式。扣分不累计。</w:t>
            </w:r>
          </w:p>
        </w:tc>
        <w:tc>
          <w:tcPr>
            <w:tcW w:w="1985" w:type="dxa"/>
            <w:vMerge w:val="continue"/>
            <w:tcBorders>
              <w:top w:val="nil"/>
              <w:left w:val="nil"/>
              <w:bottom w:val="single" w:color="auto" w:sz="4" w:space="0"/>
              <w:right w:val="single" w:color="auto" w:sz="4" w:space="0"/>
            </w:tcBorders>
            <w:vAlign w:val="center"/>
          </w:tcPr>
          <w:p w14:paraId="235D3F1C">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31854A9B">
            <w:pPr>
              <w:jc w:val="center"/>
              <w:rPr>
                <w:rFonts w:ascii="Times New Roman" w:hAnsi="Times New Roman"/>
                <w:b/>
                <w:bCs/>
                <w:sz w:val="24"/>
                <w:szCs w:val="24"/>
              </w:rPr>
            </w:pPr>
            <w:r>
              <w:rPr>
                <w:rFonts w:ascii="Times New Roman" w:hAnsi="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698FB8AF">
            <w:pPr>
              <w:jc w:val="center"/>
              <w:rPr>
                <w:rFonts w:ascii="Times New Roman" w:hAnsi="Times New Roman" w:eastAsia="仿宋_GB2312" w:cs="Times New Roman"/>
                <w:sz w:val="24"/>
                <w:szCs w:val="24"/>
              </w:rPr>
            </w:pPr>
          </w:p>
        </w:tc>
      </w:tr>
      <w:tr w14:paraId="1A22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Merge w:val="continue"/>
            <w:tcBorders>
              <w:top w:val="nil"/>
              <w:left w:val="single" w:color="auto" w:sz="4" w:space="0"/>
              <w:bottom w:val="single" w:color="auto" w:sz="4" w:space="0"/>
              <w:right w:val="single" w:color="auto" w:sz="4" w:space="0"/>
            </w:tcBorders>
            <w:vAlign w:val="center"/>
          </w:tcPr>
          <w:p w14:paraId="06623050">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74F726F4">
            <w:pPr>
              <w:rPr>
                <w:rFonts w:ascii="Times New Roman" w:hAnsi="Times New Roman" w:eastAsia="仿宋_GB2312" w:cs="Times New Roman"/>
                <w:sz w:val="24"/>
                <w:szCs w:val="24"/>
              </w:rPr>
            </w:pPr>
            <w:r>
              <w:rPr>
                <w:rFonts w:hint="eastAsia" w:ascii="宋体" w:hAnsi="宋体"/>
                <w:sz w:val="24"/>
                <w:szCs w:val="24"/>
              </w:rPr>
              <w:t>供餐持续性和及时性：掌握供餐速度，不断供；避免顾客长时间的等待和排队。</w:t>
            </w:r>
          </w:p>
        </w:tc>
        <w:tc>
          <w:tcPr>
            <w:tcW w:w="1985" w:type="dxa"/>
            <w:vMerge w:val="continue"/>
            <w:tcBorders>
              <w:top w:val="nil"/>
              <w:left w:val="nil"/>
              <w:bottom w:val="single" w:color="auto" w:sz="4" w:space="0"/>
              <w:right w:val="single" w:color="auto" w:sz="4" w:space="0"/>
            </w:tcBorders>
            <w:vAlign w:val="center"/>
          </w:tcPr>
          <w:p w14:paraId="0739F2D7">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35872EAB">
            <w:pPr>
              <w:jc w:val="center"/>
              <w:rPr>
                <w:rFonts w:ascii="Times New Roman" w:hAnsi="Times New Roman" w:cs="Times New Roman" w:eastAsiaTheme="minorEastAsia"/>
                <w:b/>
                <w:bCs/>
                <w:sz w:val="24"/>
                <w:szCs w:val="24"/>
              </w:rPr>
            </w:pPr>
            <w:r>
              <w:rPr>
                <w:rFonts w:hint="eastAsia" w:ascii="Times New Roman" w:hAnsi="Times New Roman" w:cs="Times New Roman" w:eastAsiaTheme="minorEastAsia"/>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3F3EA6E2">
            <w:pPr>
              <w:jc w:val="center"/>
              <w:rPr>
                <w:rFonts w:ascii="Times New Roman" w:hAnsi="Times New Roman" w:eastAsia="仿宋_GB2312" w:cs="Times New Roman"/>
                <w:sz w:val="24"/>
                <w:szCs w:val="24"/>
              </w:rPr>
            </w:pPr>
          </w:p>
        </w:tc>
      </w:tr>
      <w:tr w14:paraId="344F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1" w:type="dxa"/>
            <w:vMerge w:val="continue"/>
            <w:tcBorders>
              <w:top w:val="nil"/>
              <w:left w:val="single" w:color="auto" w:sz="4" w:space="0"/>
              <w:bottom w:val="single" w:color="auto" w:sz="4" w:space="0"/>
              <w:right w:val="single" w:color="auto" w:sz="4" w:space="0"/>
            </w:tcBorders>
            <w:vAlign w:val="center"/>
          </w:tcPr>
          <w:p w14:paraId="5B044A44">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5837EE47">
            <w:pPr>
              <w:rPr>
                <w:rFonts w:ascii="Times New Roman" w:hAnsi="Times New Roman" w:eastAsia="仿宋_GB2312" w:cs="Times New Roman"/>
                <w:sz w:val="24"/>
                <w:szCs w:val="24"/>
              </w:rPr>
            </w:pPr>
            <w:r>
              <w:rPr>
                <w:rFonts w:hint="eastAsia" w:ascii="宋体" w:hAnsi="宋体"/>
                <w:sz w:val="24"/>
                <w:szCs w:val="24"/>
              </w:rPr>
              <w:t>饭菜保温：售餐台保温设备提前开启，温度不低于</w:t>
            </w:r>
            <w:r>
              <w:rPr>
                <w:rFonts w:ascii="Times New Roman" w:hAnsi="Times New Roman" w:eastAsia="仿宋_GB2312" w:cs="Times New Roman"/>
                <w:sz w:val="24"/>
                <w:szCs w:val="24"/>
              </w:rPr>
              <w:t>75</w:t>
            </w:r>
            <w:r>
              <w:rPr>
                <w:rFonts w:hint="eastAsia" w:ascii="宋体" w:hAnsi="宋体"/>
                <w:sz w:val="24"/>
                <w:szCs w:val="24"/>
              </w:rPr>
              <w:t>度；开餐前</w:t>
            </w:r>
            <w:r>
              <w:rPr>
                <w:rFonts w:ascii="Times New Roman" w:hAnsi="Times New Roman" w:eastAsia="仿宋_GB2312" w:cs="Times New Roman"/>
                <w:sz w:val="24"/>
                <w:szCs w:val="24"/>
              </w:rPr>
              <w:t>5-10</w:t>
            </w:r>
            <w:r>
              <w:rPr>
                <w:rFonts w:hint="eastAsia" w:ascii="宋体" w:hAnsi="宋体"/>
                <w:sz w:val="24"/>
                <w:szCs w:val="24"/>
              </w:rPr>
              <w:t>分钟出餐；荤菜及时放入保温柜，设置温度不低于</w:t>
            </w:r>
            <w:r>
              <w:rPr>
                <w:rFonts w:ascii="Times New Roman" w:hAnsi="Times New Roman" w:eastAsia="仿宋_GB2312" w:cs="Times New Roman"/>
                <w:sz w:val="24"/>
                <w:szCs w:val="24"/>
              </w:rPr>
              <w:t>90</w:t>
            </w:r>
            <w:r>
              <w:rPr>
                <w:rFonts w:hint="eastAsia" w:ascii="宋体" w:hAnsi="宋体"/>
                <w:sz w:val="24"/>
                <w:szCs w:val="24"/>
              </w:rPr>
              <w:t>度。</w:t>
            </w:r>
          </w:p>
        </w:tc>
        <w:tc>
          <w:tcPr>
            <w:tcW w:w="1985" w:type="dxa"/>
            <w:tcBorders>
              <w:top w:val="single" w:color="auto" w:sz="4" w:space="0"/>
              <w:left w:val="nil"/>
              <w:bottom w:val="single" w:color="auto" w:sz="4" w:space="0"/>
              <w:right w:val="single" w:color="auto" w:sz="4" w:space="0"/>
            </w:tcBorders>
            <w:vAlign w:val="center"/>
          </w:tcPr>
          <w:p w14:paraId="704BEF54">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0AFD9B37">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59F302D8">
            <w:pPr>
              <w:jc w:val="center"/>
              <w:rPr>
                <w:rFonts w:ascii="Times New Roman" w:hAnsi="Times New Roman" w:eastAsia="仿宋_GB2312" w:cs="Times New Roman"/>
                <w:sz w:val="24"/>
                <w:szCs w:val="24"/>
              </w:rPr>
            </w:pPr>
          </w:p>
        </w:tc>
      </w:tr>
      <w:tr w14:paraId="2246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51" w:type="dxa"/>
            <w:vMerge w:val="continue"/>
            <w:tcBorders>
              <w:top w:val="nil"/>
              <w:left w:val="single" w:color="auto" w:sz="4" w:space="0"/>
              <w:bottom w:val="single" w:color="auto" w:sz="4" w:space="0"/>
              <w:right w:val="single" w:color="auto" w:sz="4" w:space="0"/>
            </w:tcBorders>
            <w:vAlign w:val="center"/>
          </w:tcPr>
          <w:p w14:paraId="64400E81">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217E3CC5">
            <w:pPr>
              <w:adjustRightInd w:val="0"/>
              <w:snapToGrid w:val="0"/>
              <w:spacing w:line="280" w:lineRule="exact"/>
              <w:rPr>
                <w:rFonts w:ascii="Times New Roman" w:hAnsi="Times New Roman" w:eastAsia="仿宋_GB2312" w:cs="Times New Roman"/>
                <w:sz w:val="24"/>
                <w:szCs w:val="24"/>
              </w:rPr>
            </w:pPr>
            <w:r>
              <w:rPr>
                <w:rFonts w:hint="eastAsia" w:ascii="宋体" w:hAnsi="宋体"/>
                <w:sz w:val="24"/>
                <w:szCs w:val="24"/>
              </w:rPr>
              <w:t>大餐厅服务：桌面及时补充餐巾纸、牙签等；调料台物品及时补充；明确公示或告知菜品营养知识、注意事项或禁忌等。</w:t>
            </w:r>
          </w:p>
        </w:tc>
        <w:tc>
          <w:tcPr>
            <w:tcW w:w="1985" w:type="dxa"/>
            <w:tcBorders>
              <w:top w:val="single" w:color="auto" w:sz="4" w:space="0"/>
              <w:left w:val="nil"/>
              <w:bottom w:val="single" w:color="auto" w:sz="4" w:space="0"/>
              <w:right w:val="single" w:color="auto" w:sz="4" w:space="0"/>
            </w:tcBorders>
            <w:vAlign w:val="center"/>
          </w:tcPr>
          <w:p w14:paraId="3AA56ECD">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38C63DCE">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5E51FF3F">
            <w:pPr>
              <w:jc w:val="center"/>
              <w:rPr>
                <w:rFonts w:ascii="Times New Roman" w:hAnsi="Times New Roman" w:eastAsia="仿宋_GB2312" w:cs="Times New Roman"/>
                <w:sz w:val="24"/>
                <w:szCs w:val="24"/>
              </w:rPr>
            </w:pPr>
          </w:p>
        </w:tc>
      </w:tr>
      <w:tr w14:paraId="58FB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51" w:type="dxa"/>
            <w:vMerge w:val="continue"/>
            <w:tcBorders>
              <w:top w:val="nil"/>
              <w:left w:val="single" w:color="auto" w:sz="4" w:space="0"/>
              <w:bottom w:val="single" w:color="auto" w:sz="4" w:space="0"/>
              <w:right w:val="single" w:color="auto" w:sz="4" w:space="0"/>
            </w:tcBorders>
            <w:vAlign w:val="center"/>
          </w:tcPr>
          <w:p w14:paraId="6123BAF2">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53452322">
            <w:pPr>
              <w:adjustRightInd w:val="0"/>
              <w:snapToGrid w:val="0"/>
              <w:spacing w:line="280" w:lineRule="exact"/>
              <w:rPr>
                <w:rFonts w:ascii="Times New Roman" w:hAnsi="Times New Roman" w:eastAsia="仿宋_GB2312" w:cs="Times New Roman"/>
                <w:sz w:val="24"/>
                <w:szCs w:val="24"/>
              </w:rPr>
            </w:pPr>
            <w:r>
              <w:rPr>
                <w:rFonts w:hint="eastAsia" w:ascii="宋体" w:hAnsi="宋体"/>
                <w:sz w:val="24"/>
                <w:szCs w:val="24"/>
              </w:rPr>
              <w:t>小餐厅（包厢）服务：提前做好地面、桌面、台面等卫生；提前做好摆台和餐前各项准备；热情、及时、有序做好餐中服务；保障好客餐任务，无投诉。</w:t>
            </w:r>
          </w:p>
        </w:tc>
        <w:tc>
          <w:tcPr>
            <w:tcW w:w="1985" w:type="dxa"/>
            <w:tcBorders>
              <w:top w:val="single" w:color="auto" w:sz="4" w:space="0"/>
              <w:left w:val="nil"/>
              <w:bottom w:val="single" w:color="auto" w:sz="4" w:space="0"/>
              <w:right w:val="single" w:color="auto" w:sz="4" w:space="0"/>
            </w:tcBorders>
            <w:vAlign w:val="center"/>
          </w:tcPr>
          <w:p w14:paraId="449D86A9">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1</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55CDF1B3">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0D476B26">
            <w:pPr>
              <w:jc w:val="center"/>
              <w:rPr>
                <w:rFonts w:ascii="Times New Roman" w:hAnsi="Times New Roman" w:eastAsia="仿宋_GB2312" w:cs="Times New Roman"/>
                <w:sz w:val="24"/>
                <w:szCs w:val="24"/>
              </w:rPr>
            </w:pPr>
          </w:p>
        </w:tc>
      </w:tr>
      <w:tr w14:paraId="5F76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51" w:type="dxa"/>
            <w:vMerge w:val="continue"/>
            <w:tcBorders>
              <w:top w:val="nil"/>
              <w:left w:val="single" w:color="auto" w:sz="4" w:space="0"/>
              <w:bottom w:val="single" w:color="auto" w:sz="4" w:space="0"/>
              <w:right w:val="single" w:color="auto" w:sz="4" w:space="0"/>
            </w:tcBorders>
            <w:vAlign w:val="center"/>
          </w:tcPr>
          <w:p w14:paraId="4A7F2695">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7385B53D">
            <w:pPr>
              <w:adjustRightInd w:val="0"/>
              <w:snapToGrid w:val="0"/>
              <w:spacing w:line="280" w:lineRule="exact"/>
              <w:rPr>
                <w:rFonts w:ascii="Times New Roman" w:hAnsi="Times New Roman" w:eastAsia="仿宋_GB2312" w:cs="Times New Roman"/>
                <w:sz w:val="24"/>
                <w:szCs w:val="24"/>
              </w:rPr>
            </w:pPr>
            <w:r>
              <w:rPr>
                <w:rFonts w:hint="eastAsia" w:ascii="宋体" w:hAnsi="宋体"/>
                <w:sz w:val="24"/>
                <w:szCs w:val="24"/>
              </w:rPr>
              <w:t>服务态度：公平对待每一位用餐人；适当满足用餐个性化需求；杜绝打人情菜，少、漏刷钱现象。</w:t>
            </w:r>
          </w:p>
        </w:tc>
        <w:tc>
          <w:tcPr>
            <w:tcW w:w="1985" w:type="dxa"/>
            <w:tcBorders>
              <w:top w:val="single" w:color="auto" w:sz="4" w:space="0"/>
              <w:left w:val="nil"/>
              <w:bottom w:val="single" w:color="auto" w:sz="4" w:space="0"/>
              <w:right w:val="single" w:color="auto" w:sz="4" w:space="0"/>
            </w:tcBorders>
            <w:vAlign w:val="center"/>
          </w:tcPr>
          <w:p w14:paraId="380D67AB">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09209289">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335FC9E8">
            <w:pPr>
              <w:jc w:val="center"/>
              <w:rPr>
                <w:rFonts w:ascii="Times New Roman" w:hAnsi="Times New Roman" w:eastAsia="仿宋_GB2312" w:cs="Times New Roman"/>
                <w:sz w:val="24"/>
                <w:szCs w:val="24"/>
              </w:rPr>
            </w:pPr>
          </w:p>
        </w:tc>
      </w:tr>
      <w:tr w14:paraId="4590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51" w:type="dxa"/>
            <w:vMerge w:val="restart"/>
            <w:tcBorders>
              <w:top w:val="nil"/>
              <w:left w:val="single" w:color="auto" w:sz="4" w:space="0"/>
              <w:bottom w:val="single" w:color="auto" w:sz="4" w:space="0"/>
              <w:right w:val="single" w:color="auto" w:sz="4" w:space="0"/>
            </w:tcBorders>
            <w:vAlign w:val="center"/>
          </w:tcPr>
          <w:p w14:paraId="4CF3E2AB">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（三</w:t>
            </w:r>
            <w:r>
              <w:rPr>
                <w:rFonts w:hint="eastAsia" w:ascii="宋体" w:hAnsi="宋体"/>
                <w:b/>
                <w:bCs/>
                <w:sz w:val="24"/>
                <w:szCs w:val="24"/>
              </w:rPr>
              <w:t>）</w:t>
            </w:r>
          </w:p>
          <w:p w14:paraId="734A839B">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经</w:t>
            </w:r>
            <w:r>
              <w:rPr>
                <w:rFonts w:hint="eastAsia" w:ascii="宋体" w:hAnsi="宋体"/>
                <w:b/>
                <w:bCs/>
                <w:sz w:val="24"/>
                <w:szCs w:val="24"/>
              </w:rPr>
              <w:t>济</w:t>
            </w:r>
          </w:p>
          <w:p w14:paraId="38591EF8">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指</w:t>
            </w:r>
            <w:r>
              <w:rPr>
                <w:rFonts w:hint="eastAsia" w:ascii="宋体" w:hAnsi="宋体"/>
                <w:b/>
                <w:bCs/>
                <w:sz w:val="24"/>
                <w:szCs w:val="24"/>
              </w:rPr>
              <w:t>标</w:t>
            </w:r>
          </w:p>
          <w:p w14:paraId="5EF7A592">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10</w:t>
            </w:r>
            <w:r>
              <w:rPr>
                <w:rFonts w:hint="eastAsia" w:ascii="宋体" w:hAnsi="宋体"/>
                <w:b/>
                <w:bCs/>
                <w:sz w:val="24"/>
                <w:szCs w:val="24"/>
              </w:rPr>
              <w:t>分</w:t>
            </w:r>
          </w:p>
        </w:tc>
        <w:tc>
          <w:tcPr>
            <w:tcW w:w="4819" w:type="dxa"/>
            <w:tcBorders>
              <w:top w:val="single" w:color="auto" w:sz="4" w:space="0"/>
              <w:left w:val="nil"/>
              <w:bottom w:val="single" w:color="auto" w:sz="4" w:space="0"/>
              <w:right w:val="single" w:color="auto" w:sz="4" w:space="0"/>
            </w:tcBorders>
            <w:vAlign w:val="center"/>
          </w:tcPr>
          <w:p w14:paraId="7B7FA861">
            <w:pPr>
              <w:adjustRightInd w:val="0"/>
              <w:snapToGrid w:val="0"/>
              <w:spacing w:line="280" w:lineRule="exact"/>
              <w:rPr>
                <w:rFonts w:ascii="Times New Roman" w:hAnsi="Times New Roman" w:eastAsia="仿宋_GB2312" w:cs="Times New Roman"/>
                <w:sz w:val="24"/>
                <w:szCs w:val="24"/>
              </w:rPr>
            </w:pPr>
            <w:r>
              <w:rPr>
                <w:rFonts w:hint="eastAsia" w:ascii="宋体" w:hAnsi="宋体"/>
                <w:sz w:val="24"/>
                <w:szCs w:val="24"/>
              </w:rPr>
              <w:t>原材料采购：以不浪费为原则，结合零散与定点的采购方式，提出合理的采购需求，适当、及时调整各类原材料的采购。</w:t>
            </w:r>
          </w:p>
        </w:tc>
        <w:tc>
          <w:tcPr>
            <w:tcW w:w="1985" w:type="dxa"/>
            <w:vMerge w:val="restart"/>
            <w:tcBorders>
              <w:top w:val="nil"/>
              <w:left w:val="nil"/>
              <w:bottom w:val="single" w:color="auto" w:sz="4" w:space="0"/>
              <w:right w:val="single" w:color="auto" w:sz="4" w:space="0"/>
            </w:tcBorders>
            <w:vAlign w:val="center"/>
          </w:tcPr>
          <w:p w14:paraId="7749DD3A">
            <w:pPr>
              <w:rPr>
                <w:rFonts w:ascii="Times New Roman" w:hAnsi="Times New Roman" w:eastAsia="仿宋_GB2312" w:cs="Times New Roman"/>
                <w:sz w:val="24"/>
                <w:szCs w:val="24"/>
              </w:rPr>
            </w:pPr>
            <w:r>
              <w:rPr>
                <w:rFonts w:hint="eastAsia" w:ascii="宋体" w:hAnsi="宋体"/>
                <w:sz w:val="24"/>
                <w:szCs w:val="24"/>
              </w:rPr>
              <w:t>在单项分值内酌情扣分，扣完为止。</w:t>
            </w:r>
            <w:r>
              <w:rPr>
                <w:rFonts w:ascii="Times New Roman" w:hAnsi="Times New Roman" w:eastAsia="仿宋_GB2312" w:cs="Times New Roman"/>
                <w:sz w:val="24"/>
                <w:szCs w:val="24"/>
              </w:rPr>
              <w:t> </w:t>
            </w:r>
          </w:p>
        </w:tc>
        <w:tc>
          <w:tcPr>
            <w:tcW w:w="709" w:type="dxa"/>
            <w:tcBorders>
              <w:top w:val="single" w:color="auto" w:sz="4" w:space="0"/>
              <w:left w:val="nil"/>
              <w:bottom w:val="single" w:color="auto" w:sz="4" w:space="0"/>
              <w:right w:val="single" w:color="auto" w:sz="4" w:space="0"/>
            </w:tcBorders>
            <w:vAlign w:val="center"/>
          </w:tcPr>
          <w:p w14:paraId="36DCD638">
            <w:pPr>
              <w:jc w:val="center"/>
              <w:rPr>
                <w:rFonts w:ascii="Times New Roman" w:hAnsi="Times New Roman" w:eastAsia="仿宋_GB2312" w:cs="Times New Roman"/>
                <w:b/>
                <w:bCs/>
                <w:sz w:val="24"/>
                <w:szCs w:val="24"/>
              </w:rPr>
            </w:pPr>
          </w:p>
          <w:p w14:paraId="710A7DC2">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38B684A1">
            <w:pPr>
              <w:jc w:val="center"/>
              <w:rPr>
                <w:rFonts w:ascii="Times New Roman" w:hAnsi="Times New Roman" w:eastAsia="仿宋_GB2312" w:cs="Times New Roman"/>
                <w:sz w:val="24"/>
                <w:szCs w:val="24"/>
              </w:rPr>
            </w:pPr>
          </w:p>
        </w:tc>
      </w:tr>
      <w:tr w14:paraId="3C3F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op w:val="nil"/>
              <w:left w:val="single" w:color="auto" w:sz="4" w:space="0"/>
              <w:bottom w:val="single" w:color="auto" w:sz="4" w:space="0"/>
              <w:right w:val="single" w:color="auto" w:sz="4" w:space="0"/>
            </w:tcBorders>
            <w:vAlign w:val="center"/>
          </w:tcPr>
          <w:p w14:paraId="16A06963">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4E21CE6A">
            <w:pPr>
              <w:rPr>
                <w:rFonts w:ascii="Times New Roman" w:hAnsi="Times New Roman" w:eastAsia="仿宋_GB2312" w:cs="Times New Roman"/>
                <w:sz w:val="24"/>
                <w:szCs w:val="24"/>
              </w:rPr>
            </w:pPr>
            <w:r>
              <w:rPr>
                <w:rFonts w:hint="eastAsia" w:ascii="宋体" w:hAnsi="宋体"/>
                <w:sz w:val="24"/>
                <w:szCs w:val="24"/>
              </w:rPr>
              <w:t>低值易耗品采购：提出合理的采购需求；明确额定损耗率的物品，按月进行量化分析，如需改进要及时处理，如有重要情况应向甲方提出书面材料。</w:t>
            </w:r>
          </w:p>
        </w:tc>
        <w:tc>
          <w:tcPr>
            <w:tcW w:w="1985" w:type="dxa"/>
            <w:vMerge w:val="continue"/>
            <w:tcBorders>
              <w:top w:val="nil"/>
              <w:left w:val="nil"/>
              <w:bottom w:val="single" w:color="auto" w:sz="4" w:space="0"/>
              <w:right w:val="single" w:color="auto" w:sz="4" w:space="0"/>
            </w:tcBorders>
            <w:vAlign w:val="center"/>
          </w:tcPr>
          <w:p w14:paraId="2E49E21C">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0E8D2CE7">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1F7CE2A2">
            <w:pPr>
              <w:jc w:val="center"/>
              <w:rPr>
                <w:rFonts w:ascii="Times New Roman" w:hAnsi="Times New Roman" w:eastAsia="仿宋_GB2312" w:cs="Times New Roman"/>
                <w:sz w:val="24"/>
                <w:szCs w:val="24"/>
              </w:rPr>
            </w:pPr>
          </w:p>
        </w:tc>
      </w:tr>
      <w:tr w14:paraId="6477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op w:val="nil"/>
              <w:left w:val="single" w:color="auto" w:sz="4" w:space="0"/>
              <w:bottom w:val="single" w:color="auto" w:sz="4" w:space="0"/>
              <w:right w:val="single" w:color="auto" w:sz="4" w:space="0"/>
            </w:tcBorders>
            <w:vAlign w:val="center"/>
          </w:tcPr>
          <w:p w14:paraId="21460973">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2EA00569">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遵守财务制度：仅限</w:t>
            </w:r>
            <w:r>
              <w:rPr>
                <w:rFonts w:ascii="Times New Roman" w:hAnsi="Times New Roman"/>
                <w:sz w:val="24"/>
                <w:szCs w:val="24"/>
              </w:rPr>
              <w:t>就餐</w:t>
            </w:r>
            <w:r>
              <w:rPr>
                <w:rFonts w:hint="eastAsia" w:ascii="宋体" w:hAnsi="宋体"/>
                <w:sz w:val="24"/>
                <w:szCs w:val="24"/>
              </w:rPr>
              <w:t>卡支付；经营情况日清月结，账目清晰；生产费用按需申报，不应先产生事后再核销，严禁自行采购；认真做好结算（含餐券），不产生多、错、漏刷。</w:t>
            </w:r>
          </w:p>
        </w:tc>
        <w:tc>
          <w:tcPr>
            <w:tcW w:w="1985" w:type="dxa"/>
            <w:vMerge w:val="restart"/>
            <w:tcBorders>
              <w:top w:val="nil"/>
              <w:left w:val="nil"/>
              <w:bottom w:val="single" w:color="auto" w:sz="4" w:space="0"/>
              <w:right w:val="single" w:color="auto" w:sz="4" w:space="0"/>
            </w:tcBorders>
            <w:vAlign w:val="center"/>
          </w:tcPr>
          <w:p w14:paraId="602354B1">
            <w:pPr>
              <w:rPr>
                <w:rFonts w:ascii="Times New Roman" w:hAnsi="Times New Roman" w:eastAsia="仿宋_GB2312" w:cs="Times New Roman"/>
                <w:sz w:val="24"/>
                <w:szCs w:val="24"/>
              </w:rPr>
            </w:pPr>
            <w:r>
              <w:rPr>
                <w:rFonts w:hint="eastAsia" w:ascii="宋体" w:hAnsi="宋体"/>
                <w:sz w:val="24"/>
                <w:szCs w:val="24"/>
              </w:rPr>
              <w:t>在单项分值内酌情扣分，扣完为止。</w:t>
            </w:r>
          </w:p>
        </w:tc>
        <w:tc>
          <w:tcPr>
            <w:tcW w:w="709" w:type="dxa"/>
            <w:tcBorders>
              <w:top w:val="single" w:color="auto" w:sz="4" w:space="0"/>
              <w:left w:val="nil"/>
              <w:bottom w:val="single" w:color="auto" w:sz="4" w:space="0"/>
              <w:right w:val="single" w:color="auto" w:sz="4" w:space="0"/>
            </w:tcBorders>
            <w:vAlign w:val="center"/>
          </w:tcPr>
          <w:p w14:paraId="623C0629">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3B63BB8A">
            <w:pPr>
              <w:jc w:val="center"/>
              <w:rPr>
                <w:rFonts w:ascii="Times New Roman" w:hAnsi="Times New Roman" w:eastAsia="仿宋_GB2312" w:cs="Times New Roman"/>
                <w:sz w:val="24"/>
                <w:szCs w:val="24"/>
              </w:rPr>
            </w:pPr>
          </w:p>
        </w:tc>
      </w:tr>
      <w:tr w14:paraId="6C39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op w:val="nil"/>
              <w:left w:val="single" w:color="auto" w:sz="4" w:space="0"/>
              <w:bottom w:val="single" w:color="auto" w:sz="4" w:space="0"/>
              <w:right w:val="single" w:color="auto" w:sz="4" w:space="0"/>
            </w:tcBorders>
            <w:vAlign w:val="center"/>
          </w:tcPr>
          <w:p w14:paraId="359E21D7">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33705C83">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价格：按甲方要求的定价方式，制定合理价格；明码售卖。</w:t>
            </w:r>
          </w:p>
        </w:tc>
        <w:tc>
          <w:tcPr>
            <w:tcW w:w="1985" w:type="dxa"/>
            <w:vMerge w:val="continue"/>
            <w:tcBorders>
              <w:top w:val="nil"/>
              <w:left w:val="nil"/>
              <w:bottom w:val="single" w:color="auto" w:sz="4" w:space="0"/>
              <w:right w:val="single" w:color="auto" w:sz="4" w:space="0"/>
            </w:tcBorders>
            <w:vAlign w:val="center"/>
          </w:tcPr>
          <w:p w14:paraId="15151C66">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5C6EA78B">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7E70D32C">
            <w:pPr>
              <w:jc w:val="center"/>
              <w:rPr>
                <w:rFonts w:ascii="Times New Roman" w:hAnsi="Times New Roman" w:eastAsia="仿宋_GB2312" w:cs="Times New Roman"/>
                <w:sz w:val="24"/>
                <w:szCs w:val="24"/>
              </w:rPr>
            </w:pPr>
          </w:p>
        </w:tc>
      </w:tr>
      <w:tr w14:paraId="0840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4D7AC7E5">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0A3B419B">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经营利润：以控制年度整体盈亏平衡为目标；每月亏损不能大于</w:t>
            </w:r>
            <w:r>
              <w:rPr>
                <w:rFonts w:ascii="Times New Roman" w:hAnsi="Times New Roman" w:eastAsia="仿宋_GB2312" w:cs="Times New Roman"/>
                <w:sz w:val="24"/>
                <w:szCs w:val="24"/>
              </w:rPr>
              <w:t>5%</w:t>
            </w:r>
            <w:r>
              <w:rPr>
                <w:rFonts w:hint="eastAsia" w:ascii="宋体" w:hAnsi="宋体"/>
                <w:sz w:val="24"/>
                <w:szCs w:val="24"/>
              </w:rPr>
              <w:t>；根据经营日报，及时调整各餐利润（原则上，大餐厅亏损控制在</w:t>
            </w:r>
            <w:r>
              <w:rPr>
                <w:rFonts w:ascii="Times New Roman" w:hAnsi="Times New Roman" w:eastAsia="仿宋_GB2312" w:cs="Times New Roman"/>
                <w:sz w:val="24"/>
                <w:szCs w:val="24"/>
              </w:rPr>
              <w:t>5%</w:t>
            </w:r>
            <w:r>
              <w:rPr>
                <w:rFonts w:hint="eastAsia" w:ascii="宋体" w:hAnsi="宋体"/>
                <w:sz w:val="24"/>
                <w:szCs w:val="24"/>
              </w:rPr>
              <w:t>内；客餐利润控制在</w:t>
            </w:r>
            <w:r>
              <w:rPr>
                <w:rFonts w:ascii="Times New Roman" w:hAnsi="Times New Roman" w:eastAsia="仿宋_GB2312" w:cs="Times New Roman"/>
                <w:sz w:val="24"/>
                <w:szCs w:val="24"/>
              </w:rPr>
              <w:t>35%</w:t>
            </w:r>
            <w:r>
              <w:rPr>
                <w:rFonts w:hint="eastAsia" w:ascii="宋体" w:hAnsi="宋体"/>
                <w:sz w:val="24"/>
                <w:szCs w:val="24"/>
              </w:rPr>
              <w:t>内）。</w:t>
            </w:r>
          </w:p>
        </w:tc>
        <w:tc>
          <w:tcPr>
            <w:tcW w:w="1985" w:type="dxa"/>
            <w:tcBorders>
              <w:top w:val="single" w:color="auto" w:sz="4" w:space="0"/>
              <w:left w:val="nil"/>
              <w:bottom w:val="single" w:color="auto" w:sz="4" w:space="0"/>
              <w:right w:val="single" w:color="auto" w:sz="4" w:space="0"/>
            </w:tcBorders>
            <w:vAlign w:val="center"/>
          </w:tcPr>
          <w:p w14:paraId="0F101DF3">
            <w:pPr>
              <w:rPr>
                <w:rFonts w:ascii="Times New Roman" w:hAnsi="Times New Roman" w:eastAsia="仿宋_GB2312" w:cs="Times New Roman"/>
                <w:sz w:val="24"/>
                <w:szCs w:val="24"/>
              </w:rPr>
            </w:pPr>
            <w:r>
              <w:rPr>
                <w:rFonts w:hint="eastAsia" w:ascii="宋体" w:hAnsi="宋体"/>
                <w:sz w:val="24"/>
                <w:szCs w:val="24"/>
              </w:rPr>
              <w:t>首月扣</w:t>
            </w:r>
            <w:r>
              <w:rPr>
                <w:rFonts w:ascii="Times New Roman" w:hAnsi="Times New Roman" w:eastAsia="仿宋_GB2312" w:cs="Times New Roman"/>
                <w:sz w:val="24"/>
                <w:szCs w:val="24"/>
              </w:rPr>
              <w:t>0.5</w:t>
            </w:r>
            <w:r>
              <w:rPr>
                <w:rFonts w:hint="eastAsia" w:ascii="宋体" w:hAnsi="宋体"/>
                <w:sz w:val="24"/>
                <w:szCs w:val="24"/>
              </w:rPr>
              <w:t>分；第二月扣</w:t>
            </w:r>
            <w:r>
              <w:rPr>
                <w:rFonts w:ascii="Times New Roman" w:hAnsi="Times New Roman" w:eastAsia="仿宋_GB2312" w:cs="Times New Roman"/>
                <w:sz w:val="24"/>
                <w:szCs w:val="24"/>
              </w:rPr>
              <w:t>1</w:t>
            </w:r>
            <w:r>
              <w:rPr>
                <w:rFonts w:hint="eastAsia" w:ascii="宋体" w:hAnsi="宋体"/>
                <w:sz w:val="24"/>
                <w:szCs w:val="24"/>
              </w:rPr>
              <w:t>分，第三月扣</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.5</w:t>
            </w:r>
            <w:r>
              <w:rPr>
                <w:rFonts w:hint="eastAsia" w:ascii="宋体" w:hAnsi="宋体"/>
                <w:sz w:val="24"/>
                <w:szCs w:val="24"/>
              </w:rPr>
              <w:t>分；扣分不累计。</w:t>
            </w:r>
          </w:p>
        </w:tc>
        <w:tc>
          <w:tcPr>
            <w:tcW w:w="709" w:type="dxa"/>
            <w:tcBorders>
              <w:top w:val="single" w:color="auto" w:sz="4" w:space="0"/>
              <w:left w:val="nil"/>
              <w:bottom w:val="single" w:color="auto" w:sz="4" w:space="0"/>
              <w:right w:val="single" w:color="auto" w:sz="4" w:space="0"/>
            </w:tcBorders>
            <w:vAlign w:val="center"/>
          </w:tcPr>
          <w:p w14:paraId="466FFDD0">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4</w:t>
            </w:r>
          </w:p>
        </w:tc>
        <w:tc>
          <w:tcPr>
            <w:tcW w:w="736" w:type="dxa"/>
            <w:tcBorders>
              <w:top w:val="single" w:color="auto" w:sz="4" w:space="0"/>
              <w:left w:val="nil"/>
              <w:bottom w:val="single" w:color="auto" w:sz="4" w:space="0"/>
              <w:right w:val="single" w:color="auto" w:sz="4" w:space="0"/>
            </w:tcBorders>
            <w:vAlign w:val="center"/>
          </w:tcPr>
          <w:p w14:paraId="1D4A5DB9">
            <w:pPr>
              <w:jc w:val="center"/>
              <w:rPr>
                <w:rFonts w:ascii="Times New Roman" w:hAnsi="Times New Roman" w:eastAsia="仿宋_GB2312" w:cs="Times New Roman"/>
                <w:sz w:val="24"/>
                <w:szCs w:val="24"/>
              </w:rPr>
            </w:pPr>
          </w:p>
        </w:tc>
      </w:tr>
      <w:tr w14:paraId="0F89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1" w:type="dxa"/>
            <w:vMerge w:val="continue"/>
            <w:tcBorders>
              <w:top w:val="nil"/>
              <w:left w:val="single" w:color="auto" w:sz="4" w:space="0"/>
              <w:bottom w:val="single" w:color="auto" w:sz="4" w:space="0"/>
              <w:right w:val="single" w:color="auto" w:sz="4" w:space="0"/>
            </w:tcBorders>
            <w:vAlign w:val="center"/>
          </w:tcPr>
          <w:p w14:paraId="7B5DFA1C">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7D0287A4">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及时、准确报送经营情况；准确记录订餐及客餐情况，报送相关票据。</w:t>
            </w:r>
          </w:p>
        </w:tc>
        <w:tc>
          <w:tcPr>
            <w:tcW w:w="1985" w:type="dxa"/>
            <w:tcBorders>
              <w:top w:val="single" w:color="auto" w:sz="4" w:space="0"/>
              <w:left w:val="nil"/>
              <w:bottom w:val="single" w:color="auto" w:sz="4" w:space="0"/>
              <w:right w:val="single" w:color="auto" w:sz="4" w:space="0"/>
            </w:tcBorders>
            <w:vAlign w:val="center"/>
          </w:tcPr>
          <w:p w14:paraId="0FE02CF1">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340C4601">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6FA52D65">
            <w:pPr>
              <w:jc w:val="center"/>
              <w:rPr>
                <w:rFonts w:ascii="Times New Roman" w:hAnsi="Times New Roman" w:eastAsia="仿宋_GB2312" w:cs="Times New Roman"/>
                <w:sz w:val="24"/>
                <w:szCs w:val="24"/>
              </w:rPr>
            </w:pPr>
          </w:p>
        </w:tc>
      </w:tr>
      <w:tr w14:paraId="262D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851" w:type="dxa"/>
            <w:vMerge w:val="continue"/>
            <w:tcBorders>
              <w:top w:val="nil"/>
              <w:left w:val="single" w:color="auto" w:sz="4" w:space="0"/>
              <w:bottom w:val="single" w:color="auto" w:sz="4" w:space="0"/>
              <w:right w:val="single" w:color="auto" w:sz="4" w:space="0"/>
            </w:tcBorders>
            <w:vAlign w:val="center"/>
          </w:tcPr>
          <w:p w14:paraId="54F44E49">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02C791A9">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能耗：遵守节能减排规定；空调于营业前</w:t>
            </w:r>
            <w:r>
              <w:rPr>
                <w:rFonts w:ascii="Times New Roman" w:hAnsi="Times New Roman" w:eastAsia="仿宋_GB2312" w:cs="Times New Roman"/>
                <w:sz w:val="24"/>
                <w:szCs w:val="24"/>
              </w:rPr>
              <w:t>15-30</w:t>
            </w:r>
            <w:r>
              <w:rPr>
                <w:rFonts w:hint="eastAsia" w:ascii="宋体" w:hAnsi="宋体"/>
                <w:sz w:val="24"/>
                <w:szCs w:val="24"/>
              </w:rPr>
              <w:t>分钟开启合理温度，营业结束立即关闭，开启时应关闭窗户；电灯于营业开始时全面开启，营业结束时逐步关闭；至少每半年清理一次烟道；电、水、气用量按月进行量化分析，如需改进要及时处理，如有重要情况应向甲方提出书面材料。</w:t>
            </w:r>
          </w:p>
        </w:tc>
        <w:tc>
          <w:tcPr>
            <w:tcW w:w="1985" w:type="dxa"/>
            <w:tcBorders>
              <w:top w:val="single" w:color="auto" w:sz="4" w:space="0"/>
              <w:left w:val="nil"/>
              <w:bottom w:val="single" w:color="auto" w:sz="4" w:space="0"/>
              <w:right w:val="single" w:color="auto" w:sz="4" w:space="0"/>
            </w:tcBorders>
            <w:vAlign w:val="center"/>
          </w:tcPr>
          <w:p w14:paraId="00325946">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1840309D">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28A08502">
            <w:pPr>
              <w:jc w:val="center"/>
              <w:rPr>
                <w:rFonts w:ascii="Times New Roman" w:hAnsi="Times New Roman" w:eastAsia="仿宋_GB2312" w:cs="Times New Roman"/>
                <w:sz w:val="24"/>
                <w:szCs w:val="24"/>
              </w:rPr>
            </w:pPr>
          </w:p>
        </w:tc>
      </w:tr>
      <w:tr w14:paraId="2646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851" w:type="dxa"/>
            <w:vMerge w:val="restart"/>
            <w:tcBorders>
              <w:top w:val="nil"/>
              <w:left w:val="single" w:color="auto" w:sz="4" w:space="0"/>
              <w:bottom w:val="single" w:color="auto" w:sz="4" w:space="0"/>
              <w:right w:val="single" w:color="auto" w:sz="4" w:space="0"/>
            </w:tcBorders>
            <w:vAlign w:val="center"/>
          </w:tcPr>
          <w:p w14:paraId="14820DA0">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（四</w:t>
            </w:r>
            <w:r>
              <w:rPr>
                <w:rFonts w:hint="eastAsia" w:ascii="宋体" w:hAnsi="宋体"/>
                <w:b/>
                <w:bCs/>
                <w:sz w:val="24"/>
                <w:szCs w:val="24"/>
              </w:rPr>
              <w:t>）</w:t>
            </w:r>
          </w:p>
          <w:p w14:paraId="65515E84">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仓</w:t>
            </w:r>
            <w:r>
              <w:rPr>
                <w:rFonts w:hint="eastAsia" w:ascii="宋体" w:hAnsi="宋体"/>
                <w:b/>
                <w:bCs/>
                <w:sz w:val="24"/>
                <w:szCs w:val="24"/>
              </w:rPr>
              <w:t>储</w:t>
            </w:r>
          </w:p>
          <w:p w14:paraId="15771E4C">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管</w:t>
            </w:r>
            <w:r>
              <w:rPr>
                <w:rFonts w:hint="eastAsia" w:ascii="宋体" w:hAnsi="宋体"/>
                <w:b/>
                <w:bCs/>
                <w:sz w:val="24"/>
                <w:szCs w:val="24"/>
              </w:rPr>
              <w:t>理</w:t>
            </w:r>
          </w:p>
          <w:p w14:paraId="5D0992FD">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6</w:t>
            </w:r>
            <w:r>
              <w:rPr>
                <w:rFonts w:hint="eastAsia" w:ascii="宋体" w:hAnsi="宋体"/>
                <w:b/>
                <w:bCs/>
                <w:sz w:val="24"/>
                <w:szCs w:val="24"/>
              </w:rPr>
              <w:t>分</w:t>
            </w:r>
          </w:p>
        </w:tc>
        <w:tc>
          <w:tcPr>
            <w:tcW w:w="4819" w:type="dxa"/>
            <w:tcBorders>
              <w:top w:val="single" w:color="auto" w:sz="4" w:space="0"/>
              <w:left w:val="nil"/>
              <w:bottom w:val="single" w:color="auto" w:sz="4" w:space="0"/>
              <w:right w:val="single" w:color="auto" w:sz="4" w:space="0"/>
            </w:tcBorders>
            <w:vAlign w:val="center"/>
          </w:tcPr>
          <w:p w14:paraId="47B2A1FB">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原材料验收：明确采购与管理责任制，入库应由责任人（仓管、厨师长、采购员）签字确认；如实按采购金额和数量进行入库登记；杜绝不符合采购要求的原材料入库。</w:t>
            </w:r>
          </w:p>
        </w:tc>
        <w:tc>
          <w:tcPr>
            <w:tcW w:w="1985" w:type="dxa"/>
            <w:tcBorders>
              <w:top w:val="single" w:color="auto" w:sz="4" w:space="0"/>
              <w:left w:val="nil"/>
              <w:bottom w:val="single" w:color="auto" w:sz="4" w:space="0"/>
              <w:right w:val="single" w:color="auto" w:sz="4" w:space="0"/>
            </w:tcBorders>
            <w:vAlign w:val="center"/>
          </w:tcPr>
          <w:p w14:paraId="65A4F19D">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5A4DEF40">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617C9065">
            <w:pPr>
              <w:jc w:val="center"/>
              <w:rPr>
                <w:rFonts w:ascii="Times New Roman" w:hAnsi="Times New Roman" w:eastAsia="仿宋_GB2312" w:cs="Times New Roman"/>
                <w:sz w:val="24"/>
                <w:szCs w:val="24"/>
              </w:rPr>
            </w:pPr>
          </w:p>
        </w:tc>
      </w:tr>
      <w:tr w14:paraId="558D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1" w:type="dxa"/>
            <w:vMerge w:val="continue"/>
            <w:tcBorders>
              <w:top w:val="nil"/>
              <w:left w:val="single" w:color="auto" w:sz="4" w:space="0"/>
              <w:bottom w:val="single" w:color="auto" w:sz="4" w:space="0"/>
              <w:right w:val="single" w:color="auto" w:sz="4" w:space="0"/>
            </w:tcBorders>
            <w:vAlign w:val="center"/>
          </w:tcPr>
          <w:p w14:paraId="7E441175">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6FBA42FB">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原材料储存：按不同种类，区分常温、冷藏和冷冻等储存条件，分区存放；帐卡物相一致；按仓库内标线摆放。</w:t>
            </w:r>
          </w:p>
        </w:tc>
        <w:tc>
          <w:tcPr>
            <w:tcW w:w="1985" w:type="dxa"/>
            <w:tcBorders>
              <w:top w:val="single" w:color="auto" w:sz="4" w:space="0"/>
              <w:left w:val="nil"/>
              <w:bottom w:val="single" w:color="auto" w:sz="4" w:space="0"/>
              <w:right w:val="single" w:color="auto" w:sz="4" w:space="0"/>
            </w:tcBorders>
            <w:vAlign w:val="center"/>
          </w:tcPr>
          <w:p w14:paraId="39B0F118">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6F187B00">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62807787">
            <w:pPr>
              <w:jc w:val="center"/>
              <w:rPr>
                <w:rFonts w:ascii="Times New Roman" w:hAnsi="Times New Roman" w:eastAsia="仿宋_GB2312" w:cs="Times New Roman"/>
                <w:sz w:val="24"/>
                <w:szCs w:val="24"/>
              </w:rPr>
            </w:pPr>
          </w:p>
        </w:tc>
      </w:tr>
      <w:tr w14:paraId="217C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51" w:type="dxa"/>
            <w:vMerge w:val="continue"/>
            <w:tcBorders>
              <w:top w:val="nil"/>
              <w:left w:val="single" w:color="auto" w:sz="4" w:space="0"/>
              <w:bottom w:val="single" w:color="auto" w:sz="4" w:space="0"/>
              <w:right w:val="single" w:color="auto" w:sz="4" w:space="0"/>
            </w:tcBorders>
            <w:vAlign w:val="center"/>
          </w:tcPr>
          <w:p w14:paraId="4BB80922">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73812C39">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原材料出库：按先进先出原则，按需出库；制定物品领用的相关规定，如用量、用时；规范领用手续，如相关责任人签字等。</w:t>
            </w:r>
          </w:p>
        </w:tc>
        <w:tc>
          <w:tcPr>
            <w:tcW w:w="1985" w:type="dxa"/>
            <w:tcBorders>
              <w:top w:val="single" w:color="auto" w:sz="4" w:space="0"/>
              <w:left w:val="nil"/>
              <w:bottom w:val="single" w:color="auto" w:sz="4" w:space="0"/>
              <w:right w:val="single" w:color="auto" w:sz="4" w:space="0"/>
            </w:tcBorders>
            <w:vAlign w:val="center"/>
          </w:tcPr>
          <w:p w14:paraId="2694AEAA">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2E31CB8B">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4EC64F1B">
            <w:pPr>
              <w:jc w:val="center"/>
              <w:rPr>
                <w:rFonts w:ascii="Times New Roman" w:hAnsi="Times New Roman" w:eastAsia="仿宋_GB2312" w:cs="Times New Roman"/>
                <w:sz w:val="24"/>
                <w:szCs w:val="24"/>
              </w:rPr>
            </w:pPr>
          </w:p>
        </w:tc>
      </w:tr>
      <w:tr w14:paraId="609E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op w:val="nil"/>
              <w:left w:val="single" w:color="auto" w:sz="4" w:space="0"/>
              <w:bottom w:val="single" w:color="auto" w:sz="4" w:space="0"/>
              <w:right w:val="single" w:color="auto" w:sz="4" w:space="0"/>
            </w:tcBorders>
            <w:vAlign w:val="center"/>
          </w:tcPr>
          <w:p w14:paraId="01F1C2C0">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6249C67C">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仓库报表：账目清晰、准确，如实记录原材料名称、规格、数量、生产日期，保质期和入库时间等基本信息；如实记录出库情况，实时反应生产情况；每日清点和整理，定期盘存并报备甲方。</w:t>
            </w:r>
          </w:p>
        </w:tc>
        <w:tc>
          <w:tcPr>
            <w:tcW w:w="1985" w:type="dxa"/>
            <w:tcBorders>
              <w:top w:val="single" w:color="auto" w:sz="4" w:space="0"/>
              <w:left w:val="nil"/>
              <w:bottom w:val="single" w:color="auto" w:sz="4" w:space="0"/>
              <w:right w:val="single" w:color="auto" w:sz="4" w:space="0"/>
            </w:tcBorders>
            <w:vAlign w:val="center"/>
          </w:tcPr>
          <w:p w14:paraId="11D762E4">
            <w:pPr>
              <w:rPr>
                <w:rFonts w:ascii="Times New Roman" w:hAnsi="Times New Roman" w:eastAsia="仿宋_GB2312" w:cs="Times New Roman"/>
                <w:sz w:val="24"/>
                <w:szCs w:val="24"/>
              </w:rPr>
            </w:pPr>
            <w:r>
              <w:rPr>
                <w:rFonts w:hint="eastAsia" w:ascii="宋体" w:hAnsi="宋体"/>
                <w:sz w:val="24"/>
                <w:szCs w:val="24"/>
              </w:rPr>
              <w:t>每处不符扣</w:t>
            </w:r>
            <w:r>
              <w:rPr>
                <w:rFonts w:ascii="Times New Roman" w:hAnsi="Times New Roman"/>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229ECC1B">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3FA5AB7C">
            <w:pPr>
              <w:jc w:val="center"/>
              <w:rPr>
                <w:rFonts w:ascii="Times New Roman" w:hAnsi="Times New Roman" w:eastAsia="仿宋_GB2312" w:cs="Times New Roman"/>
                <w:sz w:val="24"/>
                <w:szCs w:val="24"/>
              </w:rPr>
            </w:pPr>
          </w:p>
        </w:tc>
      </w:tr>
      <w:tr w14:paraId="60EE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op w:val="nil"/>
              <w:left w:val="single" w:color="auto" w:sz="4" w:space="0"/>
              <w:bottom w:val="single" w:color="auto" w:sz="4" w:space="0"/>
              <w:right w:val="single" w:color="auto" w:sz="4" w:space="0"/>
            </w:tcBorders>
            <w:vAlign w:val="center"/>
          </w:tcPr>
          <w:p w14:paraId="6EA65A78">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66DA41EC">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仓库分类：按物品储存条件的要求，区分常温、冷藏和冷冻三类仓库；仓库保持整洁卫生，冷藏与冷冻仓库应每天检查运行温度并记录。</w:t>
            </w:r>
          </w:p>
        </w:tc>
        <w:tc>
          <w:tcPr>
            <w:tcW w:w="1985" w:type="dxa"/>
            <w:tcBorders>
              <w:top w:val="single" w:color="auto" w:sz="4" w:space="0"/>
              <w:left w:val="nil"/>
              <w:bottom w:val="single" w:color="auto" w:sz="4" w:space="0"/>
              <w:right w:val="single" w:color="auto" w:sz="4" w:space="0"/>
            </w:tcBorders>
            <w:vAlign w:val="center"/>
          </w:tcPr>
          <w:p w14:paraId="3314E22D">
            <w:pPr>
              <w:rPr>
                <w:rFonts w:ascii="Times New Roman" w:hAnsi="Times New Roman" w:eastAsia="仿宋_GB2312" w:cs="Times New Roman"/>
                <w:sz w:val="24"/>
                <w:szCs w:val="24"/>
              </w:rPr>
            </w:pPr>
            <w:r>
              <w:rPr>
                <w:rFonts w:hint="eastAsia" w:ascii="宋体" w:hAnsi="宋体"/>
                <w:sz w:val="24"/>
                <w:szCs w:val="24"/>
              </w:rPr>
              <w:t>每处不符扣</w:t>
            </w:r>
            <w:r>
              <w:rPr>
                <w:rFonts w:ascii="Times New Roman" w:hAnsi="Times New Roman"/>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5A6089A1">
            <w:pPr>
              <w:jc w:val="center"/>
              <w:rPr>
                <w:rFonts w:ascii="Times New Roman" w:hAnsi="Times New Roman" w:eastAsia="仿宋_GB2312" w:cs="Times New Roman"/>
                <w:b/>
                <w:bCs/>
                <w:sz w:val="24"/>
                <w:szCs w:val="24"/>
              </w:rPr>
            </w:pPr>
            <w:r>
              <w:rPr>
                <w:rFonts w:ascii="Times New Roman" w:hAnsi="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205D1EE5">
            <w:pPr>
              <w:jc w:val="center"/>
              <w:rPr>
                <w:rFonts w:ascii="Times New Roman" w:hAnsi="Times New Roman" w:eastAsia="仿宋_GB2312" w:cs="Times New Roman"/>
                <w:sz w:val="24"/>
                <w:szCs w:val="24"/>
              </w:rPr>
            </w:pPr>
          </w:p>
        </w:tc>
      </w:tr>
      <w:tr w14:paraId="34EC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op w:val="nil"/>
              <w:left w:val="single" w:color="auto" w:sz="4" w:space="0"/>
              <w:bottom w:val="single" w:color="auto" w:sz="4" w:space="0"/>
              <w:right w:val="single" w:color="auto" w:sz="4" w:space="0"/>
            </w:tcBorders>
            <w:vAlign w:val="center"/>
          </w:tcPr>
          <w:p w14:paraId="4197EB62">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2A920544">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消杀用品：杀虫剂、清洗剂、消毒剂及其他有害化学制品需专人专柜专管，并做好明显标识，不得与其他物品混放或接触。</w:t>
            </w:r>
          </w:p>
        </w:tc>
        <w:tc>
          <w:tcPr>
            <w:tcW w:w="1985" w:type="dxa"/>
            <w:tcBorders>
              <w:top w:val="single" w:color="auto" w:sz="4" w:space="0"/>
              <w:left w:val="nil"/>
              <w:bottom w:val="single" w:color="auto" w:sz="4" w:space="0"/>
              <w:right w:val="single" w:color="auto" w:sz="4" w:space="0"/>
            </w:tcBorders>
            <w:vAlign w:val="center"/>
          </w:tcPr>
          <w:p w14:paraId="136BE280">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67149893">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79E6CC53">
            <w:pPr>
              <w:jc w:val="center"/>
              <w:rPr>
                <w:rFonts w:ascii="Times New Roman" w:hAnsi="Times New Roman" w:eastAsia="仿宋_GB2312" w:cs="Times New Roman"/>
                <w:sz w:val="24"/>
                <w:szCs w:val="24"/>
              </w:rPr>
            </w:pPr>
          </w:p>
        </w:tc>
      </w:tr>
      <w:tr w14:paraId="666F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Borders>
              <w:top w:val="nil"/>
              <w:left w:val="single" w:color="auto" w:sz="4" w:space="0"/>
              <w:bottom w:val="single" w:color="auto" w:sz="4" w:space="0"/>
              <w:right w:val="single" w:color="auto" w:sz="4" w:space="0"/>
            </w:tcBorders>
            <w:vAlign w:val="center"/>
          </w:tcPr>
          <w:p w14:paraId="4515F13A">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（五</w:t>
            </w:r>
            <w:r>
              <w:rPr>
                <w:rFonts w:hint="eastAsia" w:ascii="宋体" w:hAnsi="宋体"/>
                <w:b/>
                <w:bCs/>
                <w:sz w:val="24"/>
                <w:szCs w:val="24"/>
              </w:rPr>
              <w:t>）</w:t>
            </w:r>
          </w:p>
          <w:p w14:paraId="29459913">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食品安全</w:t>
            </w:r>
            <w:r>
              <w:rPr>
                <w:rFonts w:hint="eastAsia" w:ascii="宋体" w:hAnsi="宋体"/>
                <w:b/>
                <w:bCs/>
                <w:sz w:val="24"/>
                <w:szCs w:val="24"/>
              </w:rPr>
              <w:t>与</w:t>
            </w:r>
          </w:p>
          <w:p w14:paraId="14005A89">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卫生18</w:t>
            </w:r>
            <w:r>
              <w:rPr>
                <w:rFonts w:hint="eastAsia" w:ascii="宋体" w:hAnsi="宋体"/>
                <w:b/>
                <w:bCs/>
                <w:sz w:val="24"/>
                <w:szCs w:val="24"/>
              </w:rPr>
              <w:t>分</w:t>
            </w:r>
          </w:p>
          <w:p w14:paraId="2C8BAFEB">
            <w:pPr>
              <w:jc w:val="center"/>
              <w:rPr>
                <w:rFonts w:ascii="Times New Roman" w:hAnsi="Times New Roman" w:eastAsia="仿宋_GB2312" w:cs="Times New Roman"/>
                <w:b/>
                <w:bCs/>
                <w:sz w:val="24"/>
                <w:szCs w:val="24"/>
              </w:rPr>
            </w:pPr>
            <w:r>
              <w:rPr>
                <w:rFonts w:ascii="Times New Roman" w:hAnsi="Times New Roman"/>
                <w:b/>
                <w:bCs/>
                <w:sz w:val="24"/>
                <w:szCs w:val="24"/>
              </w:rPr>
              <w:t> </w:t>
            </w:r>
          </w:p>
        </w:tc>
        <w:tc>
          <w:tcPr>
            <w:tcW w:w="4819" w:type="dxa"/>
            <w:tcBorders>
              <w:top w:val="single" w:color="auto" w:sz="4" w:space="0"/>
              <w:left w:val="nil"/>
              <w:bottom w:val="single" w:color="auto" w:sz="4" w:space="0"/>
              <w:right w:val="single" w:color="auto" w:sz="4" w:space="0"/>
            </w:tcBorders>
            <w:vAlign w:val="center"/>
          </w:tcPr>
          <w:p w14:paraId="64C206E5">
            <w:pPr>
              <w:adjustRightInd w:val="0"/>
              <w:snapToGrid w:val="0"/>
              <w:spacing w:line="304" w:lineRule="exact"/>
              <w:rPr>
                <w:rFonts w:ascii="Times New Roman" w:hAnsi="Times New Roman" w:eastAsia="仿宋_GB2312" w:cs="Times New Roman"/>
                <w:sz w:val="24"/>
                <w:szCs w:val="24"/>
              </w:rPr>
            </w:pPr>
            <w:r>
              <w:rPr>
                <w:rFonts w:hint="eastAsia" w:ascii="宋体" w:hAnsi="宋体"/>
                <w:sz w:val="24"/>
                <w:szCs w:val="24"/>
              </w:rPr>
              <w:t>遵守相关法律法规，配合执法（如市场监管、消防等）部门的检查；完善相应软、硬件；发现问题及时整改。</w:t>
            </w:r>
          </w:p>
        </w:tc>
        <w:tc>
          <w:tcPr>
            <w:tcW w:w="1985" w:type="dxa"/>
            <w:tcBorders>
              <w:top w:val="single" w:color="auto" w:sz="4" w:space="0"/>
              <w:left w:val="nil"/>
              <w:bottom w:val="single" w:color="auto" w:sz="4" w:space="0"/>
              <w:right w:val="single" w:color="auto" w:sz="4" w:space="0"/>
            </w:tcBorders>
            <w:vAlign w:val="center"/>
          </w:tcPr>
          <w:p w14:paraId="06022D15">
            <w:pPr>
              <w:rPr>
                <w:rFonts w:ascii="Times New Roman" w:hAnsi="Times New Roman" w:eastAsia="仿宋_GB2312" w:cs="Times New Roman"/>
                <w:sz w:val="24"/>
                <w:szCs w:val="24"/>
              </w:rPr>
            </w:pPr>
            <w:r>
              <w:rPr>
                <w:rFonts w:hint="eastAsia" w:ascii="宋体" w:hAnsi="宋体"/>
                <w:sz w:val="24"/>
                <w:szCs w:val="24"/>
              </w:rPr>
              <w:t>在单项分值内酌情扣分，扣完为止。</w:t>
            </w:r>
          </w:p>
        </w:tc>
        <w:tc>
          <w:tcPr>
            <w:tcW w:w="709" w:type="dxa"/>
            <w:tcBorders>
              <w:top w:val="single" w:color="auto" w:sz="4" w:space="0"/>
              <w:left w:val="nil"/>
              <w:bottom w:val="single" w:color="auto" w:sz="4" w:space="0"/>
              <w:right w:val="single" w:color="auto" w:sz="4" w:space="0"/>
            </w:tcBorders>
            <w:vAlign w:val="center"/>
          </w:tcPr>
          <w:p w14:paraId="786CB2BA">
            <w:pPr>
              <w:jc w:val="center"/>
              <w:rPr>
                <w:rFonts w:ascii="Times New Roman" w:hAnsi="Times New Roman" w:eastAsia="仿宋_GB2312" w:cs="Times New Roman"/>
                <w:b/>
                <w:bCs/>
                <w:sz w:val="24"/>
                <w:szCs w:val="24"/>
              </w:rPr>
            </w:pPr>
          </w:p>
          <w:p w14:paraId="1F5B4CCD">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292FBF62">
            <w:pPr>
              <w:jc w:val="center"/>
              <w:rPr>
                <w:rFonts w:ascii="Times New Roman" w:hAnsi="Times New Roman" w:eastAsia="仿宋_GB2312" w:cs="Times New Roman"/>
                <w:sz w:val="24"/>
                <w:szCs w:val="24"/>
              </w:rPr>
            </w:pPr>
          </w:p>
        </w:tc>
      </w:tr>
      <w:tr w14:paraId="1EFC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Merge w:val="continue"/>
            <w:tcBorders>
              <w:top w:val="nil"/>
              <w:left w:val="single" w:color="auto" w:sz="4" w:space="0"/>
              <w:bottom w:val="single" w:color="auto" w:sz="4" w:space="0"/>
              <w:right w:val="single" w:color="auto" w:sz="4" w:space="0"/>
            </w:tcBorders>
            <w:vAlign w:val="center"/>
          </w:tcPr>
          <w:p w14:paraId="41C22C9D">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2042DE89">
            <w:pPr>
              <w:adjustRightInd w:val="0"/>
              <w:snapToGrid w:val="0"/>
              <w:spacing w:line="304" w:lineRule="exact"/>
              <w:rPr>
                <w:rFonts w:ascii="Times New Roman" w:hAnsi="Times New Roman" w:eastAsia="仿宋_GB2312" w:cs="Times New Roman"/>
                <w:sz w:val="24"/>
                <w:szCs w:val="24"/>
              </w:rPr>
            </w:pPr>
            <w:r>
              <w:rPr>
                <w:rFonts w:hint="eastAsia" w:ascii="宋体" w:hAnsi="宋体"/>
                <w:sz w:val="24"/>
                <w:szCs w:val="24"/>
              </w:rPr>
              <w:t>通道：原材料、成品和垃圾通道等进行隔离；不共用，避免交叉污染。</w:t>
            </w:r>
          </w:p>
        </w:tc>
        <w:tc>
          <w:tcPr>
            <w:tcW w:w="1985" w:type="dxa"/>
            <w:vMerge w:val="restart"/>
            <w:tcBorders>
              <w:top w:val="nil"/>
              <w:left w:val="nil"/>
              <w:bottom w:val="single" w:color="auto" w:sz="4" w:space="0"/>
              <w:right w:val="single" w:color="auto" w:sz="4" w:space="0"/>
            </w:tcBorders>
            <w:vAlign w:val="center"/>
          </w:tcPr>
          <w:p w14:paraId="694F6F31">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0150B26F">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090501A0">
            <w:pPr>
              <w:jc w:val="center"/>
              <w:rPr>
                <w:rFonts w:ascii="Times New Roman" w:hAnsi="Times New Roman" w:eastAsia="仿宋_GB2312" w:cs="Times New Roman"/>
                <w:sz w:val="24"/>
                <w:szCs w:val="24"/>
              </w:rPr>
            </w:pPr>
          </w:p>
        </w:tc>
      </w:tr>
      <w:tr w14:paraId="4339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op w:val="single" w:color="auto" w:sz="4" w:space="0"/>
              <w:left w:val="single" w:color="auto" w:sz="4" w:space="0"/>
              <w:bottom w:val="single" w:color="auto" w:sz="4" w:space="0"/>
              <w:right w:val="single" w:color="auto" w:sz="4" w:space="0"/>
            </w:tcBorders>
            <w:vAlign w:val="center"/>
          </w:tcPr>
          <w:p w14:paraId="76D92E48">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3EE39688">
            <w:pPr>
              <w:adjustRightInd w:val="0"/>
              <w:snapToGrid w:val="0"/>
              <w:spacing w:line="304" w:lineRule="exact"/>
              <w:rPr>
                <w:rFonts w:ascii="Times New Roman" w:hAnsi="Times New Roman" w:eastAsia="仿宋_GB2312" w:cs="Times New Roman"/>
                <w:sz w:val="24"/>
                <w:szCs w:val="24"/>
              </w:rPr>
            </w:pPr>
            <w:r>
              <w:rPr>
                <w:rFonts w:hint="eastAsia" w:ascii="宋体" w:hAnsi="宋体"/>
                <w:sz w:val="24"/>
                <w:szCs w:val="24"/>
              </w:rPr>
              <w:t>粗加工区：按动物性食品、植物性食品、水产品三类食品，分类、分区存放和处理。要求</w:t>
            </w:r>
            <w:r>
              <w:rPr>
                <w:rFonts w:ascii="Times New Roman" w:hAnsi="Times New Roman" w:eastAsia="仿宋_GB2312" w:cs="Times New Roman"/>
                <w:sz w:val="24"/>
                <w:szCs w:val="24"/>
              </w:rPr>
              <w:t>“</w:t>
            </w:r>
            <w:r>
              <w:rPr>
                <w:rFonts w:hint="eastAsia" w:ascii="宋体" w:hAnsi="宋体"/>
                <w:sz w:val="24"/>
                <w:szCs w:val="24"/>
              </w:rPr>
              <w:t>一摘二洗三浸泡四清五切</w:t>
            </w:r>
            <w:r>
              <w:rPr>
                <w:rFonts w:ascii="Times New Roman" w:hAnsi="Times New Roman" w:eastAsia="仿宋_GB2312" w:cs="Times New Roman"/>
                <w:sz w:val="24"/>
                <w:szCs w:val="24"/>
              </w:rPr>
              <w:t>”</w:t>
            </w:r>
            <w:r>
              <w:rPr>
                <w:rFonts w:hint="eastAsia" w:ascii="宋体" w:hAnsi="宋体"/>
                <w:sz w:val="24"/>
                <w:szCs w:val="24"/>
              </w:rPr>
              <w:t>，抽检或普检无泥沙及异物。</w:t>
            </w:r>
          </w:p>
        </w:tc>
        <w:tc>
          <w:tcPr>
            <w:tcW w:w="1985" w:type="dxa"/>
            <w:vMerge w:val="continue"/>
            <w:tcBorders>
              <w:top w:val="single" w:color="auto" w:sz="4" w:space="0"/>
              <w:left w:val="nil"/>
              <w:bottom w:val="single" w:color="auto" w:sz="4" w:space="0"/>
              <w:right w:val="single" w:color="auto" w:sz="4" w:space="0"/>
            </w:tcBorders>
            <w:vAlign w:val="center"/>
          </w:tcPr>
          <w:p w14:paraId="02145714">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62E1DD9E">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78F864E9">
            <w:pPr>
              <w:jc w:val="center"/>
              <w:rPr>
                <w:rFonts w:ascii="Times New Roman" w:hAnsi="Times New Roman" w:eastAsia="仿宋_GB2312" w:cs="Times New Roman"/>
                <w:sz w:val="24"/>
                <w:szCs w:val="24"/>
              </w:rPr>
            </w:pPr>
          </w:p>
        </w:tc>
      </w:tr>
      <w:tr w14:paraId="1581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Merge w:val="continue"/>
            <w:tcBorders>
              <w:top w:val="nil"/>
              <w:left w:val="single" w:color="auto" w:sz="4" w:space="0"/>
              <w:bottom w:val="single" w:color="auto" w:sz="4" w:space="0"/>
              <w:right w:val="single" w:color="auto" w:sz="4" w:space="0"/>
            </w:tcBorders>
            <w:vAlign w:val="center"/>
          </w:tcPr>
          <w:p w14:paraId="0D815F48">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2BEDEC55">
            <w:pPr>
              <w:adjustRightInd w:val="0"/>
              <w:snapToGrid w:val="0"/>
              <w:spacing w:line="304" w:lineRule="exact"/>
              <w:rPr>
                <w:rFonts w:ascii="Times New Roman" w:hAnsi="Times New Roman" w:eastAsia="仿宋_GB2312" w:cs="Times New Roman"/>
                <w:sz w:val="24"/>
                <w:szCs w:val="24"/>
              </w:rPr>
            </w:pPr>
            <w:r>
              <w:rPr>
                <w:rFonts w:hint="eastAsia" w:ascii="宋体" w:hAnsi="宋体"/>
                <w:sz w:val="24"/>
                <w:szCs w:val="24"/>
              </w:rPr>
              <w:t>切配区：蔬菜、肉类使用不同的砧板、刀具；按标准切配。</w:t>
            </w:r>
          </w:p>
        </w:tc>
        <w:tc>
          <w:tcPr>
            <w:tcW w:w="1985" w:type="dxa"/>
            <w:vMerge w:val="continue"/>
            <w:tcBorders>
              <w:top w:val="nil"/>
              <w:left w:val="nil"/>
              <w:bottom w:val="single" w:color="auto" w:sz="4" w:space="0"/>
              <w:right w:val="single" w:color="auto" w:sz="4" w:space="0"/>
            </w:tcBorders>
            <w:vAlign w:val="center"/>
          </w:tcPr>
          <w:p w14:paraId="6BB9ECBE">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0E9C3A57">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07F64B67">
            <w:pPr>
              <w:jc w:val="center"/>
              <w:rPr>
                <w:rFonts w:ascii="Times New Roman" w:hAnsi="Times New Roman" w:eastAsia="仿宋_GB2312" w:cs="Times New Roman"/>
                <w:sz w:val="24"/>
                <w:szCs w:val="24"/>
              </w:rPr>
            </w:pPr>
          </w:p>
        </w:tc>
      </w:tr>
      <w:tr w14:paraId="45D7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op w:val="nil"/>
              <w:left w:val="single" w:color="auto" w:sz="4" w:space="0"/>
              <w:bottom w:val="single" w:color="auto" w:sz="4" w:space="0"/>
              <w:right w:val="single" w:color="auto" w:sz="4" w:space="0"/>
            </w:tcBorders>
            <w:vAlign w:val="center"/>
          </w:tcPr>
          <w:p w14:paraId="4DC5D692">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42C1679A">
            <w:pPr>
              <w:adjustRightInd w:val="0"/>
              <w:snapToGrid w:val="0"/>
              <w:spacing w:line="304" w:lineRule="exact"/>
              <w:rPr>
                <w:rFonts w:ascii="Times New Roman" w:hAnsi="Times New Roman" w:eastAsia="仿宋_GB2312" w:cs="Times New Roman"/>
                <w:sz w:val="24"/>
                <w:szCs w:val="24"/>
              </w:rPr>
            </w:pPr>
            <w:r>
              <w:rPr>
                <w:rFonts w:hint="eastAsia" w:ascii="宋体" w:hAnsi="宋体"/>
                <w:sz w:val="24"/>
                <w:szCs w:val="24"/>
              </w:rPr>
              <w:t>半成品保存：含洗切后的原材料，按品类分开储存；注明保质期；隔夜存放，需密封后冷藏；短时存放，需防尘。</w:t>
            </w:r>
          </w:p>
        </w:tc>
        <w:tc>
          <w:tcPr>
            <w:tcW w:w="1985" w:type="dxa"/>
            <w:vMerge w:val="continue"/>
            <w:tcBorders>
              <w:top w:val="nil"/>
              <w:left w:val="nil"/>
              <w:bottom w:val="single" w:color="auto" w:sz="4" w:space="0"/>
              <w:right w:val="single" w:color="auto" w:sz="4" w:space="0"/>
            </w:tcBorders>
            <w:vAlign w:val="center"/>
          </w:tcPr>
          <w:p w14:paraId="13EC4293">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62EBF701">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1805BEF5">
            <w:pPr>
              <w:jc w:val="center"/>
              <w:rPr>
                <w:rFonts w:ascii="Times New Roman" w:hAnsi="Times New Roman" w:eastAsia="仿宋_GB2312" w:cs="Times New Roman"/>
                <w:sz w:val="24"/>
                <w:szCs w:val="24"/>
              </w:rPr>
            </w:pPr>
          </w:p>
        </w:tc>
      </w:tr>
      <w:tr w14:paraId="47ED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Merge w:val="continue"/>
            <w:tcBorders>
              <w:top w:val="nil"/>
              <w:left w:val="single" w:color="auto" w:sz="4" w:space="0"/>
              <w:bottom w:val="single" w:color="auto" w:sz="4" w:space="0"/>
              <w:right w:val="single" w:color="auto" w:sz="4" w:space="0"/>
            </w:tcBorders>
            <w:vAlign w:val="center"/>
          </w:tcPr>
          <w:p w14:paraId="1270A2D0">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5B548745">
            <w:pPr>
              <w:adjustRightInd w:val="0"/>
              <w:snapToGrid w:val="0"/>
              <w:spacing w:line="304" w:lineRule="exact"/>
              <w:rPr>
                <w:rFonts w:ascii="Times New Roman" w:hAnsi="Times New Roman" w:eastAsia="仿宋_GB2312" w:cs="Times New Roman"/>
                <w:sz w:val="24"/>
                <w:szCs w:val="24"/>
              </w:rPr>
            </w:pPr>
            <w:r>
              <w:rPr>
                <w:rFonts w:hint="eastAsia" w:ascii="宋体" w:hAnsi="宋体"/>
                <w:sz w:val="24"/>
                <w:szCs w:val="24"/>
              </w:rPr>
              <w:t>成品保存：分开储存；注明保质期；隔夜存放，需密封后冷藏；短时存放，需防尘。</w:t>
            </w:r>
          </w:p>
        </w:tc>
        <w:tc>
          <w:tcPr>
            <w:tcW w:w="1985" w:type="dxa"/>
            <w:vMerge w:val="continue"/>
            <w:tcBorders>
              <w:top w:val="nil"/>
              <w:left w:val="nil"/>
              <w:bottom w:val="single" w:color="auto" w:sz="4" w:space="0"/>
              <w:right w:val="single" w:color="auto" w:sz="4" w:space="0"/>
            </w:tcBorders>
            <w:vAlign w:val="center"/>
          </w:tcPr>
          <w:p w14:paraId="0A99F097">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5880097C">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11B53D92">
            <w:pPr>
              <w:jc w:val="center"/>
              <w:rPr>
                <w:rFonts w:ascii="Times New Roman" w:hAnsi="Times New Roman" w:eastAsia="仿宋_GB2312" w:cs="Times New Roman"/>
                <w:sz w:val="24"/>
                <w:szCs w:val="24"/>
              </w:rPr>
            </w:pPr>
          </w:p>
        </w:tc>
      </w:tr>
      <w:tr w14:paraId="0711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op w:val="nil"/>
              <w:left w:val="single" w:color="auto" w:sz="4" w:space="0"/>
              <w:bottom w:val="single" w:color="auto" w:sz="4" w:space="0"/>
              <w:right w:val="single" w:color="auto" w:sz="4" w:space="0"/>
            </w:tcBorders>
            <w:vAlign w:val="center"/>
          </w:tcPr>
          <w:p w14:paraId="472DFC04">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1100D3F3">
            <w:pPr>
              <w:adjustRightInd w:val="0"/>
              <w:snapToGrid w:val="0"/>
              <w:spacing w:line="304" w:lineRule="exact"/>
              <w:rPr>
                <w:rFonts w:ascii="Times New Roman" w:hAnsi="Times New Roman" w:eastAsia="仿宋_GB2312" w:cs="Times New Roman"/>
                <w:sz w:val="24"/>
                <w:szCs w:val="24"/>
              </w:rPr>
            </w:pPr>
            <w:r>
              <w:rPr>
                <w:rFonts w:hint="eastAsia" w:ascii="宋体" w:hAnsi="宋体"/>
                <w:sz w:val="24"/>
                <w:szCs w:val="24"/>
              </w:rPr>
              <w:t>碗盘餐具清洁：洗消要求</w:t>
            </w:r>
            <w:r>
              <w:rPr>
                <w:rFonts w:ascii="Times New Roman" w:hAnsi="Times New Roman" w:eastAsia="仿宋_GB2312" w:cs="Times New Roman"/>
                <w:sz w:val="24"/>
                <w:szCs w:val="24"/>
              </w:rPr>
              <w:t>“</w:t>
            </w:r>
            <w:r>
              <w:rPr>
                <w:rFonts w:hint="eastAsia" w:ascii="宋体" w:hAnsi="宋体"/>
                <w:sz w:val="24"/>
                <w:szCs w:val="24"/>
              </w:rPr>
              <w:t>一刮二刷三冲四消五保洁</w:t>
            </w:r>
            <w:r>
              <w:rPr>
                <w:rFonts w:ascii="Times New Roman" w:hAnsi="Times New Roman" w:eastAsia="仿宋_GB2312" w:cs="Times New Roman"/>
                <w:sz w:val="24"/>
                <w:szCs w:val="24"/>
              </w:rPr>
              <w:t>”</w:t>
            </w:r>
            <w:r>
              <w:rPr>
                <w:rFonts w:hint="eastAsia" w:ascii="宋体" w:hAnsi="宋体"/>
                <w:sz w:val="24"/>
                <w:szCs w:val="24"/>
              </w:rPr>
              <w:t>，抽检或普检干净合格；分区清洁；按标识摆放并做防尘处理，避免二次污染。</w:t>
            </w:r>
          </w:p>
        </w:tc>
        <w:tc>
          <w:tcPr>
            <w:tcW w:w="1985" w:type="dxa"/>
            <w:vMerge w:val="continue"/>
            <w:tcBorders>
              <w:top w:val="nil"/>
              <w:left w:val="nil"/>
              <w:bottom w:val="single" w:color="auto" w:sz="4" w:space="0"/>
              <w:right w:val="single" w:color="auto" w:sz="4" w:space="0"/>
            </w:tcBorders>
            <w:vAlign w:val="center"/>
          </w:tcPr>
          <w:p w14:paraId="0685DD15">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41C20F48">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040004B7">
            <w:pPr>
              <w:jc w:val="center"/>
              <w:rPr>
                <w:rFonts w:ascii="Times New Roman" w:hAnsi="Times New Roman" w:eastAsia="仿宋_GB2312" w:cs="Times New Roman"/>
                <w:sz w:val="24"/>
                <w:szCs w:val="24"/>
              </w:rPr>
            </w:pPr>
          </w:p>
        </w:tc>
      </w:tr>
      <w:tr w14:paraId="7818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nil"/>
              <w:left w:val="single" w:color="auto" w:sz="4" w:space="0"/>
              <w:bottom w:val="single" w:color="auto" w:sz="4" w:space="0"/>
              <w:right w:val="single" w:color="auto" w:sz="4" w:space="0"/>
            </w:tcBorders>
            <w:vAlign w:val="center"/>
          </w:tcPr>
          <w:p w14:paraId="74AC7B9F">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43B680B2">
            <w:pPr>
              <w:adjustRightInd w:val="0"/>
              <w:snapToGrid w:val="0"/>
              <w:spacing w:line="304" w:lineRule="exact"/>
              <w:rPr>
                <w:rFonts w:ascii="Times New Roman" w:hAnsi="Times New Roman" w:eastAsia="仿宋_GB2312" w:cs="Times New Roman"/>
                <w:sz w:val="24"/>
                <w:szCs w:val="24"/>
              </w:rPr>
            </w:pPr>
            <w:r>
              <w:rPr>
                <w:rFonts w:hint="eastAsia" w:ascii="宋体" w:hAnsi="宋体"/>
                <w:sz w:val="24"/>
                <w:szCs w:val="24"/>
              </w:rPr>
              <w:t>再加工：半成品或成品冷藏后必须热加工。</w:t>
            </w:r>
          </w:p>
        </w:tc>
        <w:tc>
          <w:tcPr>
            <w:tcW w:w="1985" w:type="dxa"/>
            <w:vMerge w:val="continue"/>
            <w:tcBorders>
              <w:top w:val="nil"/>
              <w:left w:val="nil"/>
              <w:bottom w:val="single" w:color="auto" w:sz="4" w:space="0"/>
              <w:right w:val="single" w:color="auto" w:sz="4" w:space="0"/>
            </w:tcBorders>
            <w:vAlign w:val="center"/>
          </w:tcPr>
          <w:p w14:paraId="1F0B3C34">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1490A657">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2E25D995">
            <w:pPr>
              <w:jc w:val="center"/>
              <w:rPr>
                <w:rFonts w:ascii="Times New Roman" w:hAnsi="Times New Roman" w:eastAsia="仿宋_GB2312" w:cs="Times New Roman"/>
                <w:sz w:val="24"/>
                <w:szCs w:val="24"/>
              </w:rPr>
            </w:pPr>
          </w:p>
        </w:tc>
      </w:tr>
      <w:tr w14:paraId="24D3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op w:val="nil"/>
              <w:left w:val="single" w:color="auto" w:sz="4" w:space="0"/>
              <w:bottom w:val="single" w:color="auto" w:sz="4" w:space="0"/>
              <w:right w:val="single" w:color="auto" w:sz="4" w:space="0"/>
            </w:tcBorders>
            <w:vAlign w:val="center"/>
          </w:tcPr>
          <w:p w14:paraId="4A356184">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314ECCA9">
            <w:pPr>
              <w:adjustRightInd w:val="0"/>
              <w:snapToGrid w:val="0"/>
              <w:spacing w:line="304" w:lineRule="exact"/>
              <w:rPr>
                <w:rFonts w:ascii="Times New Roman" w:hAnsi="Times New Roman" w:eastAsia="仿宋_GB2312" w:cs="Times New Roman"/>
                <w:sz w:val="24"/>
                <w:szCs w:val="24"/>
              </w:rPr>
            </w:pPr>
            <w:r>
              <w:rPr>
                <w:rFonts w:hint="eastAsia" w:ascii="宋体" w:hAnsi="宋体"/>
                <w:sz w:val="24"/>
                <w:szCs w:val="24"/>
              </w:rPr>
              <w:t>出餐检验：出餐前应由厨师长或项目经理</w:t>
            </w:r>
            <w:r>
              <w:rPr>
                <w:rFonts w:ascii="Times New Roman" w:hAnsi="Times New Roman" w:eastAsia="仿宋_GB2312" w:cs="Times New Roman"/>
                <w:sz w:val="24"/>
                <w:szCs w:val="24"/>
              </w:rPr>
              <w:t>/</w:t>
            </w:r>
            <w:r>
              <w:rPr>
                <w:rFonts w:hint="eastAsia" w:ascii="宋体" w:hAnsi="宋体"/>
                <w:sz w:val="24"/>
                <w:szCs w:val="24"/>
              </w:rPr>
              <w:t>主管进行品尝检查，并记录，确保菜品安全、质量合格。</w:t>
            </w:r>
          </w:p>
        </w:tc>
        <w:tc>
          <w:tcPr>
            <w:tcW w:w="1985" w:type="dxa"/>
            <w:vMerge w:val="continue"/>
            <w:tcBorders>
              <w:top w:val="nil"/>
              <w:left w:val="nil"/>
              <w:bottom w:val="single" w:color="auto" w:sz="4" w:space="0"/>
              <w:right w:val="single" w:color="auto" w:sz="4" w:space="0"/>
            </w:tcBorders>
            <w:vAlign w:val="center"/>
          </w:tcPr>
          <w:p w14:paraId="3B73B9B1">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032EDAEA">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1268E980">
            <w:pPr>
              <w:jc w:val="center"/>
              <w:rPr>
                <w:rFonts w:ascii="Times New Roman" w:hAnsi="Times New Roman" w:eastAsia="仿宋_GB2312" w:cs="Times New Roman"/>
                <w:sz w:val="24"/>
                <w:szCs w:val="24"/>
              </w:rPr>
            </w:pPr>
          </w:p>
        </w:tc>
      </w:tr>
      <w:tr w14:paraId="450B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op w:val="nil"/>
              <w:left w:val="single" w:color="auto" w:sz="4" w:space="0"/>
              <w:bottom w:val="single" w:color="auto" w:sz="4" w:space="0"/>
              <w:right w:val="single" w:color="auto" w:sz="4" w:space="0"/>
            </w:tcBorders>
            <w:vAlign w:val="center"/>
          </w:tcPr>
          <w:p w14:paraId="12E86964">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0A2FDDD6">
            <w:pPr>
              <w:adjustRightInd w:val="0"/>
              <w:snapToGrid w:val="0"/>
              <w:spacing w:line="304" w:lineRule="exact"/>
              <w:rPr>
                <w:rFonts w:ascii="Times New Roman" w:hAnsi="Times New Roman" w:eastAsia="仿宋_GB2312" w:cs="Times New Roman"/>
                <w:sz w:val="24"/>
                <w:szCs w:val="24"/>
              </w:rPr>
            </w:pPr>
            <w:r>
              <w:rPr>
                <w:rFonts w:hint="eastAsia" w:ascii="宋体" w:hAnsi="宋体"/>
                <w:sz w:val="24"/>
                <w:szCs w:val="24"/>
              </w:rPr>
              <w:t>留样：配备留样专用容器；每样食品按要求留样，并记录，每样不少于</w:t>
            </w:r>
            <w:r>
              <w:rPr>
                <w:rFonts w:ascii="Times New Roman" w:hAnsi="Times New Roman" w:eastAsia="仿宋_GB2312" w:cs="Times New Roman"/>
                <w:sz w:val="24"/>
                <w:szCs w:val="24"/>
              </w:rPr>
              <w:t>100g</w:t>
            </w:r>
            <w:r>
              <w:rPr>
                <w:rFonts w:ascii="Times New Roman" w:hAnsi="Times New Roman"/>
                <w:sz w:val="24"/>
                <w:szCs w:val="24"/>
              </w:rPr>
              <w:t>，</w:t>
            </w:r>
            <w:r>
              <w:rPr>
                <w:rFonts w:hint="eastAsia" w:ascii="宋体" w:hAnsi="宋体"/>
                <w:sz w:val="24"/>
                <w:szCs w:val="24"/>
              </w:rPr>
              <w:t>留样不少于</w:t>
            </w:r>
            <w:r>
              <w:rPr>
                <w:rFonts w:ascii="Times New Roman" w:hAnsi="Times New Roman" w:eastAsia="仿宋_GB2312" w:cs="Times New Roman"/>
                <w:sz w:val="24"/>
                <w:szCs w:val="24"/>
              </w:rPr>
              <w:t>48</w:t>
            </w:r>
            <w:r>
              <w:rPr>
                <w:rFonts w:hint="eastAsia" w:ascii="宋体" w:hAnsi="宋体"/>
                <w:sz w:val="24"/>
                <w:szCs w:val="24"/>
              </w:rPr>
              <w:t>小时。</w:t>
            </w:r>
          </w:p>
        </w:tc>
        <w:tc>
          <w:tcPr>
            <w:tcW w:w="1985" w:type="dxa"/>
            <w:vMerge w:val="continue"/>
            <w:tcBorders>
              <w:top w:val="nil"/>
              <w:left w:val="nil"/>
              <w:bottom w:val="single" w:color="auto" w:sz="4" w:space="0"/>
              <w:right w:val="single" w:color="auto" w:sz="4" w:space="0"/>
            </w:tcBorders>
            <w:vAlign w:val="center"/>
          </w:tcPr>
          <w:p w14:paraId="325BEC73">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55467E09">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79A910AF">
            <w:pPr>
              <w:jc w:val="center"/>
              <w:rPr>
                <w:rFonts w:ascii="Times New Roman" w:hAnsi="Times New Roman" w:eastAsia="仿宋_GB2312" w:cs="Times New Roman"/>
                <w:sz w:val="24"/>
                <w:szCs w:val="24"/>
              </w:rPr>
            </w:pPr>
          </w:p>
        </w:tc>
      </w:tr>
      <w:tr w14:paraId="1271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1" w:type="dxa"/>
            <w:vMerge w:val="continue"/>
            <w:tcBorders>
              <w:top w:val="nil"/>
              <w:left w:val="single" w:color="auto" w:sz="4" w:space="0"/>
              <w:bottom w:val="single" w:color="auto" w:sz="4" w:space="0"/>
              <w:right w:val="single" w:color="auto" w:sz="4" w:space="0"/>
            </w:tcBorders>
            <w:vAlign w:val="center"/>
          </w:tcPr>
          <w:p w14:paraId="2D38591D">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2181F62A">
            <w:pPr>
              <w:rPr>
                <w:rFonts w:ascii="Times New Roman" w:hAnsi="Times New Roman" w:eastAsia="仿宋_GB2312" w:cs="Times New Roman"/>
                <w:sz w:val="24"/>
                <w:szCs w:val="24"/>
              </w:rPr>
            </w:pPr>
            <w:r>
              <w:rPr>
                <w:rFonts w:hint="eastAsia" w:ascii="宋体" w:hAnsi="宋体"/>
                <w:sz w:val="24"/>
                <w:szCs w:val="24"/>
              </w:rPr>
              <w:t>用水：自制饮品用水需用经煮沸的开水或可直接饮用的水；制作食用冰的用水、直接接触成品的用水，应经过水净化设备处理。</w:t>
            </w:r>
          </w:p>
        </w:tc>
        <w:tc>
          <w:tcPr>
            <w:tcW w:w="1985" w:type="dxa"/>
            <w:tcBorders>
              <w:top w:val="single" w:color="auto" w:sz="4" w:space="0"/>
              <w:left w:val="nil"/>
              <w:bottom w:val="single" w:color="auto" w:sz="4" w:space="0"/>
              <w:right w:val="single" w:color="auto" w:sz="4" w:space="0"/>
            </w:tcBorders>
            <w:vAlign w:val="center"/>
          </w:tcPr>
          <w:p w14:paraId="20586015">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1832EA94">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4D2B01D7">
            <w:pPr>
              <w:jc w:val="center"/>
              <w:rPr>
                <w:rFonts w:ascii="Times New Roman" w:hAnsi="Times New Roman" w:eastAsia="仿宋_GB2312" w:cs="Times New Roman"/>
                <w:sz w:val="24"/>
                <w:szCs w:val="24"/>
              </w:rPr>
            </w:pPr>
          </w:p>
        </w:tc>
      </w:tr>
      <w:tr w14:paraId="5DD8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1" w:type="dxa"/>
            <w:vMerge w:val="continue"/>
            <w:tcBorders>
              <w:top w:val="nil"/>
              <w:left w:val="single" w:color="auto" w:sz="4" w:space="0"/>
              <w:bottom w:val="single" w:color="auto" w:sz="4" w:space="0"/>
              <w:right w:val="single" w:color="auto" w:sz="4" w:space="0"/>
            </w:tcBorders>
            <w:vAlign w:val="center"/>
          </w:tcPr>
          <w:p w14:paraId="4B1FB173">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3F3F8DC2">
            <w:pPr>
              <w:rPr>
                <w:rFonts w:ascii="Times New Roman" w:hAnsi="Times New Roman" w:eastAsia="仿宋_GB2312" w:cs="Times New Roman"/>
                <w:sz w:val="24"/>
                <w:szCs w:val="24"/>
              </w:rPr>
            </w:pPr>
            <w:r>
              <w:rPr>
                <w:rFonts w:hint="eastAsia" w:ascii="宋体" w:hAnsi="宋体"/>
                <w:sz w:val="24"/>
                <w:szCs w:val="24"/>
              </w:rPr>
              <w:t>防疫：每月进行虫鼠消杀防疫工作；未经许可，外部人员不得进入厨房；相关工作人员进入厨房要按规定着装。</w:t>
            </w:r>
          </w:p>
        </w:tc>
        <w:tc>
          <w:tcPr>
            <w:tcW w:w="1985" w:type="dxa"/>
            <w:tcBorders>
              <w:top w:val="single" w:color="auto" w:sz="4" w:space="0"/>
              <w:left w:val="nil"/>
              <w:bottom w:val="single" w:color="auto" w:sz="4" w:space="0"/>
              <w:right w:val="single" w:color="auto" w:sz="4" w:space="0"/>
            </w:tcBorders>
            <w:vAlign w:val="center"/>
          </w:tcPr>
          <w:p w14:paraId="22A6BDFF">
            <w:pPr>
              <w:rPr>
                <w:rFonts w:ascii="Times New Roman" w:hAnsi="Times New Roman" w:eastAsia="仿宋_GB2312" w:cs="Times New Roman"/>
                <w:sz w:val="24"/>
                <w:szCs w:val="24"/>
              </w:rPr>
            </w:pPr>
            <w:r>
              <w:rPr>
                <w:rFonts w:hint="eastAsia" w:ascii="宋体" w:hAnsi="宋体"/>
                <w:sz w:val="24"/>
                <w:szCs w:val="24"/>
              </w:rPr>
              <w:t>在单项分值内酌情扣分，扣完为止。</w:t>
            </w:r>
          </w:p>
        </w:tc>
        <w:tc>
          <w:tcPr>
            <w:tcW w:w="709" w:type="dxa"/>
            <w:tcBorders>
              <w:top w:val="single" w:color="auto" w:sz="4" w:space="0"/>
              <w:left w:val="nil"/>
              <w:bottom w:val="single" w:color="auto" w:sz="4" w:space="0"/>
              <w:right w:val="single" w:color="auto" w:sz="4" w:space="0"/>
            </w:tcBorders>
            <w:vAlign w:val="center"/>
          </w:tcPr>
          <w:p w14:paraId="479232F8">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0D4859C9">
            <w:pPr>
              <w:jc w:val="center"/>
              <w:rPr>
                <w:rFonts w:ascii="Times New Roman" w:hAnsi="Times New Roman" w:eastAsia="仿宋_GB2312" w:cs="Times New Roman"/>
                <w:sz w:val="24"/>
                <w:szCs w:val="24"/>
              </w:rPr>
            </w:pPr>
          </w:p>
        </w:tc>
      </w:tr>
      <w:tr w14:paraId="2AE6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vMerge w:val="continue"/>
            <w:tcBorders>
              <w:top w:val="nil"/>
              <w:left w:val="single" w:color="auto" w:sz="4" w:space="0"/>
              <w:bottom w:val="single" w:color="auto" w:sz="4" w:space="0"/>
              <w:right w:val="single" w:color="auto" w:sz="4" w:space="0"/>
            </w:tcBorders>
            <w:vAlign w:val="center"/>
          </w:tcPr>
          <w:p w14:paraId="6D2A4244">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6A03EDD9">
            <w:pPr>
              <w:rPr>
                <w:rFonts w:ascii="Times New Roman" w:hAnsi="Times New Roman" w:eastAsia="仿宋_GB2312" w:cs="Times New Roman"/>
                <w:sz w:val="24"/>
                <w:szCs w:val="24"/>
              </w:rPr>
            </w:pPr>
            <w:r>
              <w:rPr>
                <w:rFonts w:hint="eastAsia" w:ascii="宋体" w:hAnsi="宋体"/>
                <w:sz w:val="24"/>
                <w:szCs w:val="24"/>
              </w:rPr>
              <w:t>经核实，发生食物中出现异物、食物出品检验不合格等现象。</w:t>
            </w:r>
          </w:p>
        </w:tc>
        <w:tc>
          <w:tcPr>
            <w:tcW w:w="1985" w:type="dxa"/>
            <w:tcBorders>
              <w:top w:val="single" w:color="auto" w:sz="4" w:space="0"/>
              <w:left w:val="nil"/>
              <w:bottom w:val="single" w:color="auto" w:sz="4" w:space="0"/>
              <w:right w:val="single" w:color="auto" w:sz="4" w:space="0"/>
            </w:tcBorders>
            <w:vAlign w:val="center"/>
          </w:tcPr>
          <w:p w14:paraId="32F398F5">
            <w:pPr>
              <w:rPr>
                <w:rFonts w:ascii="Times New Roman" w:hAnsi="Times New Roman" w:eastAsia="仿宋_GB2312" w:cs="Times New Roman"/>
                <w:sz w:val="24"/>
                <w:szCs w:val="24"/>
              </w:rPr>
            </w:pPr>
            <w:r>
              <w:rPr>
                <w:rFonts w:hint="eastAsia" w:ascii="宋体" w:hAnsi="宋体"/>
                <w:sz w:val="24"/>
                <w:szCs w:val="24"/>
              </w:rPr>
              <w:t>每次扣</w:t>
            </w:r>
            <w:r>
              <w:rPr>
                <w:rFonts w:ascii="Times New Roman" w:hAnsi="Times New Roman" w:eastAsia="仿宋_GB2312" w:cs="Times New Roman"/>
                <w:sz w:val="24"/>
                <w:szCs w:val="24"/>
              </w:rPr>
              <w:t>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3B648AAF">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5</w:t>
            </w:r>
          </w:p>
        </w:tc>
        <w:tc>
          <w:tcPr>
            <w:tcW w:w="736" w:type="dxa"/>
            <w:tcBorders>
              <w:top w:val="single" w:color="auto" w:sz="4" w:space="0"/>
              <w:left w:val="nil"/>
              <w:bottom w:val="single" w:color="auto" w:sz="4" w:space="0"/>
              <w:right w:val="single" w:color="auto" w:sz="4" w:space="0"/>
            </w:tcBorders>
            <w:vAlign w:val="center"/>
          </w:tcPr>
          <w:p w14:paraId="3C5ACFD6">
            <w:pPr>
              <w:jc w:val="center"/>
              <w:rPr>
                <w:rFonts w:ascii="Times New Roman" w:hAnsi="Times New Roman" w:eastAsia="仿宋_GB2312" w:cs="Times New Roman"/>
                <w:sz w:val="24"/>
                <w:szCs w:val="24"/>
              </w:rPr>
            </w:pPr>
          </w:p>
        </w:tc>
      </w:tr>
      <w:tr w14:paraId="03D5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51" w:type="dxa"/>
            <w:vMerge w:val="restart"/>
            <w:tcBorders>
              <w:top w:val="nil"/>
              <w:left w:val="single" w:color="auto" w:sz="4" w:space="0"/>
              <w:bottom w:val="single" w:color="auto" w:sz="4" w:space="0"/>
              <w:right w:val="single" w:color="auto" w:sz="4" w:space="0"/>
            </w:tcBorders>
            <w:vAlign w:val="center"/>
          </w:tcPr>
          <w:p w14:paraId="01BBBFD7">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（六</w:t>
            </w:r>
            <w:r>
              <w:rPr>
                <w:rFonts w:hint="eastAsia" w:ascii="宋体" w:hAnsi="宋体"/>
                <w:b/>
                <w:bCs/>
                <w:sz w:val="24"/>
                <w:szCs w:val="24"/>
              </w:rPr>
              <w:t>）</w:t>
            </w:r>
          </w:p>
          <w:p w14:paraId="3636DF70">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环境卫生11</w:t>
            </w:r>
            <w:r>
              <w:rPr>
                <w:rFonts w:hint="eastAsia" w:ascii="宋体" w:hAnsi="宋体"/>
                <w:b/>
                <w:bCs/>
                <w:sz w:val="24"/>
                <w:szCs w:val="24"/>
              </w:rPr>
              <w:t>分</w:t>
            </w:r>
          </w:p>
        </w:tc>
        <w:tc>
          <w:tcPr>
            <w:tcW w:w="4819" w:type="dxa"/>
            <w:tcBorders>
              <w:top w:val="single" w:color="auto" w:sz="4" w:space="0"/>
              <w:left w:val="nil"/>
              <w:bottom w:val="single" w:color="auto" w:sz="4" w:space="0"/>
              <w:right w:val="single" w:color="auto" w:sz="4" w:space="0"/>
            </w:tcBorders>
            <w:vAlign w:val="center"/>
          </w:tcPr>
          <w:p w14:paraId="7204E950">
            <w:pPr>
              <w:rPr>
                <w:rFonts w:ascii="Times New Roman" w:hAnsi="Times New Roman" w:eastAsia="仿宋_GB2312" w:cs="Times New Roman"/>
                <w:sz w:val="24"/>
                <w:szCs w:val="24"/>
              </w:rPr>
            </w:pPr>
            <w:r>
              <w:rPr>
                <w:rFonts w:hint="eastAsia" w:ascii="宋体" w:hAnsi="宋体"/>
                <w:sz w:val="24"/>
                <w:szCs w:val="24"/>
              </w:rPr>
              <w:t>大厅就餐区：客人离位及时清理桌面；及时清理（</w:t>
            </w:r>
            <w:r>
              <w:rPr>
                <w:rFonts w:ascii="Times New Roman" w:hAnsi="Times New Roman" w:eastAsia="仿宋_GB2312" w:cs="Times New Roman"/>
                <w:sz w:val="24"/>
                <w:szCs w:val="24"/>
              </w:rPr>
              <w:t>5</w:t>
            </w:r>
            <w:r>
              <w:rPr>
                <w:rFonts w:hint="eastAsia" w:ascii="宋体" w:hAnsi="宋体"/>
                <w:sz w:val="24"/>
                <w:szCs w:val="24"/>
              </w:rPr>
              <w:t>分钟内）地面油污、汤水、杂物等；及时清理垃圾桶；闭餐</w:t>
            </w:r>
            <w:r>
              <w:rPr>
                <w:rFonts w:ascii="Times New Roman" w:hAnsi="Times New Roman" w:eastAsia="仿宋_GB2312" w:cs="Times New Roman"/>
                <w:sz w:val="24"/>
                <w:szCs w:val="24"/>
              </w:rPr>
              <w:t>2</w:t>
            </w:r>
            <w:r>
              <w:rPr>
                <w:rFonts w:hint="eastAsia" w:ascii="宋体" w:hAnsi="宋体"/>
                <w:sz w:val="24"/>
                <w:szCs w:val="24"/>
              </w:rPr>
              <w:t>小时内完成全部清洁工作。</w:t>
            </w:r>
          </w:p>
        </w:tc>
        <w:tc>
          <w:tcPr>
            <w:tcW w:w="1985" w:type="dxa"/>
            <w:tcBorders>
              <w:top w:val="single" w:color="auto" w:sz="4" w:space="0"/>
              <w:left w:val="nil"/>
              <w:bottom w:val="single" w:color="auto" w:sz="4" w:space="0"/>
              <w:right w:val="single" w:color="auto" w:sz="4" w:space="0"/>
            </w:tcBorders>
            <w:vAlign w:val="center"/>
          </w:tcPr>
          <w:p w14:paraId="63B6A2C5">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73948B52">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04BDAE55">
            <w:pPr>
              <w:jc w:val="center"/>
              <w:rPr>
                <w:rFonts w:ascii="Times New Roman" w:hAnsi="Times New Roman" w:eastAsia="仿宋_GB2312" w:cs="Times New Roman"/>
                <w:sz w:val="24"/>
                <w:szCs w:val="24"/>
              </w:rPr>
            </w:pPr>
          </w:p>
        </w:tc>
      </w:tr>
      <w:tr w14:paraId="68B0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op w:val="nil"/>
              <w:left w:val="single" w:color="auto" w:sz="4" w:space="0"/>
              <w:bottom w:val="single" w:color="auto" w:sz="4" w:space="0"/>
              <w:right w:val="single" w:color="auto" w:sz="4" w:space="0"/>
            </w:tcBorders>
            <w:vAlign w:val="center"/>
          </w:tcPr>
          <w:p w14:paraId="60E7B2D1">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1462F51D">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售餐区：闭餐后、开餐前及时清理售餐台，保持干净、明亮、无油污；结算台</w:t>
            </w:r>
            <w:r>
              <w:rPr>
                <w:rFonts w:ascii="Times New Roman" w:hAnsi="Times New Roman" w:eastAsia="仿宋_GB2312" w:cs="Times New Roman"/>
                <w:sz w:val="24"/>
                <w:szCs w:val="24"/>
              </w:rPr>
              <w:t>/</w:t>
            </w:r>
            <w:r>
              <w:rPr>
                <w:rFonts w:hint="eastAsia" w:ascii="宋体" w:hAnsi="宋体"/>
                <w:sz w:val="24"/>
                <w:szCs w:val="24"/>
              </w:rPr>
              <w:t>收银台及时清理，保持无油污、水渍，物品摆放整齐；闭餐后</w:t>
            </w:r>
            <w:r>
              <w:rPr>
                <w:rFonts w:ascii="Times New Roman" w:hAnsi="Times New Roman" w:eastAsia="仿宋_GB2312" w:cs="Times New Roman"/>
                <w:sz w:val="24"/>
                <w:szCs w:val="24"/>
              </w:rPr>
              <w:t>2</w:t>
            </w:r>
            <w:r>
              <w:rPr>
                <w:rFonts w:hint="eastAsia" w:ascii="宋体" w:hAnsi="宋体"/>
                <w:sz w:val="24"/>
                <w:szCs w:val="24"/>
              </w:rPr>
              <w:t>小时内做完全部清洁工作；保持</w:t>
            </w:r>
            <w:r>
              <w:rPr>
                <w:rFonts w:ascii="Times New Roman" w:hAnsi="Times New Roman" w:eastAsia="仿宋_GB2312" w:cs="Times New Roman"/>
                <w:sz w:val="24"/>
                <w:szCs w:val="24"/>
              </w:rPr>
              <w:t>0</w:t>
            </w:r>
            <w:r>
              <w:rPr>
                <w:rFonts w:hint="eastAsia" w:ascii="宋体" w:hAnsi="宋体"/>
                <w:sz w:val="24"/>
                <w:szCs w:val="24"/>
              </w:rPr>
              <w:t>苍蝇。</w:t>
            </w:r>
          </w:p>
        </w:tc>
        <w:tc>
          <w:tcPr>
            <w:tcW w:w="1985" w:type="dxa"/>
            <w:vMerge w:val="restart"/>
            <w:tcBorders>
              <w:top w:val="nil"/>
              <w:left w:val="nil"/>
              <w:bottom w:val="single" w:color="auto" w:sz="4" w:space="0"/>
              <w:right w:val="single" w:color="auto" w:sz="4" w:space="0"/>
            </w:tcBorders>
            <w:vAlign w:val="center"/>
          </w:tcPr>
          <w:p w14:paraId="1B3B5B94">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194D967D">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4AC139CC">
            <w:pPr>
              <w:jc w:val="center"/>
              <w:rPr>
                <w:rFonts w:ascii="Times New Roman" w:hAnsi="Times New Roman" w:eastAsia="仿宋_GB2312" w:cs="Times New Roman"/>
                <w:sz w:val="24"/>
                <w:szCs w:val="24"/>
              </w:rPr>
            </w:pPr>
          </w:p>
        </w:tc>
      </w:tr>
      <w:tr w14:paraId="42FF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Merge w:val="continue"/>
            <w:tcBorders>
              <w:top w:val="nil"/>
              <w:left w:val="single" w:color="auto" w:sz="4" w:space="0"/>
              <w:bottom w:val="single" w:color="auto" w:sz="4" w:space="0"/>
              <w:right w:val="single" w:color="auto" w:sz="4" w:space="0"/>
            </w:tcBorders>
            <w:vAlign w:val="center"/>
          </w:tcPr>
          <w:p w14:paraId="525399D2">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7514A31B">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包厢：餐后及时清理；客人到前检查卫生，保持清洁、整齐。</w:t>
            </w:r>
          </w:p>
        </w:tc>
        <w:tc>
          <w:tcPr>
            <w:tcW w:w="1985" w:type="dxa"/>
            <w:vMerge w:val="continue"/>
            <w:tcBorders>
              <w:top w:val="nil"/>
              <w:left w:val="nil"/>
              <w:bottom w:val="single" w:color="auto" w:sz="4" w:space="0"/>
              <w:right w:val="single" w:color="auto" w:sz="4" w:space="0"/>
            </w:tcBorders>
            <w:vAlign w:val="center"/>
          </w:tcPr>
          <w:p w14:paraId="1522510B">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08ADD123">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40F3E213">
            <w:pPr>
              <w:jc w:val="center"/>
              <w:rPr>
                <w:rFonts w:ascii="Times New Roman" w:hAnsi="Times New Roman" w:eastAsia="仿宋_GB2312" w:cs="Times New Roman"/>
                <w:sz w:val="24"/>
                <w:szCs w:val="24"/>
              </w:rPr>
            </w:pPr>
          </w:p>
        </w:tc>
      </w:tr>
      <w:tr w14:paraId="6301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op w:val="single" w:color="auto" w:sz="4" w:space="0"/>
              <w:left w:val="single" w:color="auto" w:sz="4" w:space="0"/>
              <w:bottom w:val="single" w:color="auto" w:sz="4" w:space="0"/>
              <w:right w:val="single" w:color="auto" w:sz="4" w:space="0"/>
            </w:tcBorders>
            <w:vAlign w:val="center"/>
          </w:tcPr>
          <w:p w14:paraId="7DB23EDE">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71743930">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后厨：保持台面、货架、地面整洁干净；使用后及时清洁，台面、货架等无油污、水渍、灰尘，地面无积水、油污；排水沟每日疏通清理；闭餐后</w:t>
            </w:r>
            <w:r>
              <w:rPr>
                <w:rFonts w:ascii="Times New Roman" w:hAnsi="Times New Roman" w:eastAsia="仿宋_GB2312" w:cs="Times New Roman"/>
                <w:sz w:val="24"/>
                <w:szCs w:val="24"/>
              </w:rPr>
              <w:t>2</w:t>
            </w:r>
            <w:r>
              <w:rPr>
                <w:rFonts w:hint="eastAsia" w:ascii="宋体" w:hAnsi="宋体"/>
                <w:sz w:val="24"/>
                <w:szCs w:val="24"/>
              </w:rPr>
              <w:t>小时内做完全部清洁工作。每周进行大扫除，清理卫生死角。</w:t>
            </w:r>
          </w:p>
        </w:tc>
        <w:tc>
          <w:tcPr>
            <w:tcW w:w="1985" w:type="dxa"/>
            <w:vMerge w:val="continue"/>
            <w:tcBorders>
              <w:top w:val="single" w:color="auto" w:sz="4" w:space="0"/>
              <w:left w:val="nil"/>
              <w:bottom w:val="single" w:color="auto" w:sz="4" w:space="0"/>
              <w:right w:val="single" w:color="auto" w:sz="4" w:space="0"/>
            </w:tcBorders>
            <w:vAlign w:val="center"/>
          </w:tcPr>
          <w:p w14:paraId="0D9EDF41">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51255B83">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36B3C980">
            <w:pPr>
              <w:jc w:val="center"/>
              <w:rPr>
                <w:rFonts w:ascii="Times New Roman" w:hAnsi="Times New Roman" w:eastAsia="仿宋_GB2312" w:cs="Times New Roman"/>
                <w:sz w:val="24"/>
                <w:szCs w:val="24"/>
              </w:rPr>
            </w:pPr>
          </w:p>
        </w:tc>
      </w:tr>
      <w:tr w14:paraId="6460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1" w:type="dxa"/>
            <w:vMerge w:val="continue"/>
            <w:tcBorders>
              <w:top w:val="nil"/>
              <w:left w:val="single" w:color="auto" w:sz="4" w:space="0"/>
              <w:bottom w:val="single" w:color="auto" w:sz="4" w:space="0"/>
              <w:right w:val="single" w:color="auto" w:sz="4" w:space="0"/>
            </w:tcBorders>
            <w:vAlign w:val="center"/>
          </w:tcPr>
          <w:p w14:paraId="7D2A8386">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5BFEBAF1">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收餐区：餐具分类回收摆放；保持地面干净整洁；控制收餐噪音；餐具回收箱框整齐摆放，每日清洁无油污、异味。</w:t>
            </w:r>
          </w:p>
        </w:tc>
        <w:tc>
          <w:tcPr>
            <w:tcW w:w="1985" w:type="dxa"/>
            <w:vMerge w:val="restart"/>
            <w:tcBorders>
              <w:top w:val="nil"/>
              <w:left w:val="nil"/>
              <w:bottom w:val="single" w:color="auto" w:sz="4" w:space="0"/>
              <w:right w:val="single" w:color="auto" w:sz="4" w:space="0"/>
            </w:tcBorders>
            <w:vAlign w:val="center"/>
          </w:tcPr>
          <w:p w14:paraId="3F9588B1">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490173DD">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3EC30EBC">
            <w:pPr>
              <w:jc w:val="center"/>
              <w:rPr>
                <w:rFonts w:ascii="Times New Roman" w:hAnsi="Times New Roman" w:eastAsia="仿宋_GB2312" w:cs="Times New Roman"/>
                <w:sz w:val="24"/>
                <w:szCs w:val="24"/>
              </w:rPr>
            </w:pPr>
          </w:p>
        </w:tc>
      </w:tr>
      <w:tr w14:paraId="3218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vMerge w:val="continue"/>
            <w:tcBorders>
              <w:top w:val="nil"/>
              <w:left w:val="single" w:color="auto" w:sz="4" w:space="0"/>
              <w:bottom w:val="single" w:color="auto" w:sz="4" w:space="0"/>
              <w:right w:val="single" w:color="auto" w:sz="4" w:space="0"/>
            </w:tcBorders>
            <w:vAlign w:val="center"/>
          </w:tcPr>
          <w:p w14:paraId="0547BD62">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69C86354">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卫生间：及时检查、打扫，保持无异味，垃圾不满溢；洗手台整洁干净、无积水。</w:t>
            </w:r>
          </w:p>
        </w:tc>
        <w:tc>
          <w:tcPr>
            <w:tcW w:w="1985" w:type="dxa"/>
            <w:vMerge w:val="continue"/>
            <w:tcBorders>
              <w:top w:val="nil"/>
              <w:left w:val="nil"/>
              <w:bottom w:val="single" w:color="auto" w:sz="4" w:space="0"/>
              <w:right w:val="single" w:color="auto" w:sz="4" w:space="0"/>
            </w:tcBorders>
            <w:vAlign w:val="center"/>
          </w:tcPr>
          <w:p w14:paraId="137505B1">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4C93C128">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5221462A">
            <w:pPr>
              <w:jc w:val="center"/>
              <w:rPr>
                <w:rFonts w:ascii="Times New Roman" w:hAnsi="Times New Roman" w:eastAsia="仿宋_GB2312" w:cs="Times New Roman"/>
                <w:sz w:val="24"/>
                <w:szCs w:val="24"/>
              </w:rPr>
            </w:pPr>
          </w:p>
        </w:tc>
      </w:tr>
      <w:tr w14:paraId="0AD6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vMerge w:val="continue"/>
            <w:tcBorders>
              <w:top w:val="nil"/>
              <w:left w:val="single" w:color="auto" w:sz="4" w:space="0"/>
              <w:bottom w:val="single" w:color="auto" w:sz="4" w:space="0"/>
              <w:right w:val="single" w:color="auto" w:sz="4" w:space="0"/>
            </w:tcBorders>
            <w:vAlign w:val="center"/>
          </w:tcPr>
          <w:p w14:paraId="7C6A4A08">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7805F318">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垃圾处理：分类；密封；定点存放；走定点通道；日产日清。</w:t>
            </w:r>
          </w:p>
        </w:tc>
        <w:tc>
          <w:tcPr>
            <w:tcW w:w="1985" w:type="dxa"/>
            <w:vMerge w:val="continue"/>
            <w:tcBorders>
              <w:top w:val="nil"/>
              <w:left w:val="nil"/>
              <w:bottom w:val="single" w:color="auto" w:sz="4" w:space="0"/>
              <w:right w:val="single" w:color="auto" w:sz="4" w:space="0"/>
            </w:tcBorders>
            <w:vAlign w:val="center"/>
          </w:tcPr>
          <w:p w14:paraId="33606225">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71BBC401">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70B98E7A">
            <w:pPr>
              <w:jc w:val="center"/>
              <w:rPr>
                <w:rFonts w:ascii="Times New Roman" w:hAnsi="Times New Roman" w:eastAsia="仿宋_GB2312" w:cs="Times New Roman"/>
                <w:sz w:val="24"/>
                <w:szCs w:val="24"/>
              </w:rPr>
            </w:pPr>
          </w:p>
        </w:tc>
      </w:tr>
      <w:tr w14:paraId="5059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51" w:type="dxa"/>
            <w:vMerge w:val="restart"/>
            <w:tcBorders>
              <w:top w:val="nil"/>
              <w:left w:val="single" w:color="auto" w:sz="4" w:space="0"/>
              <w:right w:val="single" w:color="auto" w:sz="4" w:space="0"/>
            </w:tcBorders>
            <w:vAlign w:val="center"/>
          </w:tcPr>
          <w:p w14:paraId="401C8197">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（七</w:t>
            </w:r>
            <w:r>
              <w:rPr>
                <w:rFonts w:hint="eastAsia" w:ascii="宋体" w:hAnsi="宋体"/>
                <w:b/>
                <w:bCs/>
                <w:sz w:val="24"/>
                <w:szCs w:val="24"/>
              </w:rPr>
              <w:t>）</w:t>
            </w:r>
          </w:p>
          <w:p w14:paraId="1A7EF6EC">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精细化操作管</w:t>
            </w:r>
            <w:r>
              <w:rPr>
                <w:rFonts w:hint="eastAsia" w:ascii="宋体" w:hAnsi="宋体"/>
                <w:b/>
                <w:bCs/>
                <w:sz w:val="24"/>
                <w:szCs w:val="24"/>
              </w:rPr>
              <w:t>理</w:t>
            </w:r>
          </w:p>
          <w:p w14:paraId="753A2DF1">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10</w:t>
            </w:r>
            <w:r>
              <w:rPr>
                <w:rFonts w:hint="eastAsia" w:ascii="宋体" w:hAnsi="宋体"/>
                <w:b/>
                <w:bCs/>
                <w:sz w:val="24"/>
                <w:szCs w:val="24"/>
              </w:rPr>
              <w:t>分</w:t>
            </w:r>
          </w:p>
        </w:tc>
        <w:tc>
          <w:tcPr>
            <w:tcW w:w="4819" w:type="dxa"/>
            <w:tcBorders>
              <w:top w:val="single" w:color="auto" w:sz="4" w:space="0"/>
              <w:left w:val="nil"/>
              <w:bottom w:val="single" w:color="auto" w:sz="4" w:space="0"/>
              <w:right w:val="single" w:color="auto" w:sz="4" w:space="0"/>
            </w:tcBorders>
            <w:vAlign w:val="center"/>
          </w:tcPr>
          <w:p w14:paraId="6E37CEA9">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冷菜间：室温控制在</w:t>
            </w:r>
            <w:r>
              <w:rPr>
                <w:rFonts w:ascii="Times New Roman" w:hAnsi="Times New Roman" w:eastAsia="仿宋_GB2312" w:cs="Times New Roman"/>
                <w:sz w:val="24"/>
                <w:szCs w:val="24"/>
              </w:rPr>
              <w:t>22</w:t>
            </w:r>
            <w:r>
              <w:rPr>
                <w:rFonts w:hint="eastAsia" w:ascii="宋体" w:hAnsi="宋体"/>
                <w:sz w:val="24"/>
                <w:szCs w:val="24"/>
              </w:rPr>
              <w:t>度以下；进入冷菜间要进行二次洗手、消毒，并更衣；冷菜制作遵守</w:t>
            </w:r>
            <w:r>
              <w:rPr>
                <w:rFonts w:ascii="Times New Roman" w:hAnsi="Times New Roman" w:eastAsia="仿宋_GB2312" w:cs="Times New Roman"/>
                <w:sz w:val="24"/>
                <w:szCs w:val="24"/>
              </w:rPr>
              <w:t>“</w:t>
            </w:r>
            <w:r>
              <w:rPr>
                <w:rFonts w:hint="eastAsia" w:ascii="宋体" w:hAnsi="宋体"/>
                <w:sz w:val="24"/>
                <w:szCs w:val="24"/>
              </w:rPr>
              <w:t>五专原则</w:t>
            </w:r>
            <w:r>
              <w:rPr>
                <w:rFonts w:ascii="Times New Roman" w:hAnsi="Times New Roman" w:eastAsia="仿宋_GB2312" w:cs="Times New Roman"/>
                <w:sz w:val="24"/>
                <w:szCs w:val="24"/>
              </w:rPr>
              <w:t>”——</w:t>
            </w:r>
            <w:r>
              <w:rPr>
                <w:rFonts w:hint="eastAsia" w:ascii="宋体" w:hAnsi="宋体"/>
                <w:sz w:val="24"/>
                <w:szCs w:val="24"/>
              </w:rPr>
              <w:t>专人、专室、专用工具、专用消毒设备、专用冷藏设备。</w:t>
            </w:r>
          </w:p>
        </w:tc>
        <w:tc>
          <w:tcPr>
            <w:tcW w:w="1985" w:type="dxa"/>
            <w:tcBorders>
              <w:top w:val="single" w:color="auto" w:sz="4" w:space="0"/>
              <w:left w:val="nil"/>
              <w:bottom w:val="single" w:color="auto" w:sz="4" w:space="0"/>
              <w:right w:val="single" w:color="auto" w:sz="4" w:space="0"/>
            </w:tcBorders>
            <w:vAlign w:val="center"/>
          </w:tcPr>
          <w:p w14:paraId="04A37158">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1</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49D393F6">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028E4E09">
            <w:pPr>
              <w:jc w:val="center"/>
              <w:rPr>
                <w:rFonts w:ascii="Times New Roman" w:hAnsi="Times New Roman" w:eastAsia="仿宋_GB2312" w:cs="Times New Roman"/>
                <w:sz w:val="24"/>
                <w:szCs w:val="24"/>
              </w:rPr>
            </w:pPr>
          </w:p>
        </w:tc>
      </w:tr>
      <w:tr w14:paraId="0E80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51" w:type="dxa"/>
            <w:vMerge w:val="continue"/>
            <w:tcBorders>
              <w:left w:val="single" w:color="auto" w:sz="4" w:space="0"/>
              <w:right w:val="single" w:color="auto" w:sz="4" w:space="0"/>
            </w:tcBorders>
            <w:vAlign w:val="center"/>
          </w:tcPr>
          <w:p w14:paraId="2AF8BEE2">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6062F640">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蒸饭间：米袋要离地，按要求摆放，防止浸水、受潮；淘米区仅限淘米及规定范围内的器具清洗；只存放相应物品，不得堆放其他物品。</w:t>
            </w:r>
          </w:p>
        </w:tc>
        <w:tc>
          <w:tcPr>
            <w:tcW w:w="1985" w:type="dxa"/>
            <w:tcBorders>
              <w:top w:val="nil"/>
              <w:left w:val="nil"/>
              <w:bottom w:val="single" w:color="auto" w:sz="4" w:space="0"/>
              <w:right w:val="single" w:color="auto" w:sz="4" w:space="0"/>
            </w:tcBorders>
            <w:vAlign w:val="center"/>
          </w:tcPr>
          <w:p w14:paraId="066B21FA">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1C8A860A">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4923A1B2">
            <w:pPr>
              <w:jc w:val="center"/>
              <w:rPr>
                <w:rFonts w:ascii="Times New Roman" w:hAnsi="Times New Roman" w:eastAsia="仿宋_GB2312" w:cs="Times New Roman"/>
                <w:sz w:val="24"/>
                <w:szCs w:val="24"/>
              </w:rPr>
            </w:pPr>
          </w:p>
        </w:tc>
      </w:tr>
      <w:tr w14:paraId="2C10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51" w:type="dxa"/>
            <w:vMerge w:val="continue"/>
            <w:tcBorders>
              <w:left w:val="single" w:color="auto" w:sz="4" w:space="0"/>
              <w:right w:val="single" w:color="auto" w:sz="4" w:space="0"/>
            </w:tcBorders>
            <w:vAlign w:val="center"/>
          </w:tcPr>
          <w:p w14:paraId="63C92B00">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2BAD15D3">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加工时间要求：荤菜按营养建议时间进行加工；红烧肉类加工要足时熟透；蔬菜按</w:t>
            </w:r>
            <w:r>
              <w:rPr>
                <w:rFonts w:ascii="Times New Roman" w:hAnsi="Times New Roman" w:eastAsia="仿宋_GB2312" w:cs="Times New Roman"/>
                <w:sz w:val="24"/>
                <w:szCs w:val="24"/>
              </w:rPr>
              <w:t>“</w:t>
            </w:r>
            <w:r>
              <w:rPr>
                <w:rFonts w:hint="eastAsia" w:ascii="宋体" w:hAnsi="宋体"/>
                <w:sz w:val="24"/>
                <w:szCs w:val="24"/>
              </w:rPr>
              <w:t>先根茎类后叶菜类</w:t>
            </w:r>
            <w:r>
              <w:rPr>
                <w:rFonts w:ascii="Times New Roman" w:hAnsi="Times New Roman" w:eastAsia="仿宋_GB2312" w:cs="Times New Roman"/>
                <w:sz w:val="24"/>
                <w:szCs w:val="24"/>
              </w:rPr>
              <w:t>”</w:t>
            </w:r>
            <w:r>
              <w:rPr>
                <w:rFonts w:hint="eastAsia" w:ascii="宋体" w:hAnsi="宋体"/>
                <w:sz w:val="24"/>
                <w:szCs w:val="24"/>
              </w:rPr>
              <w:t>顺序制作，以小锅多份炒的方式制作，即炒即售，及时补充</w:t>
            </w:r>
            <w:r>
              <w:rPr>
                <w:rFonts w:ascii="Times New Roman" w:hAnsi="Times New Roman"/>
                <w:sz w:val="24"/>
                <w:szCs w:val="24"/>
              </w:rPr>
              <w:t>，</w:t>
            </w:r>
            <w:r>
              <w:rPr>
                <w:rFonts w:hint="eastAsia" w:ascii="宋体" w:hAnsi="宋体"/>
                <w:sz w:val="24"/>
                <w:szCs w:val="24"/>
              </w:rPr>
              <w:t>不断供。</w:t>
            </w:r>
          </w:p>
        </w:tc>
        <w:tc>
          <w:tcPr>
            <w:tcW w:w="1985" w:type="dxa"/>
            <w:vMerge w:val="restart"/>
            <w:tcBorders>
              <w:top w:val="nil"/>
              <w:left w:val="nil"/>
              <w:bottom w:val="single" w:color="auto" w:sz="4" w:space="0"/>
              <w:right w:val="single" w:color="auto" w:sz="4" w:space="0"/>
            </w:tcBorders>
            <w:vAlign w:val="center"/>
          </w:tcPr>
          <w:p w14:paraId="53B5A06E">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6BF219E4">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3188A687">
            <w:pPr>
              <w:jc w:val="center"/>
              <w:rPr>
                <w:rFonts w:ascii="Times New Roman" w:hAnsi="Times New Roman" w:eastAsia="仿宋_GB2312" w:cs="Times New Roman"/>
                <w:sz w:val="24"/>
                <w:szCs w:val="24"/>
              </w:rPr>
            </w:pPr>
          </w:p>
        </w:tc>
      </w:tr>
      <w:tr w14:paraId="4F8A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1" w:type="dxa"/>
            <w:vMerge w:val="continue"/>
            <w:tcBorders>
              <w:left w:val="single" w:color="auto" w:sz="4" w:space="0"/>
              <w:right w:val="single" w:color="auto" w:sz="4" w:space="0"/>
            </w:tcBorders>
            <w:vAlign w:val="center"/>
          </w:tcPr>
          <w:p w14:paraId="370BC94D">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5F5A1DD0">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生产工具：砧板、刀具等按荤素分类使用，用完即时清洗并按指定位置摆放有序。</w:t>
            </w:r>
          </w:p>
        </w:tc>
        <w:tc>
          <w:tcPr>
            <w:tcW w:w="1985" w:type="dxa"/>
            <w:vMerge w:val="continue"/>
            <w:tcBorders>
              <w:top w:val="nil"/>
              <w:left w:val="nil"/>
              <w:bottom w:val="single" w:color="auto" w:sz="4" w:space="0"/>
              <w:right w:val="single" w:color="auto" w:sz="4" w:space="0"/>
            </w:tcBorders>
            <w:vAlign w:val="center"/>
          </w:tcPr>
          <w:p w14:paraId="4571D055">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54F85BF9">
            <w:pPr>
              <w:jc w:val="center"/>
              <w:rPr>
                <w:rFonts w:ascii="Times New Roman" w:hAnsi="Times New Roman" w:eastAsia="仿宋_GB2312" w:cs="Times New Roman"/>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6CDA2DD7">
            <w:pPr>
              <w:jc w:val="center"/>
              <w:rPr>
                <w:rFonts w:ascii="Times New Roman" w:hAnsi="Times New Roman" w:eastAsia="仿宋_GB2312" w:cs="Times New Roman"/>
                <w:sz w:val="24"/>
                <w:szCs w:val="24"/>
              </w:rPr>
            </w:pPr>
          </w:p>
        </w:tc>
      </w:tr>
      <w:tr w14:paraId="53B7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Merge w:val="continue"/>
            <w:tcBorders>
              <w:left w:val="single" w:color="auto" w:sz="4" w:space="0"/>
              <w:right w:val="single" w:color="auto" w:sz="4" w:space="0"/>
            </w:tcBorders>
            <w:vAlign w:val="center"/>
          </w:tcPr>
          <w:p w14:paraId="20294C96">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25393BDD">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盛放工具：用于盛放原料、半成品、成品的容器有明显的区分标识，严禁交叉使用，及时清洗消毒，并分开存放。</w:t>
            </w:r>
          </w:p>
        </w:tc>
        <w:tc>
          <w:tcPr>
            <w:tcW w:w="1985" w:type="dxa"/>
            <w:vMerge w:val="continue"/>
            <w:tcBorders>
              <w:top w:val="nil"/>
              <w:left w:val="nil"/>
              <w:bottom w:val="single" w:color="auto" w:sz="4" w:space="0"/>
              <w:right w:val="single" w:color="auto" w:sz="4" w:space="0"/>
            </w:tcBorders>
            <w:vAlign w:val="center"/>
          </w:tcPr>
          <w:p w14:paraId="10F02CB1">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77CF0B42">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1EFAC9F7">
            <w:pPr>
              <w:jc w:val="center"/>
              <w:rPr>
                <w:rFonts w:ascii="Times New Roman" w:hAnsi="Times New Roman" w:eastAsia="仿宋_GB2312" w:cs="Times New Roman"/>
                <w:sz w:val="24"/>
                <w:szCs w:val="24"/>
              </w:rPr>
            </w:pPr>
          </w:p>
        </w:tc>
      </w:tr>
      <w:tr w14:paraId="51E4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1" w:type="dxa"/>
            <w:vMerge w:val="continue"/>
            <w:tcBorders>
              <w:left w:val="single" w:color="auto" w:sz="4" w:space="0"/>
              <w:right w:val="single" w:color="auto" w:sz="4" w:space="0"/>
            </w:tcBorders>
            <w:vAlign w:val="center"/>
          </w:tcPr>
          <w:p w14:paraId="721F5A66">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22F31F86">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卫生工具：抹布、拖把、垃圾桶等定点摆放，分区、分类使用。</w:t>
            </w:r>
          </w:p>
        </w:tc>
        <w:tc>
          <w:tcPr>
            <w:tcW w:w="1985" w:type="dxa"/>
            <w:vMerge w:val="continue"/>
            <w:tcBorders>
              <w:top w:val="nil"/>
              <w:left w:val="nil"/>
              <w:bottom w:val="single" w:color="auto" w:sz="4" w:space="0"/>
              <w:right w:val="single" w:color="auto" w:sz="4" w:space="0"/>
            </w:tcBorders>
            <w:vAlign w:val="center"/>
          </w:tcPr>
          <w:p w14:paraId="6836EF6E">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1FD4B57F">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3380E026">
            <w:pPr>
              <w:jc w:val="center"/>
              <w:rPr>
                <w:rFonts w:ascii="Times New Roman" w:hAnsi="Times New Roman" w:eastAsia="仿宋_GB2312" w:cs="Times New Roman"/>
                <w:sz w:val="24"/>
                <w:szCs w:val="24"/>
              </w:rPr>
            </w:pPr>
          </w:p>
        </w:tc>
      </w:tr>
      <w:tr w14:paraId="654A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left w:val="single" w:color="auto" w:sz="4" w:space="0"/>
              <w:right w:val="single" w:color="auto" w:sz="4" w:space="0"/>
            </w:tcBorders>
            <w:vAlign w:val="center"/>
          </w:tcPr>
          <w:p w14:paraId="678F5E22">
            <w:pPr>
              <w:jc w:val="center"/>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083999CF">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调料：调料领出库后，按热加工区的指定区域存放；拆封调料隔夜存放要进行密封处理（加盖或保鲜膜）；散装调料应注明使用日期，避免使用过期调料。禁用或限用相关调料，以甲方要求为准。</w:t>
            </w:r>
          </w:p>
        </w:tc>
        <w:tc>
          <w:tcPr>
            <w:tcW w:w="1985" w:type="dxa"/>
            <w:vMerge w:val="restart"/>
            <w:tcBorders>
              <w:top w:val="nil"/>
              <w:left w:val="nil"/>
              <w:bottom w:val="single" w:color="auto" w:sz="4" w:space="0"/>
              <w:right w:val="single" w:color="auto" w:sz="4" w:space="0"/>
            </w:tcBorders>
            <w:vAlign w:val="center"/>
          </w:tcPr>
          <w:p w14:paraId="5ECD7F81">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7E49D793">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6A4EAF95">
            <w:pPr>
              <w:jc w:val="center"/>
              <w:rPr>
                <w:rFonts w:ascii="Times New Roman" w:hAnsi="Times New Roman" w:eastAsia="仿宋_GB2312" w:cs="Times New Roman"/>
                <w:sz w:val="24"/>
                <w:szCs w:val="24"/>
              </w:rPr>
            </w:pPr>
          </w:p>
        </w:tc>
      </w:tr>
      <w:tr w14:paraId="04BE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1" w:type="dxa"/>
            <w:vMerge w:val="continue"/>
            <w:tcBorders>
              <w:left w:val="single" w:color="auto" w:sz="4" w:space="0"/>
              <w:right w:val="single" w:color="auto" w:sz="4" w:space="0"/>
            </w:tcBorders>
            <w:vAlign w:val="center"/>
          </w:tcPr>
          <w:p w14:paraId="135FD0DF">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6DE1A3F6">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保存原材料供应商的供货协议、供货清单等票据，并索取肉类、乳产品等供货者的经营资格证明。</w:t>
            </w:r>
          </w:p>
        </w:tc>
        <w:tc>
          <w:tcPr>
            <w:tcW w:w="1985" w:type="dxa"/>
            <w:vMerge w:val="continue"/>
            <w:tcBorders>
              <w:top w:val="nil"/>
              <w:left w:val="nil"/>
              <w:bottom w:val="single" w:color="auto" w:sz="4" w:space="0"/>
              <w:right w:val="single" w:color="auto" w:sz="4" w:space="0"/>
            </w:tcBorders>
            <w:vAlign w:val="center"/>
          </w:tcPr>
          <w:p w14:paraId="60179B10">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691DB39E">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53D089A9">
            <w:pPr>
              <w:jc w:val="center"/>
              <w:rPr>
                <w:rFonts w:ascii="Times New Roman" w:hAnsi="Times New Roman" w:eastAsia="仿宋_GB2312" w:cs="Times New Roman"/>
                <w:sz w:val="24"/>
                <w:szCs w:val="24"/>
              </w:rPr>
            </w:pPr>
          </w:p>
        </w:tc>
      </w:tr>
      <w:tr w14:paraId="5836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1" w:type="dxa"/>
            <w:vMerge w:val="continue"/>
            <w:tcBorders>
              <w:left w:val="single" w:color="auto" w:sz="4" w:space="0"/>
              <w:bottom w:val="single" w:color="auto" w:sz="4" w:space="0"/>
              <w:right w:val="single" w:color="auto" w:sz="4" w:space="0"/>
            </w:tcBorders>
            <w:vAlign w:val="center"/>
          </w:tcPr>
          <w:p w14:paraId="2A995509">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398BB307">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食品包装：食品直接接触的包装产品需符合卫生与安全标准要求；有冷藏要求的食品，不应脱离冷链超过相关要求。</w:t>
            </w:r>
          </w:p>
        </w:tc>
        <w:tc>
          <w:tcPr>
            <w:tcW w:w="1985" w:type="dxa"/>
            <w:vMerge w:val="continue"/>
            <w:tcBorders>
              <w:top w:val="nil"/>
              <w:left w:val="nil"/>
              <w:bottom w:val="single" w:color="auto" w:sz="4" w:space="0"/>
              <w:right w:val="single" w:color="auto" w:sz="4" w:space="0"/>
            </w:tcBorders>
            <w:vAlign w:val="center"/>
          </w:tcPr>
          <w:p w14:paraId="09ED34D8">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5A0F1BFE">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4C8EC2AD">
            <w:pPr>
              <w:jc w:val="center"/>
              <w:rPr>
                <w:rFonts w:ascii="Times New Roman" w:hAnsi="Times New Roman" w:eastAsia="仿宋_GB2312" w:cs="Times New Roman"/>
                <w:sz w:val="24"/>
                <w:szCs w:val="24"/>
              </w:rPr>
            </w:pPr>
          </w:p>
        </w:tc>
      </w:tr>
      <w:tr w14:paraId="6F47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14:paraId="07E3D128">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（八</w:t>
            </w:r>
            <w:r>
              <w:rPr>
                <w:rFonts w:hint="eastAsia" w:ascii="宋体" w:hAnsi="宋体"/>
                <w:b/>
                <w:bCs/>
                <w:sz w:val="24"/>
                <w:szCs w:val="24"/>
              </w:rPr>
              <w:t>）</w:t>
            </w:r>
          </w:p>
          <w:p w14:paraId="5DC1AB83">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消防</w:t>
            </w:r>
            <w:r>
              <w:rPr>
                <w:rFonts w:hint="eastAsia" w:ascii="宋体" w:hAnsi="宋体"/>
                <w:b/>
                <w:bCs/>
                <w:sz w:val="24"/>
                <w:szCs w:val="24"/>
              </w:rPr>
              <w:t>与</w:t>
            </w:r>
          </w:p>
          <w:p w14:paraId="38F55CEA">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安全生产10</w:t>
            </w:r>
            <w:r>
              <w:rPr>
                <w:rFonts w:hint="eastAsia" w:ascii="宋体" w:hAnsi="宋体"/>
                <w:b/>
                <w:bCs/>
                <w:sz w:val="24"/>
                <w:szCs w:val="24"/>
              </w:rPr>
              <w:t>分</w:t>
            </w:r>
          </w:p>
        </w:tc>
        <w:tc>
          <w:tcPr>
            <w:tcW w:w="4819" w:type="dxa"/>
            <w:tcBorders>
              <w:top w:val="single" w:color="auto" w:sz="4" w:space="0"/>
              <w:left w:val="nil"/>
              <w:bottom w:val="single" w:color="auto" w:sz="4" w:space="0"/>
              <w:right w:val="single" w:color="auto" w:sz="4" w:space="0"/>
            </w:tcBorders>
            <w:vAlign w:val="center"/>
          </w:tcPr>
          <w:p w14:paraId="56287538">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消防设施设备每月进行检查，定点摆放，不得随意移动，或作其他用途；如有问题或过期，及时更换。扣分不累计。</w:t>
            </w:r>
          </w:p>
        </w:tc>
        <w:tc>
          <w:tcPr>
            <w:tcW w:w="1985" w:type="dxa"/>
            <w:tcBorders>
              <w:top w:val="single" w:color="auto" w:sz="4" w:space="0"/>
              <w:left w:val="nil"/>
              <w:bottom w:val="single" w:color="auto" w:sz="4" w:space="0"/>
              <w:right w:val="single" w:color="auto" w:sz="4" w:space="0"/>
            </w:tcBorders>
            <w:vAlign w:val="center"/>
          </w:tcPr>
          <w:p w14:paraId="698873E1">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380495B6">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2A509E0D">
            <w:pPr>
              <w:jc w:val="center"/>
              <w:rPr>
                <w:rFonts w:ascii="Times New Roman" w:hAnsi="Times New Roman" w:eastAsia="仿宋_GB2312" w:cs="Times New Roman"/>
                <w:sz w:val="24"/>
                <w:szCs w:val="24"/>
              </w:rPr>
            </w:pPr>
          </w:p>
        </w:tc>
      </w:tr>
      <w:tr w14:paraId="64F6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Merge w:val="continue"/>
            <w:tcBorders>
              <w:top w:val="nil"/>
              <w:left w:val="single" w:color="auto" w:sz="4" w:space="0"/>
              <w:bottom w:val="single" w:color="auto" w:sz="4" w:space="0"/>
              <w:right w:val="single" w:color="auto" w:sz="4" w:space="0"/>
            </w:tcBorders>
            <w:vAlign w:val="center"/>
          </w:tcPr>
          <w:p w14:paraId="07FE65D8">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03D8B887">
            <w:pPr>
              <w:rPr>
                <w:rFonts w:ascii="Times New Roman" w:hAnsi="Times New Roman" w:eastAsia="仿宋_GB2312" w:cs="Times New Roman"/>
                <w:sz w:val="24"/>
                <w:szCs w:val="24"/>
              </w:rPr>
            </w:pPr>
            <w:r>
              <w:rPr>
                <w:rFonts w:hint="eastAsia" w:ascii="宋体" w:hAnsi="宋体"/>
                <w:sz w:val="24"/>
                <w:szCs w:val="24"/>
              </w:rPr>
              <w:t>消防通道不得作其他用途，不得堆放杂物。</w:t>
            </w:r>
          </w:p>
        </w:tc>
        <w:tc>
          <w:tcPr>
            <w:tcW w:w="1985" w:type="dxa"/>
            <w:tcBorders>
              <w:top w:val="single" w:color="auto" w:sz="4" w:space="0"/>
              <w:left w:val="nil"/>
              <w:bottom w:val="single" w:color="auto" w:sz="4" w:space="0"/>
              <w:right w:val="single" w:color="auto" w:sz="4" w:space="0"/>
            </w:tcBorders>
            <w:vAlign w:val="center"/>
          </w:tcPr>
          <w:p w14:paraId="475EB0AC">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1</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5378F34D">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59E67B6F">
            <w:pPr>
              <w:jc w:val="center"/>
              <w:rPr>
                <w:rFonts w:ascii="Times New Roman" w:hAnsi="Times New Roman" w:eastAsia="仿宋_GB2312" w:cs="Times New Roman"/>
                <w:sz w:val="24"/>
                <w:szCs w:val="24"/>
              </w:rPr>
            </w:pPr>
          </w:p>
        </w:tc>
      </w:tr>
      <w:tr w14:paraId="71F8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1" w:type="dxa"/>
            <w:vMerge w:val="continue"/>
            <w:tcBorders>
              <w:top w:val="nil"/>
              <w:left w:val="single" w:color="auto" w:sz="4" w:space="0"/>
              <w:bottom w:val="single" w:color="auto" w:sz="4" w:space="0"/>
              <w:right w:val="single" w:color="auto" w:sz="4" w:space="0"/>
            </w:tcBorders>
            <w:vAlign w:val="center"/>
          </w:tcPr>
          <w:p w14:paraId="68ED9202">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754D8B3E">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实行消防安全责任制，定期安排演习和宣传。每季度进行一次全员消防模拟演习或专题培训（有教案或</w:t>
            </w:r>
            <w:r>
              <w:rPr>
                <w:rFonts w:ascii="Times New Roman" w:hAnsi="Times New Roman" w:eastAsia="仿宋_GB2312" w:cs="Times New Roman"/>
                <w:sz w:val="24"/>
                <w:szCs w:val="24"/>
              </w:rPr>
              <w:t>PPT</w:t>
            </w:r>
            <w:r>
              <w:rPr>
                <w:rFonts w:hint="eastAsia" w:ascii="宋体" w:hAnsi="宋体"/>
                <w:sz w:val="24"/>
                <w:szCs w:val="24"/>
              </w:rPr>
              <w:t>），每次应至少有</w:t>
            </w:r>
            <w:r>
              <w:rPr>
                <w:rFonts w:ascii="Times New Roman" w:hAnsi="Times New Roman" w:eastAsia="仿宋_GB2312" w:cs="Times New Roman"/>
                <w:sz w:val="24"/>
                <w:szCs w:val="24"/>
              </w:rPr>
              <w:t>90%</w:t>
            </w:r>
            <w:r>
              <w:rPr>
                <w:rFonts w:hint="eastAsia" w:ascii="宋体" w:hAnsi="宋体"/>
                <w:sz w:val="24"/>
                <w:szCs w:val="24"/>
              </w:rPr>
              <w:t>以上的员工参与；普及消防知识和消防器材使用方法，每位员工应掌握</w:t>
            </w:r>
            <w:r>
              <w:rPr>
                <w:rFonts w:ascii="Times New Roman" w:hAnsi="Times New Roman" w:eastAsia="仿宋_GB2312" w:cs="Times New Roman"/>
                <w:sz w:val="24"/>
                <w:szCs w:val="24"/>
              </w:rPr>
              <w:t>80%</w:t>
            </w:r>
            <w:r>
              <w:rPr>
                <w:rFonts w:hint="eastAsia" w:ascii="宋体" w:hAnsi="宋体"/>
                <w:sz w:val="24"/>
                <w:szCs w:val="24"/>
              </w:rPr>
              <w:t>以上消防知识。</w:t>
            </w:r>
          </w:p>
        </w:tc>
        <w:tc>
          <w:tcPr>
            <w:tcW w:w="1985" w:type="dxa"/>
            <w:tcBorders>
              <w:top w:val="single" w:color="auto" w:sz="4" w:space="0"/>
              <w:left w:val="nil"/>
              <w:bottom w:val="single" w:color="auto" w:sz="4" w:space="0"/>
              <w:right w:val="single" w:color="auto" w:sz="4" w:space="0"/>
            </w:tcBorders>
            <w:vAlign w:val="center"/>
          </w:tcPr>
          <w:p w14:paraId="1F9A71E3">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1</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65ED61BF">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08D5543F">
            <w:pPr>
              <w:jc w:val="center"/>
              <w:rPr>
                <w:rFonts w:ascii="Times New Roman" w:hAnsi="Times New Roman" w:eastAsia="仿宋_GB2312" w:cs="Times New Roman"/>
                <w:sz w:val="24"/>
                <w:szCs w:val="24"/>
              </w:rPr>
            </w:pPr>
          </w:p>
        </w:tc>
      </w:tr>
      <w:tr w14:paraId="2570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1" w:type="dxa"/>
            <w:vMerge w:val="continue"/>
            <w:tcBorders>
              <w:top w:val="nil"/>
              <w:left w:val="single" w:color="auto" w:sz="4" w:space="0"/>
              <w:bottom w:val="single" w:color="auto" w:sz="4" w:space="0"/>
              <w:right w:val="single" w:color="auto" w:sz="4" w:space="0"/>
            </w:tcBorders>
            <w:vAlign w:val="center"/>
          </w:tcPr>
          <w:p w14:paraId="07DBEEB8">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15A15C63">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建立设备设施台账，定期进行检查、维保，并记录。煤气管道每半月进行检查；电路每月进行检查。扣分不累计。</w:t>
            </w:r>
          </w:p>
        </w:tc>
        <w:tc>
          <w:tcPr>
            <w:tcW w:w="1985" w:type="dxa"/>
            <w:tcBorders>
              <w:top w:val="single" w:color="auto" w:sz="4" w:space="0"/>
              <w:left w:val="nil"/>
              <w:bottom w:val="single" w:color="auto" w:sz="4" w:space="0"/>
              <w:right w:val="single" w:color="auto" w:sz="4" w:space="0"/>
            </w:tcBorders>
            <w:vAlign w:val="center"/>
          </w:tcPr>
          <w:p w14:paraId="6384D8EF">
            <w:pPr>
              <w:rPr>
                <w:rFonts w:ascii="Times New Roman" w:hAnsi="Times New Roman" w:eastAsia="仿宋_GB2312" w:cs="Times New Roman"/>
                <w:sz w:val="24"/>
                <w:szCs w:val="24"/>
              </w:rPr>
            </w:pPr>
            <w:r>
              <w:rPr>
                <w:rFonts w:hint="eastAsia" w:ascii="宋体" w:hAnsi="宋体"/>
                <w:sz w:val="24"/>
                <w:szCs w:val="24"/>
              </w:rPr>
              <w:t>每处不符扣</w:t>
            </w:r>
            <w:r>
              <w:rPr>
                <w:rFonts w:hint="eastAsia" w:ascii="Times New Roman" w:hAnsi="Times New Roman" w:cs="Times New Roman" w:eastAsiaTheme="minorEastAsia"/>
                <w:sz w:val="24"/>
                <w:szCs w:val="24"/>
              </w:rPr>
              <w:t>0.5</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56C1CA31">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736" w:type="dxa"/>
            <w:tcBorders>
              <w:top w:val="single" w:color="auto" w:sz="4" w:space="0"/>
              <w:left w:val="nil"/>
              <w:bottom w:val="single" w:color="auto" w:sz="4" w:space="0"/>
              <w:right w:val="single" w:color="auto" w:sz="4" w:space="0"/>
            </w:tcBorders>
            <w:vAlign w:val="center"/>
          </w:tcPr>
          <w:p w14:paraId="4A1CF19E">
            <w:pPr>
              <w:jc w:val="center"/>
              <w:rPr>
                <w:rFonts w:ascii="Times New Roman" w:hAnsi="Times New Roman" w:eastAsia="仿宋_GB2312" w:cs="Times New Roman"/>
                <w:sz w:val="24"/>
                <w:szCs w:val="24"/>
              </w:rPr>
            </w:pPr>
          </w:p>
        </w:tc>
      </w:tr>
      <w:tr w14:paraId="2714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Merge w:val="continue"/>
            <w:tcBorders>
              <w:top w:val="nil"/>
              <w:left w:val="single" w:color="auto" w:sz="4" w:space="0"/>
              <w:bottom w:val="single" w:color="auto" w:sz="4" w:space="0"/>
              <w:right w:val="single" w:color="auto" w:sz="4" w:space="0"/>
            </w:tcBorders>
            <w:vAlign w:val="center"/>
          </w:tcPr>
          <w:p w14:paraId="49B5BEEE">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5E3F0869">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每日生产结束，关闭后厨水、电、气，杜绝消防隐患。</w:t>
            </w:r>
          </w:p>
        </w:tc>
        <w:tc>
          <w:tcPr>
            <w:tcW w:w="1985" w:type="dxa"/>
            <w:tcBorders>
              <w:top w:val="single" w:color="auto" w:sz="4" w:space="0"/>
              <w:left w:val="nil"/>
              <w:bottom w:val="single" w:color="auto" w:sz="4" w:space="0"/>
              <w:right w:val="single" w:color="auto" w:sz="4" w:space="0"/>
            </w:tcBorders>
            <w:vAlign w:val="center"/>
          </w:tcPr>
          <w:p w14:paraId="5FB08C86">
            <w:pPr>
              <w:rPr>
                <w:rFonts w:ascii="Times New Roman" w:hAnsi="Times New Roman" w:eastAsia="仿宋_GB2312" w:cs="Times New Roman"/>
                <w:sz w:val="24"/>
                <w:szCs w:val="24"/>
              </w:rPr>
            </w:pPr>
            <w:r>
              <w:rPr>
                <w:rFonts w:hint="eastAsia" w:ascii="宋体" w:hAnsi="宋体"/>
                <w:sz w:val="24"/>
                <w:szCs w:val="24"/>
              </w:rPr>
              <w:t>每处不符扣</w:t>
            </w:r>
            <w:r>
              <w:rPr>
                <w:rFonts w:ascii="Times New Roman" w:hAnsi="Times New Roman" w:eastAsia="仿宋_GB2312" w:cs="Times New Roman"/>
                <w:sz w:val="24"/>
                <w:szCs w:val="24"/>
              </w:rPr>
              <w:t>1</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4AE1576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736" w:type="dxa"/>
            <w:tcBorders>
              <w:top w:val="single" w:color="auto" w:sz="4" w:space="0"/>
              <w:left w:val="nil"/>
              <w:bottom w:val="single" w:color="auto" w:sz="4" w:space="0"/>
              <w:right w:val="single" w:color="auto" w:sz="4" w:space="0"/>
            </w:tcBorders>
            <w:vAlign w:val="center"/>
          </w:tcPr>
          <w:p w14:paraId="528C79BB">
            <w:pPr>
              <w:jc w:val="center"/>
              <w:rPr>
                <w:rFonts w:ascii="Times New Roman" w:hAnsi="Times New Roman" w:eastAsia="仿宋_GB2312" w:cs="Times New Roman"/>
                <w:sz w:val="24"/>
                <w:szCs w:val="24"/>
              </w:rPr>
            </w:pPr>
          </w:p>
        </w:tc>
      </w:tr>
      <w:tr w14:paraId="7D63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Merge w:val="continue"/>
            <w:tcBorders>
              <w:top w:val="nil"/>
              <w:left w:val="single" w:color="auto" w:sz="4" w:space="0"/>
              <w:bottom w:val="single" w:color="auto" w:sz="4" w:space="0"/>
              <w:right w:val="single" w:color="auto" w:sz="4" w:space="0"/>
            </w:tcBorders>
            <w:vAlign w:val="center"/>
          </w:tcPr>
          <w:p w14:paraId="108F1EF3">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06C664E1">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做好危险警告标志及防范措施。</w:t>
            </w:r>
          </w:p>
        </w:tc>
        <w:tc>
          <w:tcPr>
            <w:tcW w:w="1985" w:type="dxa"/>
            <w:tcBorders>
              <w:top w:val="single" w:color="auto" w:sz="4" w:space="0"/>
              <w:left w:val="nil"/>
              <w:bottom w:val="single" w:color="auto" w:sz="4" w:space="0"/>
              <w:right w:val="single" w:color="auto" w:sz="4" w:space="0"/>
            </w:tcBorders>
            <w:vAlign w:val="center"/>
          </w:tcPr>
          <w:p w14:paraId="5C913438">
            <w:pPr>
              <w:rPr>
                <w:rFonts w:ascii="Times New Roman" w:hAnsi="Times New Roman" w:eastAsia="仿宋_GB2312" w:cs="Times New Roman"/>
                <w:sz w:val="24"/>
                <w:szCs w:val="24"/>
              </w:rPr>
            </w:pPr>
            <w:r>
              <w:rPr>
                <w:rFonts w:hint="eastAsia" w:ascii="宋体" w:hAnsi="宋体"/>
                <w:sz w:val="24"/>
                <w:szCs w:val="24"/>
              </w:rPr>
              <w:t>每处不符扣</w:t>
            </w:r>
            <w:r>
              <w:rPr>
                <w:rFonts w:ascii="Times New Roman" w:hAnsi="Times New Roman" w:eastAsia="仿宋_GB2312" w:cs="Times New Roman"/>
                <w:sz w:val="24"/>
                <w:szCs w:val="24"/>
              </w:rPr>
              <w:t>1</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33865EE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736" w:type="dxa"/>
            <w:tcBorders>
              <w:top w:val="single" w:color="auto" w:sz="4" w:space="0"/>
              <w:left w:val="nil"/>
              <w:bottom w:val="single" w:color="auto" w:sz="4" w:space="0"/>
              <w:right w:val="single" w:color="auto" w:sz="4" w:space="0"/>
            </w:tcBorders>
            <w:vAlign w:val="center"/>
          </w:tcPr>
          <w:p w14:paraId="79B67EC7">
            <w:pPr>
              <w:jc w:val="center"/>
              <w:rPr>
                <w:rFonts w:ascii="Times New Roman" w:hAnsi="Times New Roman" w:eastAsia="仿宋_GB2312" w:cs="Times New Roman"/>
                <w:sz w:val="24"/>
                <w:szCs w:val="24"/>
              </w:rPr>
            </w:pPr>
          </w:p>
        </w:tc>
      </w:tr>
      <w:tr w14:paraId="0BF5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51" w:type="dxa"/>
            <w:vMerge w:val="restart"/>
            <w:tcBorders>
              <w:top w:val="nil"/>
              <w:left w:val="single" w:color="auto" w:sz="4" w:space="0"/>
              <w:bottom w:val="single" w:color="auto" w:sz="4" w:space="0"/>
              <w:right w:val="single" w:color="auto" w:sz="4" w:space="0"/>
            </w:tcBorders>
            <w:vAlign w:val="center"/>
          </w:tcPr>
          <w:p w14:paraId="7E83E8FC">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（九</w:t>
            </w:r>
            <w:r>
              <w:rPr>
                <w:rFonts w:hint="eastAsia" w:ascii="宋体" w:hAnsi="宋体"/>
                <w:b/>
                <w:bCs/>
                <w:sz w:val="24"/>
                <w:szCs w:val="24"/>
              </w:rPr>
              <w:t>）</w:t>
            </w:r>
          </w:p>
          <w:p w14:paraId="578C9DC3">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餐厅形</w:t>
            </w:r>
            <w:r>
              <w:rPr>
                <w:rFonts w:hint="eastAsia" w:ascii="宋体" w:hAnsi="宋体"/>
                <w:b/>
                <w:bCs/>
                <w:sz w:val="24"/>
                <w:szCs w:val="24"/>
              </w:rPr>
              <w:t>象</w:t>
            </w:r>
          </w:p>
          <w:p w14:paraId="4996EB57">
            <w:pPr>
              <w:jc w:val="center"/>
              <w:rPr>
                <w:rFonts w:ascii="Times New Roman" w:hAnsi="Times New Roman" w:eastAsia="仿宋_GB2312" w:cs="Times New Roman"/>
                <w:sz w:val="24"/>
                <w:szCs w:val="24"/>
              </w:rPr>
            </w:pPr>
            <w:r>
              <w:rPr>
                <w:rFonts w:ascii="Times New Roman" w:hAnsi="Times New Roman" w:eastAsia="仿宋_GB2312" w:cs="Times New Roman"/>
                <w:b/>
                <w:bCs/>
                <w:sz w:val="24"/>
                <w:szCs w:val="24"/>
              </w:rPr>
              <w:t>5</w:t>
            </w:r>
            <w:r>
              <w:rPr>
                <w:rFonts w:hint="eastAsia" w:ascii="宋体" w:hAnsi="宋体"/>
                <w:b/>
                <w:bCs/>
                <w:sz w:val="24"/>
                <w:szCs w:val="24"/>
              </w:rPr>
              <w:t>分</w:t>
            </w:r>
          </w:p>
        </w:tc>
        <w:tc>
          <w:tcPr>
            <w:tcW w:w="4819" w:type="dxa"/>
            <w:tcBorders>
              <w:top w:val="single" w:color="auto" w:sz="4" w:space="0"/>
              <w:left w:val="nil"/>
              <w:bottom w:val="single" w:color="auto" w:sz="4" w:space="0"/>
              <w:right w:val="single" w:color="auto" w:sz="4" w:space="0"/>
            </w:tcBorders>
            <w:vAlign w:val="center"/>
          </w:tcPr>
          <w:p w14:paraId="562B15B4">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定期巡检前厅各处及门、窗、餐椅等，餐桌椅和物品摆放整齐干净，如发现问题及时报修或采取相应措施；不得在任何墙体、桌面等明显的地方张贴纸张。</w:t>
            </w:r>
          </w:p>
        </w:tc>
        <w:tc>
          <w:tcPr>
            <w:tcW w:w="1985" w:type="dxa"/>
            <w:vMerge w:val="restart"/>
            <w:tcBorders>
              <w:top w:val="nil"/>
              <w:left w:val="nil"/>
              <w:bottom w:val="single" w:color="auto" w:sz="4" w:space="0"/>
              <w:right w:val="single" w:color="auto" w:sz="4" w:space="0"/>
            </w:tcBorders>
            <w:vAlign w:val="center"/>
          </w:tcPr>
          <w:p w14:paraId="3B08ABE4">
            <w:pPr>
              <w:rPr>
                <w:rFonts w:ascii="Times New Roman" w:hAnsi="Times New Roman" w:eastAsia="仿宋_GB2312" w:cs="Times New Roman"/>
                <w:sz w:val="24"/>
                <w:szCs w:val="24"/>
              </w:rPr>
            </w:pPr>
            <w:r>
              <w:rPr>
                <w:rFonts w:hint="eastAsia" w:ascii="宋体" w:hAnsi="宋体"/>
                <w:sz w:val="24"/>
                <w:szCs w:val="24"/>
              </w:rPr>
              <w:t>每处不符扣</w:t>
            </w:r>
            <w:r>
              <w:rPr>
                <w:rFonts w:ascii="Times New Roman" w:hAnsi="Times New Roman" w:eastAsia="仿宋_GB2312" w:cs="Times New Roman"/>
                <w:sz w:val="24"/>
                <w:szCs w:val="24"/>
              </w:rPr>
              <w:t>1</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33351C4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736" w:type="dxa"/>
            <w:tcBorders>
              <w:top w:val="single" w:color="auto" w:sz="4" w:space="0"/>
              <w:left w:val="nil"/>
              <w:bottom w:val="single" w:color="auto" w:sz="4" w:space="0"/>
              <w:right w:val="single" w:color="auto" w:sz="4" w:space="0"/>
            </w:tcBorders>
            <w:vAlign w:val="center"/>
          </w:tcPr>
          <w:p w14:paraId="07AA23B7">
            <w:pPr>
              <w:jc w:val="center"/>
              <w:rPr>
                <w:rFonts w:ascii="Times New Roman" w:hAnsi="Times New Roman" w:eastAsia="仿宋_GB2312" w:cs="Times New Roman"/>
                <w:sz w:val="24"/>
                <w:szCs w:val="24"/>
              </w:rPr>
            </w:pPr>
          </w:p>
        </w:tc>
      </w:tr>
      <w:tr w14:paraId="00C9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1" w:type="dxa"/>
            <w:vMerge w:val="continue"/>
            <w:tcBorders>
              <w:top w:val="nil"/>
              <w:left w:val="single" w:color="auto" w:sz="4" w:space="0"/>
              <w:bottom w:val="single" w:color="auto" w:sz="4" w:space="0"/>
              <w:right w:val="single" w:color="auto" w:sz="4" w:space="0"/>
            </w:tcBorders>
            <w:vAlign w:val="center"/>
          </w:tcPr>
          <w:p w14:paraId="6D6E109F">
            <w:pPr>
              <w:widowControl/>
              <w:jc w:val="left"/>
              <w:rPr>
                <w:rFonts w:ascii="Times New Roman" w:hAnsi="Times New Roman" w:eastAsia="仿宋_GB2312" w:cs="Times New Roman"/>
                <w:sz w:val="24"/>
                <w:szCs w:val="24"/>
              </w:rPr>
            </w:pPr>
          </w:p>
        </w:tc>
        <w:tc>
          <w:tcPr>
            <w:tcW w:w="4819" w:type="dxa"/>
            <w:tcBorders>
              <w:top w:val="single" w:color="auto" w:sz="4" w:space="0"/>
              <w:left w:val="nil"/>
              <w:bottom w:val="single" w:color="auto" w:sz="4" w:space="0"/>
              <w:right w:val="single" w:color="auto" w:sz="4" w:space="0"/>
            </w:tcBorders>
            <w:vAlign w:val="center"/>
          </w:tcPr>
          <w:p w14:paraId="3DB741C5">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做好公告信息更新。</w:t>
            </w:r>
          </w:p>
        </w:tc>
        <w:tc>
          <w:tcPr>
            <w:tcW w:w="1985" w:type="dxa"/>
            <w:vMerge w:val="continue"/>
            <w:tcBorders>
              <w:top w:val="nil"/>
              <w:left w:val="nil"/>
              <w:bottom w:val="single" w:color="auto" w:sz="4" w:space="0"/>
              <w:right w:val="single" w:color="auto" w:sz="4" w:space="0"/>
            </w:tcBorders>
            <w:vAlign w:val="center"/>
          </w:tcPr>
          <w:p w14:paraId="3F63CA1A">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46DE6EE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736" w:type="dxa"/>
            <w:tcBorders>
              <w:top w:val="single" w:color="auto" w:sz="4" w:space="0"/>
              <w:left w:val="nil"/>
              <w:bottom w:val="single" w:color="auto" w:sz="4" w:space="0"/>
              <w:right w:val="single" w:color="auto" w:sz="4" w:space="0"/>
            </w:tcBorders>
            <w:vAlign w:val="center"/>
          </w:tcPr>
          <w:p w14:paraId="6F394C65">
            <w:pPr>
              <w:jc w:val="center"/>
              <w:rPr>
                <w:rFonts w:ascii="Times New Roman" w:hAnsi="Times New Roman" w:eastAsia="仿宋_GB2312" w:cs="Times New Roman"/>
                <w:sz w:val="24"/>
                <w:szCs w:val="24"/>
              </w:rPr>
            </w:pPr>
          </w:p>
        </w:tc>
      </w:tr>
      <w:tr w14:paraId="6D48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1" w:type="dxa"/>
            <w:vMerge w:val="continue"/>
            <w:tcBorders>
              <w:top w:val="nil"/>
              <w:left w:val="single" w:color="auto" w:sz="4" w:space="0"/>
              <w:bottom w:val="single" w:color="auto" w:sz="4" w:space="0"/>
              <w:right w:val="single" w:color="auto" w:sz="4" w:space="0"/>
            </w:tcBorders>
            <w:vAlign w:val="center"/>
          </w:tcPr>
          <w:p w14:paraId="721823E5">
            <w:pPr>
              <w:widowControl/>
              <w:jc w:val="left"/>
              <w:rPr>
                <w:rFonts w:ascii="Times New Roman" w:hAnsi="Times New Roman" w:eastAsia="仿宋_GB2312" w:cs="Times New Roman"/>
                <w:sz w:val="24"/>
                <w:szCs w:val="24"/>
              </w:rPr>
            </w:pPr>
          </w:p>
        </w:tc>
        <w:tc>
          <w:tcPr>
            <w:tcW w:w="4819" w:type="dxa"/>
            <w:tcBorders>
              <w:top w:val="single" w:color="auto" w:sz="4" w:space="0"/>
              <w:left w:val="nil"/>
              <w:bottom w:val="single" w:color="auto" w:sz="4" w:space="0"/>
              <w:right w:val="single" w:color="auto" w:sz="4" w:space="0"/>
            </w:tcBorders>
            <w:vAlign w:val="center"/>
          </w:tcPr>
          <w:p w14:paraId="7FED8253">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建立意见薄，及时做出相应整改。</w:t>
            </w:r>
          </w:p>
        </w:tc>
        <w:tc>
          <w:tcPr>
            <w:tcW w:w="1985" w:type="dxa"/>
            <w:vMerge w:val="continue"/>
            <w:tcBorders>
              <w:top w:val="nil"/>
              <w:left w:val="nil"/>
              <w:bottom w:val="single" w:color="auto" w:sz="4" w:space="0"/>
              <w:right w:val="single" w:color="auto" w:sz="4" w:space="0"/>
            </w:tcBorders>
            <w:vAlign w:val="center"/>
          </w:tcPr>
          <w:p w14:paraId="3F999401">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1DE0727F">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736" w:type="dxa"/>
            <w:tcBorders>
              <w:top w:val="single" w:color="auto" w:sz="4" w:space="0"/>
              <w:left w:val="nil"/>
              <w:bottom w:val="single" w:color="auto" w:sz="4" w:space="0"/>
              <w:right w:val="single" w:color="auto" w:sz="4" w:space="0"/>
            </w:tcBorders>
            <w:vAlign w:val="center"/>
          </w:tcPr>
          <w:p w14:paraId="613536A0">
            <w:pPr>
              <w:jc w:val="center"/>
              <w:rPr>
                <w:rFonts w:ascii="Times New Roman" w:hAnsi="Times New Roman" w:eastAsia="仿宋_GB2312" w:cs="Times New Roman"/>
                <w:sz w:val="24"/>
                <w:szCs w:val="24"/>
              </w:rPr>
            </w:pPr>
          </w:p>
        </w:tc>
      </w:tr>
      <w:tr w14:paraId="1776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1" w:type="dxa"/>
            <w:vMerge w:val="continue"/>
            <w:tcBorders>
              <w:top w:val="nil"/>
              <w:left w:val="single" w:color="auto" w:sz="4" w:space="0"/>
              <w:bottom w:val="single" w:color="auto" w:sz="4" w:space="0"/>
              <w:right w:val="single" w:color="auto" w:sz="4" w:space="0"/>
            </w:tcBorders>
            <w:vAlign w:val="center"/>
          </w:tcPr>
          <w:p w14:paraId="5C6DDBA4">
            <w:pPr>
              <w:widowControl/>
              <w:jc w:val="left"/>
              <w:rPr>
                <w:rFonts w:ascii="Times New Roman" w:hAnsi="Times New Roman" w:eastAsia="仿宋_GB2312" w:cs="Times New Roman"/>
                <w:sz w:val="24"/>
                <w:szCs w:val="24"/>
              </w:rPr>
            </w:pPr>
          </w:p>
        </w:tc>
        <w:tc>
          <w:tcPr>
            <w:tcW w:w="4819" w:type="dxa"/>
            <w:tcBorders>
              <w:top w:val="single" w:color="auto" w:sz="4" w:space="0"/>
              <w:left w:val="nil"/>
              <w:bottom w:val="single" w:color="auto" w:sz="4" w:space="0"/>
              <w:right w:val="single" w:color="auto" w:sz="4" w:space="0"/>
            </w:tcBorders>
            <w:vAlign w:val="center"/>
          </w:tcPr>
          <w:p w14:paraId="55855157">
            <w:pPr>
              <w:adjustRightInd w:val="0"/>
              <w:snapToGrid w:val="0"/>
              <w:spacing w:line="300" w:lineRule="exact"/>
              <w:rPr>
                <w:rFonts w:ascii="Times New Roman" w:hAnsi="Times New Roman" w:eastAsia="仿宋_GB2312" w:cs="Times New Roman"/>
                <w:sz w:val="24"/>
                <w:szCs w:val="24"/>
              </w:rPr>
            </w:pPr>
            <w:r>
              <w:rPr>
                <w:rFonts w:hint="eastAsia" w:ascii="宋体" w:hAnsi="宋体"/>
                <w:sz w:val="24"/>
                <w:szCs w:val="24"/>
              </w:rPr>
              <w:t>如甲方收到投诉，且情况属实。</w:t>
            </w:r>
          </w:p>
        </w:tc>
        <w:tc>
          <w:tcPr>
            <w:tcW w:w="1985" w:type="dxa"/>
            <w:vMerge w:val="continue"/>
            <w:tcBorders>
              <w:top w:val="nil"/>
              <w:left w:val="nil"/>
              <w:bottom w:val="single" w:color="auto" w:sz="4" w:space="0"/>
              <w:right w:val="single" w:color="auto" w:sz="4" w:space="0"/>
            </w:tcBorders>
            <w:vAlign w:val="center"/>
          </w:tcPr>
          <w:p w14:paraId="4DF5A170">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31563C4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736" w:type="dxa"/>
            <w:tcBorders>
              <w:top w:val="single" w:color="auto" w:sz="4" w:space="0"/>
              <w:left w:val="nil"/>
              <w:bottom w:val="single" w:color="auto" w:sz="4" w:space="0"/>
              <w:right w:val="single" w:color="auto" w:sz="4" w:space="0"/>
            </w:tcBorders>
            <w:vAlign w:val="center"/>
          </w:tcPr>
          <w:p w14:paraId="32BB043E">
            <w:pPr>
              <w:jc w:val="center"/>
              <w:rPr>
                <w:rFonts w:ascii="Times New Roman" w:hAnsi="Times New Roman" w:eastAsia="仿宋_GB2312" w:cs="Times New Roman"/>
                <w:sz w:val="24"/>
                <w:szCs w:val="24"/>
              </w:rPr>
            </w:pPr>
          </w:p>
        </w:tc>
      </w:tr>
      <w:tr w14:paraId="013E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1" w:type="dxa"/>
            <w:vMerge w:val="continue"/>
            <w:tcBorders>
              <w:top w:val="nil"/>
              <w:left w:val="single" w:color="auto" w:sz="4" w:space="0"/>
              <w:bottom w:val="single" w:color="auto" w:sz="4" w:space="0"/>
              <w:right w:val="single" w:color="auto" w:sz="4" w:space="0"/>
            </w:tcBorders>
            <w:vAlign w:val="center"/>
          </w:tcPr>
          <w:p w14:paraId="07687D2D">
            <w:pPr>
              <w:widowControl/>
              <w:jc w:val="left"/>
              <w:rPr>
                <w:rFonts w:ascii="Times New Roman" w:hAnsi="Times New Roman" w:eastAsia="仿宋_GB2312" w:cs="Times New Roman"/>
                <w:sz w:val="24"/>
                <w:szCs w:val="24"/>
              </w:rPr>
            </w:pPr>
          </w:p>
        </w:tc>
        <w:tc>
          <w:tcPr>
            <w:tcW w:w="4819" w:type="dxa"/>
            <w:tcBorders>
              <w:top w:val="single" w:color="auto" w:sz="4" w:space="0"/>
              <w:left w:val="nil"/>
              <w:bottom w:val="single" w:color="auto" w:sz="4" w:space="0"/>
              <w:right w:val="single" w:color="auto" w:sz="4" w:space="0"/>
            </w:tcBorders>
            <w:vAlign w:val="center"/>
          </w:tcPr>
          <w:p w14:paraId="2FBBCB7F">
            <w:pPr>
              <w:rPr>
                <w:rFonts w:ascii="Times New Roman" w:hAnsi="Times New Roman" w:eastAsia="仿宋_GB2312" w:cs="Times New Roman"/>
                <w:sz w:val="24"/>
                <w:szCs w:val="24"/>
              </w:rPr>
            </w:pPr>
            <w:r>
              <w:rPr>
                <w:rFonts w:hint="eastAsia" w:ascii="宋体" w:hAnsi="宋体"/>
                <w:sz w:val="24"/>
                <w:szCs w:val="24"/>
              </w:rPr>
              <w:t>做好营业时间管理，非就餐时间不提供营业服务，除特殊情况外，做到不提前、不超时</w:t>
            </w:r>
            <w:r>
              <w:rPr>
                <w:rFonts w:ascii="Times New Roman" w:hAnsi="Times New Roman"/>
                <w:sz w:val="24"/>
                <w:szCs w:val="24"/>
              </w:rPr>
              <w:t>。</w:t>
            </w:r>
            <w:r>
              <w:rPr>
                <w:rFonts w:ascii="Times New Roman" w:hAnsi="Times New Roman" w:eastAsia="仿宋_GB2312" w:cs="Times New Roman"/>
                <w:sz w:val="24"/>
                <w:szCs w:val="24"/>
              </w:rPr>
              <w:t> </w:t>
            </w:r>
          </w:p>
        </w:tc>
        <w:tc>
          <w:tcPr>
            <w:tcW w:w="1985" w:type="dxa"/>
            <w:vMerge w:val="continue"/>
            <w:tcBorders>
              <w:top w:val="nil"/>
              <w:left w:val="nil"/>
              <w:bottom w:val="single" w:color="auto" w:sz="4" w:space="0"/>
              <w:right w:val="single" w:color="auto" w:sz="4" w:space="0"/>
            </w:tcBorders>
            <w:vAlign w:val="center"/>
          </w:tcPr>
          <w:p w14:paraId="5CD6D9F9">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7FCDDF3A">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736" w:type="dxa"/>
            <w:tcBorders>
              <w:top w:val="single" w:color="auto" w:sz="4" w:space="0"/>
              <w:left w:val="nil"/>
              <w:bottom w:val="single" w:color="auto" w:sz="4" w:space="0"/>
              <w:right w:val="single" w:color="auto" w:sz="4" w:space="0"/>
            </w:tcBorders>
            <w:vAlign w:val="center"/>
          </w:tcPr>
          <w:p w14:paraId="19BE31B2">
            <w:pPr>
              <w:jc w:val="center"/>
              <w:rPr>
                <w:rFonts w:ascii="Times New Roman" w:hAnsi="Times New Roman" w:eastAsia="仿宋_GB2312" w:cs="Times New Roman"/>
                <w:sz w:val="24"/>
                <w:szCs w:val="24"/>
              </w:rPr>
            </w:pPr>
          </w:p>
        </w:tc>
      </w:tr>
      <w:tr w14:paraId="566C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Merge w:val="restart"/>
            <w:tcBorders>
              <w:top w:val="nil"/>
              <w:left w:val="single" w:color="auto" w:sz="4" w:space="0"/>
              <w:bottom w:val="single" w:color="auto" w:sz="4" w:space="0"/>
              <w:right w:val="single" w:color="auto" w:sz="4" w:space="0"/>
            </w:tcBorders>
            <w:vAlign w:val="center"/>
          </w:tcPr>
          <w:p w14:paraId="1DF452EB">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（十）</w:t>
            </w:r>
            <w:r>
              <w:rPr>
                <w:rFonts w:ascii="Times New Roman" w:hAnsi="Times New Roman"/>
                <w:b/>
                <w:bCs/>
                <w:sz w:val="24"/>
                <w:szCs w:val="24"/>
              </w:rPr>
              <w:t>服务提升</w:t>
            </w:r>
          </w:p>
          <w:p w14:paraId="3F7E5A42">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10</w:t>
            </w:r>
            <w:r>
              <w:rPr>
                <w:rFonts w:hint="eastAsia" w:ascii="宋体" w:hAnsi="宋体"/>
                <w:b/>
                <w:bCs/>
                <w:sz w:val="24"/>
                <w:szCs w:val="24"/>
              </w:rPr>
              <w:t>分</w:t>
            </w:r>
          </w:p>
        </w:tc>
        <w:tc>
          <w:tcPr>
            <w:tcW w:w="4819" w:type="dxa"/>
            <w:tcBorders>
              <w:top w:val="single" w:color="auto" w:sz="4" w:space="0"/>
              <w:left w:val="nil"/>
              <w:bottom w:val="single" w:color="auto" w:sz="4" w:space="0"/>
              <w:right w:val="single" w:color="auto" w:sz="4" w:space="0"/>
            </w:tcBorders>
            <w:vAlign w:val="center"/>
          </w:tcPr>
          <w:p w14:paraId="2587BB86">
            <w:pPr>
              <w:rPr>
                <w:rFonts w:ascii="Times New Roman" w:hAnsi="Times New Roman" w:eastAsia="仿宋_GB2312" w:cs="Times New Roman"/>
                <w:sz w:val="24"/>
                <w:szCs w:val="24"/>
              </w:rPr>
            </w:pPr>
            <w:r>
              <w:rPr>
                <w:rFonts w:hint="eastAsia" w:ascii="宋体" w:hAnsi="宋体"/>
                <w:sz w:val="24"/>
                <w:szCs w:val="24"/>
              </w:rPr>
              <w:t>经营范围内服务，委托方收到用餐人的表扬。</w:t>
            </w:r>
          </w:p>
        </w:tc>
        <w:tc>
          <w:tcPr>
            <w:tcW w:w="1985" w:type="dxa"/>
            <w:vMerge w:val="restart"/>
            <w:tcBorders>
              <w:top w:val="nil"/>
              <w:left w:val="nil"/>
              <w:bottom w:val="single" w:color="auto" w:sz="4" w:space="0"/>
              <w:right w:val="single" w:color="auto" w:sz="4" w:space="0"/>
            </w:tcBorders>
            <w:vAlign w:val="center"/>
          </w:tcPr>
          <w:p w14:paraId="17A3352C">
            <w:pPr>
              <w:rPr>
                <w:rFonts w:ascii="Times New Roman" w:hAnsi="Times New Roman" w:eastAsia="仿宋_GB2312" w:cs="Times New Roman"/>
                <w:sz w:val="24"/>
                <w:szCs w:val="24"/>
              </w:rPr>
            </w:pPr>
            <w:r>
              <w:rPr>
                <w:rFonts w:hint="eastAsia" w:ascii="宋体" w:hAnsi="宋体"/>
                <w:sz w:val="24"/>
                <w:szCs w:val="24"/>
              </w:rPr>
              <w:t>按相应分值加分，正激励累计不超过</w:t>
            </w:r>
            <w:r>
              <w:rPr>
                <w:rFonts w:ascii="Times New Roman" w:hAnsi="Times New Roman" w:eastAsia="仿宋_GB2312" w:cs="Times New Roman"/>
                <w:sz w:val="24"/>
                <w:szCs w:val="24"/>
              </w:rPr>
              <w:t>10</w:t>
            </w:r>
            <w:r>
              <w:rPr>
                <w:rFonts w:hint="eastAsia" w:ascii="宋体" w:hAnsi="宋体"/>
                <w:sz w:val="24"/>
                <w:szCs w:val="24"/>
              </w:rPr>
              <w:t>分。</w:t>
            </w:r>
          </w:p>
        </w:tc>
        <w:tc>
          <w:tcPr>
            <w:tcW w:w="709" w:type="dxa"/>
            <w:tcBorders>
              <w:top w:val="single" w:color="auto" w:sz="4" w:space="0"/>
              <w:left w:val="nil"/>
              <w:bottom w:val="single" w:color="auto" w:sz="4" w:space="0"/>
              <w:right w:val="single" w:color="auto" w:sz="4" w:space="0"/>
            </w:tcBorders>
            <w:vAlign w:val="center"/>
          </w:tcPr>
          <w:p w14:paraId="411735B1">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w:t>
            </w:r>
          </w:p>
        </w:tc>
        <w:tc>
          <w:tcPr>
            <w:tcW w:w="736" w:type="dxa"/>
            <w:tcBorders>
              <w:top w:val="single" w:color="auto" w:sz="4" w:space="0"/>
              <w:left w:val="nil"/>
              <w:bottom w:val="single" w:color="auto" w:sz="4" w:space="0"/>
              <w:right w:val="single" w:color="auto" w:sz="4" w:space="0"/>
            </w:tcBorders>
            <w:vAlign w:val="center"/>
          </w:tcPr>
          <w:p w14:paraId="61F2BEC9">
            <w:pPr>
              <w:jc w:val="center"/>
              <w:rPr>
                <w:rFonts w:ascii="Times New Roman" w:hAnsi="Times New Roman" w:eastAsia="仿宋_GB2312" w:cs="Times New Roman"/>
                <w:sz w:val="24"/>
                <w:szCs w:val="24"/>
              </w:rPr>
            </w:pPr>
          </w:p>
        </w:tc>
      </w:tr>
      <w:tr w14:paraId="3FBE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1" w:type="dxa"/>
            <w:vMerge w:val="continue"/>
            <w:tcBorders>
              <w:top w:val="nil"/>
              <w:left w:val="single" w:color="auto" w:sz="4" w:space="0"/>
              <w:bottom w:val="single" w:color="auto" w:sz="4" w:space="0"/>
              <w:right w:val="single" w:color="auto" w:sz="4" w:space="0"/>
            </w:tcBorders>
            <w:vAlign w:val="center"/>
          </w:tcPr>
          <w:p w14:paraId="0CBE97D4">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799787FB">
            <w:pPr>
              <w:rPr>
                <w:rFonts w:ascii="Times New Roman" w:hAnsi="Times New Roman" w:eastAsia="仿宋_GB2312" w:cs="Times New Roman"/>
                <w:sz w:val="24"/>
                <w:szCs w:val="24"/>
              </w:rPr>
            </w:pPr>
            <w:r>
              <w:rPr>
                <w:rFonts w:hint="eastAsia" w:ascii="宋体" w:hAnsi="宋体"/>
                <w:sz w:val="24"/>
                <w:szCs w:val="24"/>
              </w:rPr>
              <w:t>经营范围外的行为（如见义勇为、拾金不昧），委托方收到用餐人的表扬。</w:t>
            </w:r>
          </w:p>
        </w:tc>
        <w:tc>
          <w:tcPr>
            <w:tcW w:w="1985" w:type="dxa"/>
            <w:vMerge w:val="continue"/>
            <w:tcBorders>
              <w:top w:val="nil"/>
              <w:left w:val="nil"/>
              <w:bottom w:val="single" w:color="auto" w:sz="4" w:space="0"/>
              <w:right w:val="single" w:color="auto" w:sz="4" w:space="0"/>
            </w:tcBorders>
            <w:vAlign w:val="center"/>
          </w:tcPr>
          <w:p w14:paraId="33EA3A00">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79FC7F38">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22877498">
            <w:pPr>
              <w:jc w:val="center"/>
              <w:rPr>
                <w:rFonts w:ascii="Times New Roman" w:hAnsi="Times New Roman" w:eastAsia="仿宋_GB2312" w:cs="Times New Roman"/>
                <w:sz w:val="24"/>
                <w:szCs w:val="24"/>
              </w:rPr>
            </w:pPr>
          </w:p>
        </w:tc>
      </w:tr>
      <w:tr w14:paraId="3513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1" w:type="dxa"/>
            <w:vMerge w:val="continue"/>
            <w:tcBorders>
              <w:top w:val="nil"/>
              <w:left w:val="single" w:color="auto" w:sz="4" w:space="0"/>
              <w:bottom w:val="single" w:color="auto" w:sz="4" w:space="0"/>
              <w:right w:val="single" w:color="auto" w:sz="4" w:space="0"/>
            </w:tcBorders>
            <w:vAlign w:val="center"/>
          </w:tcPr>
          <w:p w14:paraId="6EC72055">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0F64FE64">
            <w:pPr>
              <w:rPr>
                <w:rFonts w:ascii="Times New Roman" w:hAnsi="Times New Roman" w:eastAsia="仿宋_GB2312" w:cs="Times New Roman"/>
                <w:sz w:val="24"/>
                <w:szCs w:val="24"/>
              </w:rPr>
            </w:pPr>
            <w:r>
              <w:rPr>
                <w:rFonts w:hint="eastAsia" w:ascii="宋体" w:hAnsi="宋体"/>
                <w:sz w:val="24"/>
                <w:szCs w:val="24"/>
              </w:rPr>
              <w:t>产品或服务创新，为食堂做出创造性的贡献。</w:t>
            </w:r>
          </w:p>
        </w:tc>
        <w:tc>
          <w:tcPr>
            <w:tcW w:w="1985" w:type="dxa"/>
            <w:vMerge w:val="continue"/>
            <w:tcBorders>
              <w:top w:val="nil"/>
              <w:left w:val="nil"/>
              <w:bottom w:val="single" w:color="auto" w:sz="4" w:space="0"/>
              <w:right w:val="single" w:color="auto" w:sz="4" w:space="0"/>
            </w:tcBorders>
            <w:vAlign w:val="center"/>
          </w:tcPr>
          <w:p w14:paraId="6D97E8E5">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6174E9D8">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2</w:t>
            </w:r>
          </w:p>
        </w:tc>
        <w:tc>
          <w:tcPr>
            <w:tcW w:w="736" w:type="dxa"/>
            <w:tcBorders>
              <w:top w:val="single" w:color="auto" w:sz="4" w:space="0"/>
              <w:left w:val="nil"/>
              <w:bottom w:val="single" w:color="auto" w:sz="4" w:space="0"/>
              <w:right w:val="single" w:color="auto" w:sz="4" w:space="0"/>
            </w:tcBorders>
            <w:vAlign w:val="center"/>
          </w:tcPr>
          <w:p w14:paraId="2AD02653">
            <w:pPr>
              <w:jc w:val="center"/>
              <w:rPr>
                <w:rFonts w:ascii="Times New Roman" w:hAnsi="Times New Roman" w:eastAsia="仿宋_GB2312" w:cs="Times New Roman"/>
                <w:sz w:val="24"/>
                <w:szCs w:val="24"/>
              </w:rPr>
            </w:pPr>
          </w:p>
        </w:tc>
      </w:tr>
      <w:tr w14:paraId="3DE0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1" w:type="dxa"/>
            <w:vMerge w:val="continue"/>
            <w:tcBorders>
              <w:top w:val="nil"/>
              <w:left w:val="single" w:color="auto" w:sz="4" w:space="0"/>
              <w:bottom w:val="single" w:color="auto" w:sz="4" w:space="0"/>
              <w:right w:val="single" w:color="auto" w:sz="4" w:space="0"/>
            </w:tcBorders>
            <w:vAlign w:val="center"/>
          </w:tcPr>
          <w:p w14:paraId="7D70611C">
            <w:pPr>
              <w:widowControl/>
              <w:jc w:val="left"/>
              <w:rPr>
                <w:rFonts w:ascii="Times New Roman" w:hAnsi="Times New Roman" w:eastAsia="仿宋_GB2312" w:cs="Times New Roman"/>
                <w:b/>
                <w:bCs/>
                <w:sz w:val="24"/>
                <w:szCs w:val="24"/>
              </w:rPr>
            </w:pPr>
          </w:p>
        </w:tc>
        <w:tc>
          <w:tcPr>
            <w:tcW w:w="4819" w:type="dxa"/>
            <w:tcBorders>
              <w:top w:val="single" w:color="auto" w:sz="4" w:space="0"/>
              <w:left w:val="nil"/>
              <w:bottom w:val="single" w:color="auto" w:sz="4" w:space="0"/>
              <w:right w:val="single" w:color="auto" w:sz="4" w:space="0"/>
            </w:tcBorders>
            <w:vAlign w:val="center"/>
          </w:tcPr>
          <w:p w14:paraId="2FFB23CD">
            <w:pPr>
              <w:rPr>
                <w:rFonts w:ascii="Times New Roman" w:hAnsi="Times New Roman" w:eastAsia="仿宋_GB2312" w:cs="Times New Roman"/>
                <w:sz w:val="24"/>
                <w:szCs w:val="24"/>
              </w:rPr>
            </w:pPr>
            <w:r>
              <w:rPr>
                <w:rFonts w:hint="eastAsia" w:ascii="宋体" w:hAnsi="宋体"/>
                <w:sz w:val="24"/>
                <w:szCs w:val="24"/>
              </w:rPr>
              <w:t>获得</w:t>
            </w:r>
            <w:r>
              <w:rPr>
                <w:rFonts w:ascii="Times New Roman" w:hAnsi="Times New Roman"/>
                <w:color w:val="C00000"/>
                <w:sz w:val="24"/>
                <w:szCs w:val="24"/>
              </w:rPr>
              <w:t>县</w:t>
            </w:r>
            <w:r>
              <w:rPr>
                <w:rFonts w:hint="eastAsia" w:ascii="宋体" w:hAnsi="宋体"/>
                <w:sz w:val="24"/>
                <w:szCs w:val="24"/>
              </w:rPr>
              <w:t>级以上的荣誉。</w:t>
            </w:r>
          </w:p>
        </w:tc>
        <w:tc>
          <w:tcPr>
            <w:tcW w:w="1985" w:type="dxa"/>
            <w:vMerge w:val="continue"/>
            <w:tcBorders>
              <w:top w:val="nil"/>
              <w:left w:val="nil"/>
              <w:bottom w:val="single" w:color="auto" w:sz="4" w:space="0"/>
              <w:right w:val="single" w:color="auto" w:sz="4" w:space="0"/>
            </w:tcBorders>
            <w:vAlign w:val="center"/>
          </w:tcPr>
          <w:p w14:paraId="3E037CD9">
            <w:pPr>
              <w:widowControl/>
              <w:jc w:val="left"/>
              <w:rPr>
                <w:rFonts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14:paraId="372CB919">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5</w:t>
            </w:r>
          </w:p>
        </w:tc>
        <w:tc>
          <w:tcPr>
            <w:tcW w:w="736" w:type="dxa"/>
            <w:tcBorders>
              <w:top w:val="single" w:color="auto" w:sz="4" w:space="0"/>
              <w:left w:val="nil"/>
              <w:bottom w:val="single" w:color="auto" w:sz="4" w:space="0"/>
              <w:right w:val="single" w:color="auto" w:sz="4" w:space="0"/>
            </w:tcBorders>
            <w:vAlign w:val="center"/>
          </w:tcPr>
          <w:p w14:paraId="502F93B9">
            <w:pPr>
              <w:jc w:val="center"/>
              <w:rPr>
                <w:rFonts w:ascii="Times New Roman" w:hAnsi="Times New Roman" w:eastAsia="仿宋_GB2312" w:cs="Times New Roman"/>
                <w:sz w:val="24"/>
                <w:szCs w:val="24"/>
              </w:rPr>
            </w:pPr>
          </w:p>
        </w:tc>
      </w:tr>
      <w:tr w14:paraId="58C6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vAlign w:val="center"/>
          </w:tcPr>
          <w:p w14:paraId="7F1D45F4">
            <w:pPr>
              <w:ind w:firstLine="120" w:firstLineChars="5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总</w:t>
            </w:r>
            <w:r>
              <w:rPr>
                <w:rFonts w:hint="eastAsia" w:ascii="宋体" w:hAnsi="宋体"/>
                <w:b/>
                <w:bCs/>
                <w:sz w:val="24"/>
                <w:szCs w:val="24"/>
              </w:rPr>
              <w:t>计</w:t>
            </w:r>
          </w:p>
        </w:tc>
        <w:tc>
          <w:tcPr>
            <w:tcW w:w="6804" w:type="dxa"/>
            <w:gridSpan w:val="2"/>
            <w:tcBorders>
              <w:top w:val="single" w:color="auto" w:sz="4" w:space="0"/>
              <w:left w:val="nil"/>
              <w:bottom w:val="single" w:color="auto" w:sz="4" w:space="0"/>
              <w:right w:val="single" w:color="auto" w:sz="4" w:space="0"/>
            </w:tcBorders>
            <w:vAlign w:val="center"/>
          </w:tcPr>
          <w:p w14:paraId="63B38042">
            <w:pP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以上共十大类；累计扣分或加分不超过该大类的分值；实行定期检查和不定期抽查；得分的30%</w:t>
            </w:r>
            <w:r>
              <w:rPr>
                <w:rFonts w:ascii="仿宋_GB2312" w:hAnsi="仿宋_GB2312" w:cs="Times New Roman"/>
                <w:b/>
                <w:bCs/>
                <w:sz w:val="24"/>
                <w:szCs w:val="24"/>
              </w:rPr>
              <w:t>计入当月</w:t>
            </w:r>
            <w:r>
              <w:rPr>
                <w:rFonts w:ascii="Times New Roman" w:hAnsi="Times New Roman"/>
                <w:b/>
                <w:bCs/>
                <w:sz w:val="24"/>
                <w:szCs w:val="24"/>
              </w:rPr>
              <w:t>团队</w:t>
            </w:r>
            <w:r>
              <w:rPr>
                <w:rFonts w:ascii="Times New Roman" w:hAnsi="Times New Roman" w:eastAsia="仿宋_GB2312" w:cs="Times New Roman"/>
                <w:b/>
                <w:bCs/>
                <w:sz w:val="24"/>
                <w:szCs w:val="24"/>
              </w:rPr>
              <w:t>考核总得分</w:t>
            </w:r>
            <w:r>
              <w:rPr>
                <w:rFonts w:hint="eastAsia" w:ascii="宋体" w:hAnsi="宋体"/>
                <w:b/>
                <w:bCs/>
                <w:sz w:val="24"/>
                <w:szCs w:val="24"/>
              </w:rPr>
              <w:t>。</w:t>
            </w:r>
          </w:p>
        </w:tc>
        <w:tc>
          <w:tcPr>
            <w:tcW w:w="1445" w:type="dxa"/>
            <w:gridSpan w:val="2"/>
            <w:tcBorders>
              <w:top w:val="single" w:color="auto" w:sz="4" w:space="0"/>
              <w:left w:val="nil"/>
              <w:bottom w:val="single" w:color="auto" w:sz="4" w:space="0"/>
              <w:right w:val="single" w:color="auto" w:sz="4" w:space="0"/>
            </w:tcBorders>
            <w:vAlign w:val="center"/>
          </w:tcPr>
          <w:p w14:paraId="6F0B1FB4">
            <w:pPr>
              <w:jc w:val="center"/>
              <w:rPr>
                <w:rFonts w:ascii="Times New Roman" w:hAnsi="Times New Roman" w:eastAsia="仿宋_GB2312" w:cs="Times New Roman"/>
                <w:sz w:val="24"/>
                <w:szCs w:val="24"/>
              </w:rPr>
            </w:pPr>
          </w:p>
        </w:tc>
      </w:tr>
    </w:tbl>
    <w:p w14:paraId="672E8820">
      <w:pPr>
        <w:adjustRightInd w:val="0"/>
        <w:snapToGrid w:val="0"/>
        <w:spacing w:before="120" w:beforeLines="50" w:line="360" w:lineRule="auto"/>
        <w:ind w:firstLine="560" w:firstLineChars="200"/>
        <w:rPr>
          <w:rFonts w:ascii="宋体" w:hAnsi="宋体"/>
          <w:bCs/>
          <w:sz w:val="30"/>
          <w:szCs w:val="30"/>
        </w:rPr>
      </w:pPr>
      <w:r>
        <w:rPr>
          <w:rFonts w:hint="eastAsia" w:ascii="宋体" w:hAnsi="宋体"/>
          <w:bCs/>
          <w:sz w:val="28"/>
          <w:szCs w:val="28"/>
        </w:rPr>
        <w:t>检查人：                        检查日期：</w:t>
      </w:r>
    </w:p>
    <w:p w14:paraId="0EF49B24">
      <w:pPr>
        <w:spacing w:line="360" w:lineRule="auto"/>
        <w:rPr>
          <w:rFonts w:hint="eastAsia" w:ascii="仿宋" w:hAnsi="仿宋" w:eastAsia="仿宋" w:cs="仿宋"/>
          <w:kern w:val="0"/>
          <w:sz w:val="24"/>
        </w:rPr>
      </w:pPr>
      <w:r>
        <w:rPr>
          <w:rFonts w:hint="eastAsia" w:ascii="仿宋" w:hAnsi="仿宋" w:eastAsia="仿宋" w:cs="仿宋"/>
          <w:kern w:val="0"/>
          <w:sz w:val="24"/>
        </w:rPr>
        <w:t>说明：</w:t>
      </w:r>
    </w:p>
    <w:p w14:paraId="7058DFBA">
      <w:pPr>
        <w:spacing w:line="360" w:lineRule="auto"/>
        <w:rPr>
          <w:rFonts w:hint="eastAsia" w:ascii="仿宋" w:hAnsi="仿宋" w:eastAsia="仿宋" w:cs="仿宋"/>
          <w:kern w:val="0"/>
          <w:sz w:val="24"/>
        </w:rPr>
      </w:pPr>
      <w:r>
        <w:rPr>
          <w:rFonts w:hint="eastAsia" w:ascii="仿宋" w:hAnsi="仿宋" w:eastAsia="仿宋" w:cs="仿宋"/>
          <w:kern w:val="0"/>
          <w:sz w:val="24"/>
        </w:rPr>
        <w:t>1、本细则应用于团队考核时，得分的30%计入当月团队考核总得分；由事务服务中心分管主任或委托授权人，实行定期检查和不定期抽查；</w:t>
      </w:r>
    </w:p>
    <w:p w14:paraId="7195B850">
      <w:pPr>
        <w:spacing w:line="360" w:lineRule="auto"/>
        <w:rPr>
          <w:rFonts w:hint="eastAsia" w:ascii="仿宋" w:hAnsi="仿宋" w:eastAsia="仿宋" w:cs="仿宋"/>
          <w:kern w:val="0"/>
          <w:sz w:val="24"/>
        </w:rPr>
      </w:pPr>
      <w:r>
        <w:rPr>
          <w:rFonts w:hint="eastAsia" w:ascii="仿宋" w:hAnsi="仿宋" w:eastAsia="仿宋" w:cs="仿宋"/>
          <w:kern w:val="0"/>
          <w:sz w:val="24"/>
        </w:rPr>
        <w:t>2、本细则应用于员工考核和管理人员考核时，根据《员工每日工作考核细则》、《管理人员考核细则》所定分值进行扣分；</w:t>
      </w:r>
    </w:p>
    <w:p w14:paraId="76BCA039">
      <w:pPr>
        <w:spacing w:line="360" w:lineRule="auto"/>
        <w:rPr>
          <w:rFonts w:hint="eastAsia" w:ascii="仿宋" w:hAnsi="仿宋" w:eastAsia="仿宋" w:cs="仿宋"/>
          <w:kern w:val="0"/>
          <w:sz w:val="24"/>
        </w:rPr>
      </w:pPr>
      <w:r>
        <w:rPr>
          <w:rFonts w:hint="eastAsia" w:ascii="仿宋" w:hAnsi="仿宋" w:eastAsia="仿宋" w:cs="仿宋"/>
          <w:kern w:val="0"/>
          <w:sz w:val="24"/>
        </w:rPr>
        <w:t>3、考核期止日为每月25日。</w:t>
      </w:r>
    </w:p>
    <w:p w14:paraId="15AEBD31">
      <w:pPr>
        <w:rPr>
          <w:rFonts w:hint="eastAsia" w:ascii="宋体" w:hAnsi="宋体" w:cs="黑体"/>
          <w:bCs/>
          <w:sz w:val="28"/>
          <w:szCs w:val="28"/>
        </w:rPr>
      </w:pPr>
      <w:r>
        <w:rPr>
          <w:rFonts w:hint="eastAsia" w:ascii="宋体" w:hAnsi="宋体" w:cs="黑体"/>
          <w:bCs/>
          <w:sz w:val="28"/>
          <w:szCs w:val="28"/>
        </w:rPr>
        <w:br w:type="page"/>
      </w:r>
    </w:p>
    <w:p w14:paraId="02BA158A">
      <w:pPr>
        <w:rPr>
          <w:rFonts w:ascii="宋体" w:hAnsi="宋体" w:cs="黑体"/>
          <w:bCs/>
          <w:sz w:val="28"/>
          <w:szCs w:val="28"/>
        </w:rPr>
      </w:pPr>
      <w:r>
        <w:rPr>
          <w:rFonts w:hint="eastAsia" w:ascii="宋体" w:hAnsi="宋体" w:cs="黑体"/>
          <w:bCs/>
          <w:sz w:val="28"/>
          <w:szCs w:val="28"/>
        </w:rPr>
        <w:t>附表2</w:t>
      </w:r>
    </w:p>
    <w:p w14:paraId="684FA9C6">
      <w:pPr>
        <w:adjustRightInd w:val="0"/>
        <w:snapToGrid w:val="0"/>
        <w:spacing w:line="300" w:lineRule="auto"/>
        <w:jc w:val="center"/>
        <w:rPr>
          <w:rFonts w:ascii="宋体" w:hAnsi="宋体" w:cs="方正小标宋简体"/>
          <w:b/>
          <w:sz w:val="44"/>
          <w:szCs w:val="44"/>
        </w:rPr>
      </w:pPr>
      <w:r>
        <w:rPr>
          <w:rFonts w:hint="eastAsia" w:ascii="宋体" w:hAnsi="宋体" w:cs="方正小标宋简体"/>
          <w:b/>
          <w:sz w:val="44"/>
          <w:szCs w:val="44"/>
        </w:rPr>
        <w:t>（  ）食堂满意度测评表</w:t>
      </w:r>
    </w:p>
    <w:p w14:paraId="0F5B057E">
      <w:pPr>
        <w:rPr>
          <w:rFonts w:hint="eastAsia" w:ascii="宋体" w:hAnsi="宋体"/>
          <w:bCs/>
          <w:sz w:val="24"/>
          <w:szCs w:val="24"/>
        </w:rPr>
      </w:pPr>
    </w:p>
    <w:p w14:paraId="68AF50A9">
      <w:pPr>
        <w:rPr>
          <w:rFonts w:hint="eastAsia" w:ascii="宋体" w:hAnsi="宋体"/>
          <w:b/>
          <w:bCs/>
          <w:sz w:val="24"/>
          <w:szCs w:val="24"/>
        </w:rPr>
      </w:pPr>
    </w:p>
    <w:tbl>
      <w:tblPr>
        <w:tblStyle w:val="62"/>
        <w:tblW w:w="949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418"/>
        <w:gridCol w:w="850"/>
        <w:gridCol w:w="3686"/>
        <w:gridCol w:w="1839"/>
      </w:tblGrid>
      <w:tr w14:paraId="650C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120" w:type="dxa"/>
            <w:gridSpan w:val="2"/>
            <w:tcBorders>
              <w:top w:val="single" w:color="auto" w:sz="4" w:space="0"/>
              <w:left w:val="single" w:color="auto" w:sz="4" w:space="0"/>
              <w:bottom w:val="single" w:color="auto" w:sz="4" w:space="0"/>
              <w:right w:val="single" w:color="auto" w:sz="4" w:space="0"/>
            </w:tcBorders>
            <w:vAlign w:val="center"/>
          </w:tcPr>
          <w:p w14:paraId="350EFB47">
            <w:pPr>
              <w:jc w:val="center"/>
              <w:rPr>
                <w:rFonts w:ascii="仿宋" w:hAnsi="仿宋" w:eastAsia="仿宋" w:cs="黑体"/>
                <w:b/>
                <w:bCs/>
                <w:sz w:val="24"/>
                <w:szCs w:val="24"/>
              </w:rPr>
            </w:pPr>
            <w:r>
              <w:rPr>
                <w:rFonts w:ascii="仿宋" w:hAnsi="仿宋" w:eastAsia="仿宋" w:cs="黑体"/>
                <w:b/>
                <w:bCs/>
                <w:sz w:val="24"/>
                <w:szCs w:val="24"/>
              </w:rPr>
              <w:t>评分项目</w:t>
            </w:r>
          </w:p>
        </w:tc>
        <w:tc>
          <w:tcPr>
            <w:tcW w:w="850" w:type="dxa"/>
            <w:tcBorders>
              <w:top w:val="single" w:color="auto" w:sz="4" w:space="0"/>
              <w:left w:val="nil"/>
              <w:bottom w:val="single" w:color="auto" w:sz="4" w:space="0"/>
              <w:right w:val="single" w:color="auto" w:sz="4" w:space="0"/>
            </w:tcBorders>
            <w:vAlign w:val="center"/>
          </w:tcPr>
          <w:p w14:paraId="631ECBC8">
            <w:pPr>
              <w:jc w:val="center"/>
              <w:rPr>
                <w:rFonts w:ascii="仿宋" w:hAnsi="仿宋" w:eastAsia="仿宋" w:cs="黑体"/>
                <w:b/>
                <w:bCs/>
                <w:sz w:val="24"/>
                <w:szCs w:val="24"/>
              </w:rPr>
            </w:pPr>
            <w:r>
              <w:rPr>
                <w:rFonts w:ascii="仿宋" w:hAnsi="仿宋" w:eastAsia="仿宋" w:cs="黑体"/>
                <w:b/>
                <w:bCs/>
                <w:sz w:val="24"/>
                <w:szCs w:val="24"/>
              </w:rPr>
              <w:t>评 分</w:t>
            </w:r>
          </w:p>
        </w:tc>
        <w:tc>
          <w:tcPr>
            <w:tcW w:w="3686" w:type="dxa"/>
            <w:tcBorders>
              <w:top w:val="single" w:color="auto" w:sz="4" w:space="0"/>
              <w:left w:val="nil"/>
              <w:bottom w:val="single" w:color="auto" w:sz="4" w:space="0"/>
              <w:right w:val="single" w:color="auto" w:sz="4" w:space="0"/>
            </w:tcBorders>
            <w:vAlign w:val="center"/>
          </w:tcPr>
          <w:p w14:paraId="1AB3C2B7">
            <w:pPr>
              <w:jc w:val="center"/>
              <w:rPr>
                <w:rFonts w:ascii="仿宋" w:hAnsi="仿宋" w:eastAsia="仿宋" w:cs="黑体"/>
                <w:b/>
                <w:bCs/>
                <w:sz w:val="24"/>
                <w:szCs w:val="24"/>
              </w:rPr>
            </w:pPr>
            <w:r>
              <w:rPr>
                <w:rFonts w:ascii="仿宋" w:hAnsi="仿宋" w:eastAsia="仿宋" w:cs="黑体"/>
                <w:b/>
                <w:bCs/>
                <w:sz w:val="24"/>
                <w:szCs w:val="24"/>
              </w:rPr>
              <w:t>评分标准</w:t>
            </w:r>
          </w:p>
        </w:tc>
        <w:tc>
          <w:tcPr>
            <w:tcW w:w="1839" w:type="dxa"/>
            <w:tcBorders>
              <w:top w:val="single" w:color="auto" w:sz="4" w:space="0"/>
              <w:left w:val="nil"/>
              <w:bottom w:val="single" w:color="auto" w:sz="4" w:space="0"/>
              <w:right w:val="single" w:color="auto" w:sz="4" w:space="0"/>
            </w:tcBorders>
            <w:vAlign w:val="center"/>
          </w:tcPr>
          <w:p w14:paraId="2470AB59">
            <w:pPr>
              <w:jc w:val="center"/>
              <w:rPr>
                <w:rFonts w:ascii="仿宋" w:hAnsi="仿宋" w:eastAsia="仿宋" w:cs="黑体"/>
                <w:b/>
                <w:bCs/>
                <w:sz w:val="24"/>
                <w:szCs w:val="24"/>
              </w:rPr>
            </w:pPr>
            <w:r>
              <w:rPr>
                <w:rFonts w:ascii="仿宋" w:hAnsi="仿宋" w:eastAsia="仿宋" w:cs="黑体"/>
                <w:b/>
                <w:bCs/>
                <w:sz w:val="24"/>
                <w:szCs w:val="24"/>
              </w:rPr>
              <w:t>意 见</w:t>
            </w:r>
          </w:p>
        </w:tc>
      </w:tr>
      <w:tr w14:paraId="4DA9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02" w:type="dxa"/>
            <w:vMerge w:val="restart"/>
            <w:tcBorders>
              <w:top w:val="nil"/>
              <w:left w:val="single" w:color="auto" w:sz="4" w:space="0"/>
              <w:bottom w:val="single" w:color="auto" w:sz="4" w:space="0"/>
              <w:right w:val="single" w:color="auto" w:sz="4" w:space="0"/>
            </w:tcBorders>
            <w:vAlign w:val="center"/>
          </w:tcPr>
          <w:p w14:paraId="79FC3DA3">
            <w:pPr>
              <w:jc w:val="center"/>
              <w:rPr>
                <w:rFonts w:ascii="仿宋" w:hAnsi="仿宋" w:eastAsia="仿宋"/>
                <w:b/>
                <w:bCs/>
                <w:sz w:val="24"/>
                <w:szCs w:val="24"/>
              </w:rPr>
            </w:pPr>
            <w:r>
              <w:rPr>
                <w:rFonts w:ascii="仿宋" w:hAnsi="仿宋" w:eastAsia="仿宋"/>
                <w:b/>
                <w:bCs/>
                <w:sz w:val="24"/>
                <w:szCs w:val="24"/>
              </w:rPr>
              <w:t>快餐评价</w:t>
            </w:r>
          </w:p>
        </w:tc>
        <w:tc>
          <w:tcPr>
            <w:tcW w:w="1418" w:type="dxa"/>
            <w:tcBorders>
              <w:top w:val="single" w:color="auto" w:sz="4" w:space="0"/>
              <w:left w:val="nil"/>
              <w:bottom w:val="single" w:color="auto" w:sz="4" w:space="0"/>
              <w:right w:val="single" w:color="auto" w:sz="4" w:space="0"/>
            </w:tcBorders>
            <w:vAlign w:val="center"/>
          </w:tcPr>
          <w:p w14:paraId="2B9DA4F9">
            <w:pPr>
              <w:jc w:val="center"/>
              <w:rPr>
                <w:rFonts w:ascii="仿宋" w:hAnsi="仿宋" w:eastAsia="仿宋"/>
                <w:sz w:val="24"/>
                <w:szCs w:val="24"/>
              </w:rPr>
            </w:pPr>
            <w:r>
              <w:rPr>
                <w:rFonts w:ascii="仿宋" w:hAnsi="仿宋" w:eastAsia="仿宋"/>
                <w:sz w:val="24"/>
                <w:szCs w:val="24"/>
              </w:rPr>
              <w:t>早点类</w:t>
            </w:r>
          </w:p>
        </w:tc>
        <w:tc>
          <w:tcPr>
            <w:tcW w:w="850" w:type="dxa"/>
            <w:tcBorders>
              <w:top w:val="single" w:color="auto" w:sz="4" w:space="0"/>
              <w:left w:val="nil"/>
              <w:bottom w:val="single" w:color="auto" w:sz="4" w:space="0"/>
              <w:right w:val="single" w:color="auto" w:sz="4" w:space="0"/>
            </w:tcBorders>
            <w:vAlign w:val="center"/>
          </w:tcPr>
          <w:p w14:paraId="2FE36BED">
            <w:pPr>
              <w:rPr>
                <w:rFonts w:ascii="仿宋" w:hAnsi="仿宋" w:eastAsia="仿宋"/>
                <w:sz w:val="24"/>
                <w:szCs w:val="24"/>
              </w:rPr>
            </w:pPr>
            <w:r>
              <w:rPr>
                <w:rFonts w:ascii="仿宋" w:hAnsi="仿宋" w:eastAsia="仿宋"/>
                <w:sz w:val="24"/>
                <w:szCs w:val="24"/>
              </w:rPr>
              <w:t xml:space="preserve"> </w:t>
            </w:r>
          </w:p>
        </w:tc>
        <w:tc>
          <w:tcPr>
            <w:tcW w:w="3686" w:type="dxa"/>
            <w:vMerge w:val="restart"/>
            <w:tcBorders>
              <w:top w:val="nil"/>
              <w:left w:val="nil"/>
              <w:bottom w:val="single" w:color="auto" w:sz="4" w:space="0"/>
              <w:right w:val="single" w:color="auto" w:sz="4" w:space="0"/>
            </w:tcBorders>
            <w:vAlign w:val="center"/>
          </w:tcPr>
          <w:p w14:paraId="17FE29E9">
            <w:pPr>
              <w:ind w:firstLine="240" w:firstLineChars="100"/>
              <w:rPr>
                <w:rFonts w:ascii="仿宋" w:hAnsi="仿宋" w:eastAsia="仿宋"/>
                <w:sz w:val="24"/>
                <w:szCs w:val="24"/>
              </w:rPr>
            </w:pPr>
            <w:r>
              <w:rPr>
                <w:rFonts w:ascii="仿宋" w:hAnsi="仿宋" w:eastAsia="仿宋"/>
                <w:sz w:val="24"/>
                <w:szCs w:val="24"/>
              </w:rPr>
              <w:t>每项分值10分。</w:t>
            </w:r>
          </w:p>
          <w:p w14:paraId="4448E342">
            <w:pPr>
              <w:rPr>
                <w:rFonts w:ascii="仿宋" w:hAnsi="仿宋" w:eastAsia="仿宋"/>
                <w:sz w:val="24"/>
                <w:szCs w:val="24"/>
              </w:rPr>
            </w:pPr>
            <w:r>
              <w:rPr>
                <w:rFonts w:ascii="仿宋" w:hAnsi="仿宋" w:eastAsia="仿宋"/>
                <w:sz w:val="24"/>
                <w:szCs w:val="24"/>
              </w:rPr>
              <w:t>不满意（0分）；一般（1-3分）；基本满意（4-8分）；满意（9-10</w:t>
            </w:r>
            <w:r>
              <w:rPr>
                <w:rFonts w:hint="eastAsia" w:ascii="仿宋" w:hAnsi="仿宋" w:eastAsia="仿宋"/>
                <w:sz w:val="24"/>
                <w:szCs w:val="24"/>
              </w:rPr>
              <w:t xml:space="preserve">  </w:t>
            </w:r>
            <w:r>
              <w:rPr>
                <w:rFonts w:ascii="仿宋" w:hAnsi="仿宋" w:eastAsia="仿宋"/>
                <w:sz w:val="24"/>
                <w:szCs w:val="24"/>
              </w:rPr>
              <w:t>分）。</w:t>
            </w:r>
          </w:p>
        </w:tc>
        <w:tc>
          <w:tcPr>
            <w:tcW w:w="1839" w:type="dxa"/>
            <w:tcBorders>
              <w:top w:val="single" w:color="auto" w:sz="4" w:space="0"/>
              <w:left w:val="nil"/>
              <w:bottom w:val="single" w:color="auto" w:sz="4" w:space="0"/>
              <w:right w:val="single" w:color="auto" w:sz="4" w:space="0"/>
            </w:tcBorders>
            <w:vAlign w:val="center"/>
          </w:tcPr>
          <w:p w14:paraId="29222464">
            <w:pPr>
              <w:rPr>
                <w:rFonts w:ascii="仿宋" w:hAnsi="仿宋" w:eastAsia="仿宋"/>
                <w:sz w:val="24"/>
                <w:szCs w:val="24"/>
              </w:rPr>
            </w:pPr>
          </w:p>
        </w:tc>
      </w:tr>
      <w:tr w14:paraId="0637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02" w:type="dxa"/>
            <w:vMerge w:val="continue"/>
            <w:tcBorders>
              <w:top w:val="nil"/>
              <w:left w:val="single" w:color="auto" w:sz="4" w:space="0"/>
              <w:bottom w:val="single" w:color="auto" w:sz="4" w:space="0"/>
              <w:right w:val="single" w:color="auto" w:sz="4" w:space="0"/>
            </w:tcBorders>
            <w:vAlign w:val="center"/>
          </w:tcPr>
          <w:p w14:paraId="242A3B30">
            <w:pPr>
              <w:widowControl/>
              <w:jc w:val="left"/>
              <w:rPr>
                <w:rFonts w:ascii="仿宋" w:hAnsi="仿宋" w:eastAsia="仿宋"/>
                <w:b/>
                <w:bCs/>
                <w:sz w:val="24"/>
                <w:szCs w:val="24"/>
              </w:rPr>
            </w:pPr>
          </w:p>
        </w:tc>
        <w:tc>
          <w:tcPr>
            <w:tcW w:w="1418" w:type="dxa"/>
            <w:tcBorders>
              <w:top w:val="single" w:color="auto" w:sz="4" w:space="0"/>
              <w:left w:val="nil"/>
              <w:bottom w:val="single" w:color="auto" w:sz="4" w:space="0"/>
              <w:right w:val="single" w:color="auto" w:sz="4" w:space="0"/>
            </w:tcBorders>
            <w:vAlign w:val="center"/>
          </w:tcPr>
          <w:p w14:paraId="00F09561">
            <w:pPr>
              <w:jc w:val="center"/>
              <w:rPr>
                <w:rFonts w:ascii="仿宋" w:hAnsi="仿宋" w:eastAsia="仿宋"/>
                <w:sz w:val="24"/>
                <w:szCs w:val="24"/>
              </w:rPr>
            </w:pPr>
            <w:r>
              <w:rPr>
                <w:rFonts w:ascii="仿宋" w:hAnsi="仿宋" w:eastAsia="仿宋"/>
                <w:sz w:val="24"/>
                <w:szCs w:val="24"/>
              </w:rPr>
              <w:t>荤菜类</w:t>
            </w:r>
          </w:p>
        </w:tc>
        <w:tc>
          <w:tcPr>
            <w:tcW w:w="850" w:type="dxa"/>
            <w:tcBorders>
              <w:top w:val="single" w:color="auto" w:sz="4" w:space="0"/>
              <w:left w:val="nil"/>
              <w:bottom w:val="single" w:color="auto" w:sz="4" w:space="0"/>
              <w:right w:val="single" w:color="auto" w:sz="4" w:space="0"/>
            </w:tcBorders>
            <w:vAlign w:val="center"/>
          </w:tcPr>
          <w:p w14:paraId="4192D1A8">
            <w:pPr>
              <w:rPr>
                <w:rFonts w:ascii="仿宋" w:hAnsi="仿宋" w:eastAsia="仿宋"/>
                <w:sz w:val="24"/>
                <w:szCs w:val="24"/>
              </w:rPr>
            </w:pPr>
            <w:r>
              <w:rPr>
                <w:rFonts w:ascii="仿宋" w:hAnsi="仿宋" w:eastAsia="仿宋"/>
                <w:sz w:val="24"/>
                <w:szCs w:val="24"/>
              </w:rPr>
              <w:t xml:space="preserve"> </w:t>
            </w:r>
          </w:p>
        </w:tc>
        <w:tc>
          <w:tcPr>
            <w:tcW w:w="3686" w:type="dxa"/>
            <w:vMerge w:val="continue"/>
            <w:tcBorders>
              <w:top w:val="nil"/>
              <w:left w:val="nil"/>
              <w:bottom w:val="single" w:color="auto" w:sz="4" w:space="0"/>
              <w:right w:val="single" w:color="auto" w:sz="4" w:space="0"/>
            </w:tcBorders>
            <w:vAlign w:val="center"/>
          </w:tcPr>
          <w:p w14:paraId="63091294">
            <w:pPr>
              <w:widowControl/>
              <w:jc w:val="left"/>
              <w:rPr>
                <w:rFonts w:ascii="仿宋" w:hAnsi="仿宋" w:eastAsia="仿宋"/>
                <w:sz w:val="24"/>
                <w:szCs w:val="24"/>
              </w:rPr>
            </w:pPr>
          </w:p>
        </w:tc>
        <w:tc>
          <w:tcPr>
            <w:tcW w:w="1839" w:type="dxa"/>
            <w:tcBorders>
              <w:top w:val="single" w:color="auto" w:sz="4" w:space="0"/>
              <w:left w:val="nil"/>
              <w:bottom w:val="single" w:color="auto" w:sz="4" w:space="0"/>
              <w:right w:val="single" w:color="auto" w:sz="4" w:space="0"/>
            </w:tcBorders>
            <w:vAlign w:val="center"/>
          </w:tcPr>
          <w:p w14:paraId="2EF0759D">
            <w:pPr>
              <w:rPr>
                <w:rFonts w:ascii="仿宋" w:hAnsi="仿宋" w:eastAsia="仿宋"/>
                <w:sz w:val="24"/>
                <w:szCs w:val="24"/>
              </w:rPr>
            </w:pPr>
          </w:p>
        </w:tc>
      </w:tr>
      <w:tr w14:paraId="16CE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2" w:type="dxa"/>
            <w:vMerge w:val="continue"/>
            <w:tcBorders>
              <w:top w:val="nil"/>
              <w:left w:val="single" w:color="auto" w:sz="4" w:space="0"/>
              <w:bottom w:val="single" w:color="auto" w:sz="4" w:space="0"/>
              <w:right w:val="single" w:color="auto" w:sz="4" w:space="0"/>
            </w:tcBorders>
            <w:vAlign w:val="center"/>
          </w:tcPr>
          <w:p w14:paraId="37D25989">
            <w:pPr>
              <w:widowControl/>
              <w:jc w:val="left"/>
              <w:rPr>
                <w:rFonts w:ascii="仿宋" w:hAnsi="仿宋" w:eastAsia="仿宋"/>
                <w:b/>
                <w:bCs/>
                <w:sz w:val="24"/>
                <w:szCs w:val="24"/>
              </w:rPr>
            </w:pPr>
          </w:p>
        </w:tc>
        <w:tc>
          <w:tcPr>
            <w:tcW w:w="1418" w:type="dxa"/>
            <w:tcBorders>
              <w:top w:val="single" w:color="auto" w:sz="4" w:space="0"/>
              <w:left w:val="nil"/>
              <w:bottom w:val="single" w:color="auto" w:sz="4" w:space="0"/>
              <w:right w:val="single" w:color="auto" w:sz="4" w:space="0"/>
            </w:tcBorders>
            <w:vAlign w:val="center"/>
          </w:tcPr>
          <w:p w14:paraId="085FD0D9">
            <w:pPr>
              <w:jc w:val="center"/>
              <w:rPr>
                <w:rFonts w:ascii="仿宋" w:hAnsi="仿宋" w:eastAsia="仿宋"/>
                <w:sz w:val="24"/>
                <w:szCs w:val="24"/>
              </w:rPr>
            </w:pPr>
            <w:r>
              <w:rPr>
                <w:rFonts w:ascii="仿宋" w:hAnsi="仿宋" w:eastAsia="仿宋"/>
                <w:sz w:val="24"/>
                <w:szCs w:val="24"/>
              </w:rPr>
              <w:t>素菜类</w:t>
            </w:r>
          </w:p>
        </w:tc>
        <w:tc>
          <w:tcPr>
            <w:tcW w:w="850" w:type="dxa"/>
            <w:tcBorders>
              <w:top w:val="single" w:color="auto" w:sz="4" w:space="0"/>
              <w:left w:val="nil"/>
              <w:bottom w:val="single" w:color="auto" w:sz="4" w:space="0"/>
              <w:right w:val="single" w:color="auto" w:sz="4" w:space="0"/>
            </w:tcBorders>
            <w:vAlign w:val="center"/>
          </w:tcPr>
          <w:p w14:paraId="0F0B0E79">
            <w:pPr>
              <w:rPr>
                <w:rFonts w:ascii="仿宋" w:hAnsi="仿宋" w:eastAsia="仿宋"/>
                <w:sz w:val="24"/>
                <w:szCs w:val="24"/>
              </w:rPr>
            </w:pPr>
            <w:r>
              <w:rPr>
                <w:rFonts w:ascii="仿宋" w:hAnsi="仿宋" w:eastAsia="仿宋"/>
                <w:sz w:val="24"/>
                <w:szCs w:val="24"/>
              </w:rPr>
              <w:t xml:space="preserve"> </w:t>
            </w:r>
          </w:p>
        </w:tc>
        <w:tc>
          <w:tcPr>
            <w:tcW w:w="3686" w:type="dxa"/>
            <w:vMerge w:val="continue"/>
            <w:tcBorders>
              <w:top w:val="nil"/>
              <w:left w:val="nil"/>
              <w:bottom w:val="single" w:color="auto" w:sz="4" w:space="0"/>
              <w:right w:val="single" w:color="auto" w:sz="4" w:space="0"/>
            </w:tcBorders>
            <w:vAlign w:val="center"/>
          </w:tcPr>
          <w:p w14:paraId="433A7EDC">
            <w:pPr>
              <w:widowControl/>
              <w:jc w:val="left"/>
              <w:rPr>
                <w:rFonts w:ascii="仿宋" w:hAnsi="仿宋" w:eastAsia="仿宋"/>
                <w:sz w:val="24"/>
                <w:szCs w:val="24"/>
              </w:rPr>
            </w:pPr>
          </w:p>
        </w:tc>
        <w:tc>
          <w:tcPr>
            <w:tcW w:w="1839" w:type="dxa"/>
            <w:tcBorders>
              <w:top w:val="single" w:color="auto" w:sz="4" w:space="0"/>
              <w:left w:val="nil"/>
              <w:bottom w:val="single" w:color="auto" w:sz="4" w:space="0"/>
              <w:right w:val="single" w:color="auto" w:sz="4" w:space="0"/>
            </w:tcBorders>
            <w:vAlign w:val="center"/>
          </w:tcPr>
          <w:p w14:paraId="3211EE2C">
            <w:pPr>
              <w:rPr>
                <w:rFonts w:ascii="仿宋" w:hAnsi="仿宋" w:eastAsia="仿宋"/>
                <w:sz w:val="24"/>
                <w:szCs w:val="24"/>
              </w:rPr>
            </w:pPr>
          </w:p>
        </w:tc>
      </w:tr>
      <w:tr w14:paraId="6FEF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2" w:type="dxa"/>
            <w:vMerge w:val="continue"/>
            <w:tcBorders>
              <w:top w:val="nil"/>
              <w:left w:val="single" w:color="auto" w:sz="4" w:space="0"/>
              <w:bottom w:val="single" w:color="auto" w:sz="4" w:space="0"/>
              <w:right w:val="single" w:color="auto" w:sz="4" w:space="0"/>
            </w:tcBorders>
            <w:vAlign w:val="center"/>
          </w:tcPr>
          <w:p w14:paraId="0BF4270B">
            <w:pPr>
              <w:widowControl/>
              <w:jc w:val="left"/>
              <w:rPr>
                <w:rFonts w:ascii="仿宋" w:hAnsi="仿宋" w:eastAsia="仿宋"/>
                <w:b/>
                <w:bCs/>
                <w:sz w:val="24"/>
                <w:szCs w:val="24"/>
              </w:rPr>
            </w:pPr>
          </w:p>
        </w:tc>
        <w:tc>
          <w:tcPr>
            <w:tcW w:w="1418" w:type="dxa"/>
            <w:tcBorders>
              <w:top w:val="single" w:color="auto" w:sz="4" w:space="0"/>
              <w:left w:val="nil"/>
              <w:bottom w:val="single" w:color="auto" w:sz="4" w:space="0"/>
              <w:right w:val="single" w:color="auto" w:sz="4" w:space="0"/>
            </w:tcBorders>
            <w:vAlign w:val="center"/>
          </w:tcPr>
          <w:p w14:paraId="6DD4400C">
            <w:pPr>
              <w:jc w:val="center"/>
              <w:rPr>
                <w:rFonts w:ascii="仿宋" w:hAnsi="仿宋" w:eastAsia="仿宋"/>
                <w:sz w:val="24"/>
                <w:szCs w:val="24"/>
              </w:rPr>
            </w:pPr>
            <w:r>
              <w:rPr>
                <w:rFonts w:ascii="仿宋" w:hAnsi="仿宋" w:eastAsia="仿宋"/>
                <w:sz w:val="24"/>
                <w:szCs w:val="24"/>
              </w:rPr>
              <w:t>米饭/粥品</w:t>
            </w:r>
          </w:p>
        </w:tc>
        <w:tc>
          <w:tcPr>
            <w:tcW w:w="850" w:type="dxa"/>
            <w:tcBorders>
              <w:top w:val="single" w:color="auto" w:sz="4" w:space="0"/>
              <w:left w:val="nil"/>
              <w:bottom w:val="single" w:color="auto" w:sz="4" w:space="0"/>
              <w:right w:val="single" w:color="auto" w:sz="4" w:space="0"/>
            </w:tcBorders>
            <w:vAlign w:val="center"/>
          </w:tcPr>
          <w:p w14:paraId="74534A89">
            <w:pPr>
              <w:rPr>
                <w:rFonts w:ascii="仿宋" w:hAnsi="仿宋" w:eastAsia="仿宋"/>
                <w:sz w:val="24"/>
                <w:szCs w:val="24"/>
              </w:rPr>
            </w:pPr>
            <w:r>
              <w:rPr>
                <w:rFonts w:ascii="仿宋" w:hAnsi="仿宋" w:eastAsia="仿宋"/>
                <w:sz w:val="24"/>
                <w:szCs w:val="24"/>
              </w:rPr>
              <w:t xml:space="preserve"> </w:t>
            </w:r>
          </w:p>
        </w:tc>
        <w:tc>
          <w:tcPr>
            <w:tcW w:w="3686" w:type="dxa"/>
            <w:vMerge w:val="continue"/>
            <w:tcBorders>
              <w:top w:val="nil"/>
              <w:left w:val="nil"/>
              <w:bottom w:val="single" w:color="auto" w:sz="4" w:space="0"/>
              <w:right w:val="single" w:color="auto" w:sz="4" w:space="0"/>
            </w:tcBorders>
            <w:vAlign w:val="center"/>
          </w:tcPr>
          <w:p w14:paraId="55EDDA4E">
            <w:pPr>
              <w:widowControl/>
              <w:jc w:val="left"/>
              <w:rPr>
                <w:rFonts w:ascii="仿宋" w:hAnsi="仿宋" w:eastAsia="仿宋"/>
                <w:sz w:val="24"/>
                <w:szCs w:val="24"/>
              </w:rPr>
            </w:pPr>
          </w:p>
        </w:tc>
        <w:tc>
          <w:tcPr>
            <w:tcW w:w="1839" w:type="dxa"/>
            <w:tcBorders>
              <w:top w:val="single" w:color="auto" w:sz="4" w:space="0"/>
              <w:left w:val="nil"/>
              <w:bottom w:val="single" w:color="auto" w:sz="4" w:space="0"/>
              <w:right w:val="single" w:color="auto" w:sz="4" w:space="0"/>
            </w:tcBorders>
            <w:vAlign w:val="center"/>
          </w:tcPr>
          <w:p w14:paraId="3190710E">
            <w:pPr>
              <w:rPr>
                <w:rFonts w:ascii="仿宋" w:hAnsi="仿宋" w:eastAsia="仿宋"/>
                <w:sz w:val="24"/>
                <w:szCs w:val="24"/>
              </w:rPr>
            </w:pPr>
          </w:p>
        </w:tc>
      </w:tr>
      <w:tr w14:paraId="6619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2" w:type="dxa"/>
            <w:vMerge w:val="continue"/>
            <w:tcBorders>
              <w:top w:val="nil"/>
              <w:left w:val="single" w:color="auto" w:sz="4" w:space="0"/>
              <w:bottom w:val="single" w:color="auto" w:sz="4" w:space="0"/>
              <w:right w:val="single" w:color="auto" w:sz="4" w:space="0"/>
            </w:tcBorders>
            <w:vAlign w:val="center"/>
          </w:tcPr>
          <w:p w14:paraId="1E683D05">
            <w:pPr>
              <w:widowControl/>
              <w:jc w:val="left"/>
              <w:rPr>
                <w:rFonts w:ascii="仿宋" w:hAnsi="仿宋" w:eastAsia="仿宋"/>
                <w:b/>
                <w:bCs/>
                <w:sz w:val="24"/>
                <w:szCs w:val="24"/>
              </w:rPr>
            </w:pPr>
          </w:p>
        </w:tc>
        <w:tc>
          <w:tcPr>
            <w:tcW w:w="1418" w:type="dxa"/>
            <w:tcBorders>
              <w:top w:val="single" w:color="auto" w:sz="4" w:space="0"/>
              <w:left w:val="nil"/>
              <w:bottom w:val="single" w:color="auto" w:sz="4" w:space="0"/>
              <w:right w:val="single" w:color="auto" w:sz="4" w:space="0"/>
            </w:tcBorders>
            <w:vAlign w:val="center"/>
          </w:tcPr>
          <w:p w14:paraId="5020F2B0">
            <w:pPr>
              <w:jc w:val="center"/>
              <w:rPr>
                <w:rFonts w:ascii="仿宋" w:hAnsi="仿宋" w:eastAsia="仿宋"/>
                <w:sz w:val="24"/>
                <w:szCs w:val="24"/>
              </w:rPr>
            </w:pPr>
            <w:r>
              <w:rPr>
                <w:rFonts w:ascii="仿宋" w:hAnsi="仿宋" w:eastAsia="仿宋"/>
                <w:sz w:val="24"/>
                <w:szCs w:val="24"/>
              </w:rPr>
              <w:t>面 点</w:t>
            </w:r>
          </w:p>
        </w:tc>
        <w:tc>
          <w:tcPr>
            <w:tcW w:w="850" w:type="dxa"/>
            <w:tcBorders>
              <w:top w:val="single" w:color="auto" w:sz="4" w:space="0"/>
              <w:left w:val="nil"/>
              <w:bottom w:val="single" w:color="auto" w:sz="4" w:space="0"/>
              <w:right w:val="single" w:color="auto" w:sz="4" w:space="0"/>
            </w:tcBorders>
            <w:vAlign w:val="center"/>
          </w:tcPr>
          <w:p w14:paraId="11419A96">
            <w:pPr>
              <w:rPr>
                <w:rFonts w:ascii="仿宋" w:hAnsi="仿宋" w:eastAsia="仿宋"/>
                <w:sz w:val="24"/>
                <w:szCs w:val="24"/>
              </w:rPr>
            </w:pPr>
            <w:r>
              <w:rPr>
                <w:rFonts w:ascii="仿宋" w:hAnsi="仿宋" w:eastAsia="仿宋"/>
                <w:sz w:val="24"/>
                <w:szCs w:val="24"/>
              </w:rPr>
              <w:t xml:space="preserve"> </w:t>
            </w:r>
          </w:p>
        </w:tc>
        <w:tc>
          <w:tcPr>
            <w:tcW w:w="3686" w:type="dxa"/>
            <w:vMerge w:val="continue"/>
            <w:tcBorders>
              <w:top w:val="nil"/>
              <w:left w:val="nil"/>
              <w:bottom w:val="single" w:color="auto" w:sz="4" w:space="0"/>
              <w:right w:val="single" w:color="auto" w:sz="4" w:space="0"/>
            </w:tcBorders>
            <w:vAlign w:val="center"/>
          </w:tcPr>
          <w:p w14:paraId="30DE1A93">
            <w:pPr>
              <w:widowControl/>
              <w:jc w:val="left"/>
              <w:rPr>
                <w:rFonts w:ascii="仿宋" w:hAnsi="仿宋" w:eastAsia="仿宋"/>
                <w:sz w:val="24"/>
                <w:szCs w:val="24"/>
              </w:rPr>
            </w:pPr>
          </w:p>
        </w:tc>
        <w:tc>
          <w:tcPr>
            <w:tcW w:w="1839" w:type="dxa"/>
            <w:tcBorders>
              <w:top w:val="single" w:color="auto" w:sz="4" w:space="0"/>
              <w:left w:val="nil"/>
              <w:bottom w:val="single" w:color="auto" w:sz="4" w:space="0"/>
              <w:right w:val="single" w:color="auto" w:sz="4" w:space="0"/>
            </w:tcBorders>
            <w:vAlign w:val="center"/>
          </w:tcPr>
          <w:p w14:paraId="5AC788F8">
            <w:pPr>
              <w:rPr>
                <w:rFonts w:ascii="仿宋" w:hAnsi="仿宋" w:eastAsia="仿宋"/>
                <w:sz w:val="24"/>
                <w:szCs w:val="24"/>
              </w:rPr>
            </w:pPr>
          </w:p>
        </w:tc>
      </w:tr>
      <w:tr w14:paraId="30FF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2" w:type="dxa"/>
            <w:tcBorders>
              <w:top w:val="single" w:color="auto" w:sz="4" w:space="0"/>
              <w:left w:val="single" w:color="auto" w:sz="4" w:space="0"/>
              <w:bottom w:val="single" w:color="auto" w:sz="4" w:space="0"/>
              <w:right w:val="single" w:color="auto" w:sz="4" w:space="0"/>
            </w:tcBorders>
            <w:vAlign w:val="center"/>
          </w:tcPr>
          <w:p w14:paraId="6569C599">
            <w:pPr>
              <w:widowControl/>
              <w:jc w:val="center"/>
              <w:rPr>
                <w:rFonts w:ascii="仿宋" w:hAnsi="仿宋" w:eastAsia="仿宋"/>
                <w:b/>
                <w:bCs/>
                <w:sz w:val="24"/>
                <w:szCs w:val="24"/>
              </w:rPr>
            </w:pPr>
            <w:r>
              <w:rPr>
                <w:rFonts w:ascii="仿宋" w:hAnsi="仿宋" w:eastAsia="仿宋"/>
                <w:b/>
                <w:bCs/>
                <w:sz w:val="24"/>
                <w:szCs w:val="24"/>
              </w:rPr>
              <w:t>风味评价</w:t>
            </w:r>
          </w:p>
        </w:tc>
        <w:tc>
          <w:tcPr>
            <w:tcW w:w="1418" w:type="dxa"/>
            <w:tcBorders>
              <w:top w:val="single" w:color="auto" w:sz="4" w:space="0"/>
              <w:left w:val="nil"/>
              <w:bottom w:val="single" w:color="auto" w:sz="4" w:space="0"/>
              <w:right w:val="single" w:color="auto" w:sz="4" w:space="0"/>
            </w:tcBorders>
            <w:vAlign w:val="center"/>
          </w:tcPr>
          <w:p w14:paraId="4FA327B8">
            <w:pPr>
              <w:jc w:val="center"/>
              <w:rPr>
                <w:rFonts w:ascii="仿宋" w:hAnsi="仿宋" w:eastAsia="仿宋"/>
                <w:sz w:val="24"/>
                <w:szCs w:val="24"/>
              </w:rPr>
            </w:pPr>
            <w:r>
              <w:rPr>
                <w:rFonts w:ascii="仿宋" w:hAnsi="仿宋" w:eastAsia="仿宋"/>
                <w:sz w:val="24"/>
                <w:szCs w:val="24"/>
              </w:rPr>
              <w:t>汤 面</w:t>
            </w:r>
          </w:p>
        </w:tc>
        <w:tc>
          <w:tcPr>
            <w:tcW w:w="850" w:type="dxa"/>
            <w:tcBorders>
              <w:top w:val="single" w:color="auto" w:sz="4" w:space="0"/>
              <w:left w:val="nil"/>
              <w:bottom w:val="single" w:color="auto" w:sz="4" w:space="0"/>
              <w:right w:val="single" w:color="auto" w:sz="4" w:space="0"/>
            </w:tcBorders>
            <w:vAlign w:val="center"/>
          </w:tcPr>
          <w:p w14:paraId="4BB8C86B">
            <w:pPr>
              <w:rPr>
                <w:rFonts w:ascii="仿宋" w:hAnsi="仿宋" w:eastAsia="仿宋"/>
                <w:sz w:val="24"/>
                <w:szCs w:val="24"/>
              </w:rPr>
            </w:pPr>
            <w:r>
              <w:rPr>
                <w:rFonts w:ascii="仿宋" w:hAnsi="仿宋" w:eastAsia="仿宋"/>
                <w:sz w:val="24"/>
                <w:szCs w:val="24"/>
              </w:rPr>
              <w:t xml:space="preserve"> </w:t>
            </w:r>
          </w:p>
        </w:tc>
        <w:tc>
          <w:tcPr>
            <w:tcW w:w="3686" w:type="dxa"/>
            <w:vMerge w:val="continue"/>
            <w:tcBorders>
              <w:top w:val="nil"/>
              <w:left w:val="nil"/>
              <w:bottom w:val="single" w:color="auto" w:sz="4" w:space="0"/>
              <w:right w:val="single" w:color="auto" w:sz="4" w:space="0"/>
            </w:tcBorders>
            <w:vAlign w:val="center"/>
          </w:tcPr>
          <w:p w14:paraId="3B57D9A8">
            <w:pPr>
              <w:widowControl/>
              <w:jc w:val="left"/>
              <w:rPr>
                <w:rFonts w:ascii="仿宋" w:hAnsi="仿宋" w:eastAsia="仿宋"/>
                <w:sz w:val="24"/>
                <w:szCs w:val="24"/>
              </w:rPr>
            </w:pPr>
          </w:p>
        </w:tc>
        <w:tc>
          <w:tcPr>
            <w:tcW w:w="1839" w:type="dxa"/>
            <w:tcBorders>
              <w:top w:val="single" w:color="auto" w:sz="4" w:space="0"/>
              <w:left w:val="nil"/>
              <w:bottom w:val="single" w:color="auto" w:sz="4" w:space="0"/>
              <w:right w:val="single" w:color="auto" w:sz="4" w:space="0"/>
            </w:tcBorders>
            <w:vAlign w:val="center"/>
          </w:tcPr>
          <w:p w14:paraId="00F4270D">
            <w:pPr>
              <w:rPr>
                <w:rFonts w:ascii="仿宋" w:hAnsi="仿宋" w:eastAsia="仿宋"/>
                <w:sz w:val="24"/>
                <w:szCs w:val="24"/>
              </w:rPr>
            </w:pPr>
          </w:p>
        </w:tc>
      </w:tr>
      <w:tr w14:paraId="1EA0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3120" w:type="dxa"/>
            <w:gridSpan w:val="2"/>
            <w:tcBorders>
              <w:top w:val="single" w:color="auto" w:sz="4" w:space="0"/>
              <w:left w:val="single" w:color="auto" w:sz="4" w:space="0"/>
              <w:bottom w:val="single" w:color="auto" w:sz="4" w:space="0"/>
              <w:right w:val="single" w:color="auto" w:sz="4" w:space="0"/>
            </w:tcBorders>
            <w:vAlign w:val="center"/>
          </w:tcPr>
          <w:p w14:paraId="0AAE4B61">
            <w:pPr>
              <w:jc w:val="center"/>
              <w:rPr>
                <w:rFonts w:ascii="仿宋" w:hAnsi="仿宋" w:eastAsia="仿宋"/>
                <w:b/>
                <w:bCs/>
                <w:sz w:val="24"/>
                <w:szCs w:val="24"/>
              </w:rPr>
            </w:pPr>
            <w:r>
              <w:rPr>
                <w:rFonts w:ascii="仿宋" w:hAnsi="仿宋" w:eastAsia="仿宋"/>
                <w:b/>
                <w:bCs/>
                <w:sz w:val="24"/>
                <w:szCs w:val="24"/>
              </w:rPr>
              <w:t>卫生评价</w:t>
            </w:r>
          </w:p>
        </w:tc>
        <w:tc>
          <w:tcPr>
            <w:tcW w:w="850" w:type="dxa"/>
            <w:tcBorders>
              <w:top w:val="single" w:color="auto" w:sz="4" w:space="0"/>
              <w:left w:val="nil"/>
              <w:bottom w:val="single" w:color="auto" w:sz="4" w:space="0"/>
              <w:right w:val="single" w:color="auto" w:sz="4" w:space="0"/>
            </w:tcBorders>
            <w:vAlign w:val="center"/>
          </w:tcPr>
          <w:p w14:paraId="0C4B7D52">
            <w:pPr>
              <w:rPr>
                <w:rFonts w:ascii="仿宋" w:hAnsi="仿宋" w:eastAsia="仿宋"/>
                <w:sz w:val="24"/>
                <w:szCs w:val="24"/>
              </w:rPr>
            </w:pPr>
            <w:r>
              <w:rPr>
                <w:rFonts w:ascii="仿宋" w:hAnsi="仿宋" w:eastAsia="仿宋"/>
                <w:sz w:val="24"/>
                <w:szCs w:val="24"/>
              </w:rPr>
              <w:t xml:space="preserve"> </w:t>
            </w:r>
          </w:p>
        </w:tc>
        <w:tc>
          <w:tcPr>
            <w:tcW w:w="3686" w:type="dxa"/>
            <w:tcBorders>
              <w:top w:val="single" w:color="auto" w:sz="4" w:space="0"/>
              <w:left w:val="nil"/>
              <w:bottom w:val="single" w:color="auto" w:sz="4" w:space="0"/>
              <w:right w:val="single" w:color="auto" w:sz="4" w:space="0"/>
            </w:tcBorders>
            <w:vAlign w:val="center"/>
          </w:tcPr>
          <w:p w14:paraId="421BFC9F">
            <w:pPr>
              <w:rPr>
                <w:rFonts w:ascii="仿宋" w:hAnsi="仿宋" w:eastAsia="仿宋"/>
                <w:sz w:val="24"/>
                <w:szCs w:val="24"/>
              </w:rPr>
            </w:pPr>
            <w:r>
              <w:rPr>
                <w:rFonts w:ascii="仿宋" w:hAnsi="仿宋" w:eastAsia="仿宋"/>
                <w:sz w:val="24"/>
                <w:szCs w:val="24"/>
              </w:rPr>
              <w:t>每项分值20分。</w:t>
            </w:r>
          </w:p>
          <w:p w14:paraId="07E7CE83">
            <w:pPr>
              <w:widowControl/>
              <w:rPr>
                <w:rFonts w:ascii="仿宋" w:hAnsi="仿宋" w:eastAsia="仿宋"/>
                <w:sz w:val="24"/>
                <w:szCs w:val="24"/>
              </w:rPr>
            </w:pPr>
            <w:r>
              <w:rPr>
                <w:rFonts w:ascii="仿宋" w:hAnsi="仿宋" w:eastAsia="仿宋"/>
                <w:sz w:val="24"/>
                <w:szCs w:val="24"/>
              </w:rPr>
              <w:t>不满意（0分）；一般（1-10分）；基本满意（11-15分）；满意（16-20分）。</w:t>
            </w:r>
          </w:p>
        </w:tc>
        <w:tc>
          <w:tcPr>
            <w:tcW w:w="1839" w:type="dxa"/>
            <w:tcBorders>
              <w:top w:val="single" w:color="auto" w:sz="4" w:space="0"/>
              <w:left w:val="nil"/>
              <w:bottom w:val="single" w:color="auto" w:sz="4" w:space="0"/>
              <w:right w:val="single" w:color="auto" w:sz="4" w:space="0"/>
            </w:tcBorders>
            <w:vAlign w:val="center"/>
          </w:tcPr>
          <w:p w14:paraId="39384CEB">
            <w:pPr>
              <w:rPr>
                <w:rFonts w:ascii="仿宋" w:hAnsi="仿宋" w:eastAsia="仿宋"/>
                <w:sz w:val="24"/>
                <w:szCs w:val="24"/>
              </w:rPr>
            </w:pPr>
          </w:p>
        </w:tc>
      </w:tr>
      <w:tr w14:paraId="7005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20" w:type="dxa"/>
            <w:gridSpan w:val="2"/>
            <w:tcBorders>
              <w:top w:val="single" w:color="auto" w:sz="4" w:space="0"/>
              <w:left w:val="single" w:color="auto" w:sz="4" w:space="0"/>
              <w:bottom w:val="single" w:color="auto" w:sz="4" w:space="0"/>
              <w:right w:val="single" w:color="auto" w:sz="4" w:space="0"/>
            </w:tcBorders>
            <w:vAlign w:val="center"/>
          </w:tcPr>
          <w:p w14:paraId="6D8A35E9">
            <w:pPr>
              <w:jc w:val="center"/>
              <w:rPr>
                <w:rFonts w:ascii="仿宋" w:hAnsi="仿宋" w:eastAsia="仿宋"/>
                <w:b/>
                <w:bCs/>
                <w:sz w:val="24"/>
                <w:szCs w:val="24"/>
              </w:rPr>
            </w:pPr>
            <w:r>
              <w:rPr>
                <w:rFonts w:ascii="仿宋" w:hAnsi="仿宋" w:eastAsia="仿宋"/>
                <w:b/>
                <w:bCs/>
                <w:sz w:val="24"/>
                <w:szCs w:val="24"/>
              </w:rPr>
              <w:t>服务评价</w:t>
            </w:r>
          </w:p>
        </w:tc>
        <w:tc>
          <w:tcPr>
            <w:tcW w:w="850" w:type="dxa"/>
            <w:tcBorders>
              <w:top w:val="single" w:color="auto" w:sz="4" w:space="0"/>
              <w:left w:val="nil"/>
              <w:bottom w:val="single" w:color="auto" w:sz="4" w:space="0"/>
              <w:right w:val="single" w:color="auto" w:sz="4" w:space="0"/>
            </w:tcBorders>
            <w:vAlign w:val="center"/>
          </w:tcPr>
          <w:p w14:paraId="2884B835">
            <w:pPr>
              <w:rPr>
                <w:rFonts w:ascii="仿宋" w:hAnsi="仿宋" w:eastAsia="仿宋"/>
                <w:sz w:val="24"/>
                <w:szCs w:val="24"/>
              </w:rPr>
            </w:pPr>
          </w:p>
        </w:tc>
        <w:tc>
          <w:tcPr>
            <w:tcW w:w="3686" w:type="dxa"/>
            <w:tcBorders>
              <w:top w:val="single" w:color="auto" w:sz="4" w:space="0"/>
              <w:left w:val="nil"/>
              <w:bottom w:val="single" w:color="auto" w:sz="4" w:space="0"/>
              <w:right w:val="single" w:color="auto" w:sz="4" w:space="0"/>
            </w:tcBorders>
            <w:vAlign w:val="center"/>
          </w:tcPr>
          <w:p w14:paraId="61201E36">
            <w:pPr>
              <w:widowControl/>
              <w:jc w:val="left"/>
              <w:rPr>
                <w:rFonts w:ascii="仿宋" w:hAnsi="仿宋" w:eastAsia="仿宋"/>
                <w:sz w:val="24"/>
                <w:szCs w:val="24"/>
              </w:rPr>
            </w:pPr>
          </w:p>
        </w:tc>
        <w:tc>
          <w:tcPr>
            <w:tcW w:w="1839" w:type="dxa"/>
            <w:tcBorders>
              <w:top w:val="single" w:color="auto" w:sz="4" w:space="0"/>
              <w:left w:val="nil"/>
              <w:bottom w:val="single" w:color="auto" w:sz="4" w:space="0"/>
              <w:right w:val="single" w:color="auto" w:sz="4" w:space="0"/>
            </w:tcBorders>
            <w:vAlign w:val="center"/>
          </w:tcPr>
          <w:p w14:paraId="11F90110">
            <w:pPr>
              <w:rPr>
                <w:rFonts w:ascii="仿宋" w:hAnsi="仿宋" w:eastAsia="仿宋"/>
                <w:sz w:val="24"/>
                <w:szCs w:val="24"/>
              </w:rPr>
            </w:pPr>
          </w:p>
        </w:tc>
      </w:tr>
      <w:tr w14:paraId="74B7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3120" w:type="dxa"/>
            <w:gridSpan w:val="2"/>
            <w:tcBorders>
              <w:top w:val="single" w:color="auto" w:sz="4" w:space="0"/>
              <w:left w:val="single" w:color="auto" w:sz="4" w:space="0"/>
              <w:bottom w:val="single" w:color="auto" w:sz="4" w:space="0"/>
              <w:right w:val="single" w:color="auto" w:sz="4" w:space="0"/>
            </w:tcBorders>
            <w:vAlign w:val="center"/>
          </w:tcPr>
          <w:p w14:paraId="2240EDF6">
            <w:pPr>
              <w:jc w:val="center"/>
              <w:rPr>
                <w:rFonts w:ascii="仿宋" w:hAnsi="仿宋" w:eastAsia="仿宋"/>
                <w:b/>
                <w:bCs/>
                <w:sz w:val="24"/>
                <w:szCs w:val="24"/>
              </w:rPr>
            </w:pPr>
            <w:r>
              <w:rPr>
                <w:rFonts w:ascii="仿宋" w:hAnsi="仿宋" w:eastAsia="仿宋"/>
                <w:b/>
                <w:bCs/>
                <w:sz w:val="24"/>
                <w:szCs w:val="24"/>
              </w:rPr>
              <w:t>合 计</w:t>
            </w:r>
          </w:p>
          <w:p w14:paraId="65DBAB3B">
            <w:pPr>
              <w:jc w:val="center"/>
              <w:rPr>
                <w:rFonts w:ascii="仿宋" w:hAnsi="仿宋" w:eastAsia="仿宋"/>
                <w:b/>
                <w:bCs/>
                <w:sz w:val="24"/>
                <w:szCs w:val="24"/>
              </w:rPr>
            </w:pPr>
            <w:r>
              <w:rPr>
                <w:rFonts w:ascii="仿宋" w:hAnsi="仿宋" w:eastAsia="仿宋"/>
                <w:sz w:val="24"/>
                <w:szCs w:val="24"/>
              </w:rPr>
              <w:t>（满分100分）</w:t>
            </w:r>
          </w:p>
        </w:tc>
        <w:tc>
          <w:tcPr>
            <w:tcW w:w="850" w:type="dxa"/>
            <w:tcBorders>
              <w:top w:val="single" w:color="auto" w:sz="4" w:space="0"/>
              <w:left w:val="nil"/>
              <w:bottom w:val="single" w:color="auto" w:sz="4" w:space="0"/>
              <w:right w:val="single" w:color="auto" w:sz="4" w:space="0"/>
            </w:tcBorders>
            <w:vAlign w:val="center"/>
          </w:tcPr>
          <w:p w14:paraId="27570550">
            <w:pPr>
              <w:rPr>
                <w:rFonts w:ascii="仿宋" w:hAnsi="仿宋" w:eastAsia="仿宋"/>
                <w:sz w:val="24"/>
                <w:szCs w:val="24"/>
              </w:rPr>
            </w:pPr>
            <w:r>
              <w:rPr>
                <w:rFonts w:ascii="仿宋" w:hAnsi="仿宋" w:eastAsia="仿宋"/>
                <w:sz w:val="24"/>
                <w:szCs w:val="24"/>
              </w:rPr>
              <w:t xml:space="preserve"> </w:t>
            </w:r>
          </w:p>
        </w:tc>
        <w:tc>
          <w:tcPr>
            <w:tcW w:w="3686" w:type="dxa"/>
            <w:tcBorders>
              <w:top w:val="single" w:color="auto" w:sz="4" w:space="0"/>
              <w:left w:val="nil"/>
              <w:bottom w:val="single" w:color="auto" w:sz="4" w:space="0"/>
              <w:right w:val="single" w:color="auto" w:sz="4" w:space="0"/>
            </w:tcBorders>
            <w:vAlign w:val="center"/>
          </w:tcPr>
          <w:p w14:paraId="70CFD4AB">
            <w:pPr>
              <w:ind w:firstLine="120" w:firstLineChars="50"/>
              <w:rPr>
                <w:rFonts w:ascii="仿宋" w:hAnsi="仿宋" w:eastAsia="仿宋"/>
                <w:sz w:val="24"/>
                <w:szCs w:val="24"/>
              </w:rPr>
            </w:pPr>
            <w:r>
              <w:rPr>
                <w:rFonts w:ascii="仿宋" w:hAnsi="仿宋" w:eastAsia="仿宋"/>
                <w:sz w:val="24"/>
                <w:szCs w:val="24"/>
              </w:rPr>
              <w:t>不满意（0-60分）；一般（61-70分）；基本满意（71-80分）；满意（81-90分）；非常满意（90分以上），得分的</w:t>
            </w:r>
            <w:r>
              <w:rPr>
                <w:rFonts w:hint="eastAsia" w:ascii="仿宋" w:hAnsi="仿宋" w:eastAsia="仿宋"/>
                <w:sz w:val="24"/>
                <w:szCs w:val="24"/>
              </w:rPr>
              <w:t>3</w:t>
            </w:r>
            <w:r>
              <w:rPr>
                <w:rFonts w:ascii="仿宋" w:hAnsi="仿宋" w:eastAsia="仿宋"/>
                <w:sz w:val="24"/>
                <w:szCs w:val="24"/>
              </w:rPr>
              <w:t>0%计入总分。</w:t>
            </w:r>
          </w:p>
        </w:tc>
        <w:tc>
          <w:tcPr>
            <w:tcW w:w="1839" w:type="dxa"/>
            <w:tcBorders>
              <w:top w:val="single" w:color="auto" w:sz="4" w:space="0"/>
              <w:left w:val="nil"/>
              <w:bottom w:val="single" w:color="auto" w:sz="4" w:space="0"/>
              <w:right w:val="single" w:color="auto" w:sz="4" w:space="0"/>
            </w:tcBorders>
            <w:vAlign w:val="center"/>
          </w:tcPr>
          <w:p w14:paraId="572D1D1B">
            <w:pPr>
              <w:rPr>
                <w:rFonts w:ascii="仿宋" w:hAnsi="仿宋" w:eastAsia="仿宋"/>
                <w:sz w:val="24"/>
                <w:szCs w:val="24"/>
              </w:rPr>
            </w:pPr>
          </w:p>
        </w:tc>
      </w:tr>
    </w:tbl>
    <w:p w14:paraId="2479CE37">
      <w:pPr>
        <w:rPr>
          <w:rFonts w:ascii="宋体" w:hAnsi="宋体"/>
          <w:b/>
          <w:bCs/>
          <w:sz w:val="24"/>
          <w:szCs w:val="24"/>
        </w:rPr>
      </w:pPr>
    </w:p>
    <w:p w14:paraId="5334B858">
      <w:pPr>
        <w:rPr>
          <w:rFonts w:hint="eastAsia" w:ascii="宋体" w:hAnsi="宋体"/>
          <w:b/>
          <w:bCs/>
          <w:sz w:val="24"/>
          <w:szCs w:val="24"/>
        </w:rPr>
      </w:pPr>
      <w:r>
        <w:rPr>
          <w:rFonts w:hint="eastAsia" w:ascii="仿宋_GB2312" w:hAnsi="微软雅黑"/>
          <w:color w:val="191F25"/>
          <w:sz w:val="32"/>
          <w:szCs w:val="32"/>
        </w:rPr>
        <w:t>您的</w:t>
      </w:r>
      <w:r>
        <w:rPr>
          <w:rFonts w:ascii="仿宋_GB2312" w:hAnsi="微软雅黑"/>
          <w:color w:val="191F25"/>
          <w:sz w:val="32"/>
          <w:szCs w:val="32"/>
        </w:rPr>
        <w:t>建议：</w:t>
      </w:r>
    </w:p>
    <w:p w14:paraId="29B18B94">
      <w:pPr>
        <w:rPr>
          <w:rFonts w:hint="eastAsia" w:ascii="宋体" w:hAnsi="宋体"/>
          <w:b/>
          <w:bCs/>
          <w:sz w:val="24"/>
          <w:szCs w:val="24"/>
        </w:rPr>
      </w:pPr>
    </w:p>
    <w:p w14:paraId="0887A282">
      <w:pPr>
        <w:rPr>
          <w:rFonts w:hint="eastAsia" w:ascii="宋体" w:hAnsi="宋体"/>
          <w:b/>
          <w:bCs/>
          <w:sz w:val="24"/>
          <w:szCs w:val="24"/>
        </w:rPr>
      </w:pPr>
    </w:p>
    <w:p w14:paraId="0F20B055">
      <w:pPr>
        <w:widowControl/>
        <w:shd w:val="clear" w:color="auto" w:fill="FFFFFF"/>
        <w:spacing w:line="270" w:lineRule="atLeast"/>
        <w:jc w:val="left"/>
        <w:rPr>
          <w:rFonts w:ascii="仿宋_GB2312" w:hAnsi="微软雅黑"/>
          <w:color w:val="191F25"/>
          <w:sz w:val="32"/>
          <w:szCs w:val="32"/>
        </w:rPr>
      </w:pPr>
    </w:p>
    <w:p w14:paraId="47B75A63">
      <w:pPr>
        <w:widowControl/>
        <w:shd w:val="clear" w:color="auto" w:fill="FFFFFF"/>
        <w:spacing w:line="270" w:lineRule="atLeast"/>
        <w:jc w:val="left"/>
        <w:rPr>
          <w:rFonts w:ascii="仿宋_GB2312" w:hAnsi="微软雅黑"/>
          <w:color w:val="191F25"/>
          <w:sz w:val="32"/>
          <w:szCs w:val="32"/>
        </w:rPr>
      </w:pPr>
    </w:p>
    <w:p w14:paraId="2C3C0F54">
      <w:pPr>
        <w:widowControl/>
        <w:shd w:val="clear" w:color="auto" w:fill="FFFFFF"/>
        <w:spacing w:line="270" w:lineRule="atLeast"/>
        <w:jc w:val="left"/>
        <w:rPr>
          <w:rFonts w:ascii="仿宋_GB2312" w:hAnsi="微软雅黑"/>
          <w:color w:val="191F25"/>
          <w:sz w:val="32"/>
          <w:szCs w:val="32"/>
        </w:rPr>
      </w:pPr>
    </w:p>
    <w:p w14:paraId="56EF2656">
      <w:pPr>
        <w:widowControl/>
        <w:shd w:val="clear" w:color="auto" w:fill="FFFFFF"/>
        <w:spacing w:line="270" w:lineRule="atLeast"/>
        <w:jc w:val="left"/>
        <w:rPr>
          <w:rFonts w:ascii="仿宋_GB2312" w:hAnsi="微软雅黑"/>
          <w:color w:val="191F25"/>
          <w:sz w:val="28"/>
          <w:szCs w:val="28"/>
        </w:rPr>
      </w:pPr>
      <w:r>
        <w:rPr>
          <w:rFonts w:ascii="仿宋_GB2312" w:hAnsi="微软雅黑"/>
          <w:color w:val="191F25"/>
          <w:sz w:val="28"/>
          <w:szCs w:val="28"/>
        </w:rPr>
        <w:t>填表单位：</w:t>
      </w:r>
      <w:r>
        <w:rPr>
          <w:rFonts w:hint="eastAsia" w:ascii="仿宋_GB2312" w:hAnsi="微软雅黑"/>
          <w:color w:val="191F25"/>
          <w:sz w:val="28"/>
          <w:szCs w:val="28"/>
        </w:rPr>
        <w:t xml:space="preserve">    </w:t>
      </w:r>
      <w:r>
        <w:rPr>
          <w:rFonts w:ascii="仿宋_GB2312" w:hAnsi="微软雅黑"/>
          <w:color w:val="191F25"/>
          <w:sz w:val="28"/>
          <w:szCs w:val="28"/>
        </w:rPr>
        <w:t xml:space="preserve">             填表单位负责人(签</w:t>
      </w:r>
      <w:r>
        <w:rPr>
          <w:rFonts w:hint="eastAsia" w:ascii="仿宋_GB2312" w:hAnsi="微软雅黑"/>
          <w:color w:val="191F25"/>
          <w:sz w:val="28"/>
          <w:szCs w:val="28"/>
        </w:rPr>
        <w:t>章</w:t>
      </w:r>
      <w:r>
        <w:rPr>
          <w:rFonts w:ascii="仿宋_GB2312" w:hAnsi="微软雅黑"/>
          <w:color w:val="191F25"/>
          <w:sz w:val="28"/>
          <w:szCs w:val="28"/>
        </w:rPr>
        <w:t>)：</w:t>
      </w:r>
    </w:p>
    <w:p w14:paraId="2E0662F0">
      <w:pPr>
        <w:widowControl/>
        <w:shd w:val="clear" w:color="auto" w:fill="FFFFFF"/>
        <w:spacing w:line="270" w:lineRule="atLeast"/>
        <w:jc w:val="left"/>
        <w:rPr>
          <w:rFonts w:ascii="仿宋_GB2312" w:hAnsi="微软雅黑"/>
          <w:color w:val="191F25"/>
          <w:sz w:val="28"/>
          <w:szCs w:val="28"/>
        </w:rPr>
      </w:pPr>
      <w:r>
        <w:rPr>
          <w:rFonts w:ascii="仿宋_GB2312" w:hAnsi="微软雅黑"/>
          <w:color w:val="191F25"/>
          <w:sz w:val="28"/>
          <w:szCs w:val="28"/>
        </w:rPr>
        <w:t>填报人：</w:t>
      </w:r>
      <w:r>
        <w:rPr>
          <w:rFonts w:hint="eastAsia" w:ascii="仿宋_GB2312" w:hAnsi="微软雅黑"/>
          <w:color w:val="191F25"/>
          <w:sz w:val="28"/>
          <w:szCs w:val="28"/>
        </w:rPr>
        <w:t xml:space="preserve">              </w:t>
      </w:r>
      <w:r>
        <w:rPr>
          <w:rFonts w:ascii="仿宋_GB2312" w:hAnsi="微软雅黑"/>
          <w:color w:val="191F25"/>
          <w:sz w:val="28"/>
          <w:szCs w:val="28"/>
        </w:rPr>
        <w:t xml:space="preserve">     填表时间</w:t>
      </w:r>
      <w:r>
        <w:rPr>
          <w:rFonts w:hint="eastAsia" w:ascii="仿宋_GB2312" w:hAnsi="微软雅黑"/>
          <w:color w:val="191F25"/>
          <w:sz w:val="28"/>
          <w:szCs w:val="28"/>
        </w:rPr>
        <w:t xml:space="preserve">： </w:t>
      </w:r>
      <w:r>
        <w:rPr>
          <w:rFonts w:ascii="仿宋_GB2312" w:hAnsi="微软雅黑"/>
          <w:color w:val="191F25"/>
          <w:sz w:val="28"/>
          <w:szCs w:val="28"/>
        </w:rPr>
        <w:t xml:space="preserve">年 </w:t>
      </w:r>
      <w:r>
        <w:rPr>
          <w:rFonts w:hint="eastAsia" w:ascii="仿宋_GB2312" w:hAnsi="微软雅黑"/>
          <w:color w:val="191F25"/>
          <w:sz w:val="28"/>
          <w:szCs w:val="28"/>
        </w:rPr>
        <w:t>月</w:t>
      </w:r>
      <w:r>
        <w:rPr>
          <w:rFonts w:ascii="仿宋_GB2312" w:hAnsi="微软雅黑"/>
          <w:color w:val="191F25"/>
          <w:sz w:val="28"/>
          <w:szCs w:val="28"/>
        </w:rPr>
        <w:t xml:space="preserve"> </w:t>
      </w:r>
      <w:r>
        <w:rPr>
          <w:rFonts w:hint="eastAsia" w:ascii="仿宋_GB2312" w:hAnsi="微软雅黑"/>
          <w:color w:val="191F25"/>
          <w:sz w:val="28"/>
          <w:szCs w:val="28"/>
        </w:rPr>
        <w:t>日</w:t>
      </w:r>
    </w:p>
    <w:p w14:paraId="5BB17F71">
      <w:pPr>
        <w:widowControl/>
        <w:shd w:val="clear" w:color="auto" w:fill="FFFFFF"/>
        <w:spacing w:line="270" w:lineRule="atLeast"/>
        <w:jc w:val="left"/>
        <w:rPr>
          <w:rFonts w:hint="eastAsia" w:ascii="仿宋_GB2312" w:hAnsi="微软雅黑"/>
          <w:b/>
          <w:color w:val="191F25"/>
          <w:sz w:val="28"/>
          <w:szCs w:val="28"/>
          <w:u w:val="thick"/>
        </w:rPr>
      </w:pPr>
    </w:p>
    <w:p w14:paraId="6AFB52D9">
      <w:pPr>
        <w:widowControl/>
        <w:shd w:val="clear" w:color="auto" w:fill="FFFFFF"/>
        <w:spacing w:line="270" w:lineRule="atLeast"/>
        <w:jc w:val="left"/>
        <w:rPr>
          <w:rFonts w:hint="eastAsia" w:ascii="宋体" w:hAnsi="宋体" w:cs="方正小标宋简体"/>
          <w:b/>
          <w:sz w:val="32"/>
          <w:szCs w:val="32"/>
        </w:rPr>
      </w:pPr>
      <w:r>
        <w:rPr>
          <w:rFonts w:hint="eastAsia" w:ascii="仿宋_GB2312" w:hAnsi="微软雅黑"/>
          <w:b/>
          <w:color w:val="191F25"/>
          <w:sz w:val="28"/>
          <w:szCs w:val="28"/>
          <w:u w:val="thick"/>
        </w:rPr>
        <w:t>备注：请按您的就餐食堂填写此表</w:t>
      </w:r>
    </w:p>
    <w:p w14:paraId="55B3F499">
      <w:pPr>
        <w:rPr>
          <w:rFonts w:hint="eastAsia" w:ascii="宋体" w:hAnsi="宋体" w:cs="黑体"/>
          <w:bCs/>
          <w:sz w:val="28"/>
          <w:szCs w:val="28"/>
        </w:rPr>
      </w:pPr>
      <w:r>
        <w:rPr>
          <w:rFonts w:hint="eastAsia" w:ascii="宋体" w:hAnsi="宋体" w:cs="黑体"/>
          <w:bCs/>
          <w:sz w:val="28"/>
          <w:szCs w:val="28"/>
        </w:rPr>
        <w:br w:type="page"/>
      </w:r>
    </w:p>
    <w:p w14:paraId="5D3352BF">
      <w:pPr>
        <w:rPr>
          <w:rFonts w:ascii="宋体" w:hAnsi="宋体" w:cs="黑体"/>
          <w:bCs/>
          <w:sz w:val="28"/>
          <w:szCs w:val="28"/>
        </w:rPr>
      </w:pPr>
      <w:r>
        <w:rPr>
          <w:rFonts w:hint="eastAsia" w:ascii="宋体" w:hAnsi="宋体" w:cs="黑体"/>
          <w:bCs/>
          <w:sz w:val="28"/>
          <w:szCs w:val="28"/>
        </w:rPr>
        <w:t>附表3</w:t>
      </w:r>
    </w:p>
    <w:p w14:paraId="0FE94D29">
      <w:pPr>
        <w:adjustRightInd w:val="0"/>
        <w:snapToGrid w:val="0"/>
        <w:spacing w:line="300" w:lineRule="auto"/>
        <w:jc w:val="center"/>
        <w:rPr>
          <w:rFonts w:ascii="宋体" w:hAnsi="宋体" w:cs="方正小标宋简体"/>
          <w:sz w:val="44"/>
          <w:szCs w:val="44"/>
        </w:rPr>
      </w:pPr>
      <w:r>
        <w:rPr>
          <w:rFonts w:hint="eastAsia" w:ascii="宋体" w:hAnsi="宋体" w:cs="方正小标宋简体"/>
          <w:sz w:val="44"/>
          <w:szCs w:val="44"/>
        </w:rPr>
        <w:t>管理人员考核细则</w:t>
      </w:r>
    </w:p>
    <w:p w14:paraId="198421B5">
      <w:pPr>
        <w:adjustRightInd w:val="0"/>
        <w:snapToGrid w:val="0"/>
        <w:spacing w:line="360" w:lineRule="auto"/>
        <w:ind w:firstLine="600" w:firstLineChars="200"/>
        <w:rPr>
          <w:rFonts w:ascii="Times New Roman" w:hAnsi="Times New Roman" w:eastAsia="仿宋_GB2312" w:cs="Times New Roman"/>
          <w:sz w:val="30"/>
          <w:szCs w:val="30"/>
        </w:rPr>
      </w:pPr>
      <w:r>
        <w:rPr>
          <w:rFonts w:ascii="仿宋_GB2312" w:hAnsi="仿宋_GB2312"/>
          <w:sz w:val="30"/>
          <w:szCs w:val="30"/>
        </w:rPr>
        <w:t>为鼓励</w:t>
      </w:r>
      <w:r>
        <w:rPr>
          <w:rFonts w:hint="eastAsia" w:ascii="仿宋_GB2312" w:hAnsi="仿宋_GB2312"/>
          <w:sz w:val="30"/>
          <w:szCs w:val="30"/>
          <w:lang w:eastAsia="zh-CN"/>
        </w:rPr>
        <w:t>江南镇人民政府</w:t>
      </w:r>
      <w:r>
        <w:rPr>
          <w:rFonts w:ascii="仿宋_GB2312" w:hAnsi="仿宋_GB2312"/>
          <w:sz w:val="30"/>
          <w:szCs w:val="30"/>
        </w:rPr>
        <w:t>聘用的餐厅管理人员进一步提高管理素养，推动食堂整体水平提升，以本细则为依据进行考核和奖励。</w:t>
      </w:r>
    </w:p>
    <w:p w14:paraId="2B244F70">
      <w:pPr>
        <w:pStyle w:val="258"/>
        <w:numPr>
          <w:ilvl w:val="0"/>
          <w:numId w:val="3"/>
        </w:numPr>
        <w:adjustRightInd w:val="0"/>
        <w:snapToGrid w:val="0"/>
        <w:spacing w:line="360" w:lineRule="auto"/>
        <w:ind w:firstLineChars="0"/>
        <w:rPr>
          <w:rFonts w:ascii="宋体" w:hAnsi="宋体"/>
          <w:b/>
          <w:bCs/>
          <w:sz w:val="30"/>
          <w:szCs w:val="30"/>
        </w:rPr>
      </w:pPr>
      <w:r>
        <w:rPr>
          <w:rFonts w:hint="eastAsia" w:ascii="宋体" w:hAnsi="宋体"/>
          <w:b/>
          <w:bCs/>
          <w:sz w:val="30"/>
          <w:szCs w:val="30"/>
        </w:rPr>
        <w:t>考核方式</w:t>
      </w:r>
    </w:p>
    <w:p w14:paraId="50C267FE">
      <w:pPr>
        <w:adjustRightInd w:val="0"/>
        <w:snapToGrid w:val="0"/>
        <w:spacing w:line="360" w:lineRule="auto"/>
        <w:ind w:firstLine="600" w:firstLineChars="200"/>
        <w:rPr>
          <w:rFonts w:ascii="Times New Roman" w:hAnsi="Times New Roman" w:eastAsia="仿宋_GB2312" w:cs="Times New Roman"/>
          <w:sz w:val="30"/>
          <w:szCs w:val="30"/>
        </w:rPr>
      </w:pPr>
      <w:r>
        <w:rPr>
          <w:rFonts w:ascii="仿宋_GB2312" w:hAnsi="仿宋_GB2312"/>
          <w:sz w:val="30"/>
          <w:szCs w:val="30"/>
        </w:rPr>
        <w:t>按季考核，不同岗位的季度考核基数经</w:t>
      </w:r>
      <w:r>
        <w:rPr>
          <w:rFonts w:hint="eastAsia" w:ascii="仿宋_GB2312" w:hAnsi="仿宋_GB2312"/>
          <w:sz w:val="30"/>
          <w:szCs w:val="30"/>
          <w:lang w:eastAsia="zh-CN"/>
        </w:rPr>
        <w:t>江南镇人民政府</w:t>
      </w:r>
      <w:r>
        <w:rPr>
          <w:rFonts w:ascii="仿宋_GB2312" w:hAnsi="仿宋_GB2312"/>
          <w:sz w:val="30"/>
          <w:szCs w:val="30"/>
        </w:rPr>
        <w:t>班子集体决议后执行。季度管理考核奖金</w:t>
      </w:r>
      <w:r>
        <w:rPr>
          <w:rFonts w:ascii="Times New Roman" w:hAnsi="Times New Roman"/>
          <w:sz w:val="30"/>
          <w:szCs w:val="30"/>
        </w:rPr>
        <w:t>=</w:t>
      </w:r>
      <w:r>
        <w:rPr>
          <w:rFonts w:ascii="仿宋_GB2312" w:hAnsi="仿宋_GB2312"/>
          <w:sz w:val="30"/>
          <w:szCs w:val="30"/>
        </w:rPr>
        <w:t>季度考核分的百分比</w:t>
      </w:r>
      <w:r>
        <w:rPr>
          <w:rFonts w:ascii="Times New Roman" w:hAnsi="Times New Roman" w:cs="Times New Roman"/>
          <w:sz w:val="30"/>
          <w:szCs w:val="30"/>
        </w:rPr>
        <w:t>*</w:t>
      </w:r>
      <w:r>
        <w:rPr>
          <w:rFonts w:ascii="仿宋_GB2312" w:hAnsi="仿宋_GB2312"/>
          <w:sz w:val="30"/>
          <w:szCs w:val="30"/>
        </w:rPr>
        <w:t>季度管理考核奖金基数；所得为负数时，相应金额从该管理人员的员工月度或年度奖金中扣除。</w:t>
      </w:r>
    </w:p>
    <w:p w14:paraId="3C30E272">
      <w:pPr>
        <w:adjustRightInd w:val="0"/>
        <w:snapToGrid w:val="0"/>
        <w:spacing w:line="360" w:lineRule="auto"/>
        <w:ind w:firstLine="600" w:firstLineChars="200"/>
        <w:rPr>
          <w:rFonts w:ascii="宋体" w:hAnsi="宋体"/>
          <w:bCs/>
          <w:sz w:val="30"/>
          <w:szCs w:val="30"/>
        </w:rPr>
      </w:pPr>
      <w:r>
        <w:rPr>
          <w:rFonts w:ascii="仿宋_GB2312" w:hAnsi="仿宋_GB2312"/>
          <w:sz w:val="30"/>
          <w:szCs w:val="30"/>
        </w:rPr>
        <w:t>当季度每月实际在岗少于应出勤天数的</w:t>
      </w:r>
      <w:r>
        <w:rPr>
          <w:rFonts w:ascii="Times New Roman" w:hAnsi="Times New Roman"/>
          <w:sz w:val="30"/>
          <w:szCs w:val="30"/>
        </w:rPr>
        <w:t>25%</w:t>
      </w:r>
      <w:r>
        <w:rPr>
          <w:rFonts w:ascii="仿宋_GB2312" w:hAnsi="仿宋_GB2312"/>
          <w:sz w:val="30"/>
          <w:szCs w:val="30"/>
        </w:rPr>
        <w:t>，取消其当季度考核；因本人失职或故意行为，造成重大损失或形成恶劣影响，取消其当季度考核。</w:t>
      </w:r>
    </w:p>
    <w:p w14:paraId="236F5FE2">
      <w:pPr>
        <w:rPr>
          <w:rFonts w:hint="eastAsia" w:ascii="宋体" w:hAnsi="宋体" w:cs="黑体"/>
          <w:sz w:val="30"/>
          <w:szCs w:val="30"/>
        </w:rPr>
      </w:pPr>
      <w:r>
        <w:rPr>
          <w:rFonts w:hint="eastAsia" w:ascii="宋体" w:hAnsi="宋体" w:cs="黑体"/>
          <w:sz w:val="30"/>
          <w:szCs w:val="30"/>
        </w:rPr>
        <w:br w:type="page"/>
      </w:r>
    </w:p>
    <w:p w14:paraId="3E32E412">
      <w:pPr>
        <w:pStyle w:val="258"/>
        <w:numPr>
          <w:ilvl w:val="0"/>
          <w:numId w:val="0"/>
        </w:numPr>
        <w:adjustRightInd w:val="0"/>
        <w:snapToGrid w:val="0"/>
        <w:spacing w:line="360" w:lineRule="auto"/>
        <w:ind w:left="600" w:leftChars="0"/>
        <w:rPr>
          <w:rFonts w:hint="eastAsia" w:ascii="宋体" w:hAnsi="宋体"/>
          <w:b/>
          <w:bCs/>
          <w:sz w:val="30"/>
          <w:szCs w:val="30"/>
        </w:rPr>
      </w:pPr>
      <w:r>
        <w:rPr>
          <w:rFonts w:hint="eastAsia" w:ascii="宋体" w:hAnsi="宋体"/>
          <w:b/>
          <w:bCs/>
          <w:sz w:val="30"/>
          <w:szCs w:val="30"/>
        </w:rPr>
        <w:t>二、考核内容</w:t>
      </w:r>
    </w:p>
    <w:tbl>
      <w:tblPr>
        <w:tblStyle w:val="62"/>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2268"/>
        <w:gridCol w:w="2835"/>
        <w:gridCol w:w="851"/>
        <w:gridCol w:w="850"/>
      </w:tblGrid>
      <w:tr w14:paraId="060F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552" w:type="dxa"/>
            <w:gridSpan w:val="2"/>
            <w:tcBorders>
              <w:tl2br w:val="nil"/>
              <w:tr2bl w:val="nil"/>
            </w:tcBorders>
            <w:vAlign w:val="center"/>
          </w:tcPr>
          <w:p w14:paraId="50606AC4">
            <w:pPr>
              <w:adjustRightInd w:val="0"/>
              <w:snapToGrid w:val="0"/>
              <w:jc w:val="center"/>
              <w:rPr>
                <w:rFonts w:ascii="仿宋_GB2312" w:hAnsi="Times New Roman"/>
                <w:sz w:val="24"/>
                <w:szCs w:val="24"/>
              </w:rPr>
            </w:pPr>
            <w:r>
              <w:rPr>
                <w:rFonts w:ascii="仿宋_GB2312" w:hAnsi="Times New Roman"/>
                <w:sz w:val="24"/>
                <w:szCs w:val="24"/>
              </w:rPr>
              <w:t>考核内容</w:t>
            </w:r>
          </w:p>
        </w:tc>
        <w:tc>
          <w:tcPr>
            <w:tcW w:w="5103" w:type="dxa"/>
            <w:gridSpan w:val="2"/>
            <w:tcBorders>
              <w:tl2br w:val="nil"/>
              <w:tr2bl w:val="nil"/>
            </w:tcBorders>
            <w:vAlign w:val="center"/>
          </w:tcPr>
          <w:p w14:paraId="4F607575">
            <w:pPr>
              <w:adjustRightInd w:val="0"/>
              <w:snapToGrid w:val="0"/>
              <w:ind w:firstLine="480" w:firstLineChars="200"/>
              <w:jc w:val="center"/>
              <w:rPr>
                <w:rFonts w:ascii="仿宋_GB2312" w:hAnsi="Times New Roman"/>
                <w:sz w:val="24"/>
                <w:szCs w:val="24"/>
              </w:rPr>
            </w:pPr>
            <w:r>
              <w:rPr>
                <w:rFonts w:ascii="仿宋_GB2312" w:hAnsi="Times New Roman"/>
                <w:sz w:val="24"/>
                <w:szCs w:val="24"/>
              </w:rPr>
              <w:t>评分标准</w:t>
            </w:r>
          </w:p>
        </w:tc>
        <w:tc>
          <w:tcPr>
            <w:tcW w:w="851" w:type="dxa"/>
            <w:tcBorders>
              <w:tl2br w:val="nil"/>
              <w:tr2bl w:val="nil"/>
            </w:tcBorders>
            <w:vAlign w:val="center"/>
          </w:tcPr>
          <w:p w14:paraId="01EDF86A">
            <w:pPr>
              <w:adjustRightInd w:val="0"/>
              <w:snapToGrid w:val="0"/>
              <w:jc w:val="center"/>
              <w:rPr>
                <w:rFonts w:ascii="仿宋_GB2312" w:hAnsi="Times New Roman"/>
                <w:sz w:val="24"/>
                <w:szCs w:val="24"/>
              </w:rPr>
            </w:pPr>
            <w:r>
              <w:rPr>
                <w:rFonts w:ascii="仿宋_GB2312" w:hAnsi="Times New Roman"/>
                <w:sz w:val="24"/>
                <w:szCs w:val="24"/>
              </w:rPr>
              <w:t>评分</w:t>
            </w:r>
          </w:p>
        </w:tc>
        <w:tc>
          <w:tcPr>
            <w:tcW w:w="850" w:type="dxa"/>
            <w:tcBorders>
              <w:tl2br w:val="nil"/>
              <w:tr2bl w:val="nil"/>
            </w:tcBorders>
            <w:vAlign w:val="center"/>
          </w:tcPr>
          <w:p w14:paraId="3CC04537">
            <w:pPr>
              <w:adjustRightInd w:val="0"/>
              <w:snapToGrid w:val="0"/>
              <w:jc w:val="center"/>
              <w:rPr>
                <w:rFonts w:ascii="仿宋_GB2312" w:hAnsi="Times New Roman"/>
                <w:sz w:val="24"/>
                <w:szCs w:val="24"/>
              </w:rPr>
            </w:pPr>
            <w:r>
              <w:rPr>
                <w:rFonts w:ascii="仿宋_GB2312" w:hAnsi="Times New Roman"/>
                <w:sz w:val="24"/>
                <w:szCs w:val="24"/>
              </w:rPr>
              <w:t>说明</w:t>
            </w:r>
          </w:p>
        </w:tc>
      </w:tr>
      <w:tr w14:paraId="6714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1" w:type="dxa"/>
            <w:tcBorders>
              <w:tl2br w:val="nil"/>
              <w:tr2bl w:val="nil"/>
            </w:tcBorders>
            <w:vAlign w:val="center"/>
          </w:tcPr>
          <w:p w14:paraId="4D8C79AB">
            <w:pPr>
              <w:adjustRightInd w:val="0"/>
              <w:snapToGrid w:val="0"/>
              <w:jc w:val="center"/>
              <w:rPr>
                <w:rFonts w:ascii="仿宋_GB2312" w:hAnsi="Times New Roman"/>
                <w:sz w:val="24"/>
                <w:szCs w:val="24"/>
              </w:rPr>
            </w:pPr>
            <w:r>
              <w:rPr>
                <w:rFonts w:ascii="仿宋_GB2312" w:hAnsi="Times New Roman"/>
                <w:sz w:val="24"/>
                <w:szCs w:val="24"/>
              </w:rPr>
              <w:t>（一）团队</w:t>
            </w:r>
          </w:p>
          <w:p w14:paraId="13B58771">
            <w:pPr>
              <w:adjustRightInd w:val="0"/>
              <w:snapToGrid w:val="0"/>
              <w:jc w:val="center"/>
              <w:rPr>
                <w:rFonts w:ascii="仿宋_GB2312" w:hAnsi="Times New Roman"/>
                <w:sz w:val="24"/>
                <w:szCs w:val="24"/>
              </w:rPr>
            </w:pPr>
            <w:r>
              <w:rPr>
                <w:rFonts w:ascii="仿宋_GB2312" w:hAnsi="Times New Roman"/>
                <w:sz w:val="24"/>
                <w:szCs w:val="24"/>
              </w:rPr>
              <w:t>管理30%</w:t>
            </w:r>
          </w:p>
        </w:tc>
        <w:tc>
          <w:tcPr>
            <w:tcW w:w="1701" w:type="dxa"/>
            <w:tcBorders>
              <w:tl2br w:val="nil"/>
              <w:tr2bl w:val="nil"/>
            </w:tcBorders>
            <w:vAlign w:val="center"/>
          </w:tcPr>
          <w:p w14:paraId="3E131FF6">
            <w:pPr>
              <w:adjustRightInd w:val="0"/>
              <w:snapToGrid w:val="0"/>
              <w:jc w:val="center"/>
              <w:rPr>
                <w:rFonts w:ascii="仿宋_GB2312" w:hAnsi="Times New Roman"/>
                <w:sz w:val="24"/>
                <w:szCs w:val="24"/>
              </w:rPr>
            </w:pPr>
            <w:r>
              <w:rPr>
                <w:rFonts w:ascii="仿宋_GB2312" w:hAnsi="Times New Roman"/>
                <w:sz w:val="24"/>
                <w:szCs w:val="24"/>
              </w:rPr>
              <w:t>当季得分</w:t>
            </w:r>
          </w:p>
        </w:tc>
        <w:tc>
          <w:tcPr>
            <w:tcW w:w="5103" w:type="dxa"/>
            <w:gridSpan w:val="2"/>
            <w:tcBorders>
              <w:tl2br w:val="nil"/>
              <w:tr2bl w:val="nil"/>
            </w:tcBorders>
            <w:vAlign w:val="center"/>
          </w:tcPr>
          <w:p w14:paraId="1E8C25E2">
            <w:pPr>
              <w:adjustRightInd w:val="0"/>
              <w:snapToGrid w:val="0"/>
              <w:jc w:val="left"/>
              <w:rPr>
                <w:rFonts w:ascii="仿宋_GB2312" w:hAnsi="Times New Roman"/>
                <w:sz w:val="24"/>
                <w:szCs w:val="24"/>
              </w:rPr>
            </w:pPr>
            <w:r>
              <w:rPr>
                <w:rFonts w:ascii="仿宋_GB2312" w:hAnsi="Times New Roman"/>
                <w:sz w:val="24"/>
                <w:szCs w:val="24"/>
              </w:rPr>
              <w:t>食堂团队考核得分的30%即为此项得分；</w:t>
            </w:r>
          </w:p>
        </w:tc>
        <w:tc>
          <w:tcPr>
            <w:tcW w:w="851" w:type="dxa"/>
            <w:tcBorders>
              <w:tl2br w:val="nil"/>
              <w:tr2bl w:val="nil"/>
            </w:tcBorders>
            <w:vAlign w:val="center"/>
          </w:tcPr>
          <w:p w14:paraId="102D606B">
            <w:pPr>
              <w:adjustRightInd w:val="0"/>
              <w:snapToGrid w:val="0"/>
              <w:rPr>
                <w:rFonts w:ascii="仿宋_GB2312" w:hAnsi="Times New Roman"/>
                <w:sz w:val="24"/>
                <w:szCs w:val="24"/>
              </w:rPr>
            </w:pPr>
          </w:p>
        </w:tc>
        <w:tc>
          <w:tcPr>
            <w:tcW w:w="850" w:type="dxa"/>
            <w:tcBorders>
              <w:tl2br w:val="nil"/>
              <w:tr2bl w:val="nil"/>
            </w:tcBorders>
            <w:vAlign w:val="center"/>
          </w:tcPr>
          <w:p w14:paraId="34A36D4A">
            <w:pPr>
              <w:adjustRightInd w:val="0"/>
              <w:snapToGrid w:val="0"/>
              <w:jc w:val="center"/>
              <w:rPr>
                <w:rFonts w:ascii="仿宋_GB2312" w:hAnsi="Times New Roman"/>
                <w:sz w:val="24"/>
                <w:szCs w:val="24"/>
              </w:rPr>
            </w:pPr>
          </w:p>
        </w:tc>
      </w:tr>
      <w:tr w14:paraId="459F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1" w:type="dxa"/>
            <w:tcBorders>
              <w:tl2br w:val="nil"/>
              <w:tr2bl w:val="nil"/>
            </w:tcBorders>
            <w:vAlign w:val="center"/>
          </w:tcPr>
          <w:p w14:paraId="5F80F20A">
            <w:pPr>
              <w:adjustRightInd w:val="0"/>
              <w:snapToGrid w:val="0"/>
              <w:jc w:val="center"/>
              <w:rPr>
                <w:rFonts w:ascii="仿宋_GB2312" w:hAnsi="Times New Roman"/>
                <w:sz w:val="24"/>
                <w:szCs w:val="24"/>
              </w:rPr>
            </w:pPr>
            <w:r>
              <w:rPr>
                <w:rFonts w:ascii="仿宋_GB2312" w:hAnsi="Times New Roman"/>
                <w:sz w:val="24"/>
                <w:szCs w:val="24"/>
              </w:rPr>
              <w:t>（二）成本管理</w:t>
            </w:r>
            <w:r>
              <w:rPr>
                <w:rFonts w:hint="eastAsia" w:ascii="仿宋_GB2312" w:hAnsi="Times New Roman"/>
                <w:sz w:val="24"/>
                <w:szCs w:val="24"/>
              </w:rPr>
              <w:t>30</w:t>
            </w:r>
            <w:r>
              <w:rPr>
                <w:rFonts w:ascii="仿宋_GB2312" w:hAnsi="Times New Roman"/>
                <w:sz w:val="24"/>
                <w:szCs w:val="24"/>
              </w:rPr>
              <w:t>%</w:t>
            </w:r>
          </w:p>
        </w:tc>
        <w:tc>
          <w:tcPr>
            <w:tcW w:w="1701" w:type="dxa"/>
            <w:tcBorders>
              <w:tl2br w:val="nil"/>
              <w:tr2bl w:val="nil"/>
            </w:tcBorders>
            <w:vAlign w:val="center"/>
          </w:tcPr>
          <w:p w14:paraId="4392B6AD">
            <w:pPr>
              <w:adjustRightInd w:val="0"/>
              <w:snapToGrid w:val="0"/>
              <w:jc w:val="center"/>
              <w:rPr>
                <w:rFonts w:ascii="仿宋_GB2312" w:hAnsi="Times New Roman"/>
                <w:sz w:val="24"/>
                <w:szCs w:val="24"/>
              </w:rPr>
            </w:pPr>
            <w:r>
              <w:rPr>
                <w:rFonts w:ascii="仿宋_GB2312" w:hAnsi="Times New Roman"/>
                <w:sz w:val="24"/>
                <w:szCs w:val="24"/>
              </w:rPr>
              <w:t>亏损</w:t>
            </w:r>
            <w:r>
              <w:rPr>
                <w:rFonts w:hint="eastAsia" w:ascii="仿宋_GB2312" w:hAnsi="Times New Roman"/>
                <w:sz w:val="24"/>
                <w:szCs w:val="24"/>
              </w:rPr>
              <w:t>率得分</w:t>
            </w:r>
          </w:p>
        </w:tc>
        <w:tc>
          <w:tcPr>
            <w:tcW w:w="5103" w:type="dxa"/>
            <w:gridSpan w:val="2"/>
            <w:tcBorders>
              <w:tl2br w:val="nil"/>
              <w:tr2bl w:val="nil"/>
            </w:tcBorders>
            <w:vAlign w:val="center"/>
          </w:tcPr>
          <w:p w14:paraId="0AF7F12B">
            <w:pPr>
              <w:adjustRightInd w:val="0"/>
              <w:snapToGrid w:val="0"/>
              <w:jc w:val="left"/>
              <w:rPr>
                <w:rFonts w:ascii="仿宋_GB2312" w:hAnsi="Times New Roman"/>
                <w:sz w:val="24"/>
                <w:szCs w:val="24"/>
              </w:rPr>
            </w:pPr>
            <w:r>
              <w:rPr>
                <w:rFonts w:ascii="仿宋_GB2312" w:hAnsi="Times New Roman"/>
                <w:sz w:val="24"/>
                <w:szCs w:val="24"/>
              </w:rPr>
              <w:t>亏损当</w:t>
            </w:r>
            <w:r>
              <w:rPr>
                <w:rFonts w:hint="eastAsia" w:ascii="仿宋_GB2312" w:hAnsi="Times New Roman"/>
                <w:sz w:val="24"/>
                <w:szCs w:val="24"/>
              </w:rPr>
              <w:t>季（3个月的平均分）</w:t>
            </w:r>
            <w:r>
              <w:rPr>
                <w:rFonts w:ascii="仿宋_GB2312" w:hAnsi="Times New Roman"/>
                <w:sz w:val="24"/>
                <w:szCs w:val="24"/>
              </w:rPr>
              <w:t>控制5%以内即得此项满分的30%；每上浮1%，扣2分；</w:t>
            </w:r>
          </w:p>
        </w:tc>
        <w:tc>
          <w:tcPr>
            <w:tcW w:w="851" w:type="dxa"/>
            <w:tcBorders>
              <w:tl2br w:val="nil"/>
              <w:tr2bl w:val="nil"/>
            </w:tcBorders>
            <w:vAlign w:val="center"/>
          </w:tcPr>
          <w:p w14:paraId="3DB5D7FE">
            <w:pPr>
              <w:adjustRightInd w:val="0"/>
              <w:snapToGrid w:val="0"/>
              <w:rPr>
                <w:rFonts w:ascii="仿宋_GB2312" w:hAnsi="Times New Roman"/>
                <w:sz w:val="24"/>
                <w:szCs w:val="24"/>
              </w:rPr>
            </w:pPr>
          </w:p>
        </w:tc>
        <w:tc>
          <w:tcPr>
            <w:tcW w:w="850" w:type="dxa"/>
            <w:tcBorders>
              <w:tl2br w:val="nil"/>
              <w:tr2bl w:val="nil"/>
            </w:tcBorders>
            <w:vAlign w:val="center"/>
          </w:tcPr>
          <w:p w14:paraId="7291F511">
            <w:pPr>
              <w:adjustRightInd w:val="0"/>
              <w:snapToGrid w:val="0"/>
              <w:ind w:firstLine="120" w:firstLineChars="50"/>
              <w:rPr>
                <w:rFonts w:ascii="仿宋_GB2312" w:hAnsi="Times New Roman"/>
                <w:sz w:val="24"/>
                <w:szCs w:val="24"/>
              </w:rPr>
            </w:pPr>
          </w:p>
        </w:tc>
      </w:tr>
      <w:tr w14:paraId="504F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51" w:type="dxa"/>
            <w:tcBorders>
              <w:tl2br w:val="nil"/>
              <w:tr2bl w:val="nil"/>
            </w:tcBorders>
            <w:vAlign w:val="center"/>
          </w:tcPr>
          <w:p w14:paraId="505EB7AC">
            <w:pPr>
              <w:adjustRightInd w:val="0"/>
              <w:snapToGrid w:val="0"/>
              <w:jc w:val="center"/>
              <w:rPr>
                <w:rFonts w:ascii="仿宋_GB2312" w:hAnsi="Times New Roman"/>
                <w:sz w:val="24"/>
                <w:szCs w:val="24"/>
              </w:rPr>
            </w:pPr>
            <w:r>
              <w:rPr>
                <w:rFonts w:ascii="仿宋_GB2312" w:hAnsi="Times New Roman"/>
                <w:sz w:val="24"/>
                <w:szCs w:val="24"/>
              </w:rPr>
              <w:t>（三）</w:t>
            </w:r>
          </w:p>
          <w:p w14:paraId="60F2F70F">
            <w:pPr>
              <w:adjustRightInd w:val="0"/>
              <w:snapToGrid w:val="0"/>
              <w:jc w:val="center"/>
              <w:rPr>
                <w:rFonts w:ascii="仿宋_GB2312" w:hAnsi="Times New Roman"/>
                <w:sz w:val="24"/>
                <w:szCs w:val="24"/>
              </w:rPr>
            </w:pPr>
            <w:r>
              <w:rPr>
                <w:rFonts w:hint="eastAsia" w:ascii="仿宋_GB2312" w:hAnsi="Times New Roman"/>
                <w:sz w:val="24"/>
                <w:szCs w:val="24"/>
              </w:rPr>
              <w:t>加减分项</w:t>
            </w:r>
          </w:p>
        </w:tc>
        <w:tc>
          <w:tcPr>
            <w:tcW w:w="1701" w:type="dxa"/>
            <w:tcBorders>
              <w:tl2br w:val="nil"/>
              <w:tr2bl w:val="nil"/>
            </w:tcBorders>
            <w:vAlign w:val="center"/>
          </w:tcPr>
          <w:p w14:paraId="196033B3">
            <w:pPr>
              <w:adjustRightInd w:val="0"/>
              <w:snapToGrid w:val="0"/>
              <w:jc w:val="center"/>
              <w:rPr>
                <w:rFonts w:ascii="仿宋_GB2312" w:hAnsi="Times New Roman"/>
                <w:sz w:val="24"/>
                <w:szCs w:val="24"/>
              </w:rPr>
            </w:pPr>
            <w:r>
              <w:rPr>
                <w:rFonts w:hint="eastAsia" w:ascii="仿宋_GB2312" w:hAnsi="Times New Roman"/>
                <w:sz w:val="24"/>
                <w:szCs w:val="24"/>
              </w:rPr>
              <w:t>当季团队管理总分为基础</w:t>
            </w:r>
          </w:p>
          <w:p w14:paraId="229647D2">
            <w:pPr>
              <w:adjustRightInd w:val="0"/>
              <w:snapToGrid w:val="0"/>
              <w:jc w:val="center"/>
              <w:rPr>
                <w:rFonts w:ascii="仿宋_GB2312" w:hAnsi="Times New Roman"/>
                <w:sz w:val="24"/>
                <w:szCs w:val="24"/>
              </w:rPr>
            </w:pPr>
          </w:p>
        </w:tc>
        <w:tc>
          <w:tcPr>
            <w:tcW w:w="5103" w:type="dxa"/>
            <w:gridSpan w:val="2"/>
            <w:tcBorders>
              <w:tl2br w:val="nil"/>
              <w:tr2bl w:val="nil"/>
            </w:tcBorders>
            <w:vAlign w:val="center"/>
          </w:tcPr>
          <w:p w14:paraId="1B10C59A">
            <w:pPr>
              <w:adjustRightInd w:val="0"/>
              <w:snapToGrid w:val="0"/>
              <w:jc w:val="left"/>
              <w:rPr>
                <w:rFonts w:ascii="仿宋_GB2312" w:hAnsi="Times New Roman"/>
                <w:sz w:val="24"/>
                <w:szCs w:val="24"/>
              </w:rPr>
            </w:pPr>
            <w:r>
              <w:rPr>
                <w:rFonts w:ascii="仿宋_GB2312" w:hAnsi="Times New Roman"/>
                <w:sz w:val="24"/>
                <w:szCs w:val="24"/>
              </w:rPr>
              <w:t>高于85分</w:t>
            </w:r>
            <w:r>
              <w:rPr>
                <w:rFonts w:hint="eastAsia" w:ascii="仿宋_GB2312" w:hAnsi="Times New Roman"/>
                <w:sz w:val="24"/>
                <w:szCs w:val="24"/>
              </w:rPr>
              <w:t>的，</w:t>
            </w:r>
            <w:r>
              <w:rPr>
                <w:rFonts w:ascii="仿宋_GB2312" w:hAnsi="Times New Roman"/>
                <w:sz w:val="24"/>
                <w:szCs w:val="24"/>
              </w:rPr>
              <w:t>每高1分，加2分；低于85分</w:t>
            </w:r>
            <w:r>
              <w:rPr>
                <w:rFonts w:hint="eastAsia" w:ascii="仿宋_GB2312" w:hAnsi="Times New Roman"/>
                <w:sz w:val="24"/>
                <w:szCs w:val="24"/>
              </w:rPr>
              <w:t>的，</w:t>
            </w:r>
            <w:r>
              <w:rPr>
                <w:rFonts w:ascii="仿宋_GB2312" w:hAnsi="Times New Roman"/>
                <w:sz w:val="24"/>
                <w:szCs w:val="24"/>
              </w:rPr>
              <w:t>每低1分，扣2分</w:t>
            </w:r>
            <w:r>
              <w:rPr>
                <w:rFonts w:hint="eastAsia" w:ascii="仿宋_GB2312" w:hAnsi="Times New Roman"/>
                <w:sz w:val="24"/>
                <w:szCs w:val="24"/>
              </w:rPr>
              <w:t>；</w:t>
            </w:r>
          </w:p>
        </w:tc>
        <w:tc>
          <w:tcPr>
            <w:tcW w:w="851" w:type="dxa"/>
            <w:tcBorders>
              <w:tl2br w:val="nil"/>
              <w:tr2bl w:val="nil"/>
            </w:tcBorders>
            <w:vAlign w:val="center"/>
          </w:tcPr>
          <w:p w14:paraId="06949022">
            <w:pPr>
              <w:adjustRightInd w:val="0"/>
              <w:snapToGrid w:val="0"/>
              <w:rPr>
                <w:rFonts w:ascii="仿宋_GB2312" w:hAnsi="Times New Roman"/>
                <w:sz w:val="24"/>
                <w:szCs w:val="24"/>
              </w:rPr>
            </w:pPr>
          </w:p>
        </w:tc>
        <w:tc>
          <w:tcPr>
            <w:tcW w:w="850" w:type="dxa"/>
            <w:tcBorders>
              <w:tl2br w:val="nil"/>
              <w:tr2bl w:val="nil"/>
            </w:tcBorders>
            <w:vAlign w:val="center"/>
          </w:tcPr>
          <w:p w14:paraId="771C03A7">
            <w:pPr>
              <w:adjustRightInd w:val="0"/>
              <w:snapToGrid w:val="0"/>
              <w:ind w:firstLine="120" w:firstLineChars="50"/>
              <w:rPr>
                <w:rFonts w:ascii="仿宋_GB2312" w:hAnsi="Times New Roman"/>
                <w:sz w:val="24"/>
                <w:szCs w:val="24"/>
              </w:rPr>
            </w:pPr>
          </w:p>
        </w:tc>
      </w:tr>
      <w:tr w14:paraId="48E5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2552" w:type="dxa"/>
            <w:gridSpan w:val="2"/>
            <w:tcBorders>
              <w:tl2br w:val="nil"/>
              <w:tr2bl w:val="nil"/>
            </w:tcBorders>
            <w:vAlign w:val="center"/>
          </w:tcPr>
          <w:p w14:paraId="3606A35E">
            <w:pPr>
              <w:adjustRightInd w:val="0"/>
              <w:snapToGrid w:val="0"/>
              <w:jc w:val="center"/>
              <w:rPr>
                <w:rFonts w:ascii="仿宋_GB2312" w:hAnsi="Times New Roman"/>
                <w:sz w:val="24"/>
                <w:szCs w:val="24"/>
              </w:rPr>
            </w:pPr>
            <w:r>
              <w:rPr>
                <w:rFonts w:ascii="仿宋_GB2312" w:hAnsi="Times New Roman"/>
                <w:sz w:val="24"/>
                <w:szCs w:val="24"/>
              </w:rPr>
              <w:t>（</w:t>
            </w:r>
            <w:r>
              <w:rPr>
                <w:rFonts w:hint="eastAsia" w:ascii="仿宋_GB2312" w:hAnsi="Times New Roman"/>
                <w:sz w:val="24"/>
                <w:szCs w:val="24"/>
              </w:rPr>
              <w:t>四</w:t>
            </w:r>
            <w:r>
              <w:rPr>
                <w:rFonts w:ascii="仿宋_GB2312" w:hAnsi="Times New Roman"/>
                <w:sz w:val="24"/>
                <w:szCs w:val="24"/>
              </w:rPr>
              <w:t>）考核小组评分</w:t>
            </w:r>
            <w:r>
              <w:rPr>
                <w:rFonts w:hint="eastAsia" w:ascii="仿宋_GB2312" w:hAnsi="Times New Roman"/>
                <w:sz w:val="24"/>
                <w:szCs w:val="24"/>
              </w:rPr>
              <w:t>40%</w:t>
            </w:r>
            <w:r>
              <w:rPr>
                <w:rFonts w:ascii="仿宋_GB2312" w:hAnsi="Times New Roman"/>
                <w:sz w:val="24"/>
                <w:szCs w:val="24"/>
              </w:rPr>
              <w:t>（膳食管理委员会</w:t>
            </w:r>
            <w:r>
              <w:rPr>
                <w:rFonts w:hint="eastAsia" w:ascii="仿宋_GB2312" w:hAnsi="Times New Roman"/>
                <w:sz w:val="24"/>
                <w:szCs w:val="24"/>
              </w:rPr>
              <w:t>初评后报中心班子会研究决定</w:t>
            </w:r>
            <w:r>
              <w:rPr>
                <w:rFonts w:ascii="仿宋_GB2312" w:hAnsi="Times New Roman"/>
                <w:sz w:val="24"/>
                <w:szCs w:val="24"/>
              </w:rPr>
              <w:t>）</w:t>
            </w:r>
          </w:p>
        </w:tc>
        <w:tc>
          <w:tcPr>
            <w:tcW w:w="5103" w:type="dxa"/>
            <w:gridSpan w:val="2"/>
            <w:tcBorders>
              <w:tl2br w:val="nil"/>
              <w:tr2bl w:val="nil"/>
            </w:tcBorders>
            <w:vAlign w:val="center"/>
          </w:tcPr>
          <w:p w14:paraId="388A6E7B">
            <w:pPr>
              <w:adjustRightInd w:val="0"/>
              <w:snapToGrid w:val="0"/>
              <w:rPr>
                <w:rFonts w:ascii="仿宋_GB2312" w:hAnsi="Times New Roman"/>
                <w:sz w:val="24"/>
                <w:szCs w:val="24"/>
              </w:rPr>
            </w:pPr>
          </w:p>
        </w:tc>
        <w:tc>
          <w:tcPr>
            <w:tcW w:w="851" w:type="dxa"/>
            <w:tcBorders>
              <w:tl2br w:val="nil"/>
              <w:tr2bl w:val="nil"/>
            </w:tcBorders>
            <w:vAlign w:val="center"/>
          </w:tcPr>
          <w:p w14:paraId="36C6BB7E">
            <w:pPr>
              <w:adjustRightInd w:val="0"/>
              <w:snapToGrid w:val="0"/>
              <w:rPr>
                <w:rFonts w:ascii="仿宋_GB2312" w:hAnsi="Times New Roman"/>
                <w:sz w:val="24"/>
                <w:szCs w:val="24"/>
              </w:rPr>
            </w:pPr>
          </w:p>
        </w:tc>
        <w:tc>
          <w:tcPr>
            <w:tcW w:w="850" w:type="dxa"/>
            <w:tcBorders>
              <w:tl2br w:val="nil"/>
              <w:tr2bl w:val="nil"/>
            </w:tcBorders>
            <w:vAlign w:val="center"/>
          </w:tcPr>
          <w:p w14:paraId="747C3D1F">
            <w:pPr>
              <w:adjustRightInd w:val="0"/>
              <w:snapToGrid w:val="0"/>
              <w:rPr>
                <w:rFonts w:ascii="仿宋_GB2312" w:hAnsi="Times New Roman"/>
                <w:sz w:val="24"/>
                <w:szCs w:val="24"/>
              </w:rPr>
            </w:pPr>
          </w:p>
          <w:p w14:paraId="4CCE4852">
            <w:pPr>
              <w:adjustRightInd w:val="0"/>
              <w:snapToGrid w:val="0"/>
              <w:rPr>
                <w:rFonts w:ascii="仿宋_GB2312" w:hAnsi="Times New Roman"/>
                <w:sz w:val="24"/>
                <w:szCs w:val="24"/>
              </w:rPr>
            </w:pPr>
          </w:p>
          <w:p w14:paraId="4800C0A7">
            <w:pPr>
              <w:adjustRightInd w:val="0"/>
              <w:snapToGrid w:val="0"/>
              <w:rPr>
                <w:rFonts w:ascii="仿宋_GB2312" w:hAnsi="Times New Roman"/>
                <w:sz w:val="24"/>
                <w:szCs w:val="24"/>
              </w:rPr>
            </w:pPr>
          </w:p>
          <w:p w14:paraId="1AE7CFA5">
            <w:pPr>
              <w:adjustRightInd w:val="0"/>
              <w:snapToGrid w:val="0"/>
              <w:rPr>
                <w:rFonts w:ascii="仿宋_GB2312" w:hAnsi="Times New Roman"/>
                <w:sz w:val="24"/>
                <w:szCs w:val="24"/>
              </w:rPr>
            </w:pPr>
          </w:p>
          <w:p w14:paraId="395A581A">
            <w:pPr>
              <w:adjustRightInd w:val="0"/>
              <w:snapToGrid w:val="0"/>
              <w:rPr>
                <w:rFonts w:ascii="仿宋_GB2312" w:hAnsi="Times New Roman"/>
                <w:sz w:val="24"/>
                <w:szCs w:val="24"/>
              </w:rPr>
            </w:pPr>
          </w:p>
        </w:tc>
      </w:tr>
      <w:tr w14:paraId="1449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552" w:type="dxa"/>
            <w:gridSpan w:val="2"/>
            <w:tcBorders>
              <w:tl2br w:val="nil"/>
              <w:tr2bl w:val="nil"/>
            </w:tcBorders>
            <w:vAlign w:val="center"/>
          </w:tcPr>
          <w:p w14:paraId="3E665889">
            <w:pPr>
              <w:adjustRightInd w:val="0"/>
              <w:snapToGrid w:val="0"/>
              <w:jc w:val="center"/>
              <w:rPr>
                <w:rFonts w:ascii="仿宋_GB2312" w:hAnsi="Times New Roman"/>
                <w:sz w:val="24"/>
                <w:szCs w:val="24"/>
              </w:rPr>
            </w:pPr>
            <w:r>
              <w:rPr>
                <w:rFonts w:ascii="仿宋_GB2312" w:hAnsi="Times New Roman"/>
                <w:sz w:val="24"/>
                <w:szCs w:val="24"/>
              </w:rPr>
              <w:t>合  计</w:t>
            </w:r>
          </w:p>
        </w:tc>
        <w:tc>
          <w:tcPr>
            <w:tcW w:w="5103" w:type="dxa"/>
            <w:gridSpan w:val="2"/>
            <w:tcBorders>
              <w:tl2br w:val="nil"/>
              <w:tr2bl w:val="nil"/>
            </w:tcBorders>
            <w:vAlign w:val="center"/>
          </w:tcPr>
          <w:p w14:paraId="2A2B8D91">
            <w:pPr>
              <w:adjustRightInd w:val="0"/>
              <w:snapToGrid w:val="0"/>
              <w:ind w:firstLine="360" w:firstLineChars="150"/>
              <w:rPr>
                <w:rFonts w:ascii="仿宋_GB2312" w:hAnsi="Times New Roman"/>
                <w:sz w:val="24"/>
                <w:szCs w:val="24"/>
              </w:rPr>
            </w:pPr>
            <w:r>
              <w:rPr>
                <w:rFonts w:ascii="仿宋_GB2312" w:hAnsi="Times New Roman"/>
                <w:sz w:val="24"/>
                <w:szCs w:val="24"/>
              </w:rPr>
              <w:t>上述累计分数为本月管理考核得分。</w:t>
            </w:r>
          </w:p>
        </w:tc>
        <w:tc>
          <w:tcPr>
            <w:tcW w:w="851" w:type="dxa"/>
            <w:tcBorders>
              <w:tl2br w:val="nil"/>
              <w:tr2bl w:val="nil"/>
            </w:tcBorders>
            <w:vAlign w:val="center"/>
          </w:tcPr>
          <w:p w14:paraId="2625DFE6">
            <w:pPr>
              <w:adjustRightInd w:val="0"/>
              <w:snapToGrid w:val="0"/>
              <w:jc w:val="center"/>
              <w:rPr>
                <w:rFonts w:ascii="仿宋_GB2312" w:hAnsi="Times New Roman"/>
                <w:sz w:val="24"/>
                <w:szCs w:val="24"/>
              </w:rPr>
            </w:pPr>
          </w:p>
        </w:tc>
        <w:tc>
          <w:tcPr>
            <w:tcW w:w="850" w:type="dxa"/>
            <w:tcBorders>
              <w:tl2br w:val="nil"/>
              <w:tr2bl w:val="nil"/>
            </w:tcBorders>
            <w:vAlign w:val="center"/>
          </w:tcPr>
          <w:p w14:paraId="4E538DAF">
            <w:pPr>
              <w:adjustRightInd w:val="0"/>
              <w:snapToGrid w:val="0"/>
              <w:ind w:firstLine="480" w:firstLineChars="200"/>
              <w:jc w:val="center"/>
              <w:rPr>
                <w:rFonts w:ascii="仿宋_GB2312" w:hAnsi="Times New Roman"/>
                <w:sz w:val="24"/>
                <w:szCs w:val="24"/>
              </w:rPr>
            </w:pPr>
          </w:p>
        </w:tc>
      </w:tr>
      <w:tr w14:paraId="0F9E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552" w:type="dxa"/>
            <w:gridSpan w:val="2"/>
            <w:tcBorders>
              <w:tl2br w:val="nil"/>
              <w:tr2bl w:val="nil"/>
            </w:tcBorders>
            <w:vAlign w:val="center"/>
          </w:tcPr>
          <w:p w14:paraId="15840F57">
            <w:pPr>
              <w:adjustRightInd w:val="0"/>
              <w:snapToGrid w:val="0"/>
              <w:jc w:val="center"/>
              <w:rPr>
                <w:rFonts w:ascii="仿宋_GB2312" w:hAnsi="Times New Roman"/>
                <w:sz w:val="24"/>
                <w:szCs w:val="24"/>
              </w:rPr>
            </w:pPr>
            <w:r>
              <w:rPr>
                <w:rFonts w:ascii="仿宋_GB2312" w:hAnsi="Times New Roman"/>
                <w:sz w:val="24"/>
                <w:szCs w:val="24"/>
              </w:rPr>
              <w:t>季度考核基数（元）</w:t>
            </w:r>
          </w:p>
        </w:tc>
        <w:tc>
          <w:tcPr>
            <w:tcW w:w="2268" w:type="dxa"/>
            <w:tcBorders>
              <w:tl2br w:val="nil"/>
              <w:tr2bl w:val="nil"/>
            </w:tcBorders>
            <w:vAlign w:val="center"/>
          </w:tcPr>
          <w:p w14:paraId="0DD035EF">
            <w:pPr>
              <w:adjustRightInd w:val="0"/>
              <w:snapToGrid w:val="0"/>
              <w:ind w:firstLine="360" w:firstLineChars="150"/>
              <w:rPr>
                <w:rFonts w:ascii="仿宋_GB2312" w:hAnsi="Times New Roman"/>
                <w:sz w:val="24"/>
                <w:szCs w:val="24"/>
              </w:rPr>
            </w:pPr>
          </w:p>
        </w:tc>
        <w:tc>
          <w:tcPr>
            <w:tcW w:w="2835" w:type="dxa"/>
            <w:tcBorders>
              <w:tl2br w:val="nil"/>
              <w:tr2bl w:val="nil"/>
            </w:tcBorders>
            <w:vAlign w:val="center"/>
          </w:tcPr>
          <w:p w14:paraId="42155E1A">
            <w:pPr>
              <w:adjustRightInd w:val="0"/>
              <w:snapToGrid w:val="0"/>
              <w:rPr>
                <w:rFonts w:ascii="仿宋_GB2312" w:hAnsi="Times New Roman"/>
                <w:sz w:val="24"/>
                <w:szCs w:val="24"/>
              </w:rPr>
            </w:pPr>
            <w:r>
              <w:rPr>
                <w:rFonts w:ascii="仿宋_GB2312" w:hAnsi="Times New Roman"/>
                <w:sz w:val="24"/>
                <w:szCs w:val="24"/>
              </w:rPr>
              <w:t>季度应得奖金（元）</w:t>
            </w:r>
          </w:p>
        </w:tc>
        <w:tc>
          <w:tcPr>
            <w:tcW w:w="1701" w:type="dxa"/>
            <w:gridSpan w:val="2"/>
            <w:tcBorders>
              <w:tl2br w:val="nil"/>
              <w:tr2bl w:val="nil"/>
            </w:tcBorders>
            <w:vAlign w:val="center"/>
          </w:tcPr>
          <w:p w14:paraId="4C0D9BCA">
            <w:pPr>
              <w:adjustRightInd w:val="0"/>
              <w:snapToGrid w:val="0"/>
              <w:ind w:firstLine="480" w:firstLineChars="200"/>
              <w:jc w:val="center"/>
              <w:rPr>
                <w:rFonts w:ascii="仿宋_GB2312" w:hAnsi="Times New Roman"/>
                <w:sz w:val="24"/>
                <w:szCs w:val="24"/>
              </w:rPr>
            </w:pPr>
          </w:p>
        </w:tc>
      </w:tr>
    </w:tbl>
    <w:p w14:paraId="314F8ECE">
      <w:pPr>
        <w:spacing w:line="360" w:lineRule="auto"/>
        <w:ind w:right="420" w:firstLine="480" w:firstLineChars="200"/>
        <w:rPr>
          <w:rFonts w:hint="eastAsia" w:ascii="宋体" w:hAnsi="宋体" w:eastAsia="宋体" w:cs="宋体"/>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roman"/>
    <w:pitch w:val="default"/>
    <w:sig w:usb0="E00002FF" w:usb1="6AC7FDFB" w:usb2="00000012" w:usb3="00000000" w:csb0="4002009F" w:csb1="DFD70000"/>
  </w:font>
  <w:font w:name="方正小标宋简体">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0" w:name="_Toc131845147"/>
    <w:bookmarkStart w:id="531" w:name="_Toc164085800"/>
    <w:bookmarkStart w:id="532" w:name="_Toc36110187"/>
    <w:bookmarkStart w:id="533" w:name="_Toc91899912"/>
    <w:r>
      <w:rPr>
        <w:rFonts w:hint="eastAsia" w:ascii="仿宋_GB2312" w:eastAsia="仿宋_GB2312"/>
        <w:kern w:val="0"/>
        <w:szCs w:val="21"/>
      </w:rPr>
      <w:t xml:space="preserve"> 页</w:t>
    </w:r>
    <w:bookmarkEnd w:id="530"/>
    <w:bookmarkEnd w:id="531"/>
    <w:bookmarkEnd w:id="532"/>
    <w:bookmarkEnd w:id="5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6140F"/>
    <w:multiLevelType w:val="multilevel"/>
    <w:tmpl w:val="1256140F"/>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49427A12"/>
    <w:multiLevelType w:val="singleLevel"/>
    <w:tmpl w:val="49427A1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73E1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611E5"/>
    <w:rsid w:val="1D9247AE"/>
    <w:rsid w:val="1DB567EC"/>
    <w:rsid w:val="1DB6442E"/>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EB7FF4"/>
    <w:rsid w:val="23FD0064"/>
    <w:rsid w:val="23FE7D27"/>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8F2C6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1EB2EB3"/>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750F19"/>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306A6A"/>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F41DF"/>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0091E"/>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CF368A0"/>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22297</Words>
  <Characters>23583</Characters>
  <Lines>281</Lines>
  <Paragraphs>79</Paragraphs>
  <TotalTime>258</TotalTime>
  <ScaleCrop>false</ScaleCrop>
  <LinksUpToDate>false</LinksUpToDate>
  <CharactersWithSpaces>24106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逗逼</cp:lastModifiedBy>
  <cp:lastPrinted>2021-12-28T03:06:00Z</cp:lastPrinted>
  <dcterms:modified xsi:type="dcterms:W3CDTF">2025-03-12T07:29:00Z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8E176F686E864556AEA014D5ECD5B94C_13</vt:lpwstr>
  </property>
  <property fmtid="{D5CDD505-2E9C-101B-9397-08002B2CF9AE}" pid="5" name="KSOTemplateDocerSaveRecord">
    <vt:lpwstr>eyJoZGlkIjoiMzdjZjY5ODExYWQ5MjRjMzNmN2M0MWIyZjAwZjliOTQiLCJ1c2VySWQiOiIzMTI2ODczMjcifQ==</vt:lpwstr>
  </property>
</Properties>
</file>