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FB2EA">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 </w:t>
      </w:r>
    </w:p>
    <w:p w14:paraId="47066E13">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富春江镇2025年度安全生产和消防安全社会化服务项目</w:t>
      </w:r>
    </w:p>
    <w:p w14:paraId="57140D93">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26530C2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71B65A8">
      <w:pPr>
        <w:snapToGrid w:val="0"/>
        <w:spacing w:line="360" w:lineRule="auto"/>
        <w:jc w:val="center"/>
        <w:rPr>
          <w:rFonts w:ascii="宋体" w:hAnsi="宋体" w:cs="宋体"/>
          <w:sz w:val="30"/>
          <w:szCs w:val="30"/>
        </w:rPr>
      </w:pPr>
      <w:r>
        <w:rPr>
          <w:rFonts w:hint="eastAsia" w:ascii="宋体" w:hAnsi="宋体" w:cs="宋体"/>
          <w:sz w:val="30"/>
          <w:szCs w:val="30"/>
        </w:rPr>
        <w:t>采购编号</w:t>
      </w:r>
      <w:r>
        <w:rPr>
          <w:rFonts w:hint="eastAsia" w:ascii="宋体" w:hAnsi="宋体" w:cs="宋体"/>
          <w:sz w:val="30"/>
          <w:szCs w:val="30"/>
          <w:lang w:eastAsia="zh-CN"/>
        </w:rPr>
        <w:t>：</w:t>
      </w:r>
      <w:r>
        <w:rPr>
          <w:rFonts w:hint="eastAsia" w:ascii="宋体" w:hAnsi="宋体" w:cs="宋体"/>
          <w:sz w:val="30"/>
          <w:szCs w:val="30"/>
        </w:rPr>
        <w:t>（</w:t>
      </w:r>
      <w:r>
        <w:rPr>
          <w:rFonts w:hint="eastAsia" w:ascii="宋体" w:hAnsi="宋体" w:cs="宋体"/>
          <w:sz w:val="30"/>
          <w:szCs w:val="30"/>
          <w:lang w:eastAsia="zh-CN"/>
        </w:rPr>
        <w:t>HZLKTLCG-2025-08</w:t>
      </w:r>
      <w:r>
        <w:rPr>
          <w:rFonts w:hint="eastAsia" w:ascii="宋体" w:hAnsi="宋体" w:cs="宋体"/>
          <w:sz w:val="30"/>
          <w:szCs w:val="30"/>
        </w:rPr>
        <w:t>）</w:t>
      </w:r>
    </w:p>
    <w:p w14:paraId="6D502079">
      <w:pPr>
        <w:adjustRightInd/>
        <w:spacing w:line="360" w:lineRule="auto"/>
        <w:rPr>
          <w:rFonts w:ascii="宋体" w:hAnsi="宋体" w:cs="宋体"/>
          <w:sz w:val="28"/>
          <w:szCs w:val="20"/>
        </w:rPr>
      </w:pPr>
    </w:p>
    <w:p w14:paraId="671739A7">
      <w:pPr>
        <w:spacing w:line="360" w:lineRule="auto"/>
        <w:jc w:val="center"/>
        <w:rPr>
          <w:rFonts w:ascii="宋体" w:hAnsi="宋体" w:cs="宋体"/>
          <w:b/>
          <w:sz w:val="44"/>
          <w:szCs w:val="44"/>
        </w:rPr>
      </w:pPr>
    </w:p>
    <w:p w14:paraId="64DA4F84">
      <w:pPr>
        <w:spacing w:line="360" w:lineRule="auto"/>
        <w:jc w:val="center"/>
        <w:rPr>
          <w:rFonts w:ascii="宋体" w:hAnsi="宋体" w:cs="宋体"/>
          <w:b/>
          <w:sz w:val="44"/>
          <w:szCs w:val="44"/>
        </w:rPr>
      </w:pPr>
    </w:p>
    <w:p w14:paraId="0FA2BBC8">
      <w:pPr>
        <w:spacing w:line="360" w:lineRule="auto"/>
        <w:jc w:val="center"/>
        <w:rPr>
          <w:rFonts w:ascii="宋体" w:hAnsi="宋体" w:cs="宋体"/>
          <w:sz w:val="24"/>
        </w:rPr>
      </w:pPr>
    </w:p>
    <w:p w14:paraId="76D0DA89">
      <w:pPr>
        <w:spacing w:line="360" w:lineRule="auto"/>
        <w:jc w:val="center"/>
        <w:rPr>
          <w:rFonts w:ascii="宋体" w:hAnsi="宋体" w:cs="宋体"/>
          <w:sz w:val="24"/>
        </w:rPr>
      </w:pPr>
    </w:p>
    <w:p w14:paraId="6866D19A">
      <w:pPr>
        <w:spacing w:line="360" w:lineRule="auto"/>
        <w:rPr>
          <w:rFonts w:ascii="宋体" w:hAnsi="宋体" w:cs="宋体"/>
          <w:sz w:val="32"/>
          <w:szCs w:val="32"/>
        </w:rPr>
      </w:pPr>
    </w:p>
    <w:p w14:paraId="4B2BEE36">
      <w:pPr>
        <w:spacing w:line="600" w:lineRule="auto"/>
        <w:jc w:val="center"/>
        <w:rPr>
          <w:rFonts w:hint="eastAsia" w:ascii="宋体" w:hAnsi="宋体" w:eastAsia="宋体" w:cs="宋体"/>
          <w:sz w:val="32"/>
          <w:szCs w:val="32"/>
          <w:lang w:eastAsia="zh-CN"/>
        </w:rPr>
      </w:pPr>
      <w:r>
        <w:rPr>
          <w:rFonts w:hint="eastAsia" w:ascii="宋体" w:hAnsi="宋体" w:cs="宋体"/>
          <w:sz w:val="32"/>
          <w:szCs w:val="32"/>
          <w:lang w:val="en-US" w:eastAsia="zh-CN"/>
        </w:rPr>
        <w:t xml:space="preserve">  </w:t>
      </w:r>
      <w:r>
        <w:rPr>
          <w:rFonts w:hint="eastAsia" w:ascii="宋体" w:hAnsi="宋体" w:cs="宋体"/>
          <w:sz w:val="32"/>
          <w:szCs w:val="32"/>
        </w:rPr>
        <w:t>采购人：</w:t>
      </w:r>
      <w:r>
        <w:rPr>
          <w:rFonts w:hint="eastAsia" w:ascii="宋体" w:hAnsi="宋体" w:cs="宋体"/>
          <w:sz w:val="32"/>
          <w:szCs w:val="32"/>
          <w:lang w:eastAsia="zh-CN"/>
        </w:rPr>
        <w:t>桐庐县富春江镇人民政府</w:t>
      </w:r>
    </w:p>
    <w:p w14:paraId="7788589F">
      <w:pPr>
        <w:spacing w:line="60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杭州龙魁工程管理有限公司</w:t>
      </w:r>
    </w:p>
    <w:p w14:paraId="0BD848FE">
      <w:pPr>
        <w:snapToGrid w:val="0"/>
        <w:spacing w:line="600" w:lineRule="auto"/>
        <w:jc w:val="center"/>
        <w:rPr>
          <w:rFonts w:hint="eastAsia" w:ascii="宋体" w:hAnsi="宋体" w:eastAsia="宋体" w:cs="宋体"/>
          <w:bCs/>
          <w:sz w:val="32"/>
          <w:szCs w:val="32"/>
          <w:lang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sz w:val="32"/>
          <w:szCs w:val="32"/>
          <w:lang w:eastAsia="zh-CN"/>
        </w:rPr>
        <w:t>年</w:t>
      </w:r>
      <w:r>
        <w:rPr>
          <w:rFonts w:hint="eastAsia" w:ascii="宋体" w:hAnsi="宋体" w:cs="宋体"/>
          <w:bCs/>
          <w:sz w:val="32"/>
          <w:szCs w:val="32"/>
          <w:lang w:val="en-US" w:eastAsia="zh-CN"/>
        </w:rPr>
        <w:t>三</w:t>
      </w:r>
      <w:r>
        <w:rPr>
          <w:rFonts w:hint="eastAsia" w:ascii="宋体" w:hAnsi="宋体" w:cs="宋体"/>
          <w:bCs/>
          <w:sz w:val="32"/>
          <w:szCs w:val="32"/>
          <w:lang w:eastAsia="zh-CN"/>
        </w:rPr>
        <w:t>月</w:t>
      </w:r>
    </w:p>
    <w:p w14:paraId="7A746048">
      <w:pPr>
        <w:rPr>
          <w:rFonts w:ascii="宋体" w:hAnsi="宋体" w:cs="宋体"/>
          <w:sz w:val="32"/>
          <w:szCs w:val="32"/>
        </w:rPr>
      </w:pPr>
    </w:p>
    <w:p w14:paraId="35D13E32">
      <w:pPr>
        <w:rPr>
          <w:rFonts w:ascii="宋体" w:hAnsi="宋体" w:cs="宋体"/>
          <w:bCs/>
          <w:sz w:val="32"/>
          <w:szCs w:val="32"/>
        </w:rPr>
      </w:pPr>
    </w:p>
    <w:p w14:paraId="5399045A">
      <w:pPr>
        <w:spacing w:line="360" w:lineRule="auto"/>
        <w:rPr>
          <w:rFonts w:ascii="宋体" w:hAnsi="宋体" w:cs="宋体"/>
          <w:b/>
          <w:sz w:val="48"/>
          <w:szCs w:val="48"/>
        </w:rPr>
      </w:pPr>
    </w:p>
    <w:p w14:paraId="0F4D4E39">
      <w:pPr>
        <w:pStyle w:val="12"/>
        <w:sectPr>
          <w:headerReference r:id="rId4" w:type="first"/>
          <w:footerReference r:id="rId6" w:type="first"/>
          <w:headerReference r:id="rId3" w:type="defaul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0" w:num="1"/>
          <w:titlePg/>
          <w:docGrid w:linePitch="312" w:charSpace="0"/>
        </w:sectPr>
      </w:pPr>
    </w:p>
    <w:p w14:paraId="33BD0CAA"/>
    <w:p w14:paraId="199216FF">
      <w:pPr>
        <w:spacing w:line="360" w:lineRule="auto"/>
        <w:jc w:val="center"/>
        <w:rPr>
          <w:rFonts w:hint="eastAsia" w:ascii="宋体" w:hAnsi="宋体" w:cs="宋体"/>
          <w:b/>
          <w:sz w:val="48"/>
          <w:szCs w:val="48"/>
        </w:rPr>
      </w:pPr>
    </w:p>
    <w:p w14:paraId="2E319E21">
      <w:pPr>
        <w:spacing w:line="360" w:lineRule="auto"/>
        <w:jc w:val="center"/>
        <w:rPr>
          <w:rFonts w:ascii="宋体" w:hAnsi="宋体" w:cs="宋体"/>
          <w:b/>
          <w:sz w:val="48"/>
          <w:szCs w:val="48"/>
        </w:rPr>
      </w:pPr>
      <w:r>
        <w:rPr>
          <w:rFonts w:hint="eastAsia" w:ascii="宋体" w:hAnsi="宋体" w:cs="宋体"/>
          <w:b/>
          <w:sz w:val="48"/>
          <w:szCs w:val="48"/>
        </w:rPr>
        <w:t>目  录</w:t>
      </w:r>
    </w:p>
    <w:p w14:paraId="4D3B88AF">
      <w:pPr>
        <w:spacing w:line="360" w:lineRule="auto"/>
        <w:rPr>
          <w:rFonts w:ascii="宋体" w:hAnsi="宋体" w:cs="宋体"/>
          <w:sz w:val="32"/>
          <w:szCs w:val="32"/>
        </w:rPr>
      </w:pPr>
    </w:p>
    <w:p w14:paraId="3C2C4FD0">
      <w:pPr>
        <w:spacing w:line="360" w:lineRule="auto"/>
        <w:rPr>
          <w:rFonts w:ascii="宋体" w:hAnsi="宋体" w:cs="宋体"/>
          <w:sz w:val="32"/>
          <w:szCs w:val="32"/>
        </w:rPr>
      </w:pPr>
    </w:p>
    <w:p w14:paraId="66715A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69B1B9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1F6AE5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DA9077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D7D12B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2AD85F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8F64E51">
      <w:pPr>
        <w:adjustRightInd/>
        <w:spacing w:line="360" w:lineRule="auto"/>
        <w:jc w:val="both"/>
        <w:outlineLvl w:val="0"/>
        <w:rPr>
          <w:rFonts w:ascii="宋体" w:hAnsi="宋体" w:cs="宋体"/>
          <w:b/>
          <w:sz w:val="36"/>
          <w:szCs w:val="20"/>
        </w:rPr>
      </w:pPr>
      <w:bookmarkStart w:id="0" w:name="_Hlt74729822"/>
      <w:bookmarkEnd w:id="0"/>
      <w:bookmarkStart w:id="1" w:name="_Hlt74649545"/>
      <w:bookmarkEnd w:id="1"/>
      <w:bookmarkStart w:id="2" w:name="_Hlt74707423"/>
      <w:bookmarkEnd w:id="2"/>
      <w:bookmarkStart w:id="3" w:name="_Hlt91233176"/>
      <w:bookmarkEnd w:id="3"/>
      <w:bookmarkStart w:id="4" w:name="_Hlt74728647"/>
      <w:bookmarkEnd w:id="4"/>
      <w:bookmarkStart w:id="5" w:name="第二部分"/>
      <w:bookmarkStart w:id="6" w:name="_Toc91899870"/>
      <w:bookmarkStart w:id="7" w:name="_Toc91899871"/>
    </w:p>
    <w:p w14:paraId="1D6207F8">
      <w:pPr>
        <w:pStyle w:val="15"/>
        <w:sectPr>
          <w:footerReference r:id="rId8" w:type="first"/>
          <w:footerReference r:id="rId7"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0" w:num="1"/>
          <w:titlePg/>
          <w:docGrid w:linePitch="312" w:charSpace="0"/>
        </w:sectPr>
      </w:pPr>
    </w:p>
    <w:p w14:paraId="1737F803">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6508C8E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B7AEB5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 xml:space="preserve"> 富春江镇2025年度安全生产和消防安全社会化服务项目</w:t>
      </w:r>
      <w:r>
        <w:rPr>
          <w:rFonts w:hint="eastAsia" w:ascii="宋体" w:hAnsi="宋体" w:cs="宋体"/>
          <w:sz w:val="24"/>
        </w:rPr>
        <w:t>的潜在投标人应在政采云平台（</w:t>
      </w:r>
      <w:r>
        <w:fldChar w:fldCharType="begin"/>
      </w:r>
      <w:r>
        <w:instrText xml:space="preserve"> HYPERLINK "https://www.zcygov.cn/）获取（下载）招标文件，并于2022年%20%20%20月%20%20%20日%20点%20分" </w:instrText>
      </w:r>
      <w:r>
        <w:fldChar w:fldCharType="separate"/>
      </w:r>
      <w:r>
        <w:rPr>
          <w:rStyle w:val="24"/>
          <w:rFonts w:hint="eastAsia" w:ascii="宋体" w:hAnsi="宋体" w:eastAsia="宋体" w:cs="宋体"/>
          <w:snapToGrid/>
          <w:kern w:val="2"/>
          <w:sz w:val="24"/>
          <w:szCs w:val="24"/>
        </w:rPr>
        <w:t>https://www.zcygov.cn</w:t>
      </w:r>
      <w:r>
        <w:rPr>
          <w:rStyle w:val="24"/>
          <w:rFonts w:hint="eastAsia" w:ascii="宋体" w:hAnsi="宋体" w:cs="宋体"/>
          <w:snapToGrid/>
          <w:kern w:val="2"/>
          <w:sz w:val="24"/>
          <w:szCs w:val="24"/>
          <w:lang w:eastAsia="zh-CN"/>
        </w:rPr>
        <w:t>）</w:t>
      </w:r>
      <w:r>
        <w:rPr>
          <w:rStyle w:val="24"/>
          <w:rFonts w:hint="eastAsia" w:ascii="宋体" w:hAnsi="宋体" w:eastAsia="宋体" w:cs="宋体"/>
          <w:snapToGrid/>
          <w:kern w:val="2"/>
          <w:sz w:val="24"/>
          <w:szCs w:val="24"/>
        </w:rPr>
        <w:t>获取（下载）招标文件，并于</w:t>
      </w:r>
      <w:r>
        <w:rPr>
          <w:rFonts w:hint="eastAsia" w:cs="宋体" w:asciiTheme="minorEastAsia" w:hAnsiTheme="minorEastAsia" w:eastAsiaTheme="minorEastAsia"/>
          <w:sz w:val="24"/>
          <w:highlight w:val="none"/>
          <w:u w:val="single"/>
          <w:lang w:eastAsia="zh-CN"/>
        </w:rPr>
        <w:t xml:space="preserve">2025年 </w:t>
      </w:r>
      <w:r>
        <w:rPr>
          <w:rFonts w:hint="eastAsia" w:cs="宋体" w:asciiTheme="minorEastAsia" w:hAnsiTheme="minorEastAsia" w:eastAsiaTheme="minorEastAsia"/>
          <w:sz w:val="24"/>
          <w:highlight w:val="none"/>
          <w:u w:val="single"/>
          <w:lang w:val="en-US" w:eastAsia="zh-CN"/>
        </w:rPr>
        <w:t>04</w:t>
      </w:r>
      <w:r>
        <w:rPr>
          <w:rFonts w:hint="eastAsia" w:cs="宋体" w:asciiTheme="minorEastAsia" w:hAnsiTheme="minorEastAsia" w:eastAsiaTheme="minorEastAsia"/>
          <w:sz w:val="24"/>
          <w:highlight w:val="none"/>
          <w:u w:val="single"/>
          <w:lang w:eastAsia="zh-CN"/>
        </w:rPr>
        <w:t xml:space="preserve"> 月 </w:t>
      </w:r>
      <w:r>
        <w:rPr>
          <w:rFonts w:hint="eastAsia" w:cs="宋体" w:asciiTheme="minorEastAsia" w:hAnsiTheme="minorEastAsia" w:eastAsiaTheme="minorEastAsia"/>
          <w:sz w:val="24"/>
          <w:highlight w:val="none"/>
          <w:u w:val="single"/>
          <w:lang w:val="en-US" w:eastAsia="zh-CN"/>
        </w:rPr>
        <w:t>10</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分</w:t>
      </w:r>
      <w:r>
        <w:rPr>
          <w:rStyle w:val="24"/>
          <w:rFonts w:hint="eastAsia" w:ascii="宋体" w:hAnsi="宋体" w:eastAsia="宋体" w:cs="宋体"/>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6B5FAF8">
      <w:pPr>
        <w:spacing w:line="360" w:lineRule="auto"/>
        <w:rPr>
          <w:rFonts w:ascii="宋体" w:hAnsi="宋体" w:cs="宋体"/>
          <w:b/>
          <w:sz w:val="24"/>
        </w:rPr>
      </w:pPr>
      <w:r>
        <w:rPr>
          <w:rFonts w:hint="eastAsia" w:ascii="宋体" w:hAnsi="宋体" w:cs="宋体"/>
          <w:b/>
          <w:sz w:val="24"/>
        </w:rPr>
        <w:t xml:space="preserve">一、项目基本情况                                            </w:t>
      </w:r>
    </w:p>
    <w:p w14:paraId="02C9563C">
      <w:pPr>
        <w:spacing w:line="360" w:lineRule="auto"/>
        <w:ind w:firstLine="472" w:firstLineChars="196"/>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lang w:eastAsia="zh-CN"/>
        </w:rPr>
        <w:t>HZLKTLCG-2025-08</w:t>
      </w:r>
    </w:p>
    <w:p w14:paraId="3AA33AE6">
      <w:pPr>
        <w:spacing w:line="360" w:lineRule="auto"/>
        <w:rPr>
          <w:rFonts w:ascii="宋体" w:hAnsi="宋体" w:cs="宋体"/>
          <w:sz w:val="24"/>
        </w:rPr>
      </w:pPr>
      <w:r>
        <w:rPr>
          <w:rFonts w:hint="eastAsia" w:ascii="宋体" w:hAnsi="宋体" w:cs="宋体"/>
          <w:b/>
          <w:sz w:val="24"/>
        </w:rPr>
        <w:t xml:space="preserve">    项目名称：</w:t>
      </w:r>
      <w:r>
        <w:rPr>
          <w:rFonts w:hint="eastAsia" w:ascii="宋体" w:hAnsi="宋体" w:cs="宋体"/>
          <w:sz w:val="24"/>
          <w:lang w:eastAsia="zh-CN"/>
        </w:rPr>
        <w:t xml:space="preserve"> 富春江镇2025年度安全生产和消防安全社会化服务项目</w:t>
      </w:r>
    </w:p>
    <w:p w14:paraId="3F397731">
      <w:pPr>
        <w:spacing w:line="360" w:lineRule="auto"/>
        <w:rPr>
          <w:rFonts w:hint="default" w:ascii="宋体" w:hAnsi="宋体" w:eastAsia="宋体" w:cs="宋体"/>
          <w:sz w:val="24"/>
          <w:lang w:val="en-US" w:eastAsia="zh-CN"/>
        </w:rPr>
      </w:pPr>
      <w:r>
        <w:rPr>
          <w:rFonts w:hint="eastAsia" w:ascii="宋体" w:hAnsi="宋体" w:cs="宋体"/>
          <w:b/>
          <w:sz w:val="24"/>
        </w:rPr>
        <w:t xml:space="preserve">    预算金额（元）：</w:t>
      </w:r>
      <w:r>
        <w:rPr>
          <w:rFonts w:hint="eastAsia" w:ascii="宋体" w:hAnsi="宋体" w:cs="宋体"/>
          <w:sz w:val="24"/>
          <w:lang w:val="en-US" w:eastAsia="zh-CN"/>
        </w:rPr>
        <w:t>563000</w:t>
      </w:r>
    </w:p>
    <w:p w14:paraId="6A4C7453">
      <w:pPr>
        <w:spacing w:line="360" w:lineRule="auto"/>
        <w:ind w:left="239" w:leftChars="114" w:firstLine="241" w:firstLineChars="1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kern w:val="0"/>
          <w:sz w:val="24"/>
          <w:lang w:val="en-US" w:eastAsia="zh-CN"/>
        </w:rPr>
        <w:t>563000</w:t>
      </w:r>
    </w:p>
    <w:p w14:paraId="4BF1C885">
      <w:pPr>
        <w:pStyle w:val="9"/>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cs="宋体" w:asciiTheme="minorEastAsia" w:hAnsiTheme="minorEastAsia" w:eastAsiaTheme="minorEastAsia"/>
          <w:bCs/>
          <w:sz w:val="24"/>
          <w:lang w:eastAsia="zh-CN"/>
        </w:rPr>
        <w:t xml:space="preserve"> 富春江镇2025年度安全生产和消防安全社会化服务项目，</w:t>
      </w:r>
      <w:r>
        <w:rPr>
          <w:rFonts w:hint="eastAsia" w:cs="宋体" w:asciiTheme="minorEastAsia" w:hAnsiTheme="minorEastAsia" w:eastAsiaTheme="minorEastAsia"/>
          <w:bCs/>
          <w:sz w:val="24"/>
        </w:rPr>
        <w:t>详见招标文件第三部分采购需求。</w:t>
      </w:r>
    </w:p>
    <w:p w14:paraId="1FF899C8">
      <w:pPr>
        <w:keepNext w:val="0"/>
        <w:keepLines w:val="0"/>
        <w:pageBreakBefore w:val="0"/>
        <w:kinsoku/>
        <w:wordWrap/>
        <w:overflowPunct/>
        <w:topLinePunct w:val="0"/>
        <w:autoSpaceDE/>
        <w:autoSpaceDN/>
        <w:bidi w:val="0"/>
        <w:snapToGrid w:val="0"/>
        <w:spacing w:beforeLines="0" w:line="360" w:lineRule="auto"/>
        <w:ind w:firstLine="482" w:firstLineChars="200"/>
        <w:rPr>
          <w:rFonts w:hint="eastAsia" w:eastAsia="宋体" w:cs="宋体" w:asciiTheme="minorEastAsia" w:hAnsiTheme="minorEastAsia"/>
          <w:bCs/>
          <w:sz w:val="24"/>
          <w:highlight w:val="yellow"/>
          <w:lang w:val="en-US" w:eastAsia="zh-CN"/>
        </w:rPr>
      </w:pPr>
      <w:r>
        <w:rPr>
          <w:rFonts w:hint="eastAsia" w:hAnsi="宋体" w:cs="宋体"/>
          <w:b/>
          <w:color w:val="auto"/>
          <w:sz w:val="24"/>
          <w:highlight w:val="none"/>
        </w:rPr>
        <w:t>合同履约期限：</w:t>
      </w:r>
      <w:r>
        <w:rPr>
          <w:rFonts w:hint="eastAsia" w:ascii="宋体" w:hAnsi="宋体" w:eastAsia="宋体" w:cs="宋体"/>
          <w:sz w:val="24"/>
          <w:szCs w:val="24"/>
          <w:lang w:val="en-US" w:eastAsia="zh-CN"/>
        </w:rPr>
        <w:t>合同签订后一年</w:t>
      </w:r>
      <w:r>
        <w:rPr>
          <w:rFonts w:hint="eastAsia" w:ascii="宋体" w:hAnsi="宋体" w:cs="宋体"/>
          <w:sz w:val="24"/>
          <w:szCs w:val="24"/>
          <w:lang w:val="en-US" w:eastAsia="zh-CN"/>
        </w:rPr>
        <w:t>（服务费用达到合同金额，合同终止）</w:t>
      </w:r>
      <w:r>
        <w:rPr>
          <w:rFonts w:hint="eastAsia" w:ascii="宋体" w:hAnsi="宋体" w:eastAsia="宋体" w:cs="宋体"/>
          <w:sz w:val="24"/>
          <w:szCs w:val="24"/>
          <w:lang w:val="en-US" w:eastAsia="zh-CN"/>
        </w:rPr>
        <w:t>。</w:t>
      </w:r>
    </w:p>
    <w:p w14:paraId="00BE3C83">
      <w:pPr>
        <w:pStyle w:val="9"/>
        <w:spacing w:line="360" w:lineRule="auto"/>
        <w:ind w:firstLine="480"/>
        <w:rPr>
          <w:rFonts w:hint="eastAsia" w:hAnsi="宋体" w:eastAsia="宋体" w:cs="宋体"/>
          <w:b/>
          <w:sz w:val="24"/>
          <w:lang w:eastAsia="zh-CN"/>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sdt>
            <w:sdtPr>
              <w:rPr>
                <w:rFonts w:hint="eastAsia" w:hAnsi="宋体" w:cs="宋体"/>
                <w:sz w:val="24"/>
              </w:rPr>
              <w:id w:val="-668002043"/>
            </w:sdtPr>
            <w:sdtEndPr>
              <w:rPr>
                <w:rFonts w:hint="eastAsia" w:hAnsi="宋体" w:cs="宋体"/>
                <w:sz w:val="24"/>
              </w:rPr>
            </w:sdtEndPr>
            <w:sdtContent>
              <w:r>
                <w:rPr>
                  <w:rFonts w:hint="eastAsia" w:hAnsi="宋体" w:cs="宋体"/>
                  <w:color w:val="auto"/>
                  <w:kern w:val="0"/>
                  <w:sz w:val="24"/>
                </w:rPr>
                <w:t>☐</w:t>
              </w:r>
            </w:sdtContent>
          </w:sdt>
        </w:sdtContent>
      </w:sdt>
      <w:r>
        <w:rPr>
          <w:rFonts w:hint="eastAsia" w:hAnsi="宋体" w:cs="宋体"/>
          <w:b/>
          <w:color w:val="auto"/>
          <w:sz w:val="24"/>
        </w:rPr>
        <w:t>是，</w:t>
      </w:r>
      <w:sdt>
        <w:sdtPr>
          <w:rPr>
            <w:rFonts w:hint="eastAsia" w:hAnsi="宋体" w:cs="宋体"/>
            <w:color w:val="auto"/>
            <w:kern w:val="0"/>
            <w:sz w:val="24"/>
          </w:rPr>
          <w:id w:val="-1765526721"/>
        </w:sdtPr>
        <w:sdtEndPr>
          <w:rPr>
            <w:rFonts w:hint="eastAsia" w:hAnsi="宋体" w:cs="宋体"/>
            <w:color w:val="auto"/>
            <w:kern w:val="0"/>
            <w:sz w:val="24"/>
          </w:rPr>
        </w:sdtEndPr>
        <w:sdtContent>
          <w:sdt>
            <w:sdtPr>
              <w:rPr>
                <w:rFonts w:hint="eastAsia" w:hAnsi="宋体" w:cs="宋体"/>
                <w:sz w:val="24"/>
              </w:rPr>
              <w:id w:val="147452993"/>
              <w:showingPlcHdr/>
            </w:sdtPr>
            <w:sdtEndPr>
              <w:rPr>
                <w:rFonts w:hint="eastAsia" w:hAnsi="宋体" w:cs="宋体"/>
                <w:sz w:val="24"/>
              </w:rPr>
            </w:sdtEndPr>
            <w:sdtContent>
              <w:r>
                <w:rPr>
                  <w:rFonts w:ascii="Wingdings" w:hAnsi="Wingdings" w:cs="宋体"/>
                  <w:sz w:val="24"/>
                </w:rPr>
                <w:t></w:t>
              </w:r>
            </w:sdtContent>
          </w:sdt>
        </w:sdtContent>
      </w:sdt>
      <w:r>
        <w:rPr>
          <w:rFonts w:hint="eastAsia" w:hAnsi="宋体" w:cs="宋体"/>
          <w:b/>
          <w:color w:val="auto"/>
          <w:sz w:val="24"/>
        </w:rPr>
        <w:t>否</w:t>
      </w:r>
      <w:r>
        <w:rPr>
          <w:rFonts w:hint="eastAsia" w:hAnsi="宋体" w:cs="宋体"/>
          <w:color w:val="auto"/>
          <w:kern w:val="0"/>
          <w:sz w:val="24"/>
        </w:rPr>
        <w:t>。</w:t>
      </w:r>
    </w:p>
    <w:p w14:paraId="54B70A51">
      <w:pPr>
        <w:spacing w:line="360" w:lineRule="auto"/>
        <w:rPr>
          <w:rFonts w:ascii="宋体" w:hAnsi="宋体" w:cs="宋体"/>
          <w:b/>
          <w:sz w:val="24"/>
        </w:rPr>
      </w:pPr>
      <w:r>
        <w:rPr>
          <w:rFonts w:hint="eastAsia" w:ascii="宋体" w:hAnsi="宋体" w:cs="宋体"/>
          <w:b/>
          <w:sz w:val="24"/>
        </w:rPr>
        <w:t>二、申请人的资格要求：</w:t>
      </w:r>
    </w:p>
    <w:p w14:paraId="75ED8FD7">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A68957">
      <w:pPr>
        <w:spacing w:line="360" w:lineRule="auto"/>
        <w:ind w:firstLine="480"/>
        <w:rPr>
          <w:rFonts w:ascii="宋体" w:hAnsi="宋体" w:cs="宋体"/>
          <w:snapToGrid w:val="0"/>
          <w:kern w:val="28"/>
          <w:sz w:val="24"/>
          <w:szCs w:val="20"/>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A08AD1F">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.落实政府采购政策需满足的资格要求：</w:t>
      </w:r>
    </w:p>
    <w:p w14:paraId="43C89CF0">
      <w:pPr>
        <w:spacing w:line="360" w:lineRule="auto"/>
        <w:ind w:firstLine="480" w:firstLineChars="200"/>
        <w:rPr>
          <w:rFonts w:ascii="宋体" w:hAnsi="宋体" w:cs="宋体"/>
          <w:sz w:val="24"/>
        </w:rPr>
      </w:pPr>
      <w:sdt>
        <w:sdtPr>
          <w:rPr>
            <w:rFonts w:hint="eastAsia" w:ascii="宋体" w:hAnsi="宋体" w:cs="宋体"/>
            <w:sz w:val="24"/>
          </w:rPr>
          <w:id w:val="1928616923"/>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无；</w:t>
      </w:r>
    </w:p>
    <w:p w14:paraId="0175FD95">
      <w:pPr>
        <w:spacing w:line="360" w:lineRule="auto"/>
        <w:ind w:firstLine="480" w:firstLineChars="200"/>
        <w:rPr>
          <w:rFonts w:ascii="宋体" w:hAnsi="宋体" w:cs="宋体"/>
          <w:sz w:val="24"/>
        </w:rPr>
      </w:pPr>
      <w:sdt>
        <w:sdtPr>
          <w:rPr>
            <w:rFonts w:hint="eastAsia" w:ascii="宋体" w:hAnsi="宋体" w:cs="宋体"/>
            <w:sz w:val="24"/>
          </w:rPr>
          <w:id w:val="-1024704304"/>
        </w:sdtPr>
        <w:sdtEndPr>
          <w:rPr>
            <w:rFonts w:hint="eastAsia" w:ascii="宋体" w:hAnsi="宋体" w:cs="宋体"/>
            <w:sz w:val="24"/>
          </w:rPr>
        </w:sdtEndPr>
        <w:sdtContent>
          <w:sdt>
            <w:sdtPr>
              <w:rPr>
                <w:rFonts w:hint="eastAsia" w:ascii="宋体" w:hAnsi="宋体" w:cs="宋体"/>
                <w:sz w:val="24"/>
              </w:rPr>
              <w:id w:val="-609534070"/>
              <w:showingPlcHdr/>
            </w:sdtPr>
            <w:sdtEndPr>
              <w:rPr>
                <w:rFonts w:hint="eastAsia" w:ascii="宋体" w:hAnsi="宋体" w:cs="宋体"/>
                <w:sz w:val="24"/>
              </w:rPr>
            </w:sdtEndPr>
            <w:sdtContent>
              <w:r>
                <w:rPr>
                  <w:rFonts w:ascii="Wingdings" w:hAnsi="Wingdings" w:cs="宋体"/>
                  <w:sz w:val="24"/>
                </w:rPr>
                <w:sym w:font="Wingdings" w:char="00FE"/>
              </w:r>
            </w:sdtContent>
          </w:sdt>
        </w:sdtContent>
      </w:sdt>
      <w:r>
        <w:rPr>
          <w:rFonts w:hint="eastAsia" w:ascii="宋体" w:hAnsi="宋体" w:cs="宋体"/>
          <w:sz w:val="24"/>
        </w:rPr>
        <w:t>专门面向中小企业</w:t>
      </w:r>
    </w:p>
    <w:p w14:paraId="1C6F12E2">
      <w:pPr>
        <w:spacing w:line="360" w:lineRule="auto"/>
        <w:ind w:firstLine="480" w:firstLineChars="200"/>
        <w:rPr>
          <w:rFonts w:ascii="宋体" w:hAnsi="宋体" w:cs="宋体"/>
          <w:sz w:val="24"/>
        </w:rPr>
      </w:pPr>
      <w:sdt>
        <w:sdtPr>
          <w:rPr>
            <w:rFonts w:hint="eastAsia" w:ascii="宋体" w:hAnsi="宋体" w:cs="宋体"/>
            <w:sz w:val="24"/>
          </w:rPr>
          <w:id w:val="-924730588"/>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货物全部由符合政策要求的中小企业制造，提供中小企业声明函；</w:t>
      </w:r>
    </w:p>
    <w:p w14:paraId="6D1F14EA">
      <w:pPr>
        <w:spacing w:line="360" w:lineRule="auto"/>
        <w:ind w:firstLine="480" w:firstLineChars="200"/>
        <w:rPr>
          <w:rFonts w:ascii="宋体" w:hAnsi="宋体" w:cs="宋体"/>
          <w:sz w:val="24"/>
        </w:rPr>
      </w:pPr>
      <w:sdt>
        <w:sdtPr>
          <w:rPr>
            <w:rFonts w:hint="eastAsia" w:ascii="宋体" w:hAnsi="宋体" w:cs="宋体"/>
            <w:sz w:val="24"/>
          </w:rPr>
          <w:id w:val="-1152604937"/>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货物全部由符合政策要求的小微企业制造，提供中小企业声明函；</w:t>
      </w:r>
    </w:p>
    <w:p w14:paraId="7BEEA398">
      <w:pPr>
        <w:spacing w:line="360" w:lineRule="auto"/>
        <w:ind w:firstLine="480" w:firstLineChars="200"/>
        <w:rPr>
          <w:rFonts w:ascii="宋体" w:hAnsi="宋体" w:cs="宋体"/>
          <w:sz w:val="24"/>
        </w:rPr>
      </w:pPr>
      <w:sdt>
        <w:sdtPr>
          <w:rPr>
            <w:rFonts w:hint="eastAsia" w:ascii="宋体" w:hAnsi="宋体" w:cs="宋体"/>
            <w:sz w:val="24"/>
          </w:rPr>
          <w:id w:val="-333685401"/>
        </w:sdtPr>
        <w:sdtEndPr>
          <w:rPr>
            <w:rFonts w:hint="eastAsia" w:ascii="宋体" w:hAnsi="宋体" w:cs="宋体"/>
            <w:sz w:val="24"/>
          </w:rPr>
        </w:sdtEndPr>
        <w:sdtContent>
          <w:sdt>
            <w:sdtPr>
              <w:rPr>
                <w:rFonts w:hint="eastAsia" w:ascii="宋体" w:hAnsi="宋体" w:cs="宋体"/>
                <w:sz w:val="24"/>
              </w:rPr>
              <w:id w:val="-668002045"/>
            </w:sdtPr>
            <w:sdtEndPr>
              <w:rPr>
                <w:rFonts w:hint="eastAsia" w:ascii="宋体" w:hAnsi="宋体" w:cs="宋体"/>
                <w:sz w:val="24"/>
              </w:rPr>
            </w:sdtEndPr>
            <w:sdtContent>
              <w:sdt>
                <w:sdtPr>
                  <w:rPr>
                    <w:rFonts w:hint="eastAsia" w:ascii="宋体" w:hAnsi="宋体" w:cs="宋体"/>
                    <w:sz w:val="24"/>
                  </w:rPr>
                  <w:id w:val="147482707"/>
                  <w:showingPlcHdr/>
                </w:sdtPr>
                <w:sdtEndPr>
                  <w:rPr>
                    <w:rFonts w:hint="eastAsia" w:ascii="宋体" w:hAnsi="宋体" w:cs="宋体"/>
                    <w:sz w:val="24"/>
                  </w:rPr>
                </w:sdtEndPr>
                <w:sdtContent>
                  <w:r>
                    <w:rPr>
                      <w:rFonts w:ascii="Wingdings" w:hAnsi="Wingdings" w:cs="宋体"/>
                      <w:sz w:val="24"/>
                    </w:rPr>
                    <w:sym w:font="Wingdings" w:char="00FE"/>
                  </w:r>
                </w:sdtContent>
              </w:sdt>
            </w:sdtContent>
          </w:sdt>
        </w:sdtContent>
      </w:sdt>
      <w:r>
        <w:rPr>
          <w:rFonts w:hint="eastAsia" w:ascii="宋体" w:hAnsi="宋体" w:cs="宋体"/>
          <w:sz w:val="24"/>
        </w:rPr>
        <w:t>服务全部由符合政策要求的中小企业承接，提供中小企业声明函；</w:t>
      </w:r>
    </w:p>
    <w:p w14:paraId="6D348C1E">
      <w:pPr>
        <w:spacing w:line="360" w:lineRule="auto"/>
        <w:ind w:firstLine="480" w:firstLineChars="200"/>
      </w:pPr>
      <w:sdt>
        <w:sdtPr>
          <w:rPr>
            <w:rFonts w:hint="eastAsia" w:ascii="宋体" w:hAnsi="宋体" w:cs="宋体"/>
            <w:sz w:val="24"/>
          </w:rPr>
          <w:id w:val="-2141025358"/>
        </w:sdtPr>
        <w:sdtEndPr>
          <w:rPr>
            <w:rFonts w:hint="eastAsia" w:ascii="宋体" w:hAnsi="宋体" w:cs="宋体"/>
            <w:sz w:val="24"/>
          </w:rPr>
        </w:sdtEndPr>
        <w:sdtContent>
          <w:sdt>
            <w:sdtPr>
              <w:rPr>
                <w:rFonts w:hint="eastAsia" w:ascii="宋体" w:hAnsi="宋体" w:cs="宋体"/>
                <w:sz w:val="24"/>
              </w:rPr>
              <w:id w:val="-668002044"/>
            </w:sdtPr>
            <w:sdtEndPr>
              <w:rPr>
                <w:rFonts w:hint="eastAsia" w:ascii="宋体" w:hAnsi="宋体" w:cs="宋体"/>
                <w:sz w:val="24"/>
              </w:rPr>
            </w:sdtEndPr>
            <w:sdtContent>
              <w:sdt>
                <w:sdtPr>
                  <w:rPr>
                    <w:rFonts w:hint="eastAsia" w:ascii="宋体" w:hAnsi="宋体" w:cs="宋体"/>
                    <w:sz w:val="24"/>
                  </w:rPr>
                  <w:id w:val="147478348"/>
                  <w:showingPlcHdr/>
                </w:sdtPr>
                <w:sdtEndPr>
                  <w:rPr>
                    <w:rFonts w:hint="eastAsia" w:ascii="宋体" w:hAnsi="宋体" w:cs="宋体"/>
                    <w:sz w:val="24"/>
                  </w:rPr>
                </w:sdtEndPr>
                <w:sdtContent>
                  <w:r>
                    <w:rPr>
                      <w:rFonts w:ascii="Wingdings" w:hAnsi="Wingdings" w:cs="宋体"/>
                      <w:sz w:val="24"/>
                    </w:rPr>
                    <w:sym w:font="Wingdings" w:char="00FE"/>
                  </w:r>
                </w:sdtContent>
              </w:sdt>
            </w:sdtContent>
          </w:sdt>
        </w:sdtContent>
      </w:sdt>
      <w:r>
        <w:rPr>
          <w:rFonts w:hint="eastAsia" w:ascii="宋体" w:hAnsi="宋体" w:cs="宋体"/>
          <w:sz w:val="24"/>
        </w:rPr>
        <w:t>服务全部由符合政策要求的小微企业承接，提供中小企业声明函；</w:t>
      </w:r>
    </w:p>
    <w:p w14:paraId="00B6F7BC">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sdt>
            <w:sdtPr>
              <w:rPr>
                <w:rFonts w:hint="eastAsia" w:ascii="宋体" w:hAnsi="宋体" w:cs="宋体"/>
                <w:sz w:val="24"/>
              </w:rPr>
              <w:id w:val="147471968"/>
            </w:sdtPr>
            <w:sdtEndPr>
              <w:rPr>
                <w:rFonts w:hint="eastAsia" w:ascii="宋体" w:hAnsi="宋体" w:cs="宋体"/>
                <w:sz w:val="24"/>
              </w:rPr>
            </w:sdtEndPr>
            <w:sdtContent>
              <w:sdt>
                <w:sdtPr>
                  <w:rPr>
                    <w:rFonts w:hint="eastAsia" w:ascii="宋体" w:hAnsi="宋体" w:cs="宋体"/>
                    <w:sz w:val="24"/>
                  </w:rPr>
                  <w:id w:val="147473444"/>
                </w:sdtPr>
                <w:sdtEndPr>
                  <w:rPr>
                    <w:rFonts w:hint="eastAsia" w:ascii="宋体" w:hAnsi="宋体" w:cs="宋体"/>
                    <w:sz w:val="24"/>
                  </w:rPr>
                </w:sdtEndPr>
                <w:sdtContent>
                  <w:r>
                    <w:rPr>
                      <w:rFonts w:hint="eastAsia" w:ascii="MS Gothic" w:hAnsi="MS Gothic" w:cs="宋体"/>
                      <w:sz w:val="24"/>
                    </w:rPr>
                    <w:t>☐</w:t>
                  </w:r>
                  <w:r>
                    <w:rPr>
                      <w:rFonts w:hint="eastAsia" w:ascii="宋体" w:hAnsi="宋体" w:eastAsia="宋体" w:cs="宋体"/>
                      <w:sz w:val="24"/>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sdtContent>
              </w:sdt>
            </w:sdtContent>
          </w:sdt>
        </w:sdtContent>
      </w:sdt>
    </w:p>
    <w:p w14:paraId="1F495DB1">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 xml:space="preserve">； </w:t>
          </w:r>
        </w:sdtContent>
      </w:sdt>
    </w:p>
    <w:p w14:paraId="4C0D77A1">
      <w:pPr>
        <w:snapToGrid w:val="0"/>
        <w:spacing w:line="360" w:lineRule="auto"/>
        <w:ind w:left="479" w:leftChars="228" w:firstLine="0" w:firstLineChars="0"/>
        <w:rPr>
          <w:rFonts w:hint="eastAsia" w:ascii="宋体" w:hAnsi="宋体" w:eastAsia="宋体" w:cs="宋体"/>
          <w:color w:val="auto"/>
          <w:sz w:val="24"/>
          <w:highlight w:val="none"/>
          <w:lang w:val="en-US" w:eastAsia="zh-CN"/>
        </w:rPr>
      </w:pPr>
      <w:r>
        <w:rPr>
          <w:rFonts w:hint="eastAsia" w:ascii="宋体" w:hAnsi="宋体" w:cs="宋体"/>
          <w:color w:val="auto"/>
          <w:sz w:val="24"/>
          <w:lang w:val="en-US" w:eastAsia="zh-CN"/>
        </w:rPr>
        <w:t>4</w:t>
      </w:r>
      <w:r>
        <w:rPr>
          <w:rFonts w:hint="eastAsia" w:ascii="宋体" w:hAnsi="宋体" w:cs="宋体"/>
          <w:color w:val="auto"/>
          <w:sz w:val="24"/>
        </w:rPr>
        <w:t>.本项目的特定资格要求：</w:t>
      </w:r>
      <w:r>
        <w:rPr>
          <w:rFonts w:hint="eastAsia" w:ascii="宋体" w:hAnsi="宋体" w:cs="宋体"/>
          <w:color w:val="auto"/>
          <w:sz w:val="24"/>
        </w:rPr>
        <w:br w:type="textWrapping"/>
      </w: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0FC78782">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53B37A">
      <w:pPr>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9A4759">
      <w:pPr>
        <w:spacing w:line="360" w:lineRule="auto"/>
        <w:rPr>
          <w:rFonts w:ascii="宋体" w:hAnsi="宋体" w:cs="宋体"/>
          <w:b/>
          <w:sz w:val="24"/>
        </w:rPr>
      </w:pPr>
      <w:r>
        <w:rPr>
          <w:rFonts w:hint="eastAsia" w:ascii="宋体" w:hAnsi="宋体" w:cs="宋体"/>
          <w:b/>
          <w:sz w:val="24"/>
        </w:rPr>
        <w:t xml:space="preserve">三、获取招标文件 </w:t>
      </w:r>
    </w:p>
    <w:p w14:paraId="777412D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sz w:val="24"/>
          <w:highlight w:val="none"/>
        </w:rPr>
        <w:t>至</w:t>
      </w:r>
      <w:r>
        <w:rPr>
          <w:rFonts w:hint="eastAsia" w:cs="宋体" w:asciiTheme="minorEastAsia" w:hAnsiTheme="minorEastAsia" w:eastAsiaTheme="minorEastAsia"/>
          <w:sz w:val="24"/>
          <w:highlight w:val="none"/>
          <w:u w:val="single"/>
          <w:lang w:eastAsia="zh-CN"/>
        </w:rPr>
        <w:t xml:space="preserve">2025年 </w:t>
      </w:r>
      <w:r>
        <w:rPr>
          <w:rFonts w:hint="eastAsia" w:cs="宋体" w:asciiTheme="minorEastAsia" w:hAnsiTheme="minorEastAsia" w:eastAsiaTheme="minorEastAsia"/>
          <w:sz w:val="24"/>
          <w:highlight w:val="none"/>
          <w:u w:val="single"/>
          <w:lang w:val="en-US" w:eastAsia="zh-CN"/>
        </w:rPr>
        <w:t>04</w:t>
      </w:r>
      <w:r>
        <w:rPr>
          <w:rFonts w:hint="eastAsia" w:cs="宋体" w:asciiTheme="minorEastAsia" w:hAnsiTheme="minorEastAsia" w:eastAsiaTheme="minorEastAsia"/>
          <w:sz w:val="24"/>
          <w:highlight w:val="none"/>
          <w:u w:val="single"/>
          <w:lang w:eastAsia="zh-CN"/>
        </w:rPr>
        <w:t xml:space="preserve"> 月 </w:t>
      </w:r>
      <w:r>
        <w:rPr>
          <w:rFonts w:hint="eastAsia" w:cs="宋体" w:asciiTheme="minorEastAsia" w:hAnsiTheme="minorEastAsia" w:eastAsiaTheme="minorEastAsia"/>
          <w:sz w:val="24"/>
          <w:highlight w:val="none"/>
          <w:u w:val="single"/>
          <w:lang w:val="en-US" w:eastAsia="zh-CN"/>
        </w:rPr>
        <w:t>10</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分</w:t>
      </w:r>
      <w:r>
        <w:rPr>
          <w:rFonts w:hint="eastAsia" w:ascii="宋体" w:hAnsi="宋体" w:cs="宋体"/>
          <w:sz w:val="24"/>
        </w:rPr>
        <w:t>，每天上午00:00至12:00 ，下午12:00至23:59（北京时间，线上获取法定节假日均可，线下获取文件法定节假日除外）</w:t>
      </w:r>
    </w:p>
    <w:p w14:paraId="1B28E6E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481A61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641416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EA14FA1">
      <w:pPr>
        <w:spacing w:line="360" w:lineRule="auto"/>
        <w:rPr>
          <w:rFonts w:ascii="宋体" w:hAnsi="宋体" w:cs="宋体"/>
          <w:b/>
          <w:sz w:val="24"/>
        </w:rPr>
      </w:pPr>
      <w:r>
        <w:rPr>
          <w:rFonts w:hint="eastAsia" w:ascii="宋体" w:hAnsi="宋体" w:cs="宋体"/>
          <w:b/>
          <w:sz w:val="24"/>
        </w:rPr>
        <w:t>四、提交投标文件截止时间、开标时间和地点</w:t>
      </w:r>
    </w:p>
    <w:p w14:paraId="7F1F4944">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cs="宋体" w:asciiTheme="minorEastAsia" w:hAnsiTheme="minorEastAsia" w:eastAsiaTheme="minorEastAsia"/>
          <w:sz w:val="24"/>
          <w:highlight w:val="none"/>
          <w:u w:val="single"/>
          <w:lang w:eastAsia="zh-CN"/>
        </w:rPr>
        <w:t xml:space="preserve">2025年 </w:t>
      </w:r>
      <w:r>
        <w:rPr>
          <w:rFonts w:hint="eastAsia" w:cs="宋体" w:asciiTheme="minorEastAsia" w:hAnsiTheme="minorEastAsia" w:eastAsiaTheme="minorEastAsia"/>
          <w:sz w:val="24"/>
          <w:highlight w:val="none"/>
          <w:u w:val="single"/>
          <w:lang w:val="en-US" w:eastAsia="zh-CN"/>
        </w:rPr>
        <w:t>04</w:t>
      </w:r>
      <w:r>
        <w:rPr>
          <w:rFonts w:hint="eastAsia" w:cs="宋体" w:asciiTheme="minorEastAsia" w:hAnsiTheme="minorEastAsia" w:eastAsiaTheme="minorEastAsia"/>
          <w:sz w:val="24"/>
          <w:highlight w:val="none"/>
          <w:u w:val="single"/>
          <w:lang w:eastAsia="zh-CN"/>
        </w:rPr>
        <w:t xml:space="preserve"> 月 </w:t>
      </w:r>
      <w:r>
        <w:rPr>
          <w:rFonts w:hint="eastAsia" w:cs="宋体" w:asciiTheme="minorEastAsia" w:hAnsiTheme="minorEastAsia" w:eastAsiaTheme="minorEastAsia"/>
          <w:sz w:val="24"/>
          <w:highlight w:val="none"/>
          <w:u w:val="single"/>
          <w:lang w:val="en-US" w:eastAsia="zh-CN"/>
        </w:rPr>
        <w:t>10</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分</w:t>
      </w:r>
      <w:r>
        <w:rPr>
          <w:rFonts w:hint="eastAsia" w:ascii="宋体" w:hAnsi="宋体" w:cs="宋体"/>
          <w:sz w:val="24"/>
        </w:rPr>
        <w:t>（北京时间）</w:t>
      </w:r>
    </w:p>
    <w:p w14:paraId="2E5B522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9333C66">
      <w:pPr>
        <w:spacing w:line="360" w:lineRule="auto"/>
        <w:ind w:left="479" w:leftChars="228" w:firstLine="0" w:firstLineChars="0"/>
        <w:rPr>
          <w:rFonts w:ascii="宋体" w:hAnsi="宋体" w:cs="宋体"/>
          <w:sz w:val="24"/>
        </w:rPr>
      </w:pPr>
      <w:r>
        <w:rPr>
          <w:rFonts w:hint="eastAsia" w:ascii="宋体" w:hAnsi="宋体" w:cs="宋体"/>
          <w:b/>
          <w:sz w:val="24"/>
        </w:rPr>
        <w:t>开标时间：</w:t>
      </w:r>
      <w:r>
        <w:rPr>
          <w:rFonts w:hint="eastAsia" w:cs="宋体" w:asciiTheme="minorEastAsia" w:hAnsiTheme="minorEastAsia" w:eastAsiaTheme="minorEastAsia"/>
          <w:sz w:val="24"/>
          <w:highlight w:val="none"/>
          <w:u w:val="single"/>
          <w:lang w:eastAsia="zh-CN"/>
        </w:rPr>
        <w:t xml:space="preserve">2025年 </w:t>
      </w:r>
      <w:r>
        <w:rPr>
          <w:rFonts w:hint="eastAsia" w:cs="宋体" w:asciiTheme="minorEastAsia" w:hAnsiTheme="minorEastAsia" w:eastAsiaTheme="minorEastAsia"/>
          <w:sz w:val="24"/>
          <w:highlight w:val="none"/>
          <w:u w:val="single"/>
          <w:lang w:val="en-US" w:eastAsia="zh-CN"/>
        </w:rPr>
        <w:t>04</w:t>
      </w:r>
      <w:r>
        <w:rPr>
          <w:rFonts w:hint="eastAsia" w:cs="宋体" w:asciiTheme="minorEastAsia" w:hAnsiTheme="minorEastAsia" w:eastAsiaTheme="minorEastAsia"/>
          <w:sz w:val="24"/>
          <w:highlight w:val="none"/>
          <w:u w:val="single"/>
          <w:lang w:eastAsia="zh-CN"/>
        </w:rPr>
        <w:t xml:space="preserve"> 月 </w:t>
      </w:r>
      <w:r>
        <w:rPr>
          <w:rFonts w:hint="eastAsia" w:cs="宋体" w:asciiTheme="minorEastAsia" w:hAnsiTheme="minorEastAsia" w:eastAsiaTheme="minorEastAsia"/>
          <w:sz w:val="24"/>
          <w:highlight w:val="none"/>
          <w:u w:val="single"/>
          <w:lang w:val="en-US" w:eastAsia="zh-CN"/>
        </w:rPr>
        <w:t>10</w:t>
      </w:r>
      <w:r>
        <w:rPr>
          <w:rFonts w:hint="eastAsia" w:cs="宋体" w:asciiTheme="minorEastAsia" w:hAnsiTheme="minorEastAsia" w:eastAsiaTheme="minorEastAsia"/>
          <w:sz w:val="24"/>
          <w:highlight w:val="none"/>
          <w:u w:val="single"/>
          <w:lang w:eastAsia="zh-CN"/>
        </w:rPr>
        <w:t>日09点</w:t>
      </w:r>
      <w:r>
        <w:rPr>
          <w:rFonts w:hint="eastAsia" w:cs="宋体" w:asciiTheme="minorEastAsia" w:hAnsiTheme="minorEastAsia" w:eastAsiaTheme="minorEastAsia"/>
          <w:sz w:val="24"/>
          <w:highlight w:val="none"/>
          <w:u w:val="single"/>
          <w:lang w:val="en-US" w:eastAsia="zh-CN"/>
        </w:rPr>
        <w:t>30</w:t>
      </w:r>
      <w:r>
        <w:rPr>
          <w:rFonts w:hint="eastAsia" w:cs="宋体" w:asciiTheme="minorEastAsia" w:hAnsiTheme="minorEastAsia" w:eastAsiaTheme="minorEastAsia"/>
          <w:sz w:val="24"/>
          <w:highlight w:val="none"/>
          <w:u w:val="single"/>
          <w:lang w:eastAsia="zh-CN"/>
        </w:rPr>
        <w:t>分</w:t>
      </w:r>
      <w:r>
        <w:rPr>
          <w:rFonts w:hint="eastAsia" w:cs="宋体" w:asciiTheme="minorEastAsia" w:hAnsiTheme="minorEastAsia" w:eastAsiaTheme="minorEastAsia"/>
          <w:sz w:val="24"/>
          <w:highlight w:val="none"/>
          <w:u w:val="single"/>
          <w:lang w:eastAsia="zh-CN"/>
        </w:rPr>
        <w:br w:type="textWrapping"/>
      </w:r>
      <w:r>
        <w:rPr>
          <w:rFonts w:hint="eastAsia" w:ascii="宋体" w:hAnsi="宋体" w:cs="宋体"/>
          <w:b/>
          <w:sz w:val="24"/>
        </w:rPr>
        <w:t>开标地点（网址）：</w:t>
      </w:r>
      <w:r>
        <w:rPr>
          <w:rFonts w:hint="eastAsia" w:ascii="宋体" w:hAnsi="宋体" w:cs="宋体"/>
          <w:sz w:val="24"/>
        </w:rPr>
        <w:t>政采云平台（https://www.zcygov.cn/）</w:t>
      </w:r>
    </w:p>
    <w:p w14:paraId="356612DD">
      <w:pPr>
        <w:spacing w:line="360" w:lineRule="auto"/>
        <w:rPr>
          <w:rFonts w:ascii="宋体" w:hAnsi="宋体" w:cs="宋体"/>
          <w:sz w:val="24"/>
        </w:rPr>
      </w:pPr>
      <w:r>
        <w:rPr>
          <w:rFonts w:hint="eastAsia" w:ascii="宋体" w:hAnsi="宋体" w:cs="宋体"/>
          <w:b/>
          <w:sz w:val="24"/>
        </w:rPr>
        <w:t xml:space="preserve">五、公告期限 </w:t>
      </w:r>
    </w:p>
    <w:p w14:paraId="50879C4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9631803">
      <w:pPr>
        <w:spacing w:line="360" w:lineRule="auto"/>
        <w:rPr>
          <w:rFonts w:ascii="宋体" w:hAnsi="宋体" w:cs="宋体"/>
          <w:b/>
          <w:sz w:val="24"/>
        </w:rPr>
      </w:pPr>
      <w:r>
        <w:rPr>
          <w:rFonts w:hint="eastAsia" w:ascii="宋体" w:hAnsi="宋体" w:cs="宋体"/>
          <w:b/>
          <w:sz w:val="24"/>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888395">
      <w:pPr>
        <w:spacing w:line="360" w:lineRule="auto"/>
        <w:ind w:firstLine="480" w:firstLineChars="200"/>
        <w:rPr>
          <w:rFonts w:ascii="宋体" w:hAnsi="宋体" w:cs="宋体"/>
          <w:sz w:val="24"/>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5278309">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91132B5">
      <w:pPr>
        <w:spacing w:line="360" w:lineRule="auto"/>
        <w:rPr>
          <w:rFonts w:ascii="宋体" w:hAnsi="宋体" w:cs="宋体"/>
          <w:sz w:val="24"/>
        </w:rPr>
      </w:pPr>
      <w:r>
        <w:rPr>
          <w:rFonts w:hint="eastAsia" w:ascii="宋体" w:hAnsi="宋体" w:cs="宋体"/>
          <w:sz w:val="24"/>
        </w:rPr>
        <w:t xml:space="preserve">    1.采购人信息</w:t>
      </w:r>
    </w:p>
    <w:p w14:paraId="46B886A1">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桐庐县富春江镇人民政府</w:t>
      </w:r>
    </w:p>
    <w:p w14:paraId="5E53AF60">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桐庐县富春江镇</w:t>
      </w:r>
      <w:r>
        <w:rPr>
          <w:rFonts w:hint="eastAsia" w:ascii="宋体" w:hAnsi="宋体" w:cs="宋体"/>
          <w:sz w:val="24"/>
        </w:rPr>
        <w:t xml:space="preserve">  </w:t>
      </w:r>
    </w:p>
    <w:p w14:paraId="12540011">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：王诗豪</w:t>
      </w:r>
    </w:p>
    <w:p w14:paraId="788D3309">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eastAsia="zh-CN"/>
        </w:rPr>
        <w:t xml:space="preserve">18357190606 </w:t>
      </w:r>
    </w:p>
    <w:p w14:paraId="79F849C2">
      <w:pPr>
        <w:spacing w:line="360" w:lineRule="auto"/>
        <w:ind w:firstLine="480" w:firstLineChars="200"/>
        <w:rPr>
          <w:rFonts w:hint="eastAsia" w:ascii="宋体" w:hAnsi="宋体" w:cs="宋体"/>
          <w:sz w:val="24"/>
          <w:lang w:val="en-US" w:eastAsia="zh-CN"/>
        </w:rPr>
      </w:pPr>
      <w:r>
        <w:rPr>
          <w:rFonts w:hint="eastAsia" w:ascii="宋体" w:hAnsi="宋体" w:cs="宋体"/>
          <w:sz w:val="24"/>
        </w:rPr>
        <w:t>质疑联系人： 陈剑</w:t>
      </w:r>
    </w:p>
    <w:p w14:paraId="7B61D8E7">
      <w:pPr>
        <w:spacing w:line="360" w:lineRule="auto"/>
        <w:ind w:firstLine="480" w:firstLineChars="200"/>
        <w:rPr>
          <w:rFonts w:hint="default" w:ascii="宋体" w:hAnsi="宋体" w:cs="宋体"/>
          <w:sz w:val="24"/>
          <w:lang w:val="en-US" w:eastAsia="zh-CN"/>
        </w:rPr>
      </w:pPr>
      <w:r>
        <w:rPr>
          <w:rFonts w:hint="eastAsia" w:ascii="宋体" w:hAnsi="宋体" w:cs="宋体"/>
          <w:sz w:val="24"/>
        </w:rPr>
        <w:t>质疑联系方式：15067105754</w:t>
      </w:r>
    </w:p>
    <w:p w14:paraId="3E3B7120">
      <w:pPr>
        <w:spacing w:line="360" w:lineRule="auto"/>
        <w:rPr>
          <w:rFonts w:ascii="宋体" w:hAnsi="宋体" w:cs="宋体"/>
          <w:sz w:val="24"/>
        </w:rPr>
      </w:pPr>
    </w:p>
    <w:p w14:paraId="4AF99895">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1274F9F4">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杭州龙魁工程管理有限公司</w:t>
      </w:r>
    </w:p>
    <w:p w14:paraId="130C3A5E">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桐庐县城南街道迎春南路61号萧商大厦20楼</w:t>
      </w:r>
      <w:r>
        <w:rPr>
          <w:rFonts w:hint="eastAsia" w:ascii="宋体" w:hAnsi="宋体" w:cs="宋体"/>
          <w:sz w:val="24"/>
        </w:rPr>
        <w:t xml:space="preserve">           </w:t>
      </w:r>
    </w:p>
    <w:p w14:paraId="6B01E777">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王超</w:t>
      </w:r>
      <w:r>
        <w:rPr>
          <w:rFonts w:hint="eastAsia" w:ascii="宋体" w:hAnsi="宋体" w:cs="宋体"/>
          <w:sz w:val="24"/>
        </w:rPr>
        <w:t xml:space="preserve">         </w:t>
      </w:r>
    </w:p>
    <w:p w14:paraId="5AA5127B">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eastAsia="zh-CN"/>
        </w:rPr>
        <w:t>13758248175</w:t>
      </w:r>
      <w:r>
        <w:rPr>
          <w:rFonts w:hint="eastAsia" w:ascii="宋体" w:hAnsi="宋体" w:cs="宋体"/>
          <w:sz w:val="24"/>
        </w:rPr>
        <w:t xml:space="preserve"> </w:t>
      </w:r>
    </w:p>
    <w:p w14:paraId="4ACEE6DC">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 xml:space="preserve">朱明剑 </w:t>
      </w:r>
      <w:r>
        <w:rPr>
          <w:rFonts w:hint="eastAsia" w:ascii="宋体" w:hAnsi="宋体" w:cs="宋体"/>
          <w:sz w:val="24"/>
        </w:rPr>
        <w:t xml:space="preserve">             </w:t>
      </w:r>
    </w:p>
    <w:p w14:paraId="0BC5C284">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18106518131</w:t>
      </w:r>
    </w:p>
    <w:p w14:paraId="7F9E7735">
      <w:pPr>
        <w:spacing w:line="360" w:lineRule="auto"/>
        <w:rPr>
          <w:rFonts w:ascii="宋体" w:hAnsi="宋体" w:cs="宋体"/>
          <w:sz w:val="24"/>
        </w:rPr>
      </w:pPr>
    </w:p>
    <w:p w14:paraId="3DC11800">
      <w:pPr>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1B25F34A">
      <w:pPr>
        <w:spacing w:line="360" w:lineRule="auto"/>
        <w:ind w:firstLine="480"/>
        <w:rPr>
          <w:rFonts w:hint="eastAsia" w:ascii="宋体" w:hAnsi="宋体" w:cs="宋体"/>
          <w:spacing w:val="-11"/>
          <w:sz w:val="24"/>
        </w:rPr>
      </w:pPr>
      <w:r>
        <w:rPr>
          <w:rFonts w:hint="eastAsia" w:ascii="宋体" w:hAnsi="宋体" w:cs="宋体"/>
          <w:sz w:val="24"/>
        </w:rPr>
        <w:t>名    称：</w:t>
      </w:r>
      <w:r>
        <w:rPr>
          <w:rFonts w:hint="eastAsia" w:ascii="宋体" w:hAnsi="宋体" w:cs="宋体"/>
          <w:spacing w:val="-11"/>
          <w:sz w:val="24"/>
        </w:rPr>
        <w:t>桐庐县财政局政府采购监管科、浙江省政府采购行政裁决服务中心（杭州）</w:t>
      </w:r>
    </w:p>
    <w:p w14:paraId="3422E096">
      <w:pPr>
        <w:spacing w:line="360" w:lineRule="auto"/>
        <w:ind w:firstLine="480" w:firstLineChars="200"/>
        <w:rPr>
          <w:rFonts w:hint="eastAsia" w:ascii="宋体" w:hAnsi="宋体" w:cs="宋体"/>
          <w:sz w:val="24"/>
        </w:rPr>
      </w:pPr>
      <w:r>
        <w:rPr>
          <w:rFonts w:hint="eastAsia" w:ascii="宋体" w:hAnsi="宋体" w:cs="宋体"/>
          <w:sz w:val="24"/>
        </w:rPr>
        <w:t>地    址：杭州市上城区清泰街549号城建综合大楼11楼（快递仅限ems或顺丰）</w:t>
      </w:r>
    </w:p>
    <w:p w14:paraId="774BCD7F">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cs="宋体"/>
          <w:sz w:val="24"/>
          <w:lang w:eastAsia="zh-CN"/>
        </w:rPr>
        <w:t>朱女士、王女士</w:t>
      </w:r>
      <w:r>
        <w:rPr>
          <w:rFonts w:hint="eastAsia" w:ascii="宋体" w:hAnsi="宋体" w:cs="宋体"/>
          <w:sz w:val="24"/>
        </w:rPr>
        <w:t xml:space="preserve">  </w:t>
      </w:r>
    </w:p>
    <w:p w14:paraId="3B57C22A">
      <w:pPr>
        <w:spacing w:line="360" w:lineRule="auto"/>
        <w:ind w:firstLine="480" w:firstLineChars="200"/>
        <w:rPr>
          <w:rFonts w:ascii="宋体" w:hAnsi="宋体" w:cs="宋体"/>
          <w:sz w:val="24"/>
        </w:rPr>
      </w:pPr>
      <w:r>
        <w:rPr>
          <w:rFonts w:hint="eastAsia" w:ascii="宋体" w:hAnsi="宋体" w:cs="宋体"/>
          <w:sz w:val="24"/>
        </w:rPr>
        <w:t xml:space="preserve">监督投诉电话：0571-87227671,0571-87800218     </w:t>
      </w:r>
    </w:p>
    <w:p w14:paraId="43012D3B">
      <w:pPr>
        <w:spacing w:line="360" w:lineRule="auto"/>
        <w:ind w:firstLine="480" w:firstLineChars="200"/>
        <w:rPr>
          <w:rFonts w:ascii="宋体" w:hAnsi="宋体" w:cs="宋体"/>
          <w:sz w:val="24"/>
        </w:rPr>
      </w:pPr>
    </w:p>
    <w:p w14:paraId="0AC11F88">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72B214BD">
      <w:pPr>
        <w:spacing w:line="360" w:lineRule="auto"/>
        <w:ind w:firstLine="480" w:firstLineChars="200"/>
        <w:jc w:val="center"/>
        <w:rPr>
          <w:rFonts w:ascii="宋体" w:hAnsi="宋体" w:cs="宋体"/>
          <w:b/>
          <w:sz w:val="36"/>
          <w:szCs w:val="20"/>
        </w:rPr>
      </w:pPr>
      <w:r>
        <w:rPr>
          <w:rFonts w:hint="eastAsia" w:ascii="宋体" w:hAnsi="宋体" w:cs="宋体"/>
          <w:sz w:val="24"/>
        </w:rPr>
        <w:t>CA问题联系电话（人工）：汇信CA 400-888-4636；天谷CA 400-087-8198。</w:t>
      </w:r>
      <w:r>
        <w:rPr>
          <w:rFonts w:hint="eastAsia" w:ascii="宋体" w:hAnsi="宋体" w:cs="宋体"/>
          <w:b/>
          <w:sz w:val="36"/>
          <w:szCs w:val="20"/>
        </w:rPr>
        <w:br w:type="page"/>
      </w:r>
      <w:r>
        <w:rPr>
          <w:rFonts w:hint="eastAsia" w:ascii="宋体" w:hAnsi="宋体" w:cs="宋体"/>
          <w:b/>
          <w:sz w:val="36"/>
          <w:szCs w:val="20"/>
        </w:rPr>
        <w:t>第二部分</w:t>
      </w:r>
      <w:bookmarkEnd w:id="5"/>
      <w:r>
        <w:rPr>
          <w:rFonts w:hint="eastAsia" w:ascii="宋体" w:hAnsi="宋体" w:cs="宋体"/>
          <w:b/>
          <w:sz w:val="36"/>
          <w:szCs w:val="20"/>
        </w:rPr>
        <w:t xml:space="preserve"> 投标人须知</w:t>
      </w:r>
      <w:bookmarkEnd w:id="6"/>
    </w:p>
    <w:p w14:paraId="19BC60DE">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14:paraId="784F1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63F49AB4">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891E69">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14:paraId="03D29876">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本项目的特别规定</w:t>
            </w:r>
          </w:p>
        </w:tc>
      </w:tr>
      <w:tr w14:paraId="7B0C4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218AD1F">
            <w:pPr>
              <w:snapToGrid w:val="0"/>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5F4C7D6">
            <w:pPr>
              <w:snapToGrid w:val="0"/>
              <w:spacing w:line="360" w:lineRule="auto"/>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项目属性</w:t>
            </w:r>
          </w:p>
        </w:tc>
        <w:tc>
          <w:tcPr>
            <w:tcW w:w="6506" w:type="dxa"/>
            <w:tcBorders>
              <w:top w:val="single" w:color="000000" w:sz="8" w:space="0"/>
              <w:left w:val="single" w:color="000000" w:sz="2" w:space="0"/>
              <w:bottom w:val="single" w:color="000000" w:sz="8" w:space="0"/>
              <w:right w:val="single" w:color="000000" w:sz="8" w:space="0"/>
            </w:tcBorders>
            <w:vAlign w:val="center"/>
          </w:tcPr>
          <w:p w14:paraId="0C6FC34D">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服务类。</w:t>
            </w:r>
          </w:p>
        </w:tc>
      </w:tr>
      <w:tr w14:paraId="1B329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B80D1CB">
            <w:pPr>
              <w:snapToGrid w:val="0"/>
              <w:spacing w:line="360" w:lineRule="auto"/>
              <w:jc w:val="center"/>
              <w:rPr>
                <w:rFonts w:hint="eastAsia" w:asciiTheme="minorEastAsia" w:hAnsiTheme="minorEastAsia" w:eastAsiaTheme="minorEastAsia" w:cstheme="minorEastAsia"/>
                <w:sz w:val="24"/>
                <w:szCs w:val="24"/>
              </w:rPr>
            </w:pPr>
          </w:p>
          <w:p w14:paraId="7F0C1463">
            <w:pPr>
              <w:snapToGrid w:val="0"/>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CCF0213">
            <w:pPr>
              <w:snapToGrid w:val="0"/>
              <w:spacing w:line="360" w:lineRule="auto"/>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采购标的及其对应的中小企业划分标准所属行业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14:paraId="5F3DA071">
            <w:pPr>
              <w:snapToGrid w:val="0"/>
              <w:spacing w:line="360" w:lineRule="auto"/>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auto"/>
                <w:kern w:val="0"/>
                <w:sz w:val="24"/>
                <w:szCs w:val="24"/>
              </w:rPr>
              <w:t>（1）标的：</w:t>
            </w:r>
            <w:r>
              <w:rPr>
                <w:rFonts w:hint="eastAsia" w:asciiTheme="minorEastAsia" w:hAnsiTheme="minorEastAsia" w:eastAsiaTheme="minorEastAsia" w:cstheme="minorEastAsia"/>
                <w:sz w:val="24"/>
                <w:szCs w:val="24"/>
                <w:u w:val="single"/>
                <w:lang w:eastAsia="zh-CN"/>
              </w:rPr>
              <w:t>富春江镇2025年度安全生产和消防安全社会化服务项目</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color w:val="auto"/>
                <w:kern w:val="0"/>
                <w:sz w:val="24"/>
                <w:szCs w:val="24"/>
                <w:highlight w:val="none"/>
                <w:u w:val="single"/>
              </w:rPr>
              <w:t>其他未列明行业</w:t>
            </w:r>
            <w:r>
              <w:rPr>
                <w:rFonts w:hint="eastAsia" w:asciiTheme="minorEastAsia" w:hAnsiTheme="minorEastAsia" w:eastAsiaTheme="minorEastAsia" w:cstheme="minorEastAsia"/>
                <w:color w:val="auto"/>
                <w:kern w:val="0"/>
                <w:sz w:val="24"/>
                <w:szCs w:val="24"/>
              </w:rPr>
              <w:t>；</w:t>
            </w:r>
          </w:p>
          <w:p w14:paraId="18B4E64E">
            <w:pPr>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中小企业划型标准详见：工信部联企业〔2011〕300号</w:t>
            </w:r>
          </w:p>
        </w:tc>
      </w:tr>
      <w:tr w14:paraId="6E5C3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5A65FAF">
            <w:pPr>
              <w:snapToGrid w:val="0"/>
              <w:spacing w:line="360" w:lineRule="auto"/>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EC0D43F">
            <w:pPr>
              <w:snapToGrid w:val="0"/>
              <w:spacing w:line="360" w:lineRule="auto"/>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3C187FD6">
            <w:pPr>
              <w:spacing w:line="360" w:lineRule="auto"/>
              <w:rPr>
                <w:rFonts w:hint="eastAsia" w:asciiTheme="minorEastAsia" w:hAnsiTheme="minorEastAsia" w:eastAsiaTheme="minorEastAsia" w:cstheme="minorEastAsia"/>
                <w:kern w:val="0"/>
                <w:sz w:val="24"/>
                <w:szCs w:val="24"/>
              </w:rPr>
            </w:pPr>
            <w:sdt>
              <w:sdtPr>
                <w:rPr>
                  <w:rFonts w:hint="eastAsia" w:asciiTheme="minorEastAsia" w:hAnsiTheme="minorEastAsia" w:eastAsiaTheme="minorEastAsia" w:cstheme="minorEastAsia"/>
                  <w:kern w:val="0"/>
                  <w:sz w:val="24"/>
                  <w:szCs w:val="24"/>
                </w:rPr>
                <w:id w:val="-182842570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sym w:font="Wingdings" w:char="F0FE"/>
                </w:r>
              </w:sdtContent>
            </w:sdt>
            <w:r>
              <w:rPr>
                <w:rFonts w:hint="eastAsia" w:asciiTheme="minorEastAsia" w:hAnsiTheme="minorEastAsia" w:eastAsiaTheme="minorEastAsia" w:cstheme="minorEastAsia"/>
                <w:kern w:val="0"/>
                <w:sz w:val="24"/>
                <w:szCs w:val="24"/>
              </w:rPr>
              <w:t>本项目不允许采购进口产品。</w:t>
            </w:r>
          </w:p>
          <w:p w14:paraId="629DCE3E">
            <w:pPr>
              <w:spacing w:line="360" w:lineRule="auto"/>
              <w:rPr>
                <w:rFonts w:hint="eastAsia" w:asciiTheme="minorEastAsia" w:hAnsiTheme="minorEastAsia" w:eastAsiaTheme="minorEastAsia" w:cstheme="minorEastAsia"/>
                <w:kern w:val="2"/>
                <w:sz w:val="24"/>
                <w:szCs w:val="24"/>
                <w:lang w:val="en-US" w:eastAsia="zh-CN" w:bidi="ar-SA"/>
              </w:rPr>
            </w:pPr>
            <w:sdt>
              <w:sdtPr>
                <w:rPr>
                  <w:rFonts w:hint="eastAsia" w:asciiTheme="minorEastAsia" w:hAnsiTheme="minorEastAsia" w:eastAsiaTheme="minorEastAsia" w:cstheme="minorEastAsia"/>
                  <w:kern w:val="0"/>
                  <w:sz w:val="24"/>
                  <w:szCs w:val="24"/>
                </w:rPr>
                <w:id w:val="-5285282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t>☐</w:t>
                </w:r>
              </w:sdtContent>
            </w:sdt>
            <w:r>
              <w:rPr>
                <w:rFonts w:hint="eastAsia" w:asciiTheme="minorEastAsia" w:hAnsiTheme="minorEastAsia" w:eastAsiaTheme="minorEastAsia" w:cstheme="minorEastAsia"/>
                <w:kern w:val="0"/>
                <w:sz w:val="24"/>
                <w:szCs w:val="24"/>
              </w:rPr>
              <w:t>可以就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rPr>
              <w:t>采购进口产品。</w:t>
            </w:r>
          </w:p>
        </w:tc>
      </w:tr>
      <w:tr w14:paraId="75518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72BB931">
            <w:pPr>
              <w:snapToGrid w:val="0"/>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00EFCC">
            <w:pPr>
              <w:snapToGrid w:val="0"/>
              <w:spacing w:line="360" w:lineRule="auto"/>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14:paraId="37D0B04F">
            <w:pPr>
              <w:spacing w:line="360" w:lineRule="auto"/>
              <w:rPr>
                <w:rFonts w:hint="eastAsia" w:ascii="宋体" w:hAnsi="宋体" w:cs="宋体"/>
                <w:color w:val="auto"/>
                <w:sz w:val="24"/>
                <w:highlight w:val="none"/>
              </w:rPr>
            </w:pPr>
            <w:sdt>
              <w:sdtPr>
                <w:rPr>
                  <w:rFonts w:hint="eastAsia" w:asciiTheme="minorEastAsia" w:hAnsiTheme="minorEastAsia" w:eastAsiaTheme="minorEastAsia" w:cstheme="minorEastAsia"/>
                  <w:kern w:val="0"/>
                  <w:sz w:val="24"/>
                  <w:szCs w:val="24"/>
                </w:rPr>
                <w:id w:val="-1477286927"/>
                <w:showingPlcHdr/>
              </w:sdtPr>
              <w:sdtEndPr>
                <w:rPr>
                  <w:rFonts w:hint="eastAsia" w:asciiTheme="minorEastAsia" w:hAnsiTheme="minorEastAsia" w:eastAsiaTheme="minorEastAsia" w:cstheme="minorEastAsia"/>
                  <w:kern w:val="0"/>
                  <w:sz w:val="24"/>
                  <w:szCs w:val="24"/>
                </w:rPr>
              </w:sdtEndPr>
              <w:sdtContent/>
            </w:sdt>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0C12523">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color w:val="auto"/>
                <w:sz w:val="24"/>
                <w:highlight w:val="none"/>
              </w:rPr>
              <w:t>注：不得限制大中型企业向小微企业合理分包。</w:t>
            </w:r>
          </w:p>
        </w:tc>
      </w:tr>
      <w:tr w14:paraId="5E54C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BCC4214">
            <w:pPr>
              <w:snapToGrid w:val="0"/>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8FFE5F">
            <w:pPr>
              <w:snapToGrid w:val="0"/>
              <w:spacing w:line="360" w:lineRule="auto"/>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14:paraId="21216F57">
            <w:pPr>
              <w:spacing w:line="360" w:lineRule="auto"/>
              <w:rPr>
                <w:rFonts w:hint="eastAsia" w:asciiTheme="minorEastAsia" w:hAnsiTheme="minorEastAsia" w:eastAsiaTheme="minorEastAsia" w:cstheme="minorEastAsia"/>
                <w:kern w:val="2"/>
                <w:sz w:val="24"/>
                <w:szCs w:val="24"/>
                <w:lang w:val="en-US" w:eastAsia="zh-CN" w:bidi="ar-SA"/>
              </w:rPr>
            </w:pPr>
            <w:sdt>
              <w:sdtPr>
                <w:rPr>
                  <w:rFonts w:hint="eastAsia" w:asciiTheme="minorEastAsia" w:hAnsiTheme="minorEastAsia" w:eastAsiaTheme="minorEastAsia" w:cstheme="minorEastAsia"/>
                  <w:kern w:val="0"/>
                  <w:sz w:val="24"/>
                  <w:szCs w:val="24"/>
                </w:rPr>
                <w:id w:val="-212966419"/>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sym w:font="Wingdings" w:char="F0FE"/>
                </w:r>
              </w:sdtContent>
            </w:sdt>
            <w:r>
              <w:rPr>
                <w:rFonts w:hint="eastAsia" w:asciiTheme="minorEastAsia" w:hAnsiTheme="minorEastAsia" w:eastAsiaTheme="minorEastAsia" w:cstheme="minorEastAsia"/>
                <w:kern w:val="0"/>
                <w:sz w:val="24"/>
                <w:szCs w:val="24"/>
              </w:rPr>
              <w:t>A</w:t>
            </w:r>
            <w:r>
              <w:rPr>
                <w:rFonts w:hint="eastAsia" w:asciiTheme="minorEastAsia" w:hAnsiTheme="minorEastAsia" w:eastAsiaTheme="minorEastAsia" w:cstheme="minorEastAsia"/>
                <w:sz w:val="24"/>
                <w:szCs w:val="24"/>
              </w:rPr>
              <w:t>不组织。</w:t>
            </w:r>
          </w:p>
        </w:tc>
      </w:tr>
      <w:tr w14:paraId="6C523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F4E831E">
            <w:pPr>
              <w:snapToGrid w:val="0"/>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E384DCC">
            <w:pPr>
              <w:snapToGrid w:val="0"/>
              <w:spacing w:line="360" w:lineRule="auto"/>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14:paraId="29E11A01">
            <w:pPr>
              <w:spacing w:line="360" w:lineRule="auto"/>
              <w:rPr>
                <w:rFonts w:hint="eastAsia" w:asciiTheme="minorEastAsia" w:hAnsiTheme="minorEastAsia" w:eastAsiaTheme="minorEastAsia" w:cstheme="minorEastAsia"/>
                <w:b/>
                <w:kern w:val="2"/>
                <w:sz w:val="24"/>
                <w:szCs w:val="24"/>
                <w:lang w:val="en-US" w:eastAsia="zh-CN" w:bidi="ar-SA"/>
              </w:rPr>
            </w:pPr>
            <w:sdt>
              <w:sdtPr>
                <w:rPr>
                  <w:rFonts w:hint="eastAsia" w:asciiTheme="minorEastAsia" w:hAnsiTheme="minorEastAsia" w:eastAsiaTheme="minorEastAsia" w:cstheme="minorEastAsia"/>
                  <w:kern w:val="0"/>
                  <w:sz w:val="24"/>
                  <w:szCs w:val="24"/>
                </w:rPr>
                <w:id w:val="-1639946486"/>
              </w:sdtPr>
              <w:sdtEndPr>
                <w:rPr>
                  <w:rFonts w:hint="eastAsia" w:asciiTheme="minorEastAsia" w:hAnsiTheme="minorEastAsia" w:eastAsiaTheme="minorEastAsia" w:cstheme="minorEastAsia"/>
                  <w:kern w:val="0"/>
                  <w:sz w:val="24"/>
                  <w:szCs w:val="24"/>
                </w:rPr>
              </w:sdtEndPr>
              <w:sdtContent>
                <w:sdt>
                  <w:sdtPr>
                    <w:rPr>
                      <w:rFonts w:hint="eastAsia" w:asciiTheme="minorEastAsia" w:hAnsiTheme="minorEastAsia" w:eastAsiaTheme="minorEastAsia" w:cstheme="minorEastAsia"/>
                      <w:kern w:val="0"/>
                      <w:sz w:val="24"/>
                      <w:szCs w:val="24"/>
                    </w:rPr>
                    <w:id w:val="147480942"/>
                  </w:sdtPr>
                  <w:sdtEndPr>
                    <w:rPr>
                      <w:rFonts w:hint="eastAsia" w:asciiTheme="minorEastAsia" w:hAnsiTheme="minorEastAsia" w:eastAsiaTheme="minorEastAsia" w:cstheme="minorEastAsia"/>
                      <w:kern w:val="0"/>
                      <w:sz w:val="24"/>
                      <w:szCs w:val="24"/>
                    </w:rPr>
                  </w:sdtEndPr>
                  <w:sdtContent>
                    <w:r>
                      <w:rPr>
                        <w:rFonts w:hint="eastAsia" w:asciiTheme="minorEastAsia" w:hAnsiTheme="minorEastAsia" w:eastAsiaTheme="minorEastAsia" w:cstheme="minorEastAsia"/>
                        <w:kern w:val="0"/>
                        <w:sz w:val="24"/>
                        <w:szCs w:val="24"/>
                      </w:rPr>
                      <w:sym w:font="Wingdings" w:char="F0FE"/>
                    </w:r>
                  </w:sdtContent>
                </w:sdt>
              </w:sdtContent>
            </w:sdt>
            <w:r>
              <w:rPr>
                <w:rFonts w:hint="eastAsia" w:asciiTheme="minorEastAsia" w:hAnsiTheme="minorEastAsia" w:eastAsiaTheme="minorEastAsia" w:cstheme="minorEastAsia"/>
                <w:kern w:val="0"/>
                <w:sz w:val="24"/>
                <w:szCs w:val="24"/>
              </w:rPr>
              <w:t>A</w:t>
            </w:r>
            <w:r>
              <w:rPr>
                <w:rFonts w:hint="eastAsia" w:asciiTheme="minorEastAsia" w:hAnsiTheme="minorEastAsia" w:eastAsiaTheme="minorEastAsia" w:cstheme="minorEastAsia"/>
                <w:sz w:val="24"/>
                <w:szCs w:val="24"/>
              </w:rPr>
              <w:t>不要求提供。</w:t>
            </w:r>
          </w:p>
        </w:tc>
      </w:tr>
      <w:tr w14:paraId="48472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trPr>
        <w:tc>
          <w:tcPr>
            <w:tcW w:w="629" w:type="dxa"/>
            <w:tcBorders>
              <w:top w:val="single" w:color="auto" w:sz="4" w:space="0"/>
              <w:left w:val="single" w:color="auto" w:sz="4" w:space="0"/>
              <w:bottom w:val="single" w:color="auto" w:sz="4" w:space="0"/>
              <w:right w:val="single" w:color="auto" w:sz="4" w:space="0"/>
            </w:tcBorders>
            <w:vAlign w:val="center"/>
          </w:tcPr>
          <w:p w14:paraId="3ABE82C8">
            <w:pPr>
              <w:snapToGrid w:val="0"/>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41502D">
            <w:pPr>
              <w:snapToGrid w:val="0"/>
              <w:spacing w:line="360" w:lineRule="auto"/>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14:paraId="66A459C4">
            <w:pPr>
              <w:pStyle w:val="4"/>
              <w:ind w:left="432" w:leftChars="0" w:hanging="432" w:firstLineChars="0"/>
              <w:rPr>
                <w:rFonts w:hint="eastAsia" w:asciiTheme="minorEastAsia" w:hAnsiTheme="minorEastAsia" w:eastAsiaTheme="minorEastAsia" w:cstheme="minorEastAsia"/>
                <w:b/>
                <w:bCs/>
                <w:kern w:val="2"/>
                <w:sz w:val="24"/>
                <w:szCs w:val="24"/>
                <w:lang w:val="en-US" w:eastAsia="zh-CN" w:bidi="ar-SA"/>
              </w:rPr>
            </w:pPr>
            <w:sdt>
              <w:sdtPr>
                <w:rPr>
                  <w:rFonts w:hint="eastAsia" w:asciiTheme="minorEastAsia" w:hAnsiTheme="minorEastAsia" w:eastAsiaTheme="minorEastAsia" w:cstheme="minorEastAsia"/>
                  <w:kern w:val="0"/>
                  <w:sz w:val="24"/>
                  <w:szCs w:val="24"/>
                </w:rPr>
                <w:id w:val="1174071719"/>
              </w:sdtPr>
              <w:sdtEndPr>
                <w:rPr>
                  <w:rFonts w:hint="eastAsia" w:asciiTheme="minorEastAsia" w:hAnsiTheme="minorEastAsia" w:eastAsiaTheme="minorEastAsia" w:cstheme="minorEastAsia"/>
                  <w:kern w:val="0"/>
                  <w:sz w:val="24"/>
                  <w:szCs w:val="24"/>
                </w:rPr>
              </w:sdtEndPr>
              <w:sdtContent>
                <w:sdt>
                  <w:sdtPr>
                    <w:rPr>
                      <w:rFonts w:hint="eastAsia" w:asciiTheme="minorEastAsia" w:hAnsiTheme="minorEastAsia" w:eastAsiaTheme="minorEastAsia" w:cstheme="minorEastAsia"/>
                      <w:kern w:val="0"/>
                      <w:sz w:val="24"/>
                      <w:szCs w:val="24"/>
                    </w:rPr>
                    <w:id w:val="-745085441"/>
                  </w:sdtPr>
                  <w:sdtEndPr>
                    <w:rPr>
                      <w:rFonts w:hint="eastAsia" w:asciiTheme="minorEastAsia" w:hAnsiTheme="minorEastAsia" w:eastAsiaTheme="minorEastAsia" w:cstheme="minorEastAsia"/>
                      <w:kern w:val="0"/>
                      <w:sz w:val="24"/>
                      <w:szCs w:val="24"/>
                    </w:rPr>
                  </w:sdtEndPr>
                  <w:sdtContent>
                    <w:sdt>
                      <w:sdtPr>
                        <w:rPr>
                          <w:rFonts w:hint="eastAsia" w:asciiTheme="minorEastAsia" w:hAnsiTheme="minorEastAsia" w:eastAsiaTheme="minorEastAsia" w:cstheme="minorEastAsia"/>
                          <w:kern w:val="0"/>
                          <w:sz w:val="24"/>
                          <w:szCs w:val="24"/>
                        </w:rPr>
                        <w:id w:val="-185934854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val="0"/>
                          <w:bCs w:val="0"/>
                          <w:kern w:val="0"/>
                          <w:sz w:val="24"/>
                          <w:szCs w:val="24"/>
                        </w:rPr>
                      </w:sdtEndPr>
                      <w:sdtContent>
                        <w:r>
                          <w:rPr>
                            <w:rFonts w:hint="eastAsia" w:ascii="Wingdings" w:hAnsi="Wingdings" w:eastAsiaTheme="minorEastAsia" w:cstheme="minorEastAsia"/>
                            <w:b w:val="0"/>
                            <w:bCs w:val="0"/>
                            <w:kern w:val="0"/>
                            <w:sz w:val="24"/>
                            <w:szCs w:val="24"/>
                            <w:lang w:val="zh-CN" w:eastAsia="zh-CN" w:bidi="ar-SA"/>
                          </w:rPr>
                          <w:t>þ</w:t>
                        </w:r>
                      </w:sdtContent>
                    </w:sdt>
                    <w:r>
                      <w:rPr>
                        <w:rFonts w:hint="eastAsia" w:asciiTheme="minorEastAsia" w:hAnsiTheme="minorEastAsia" w:eastAsiaTheme="minorEastAsia" w:cstheme="minorEastAsia"/>
                        <w:b w:val="0"/>
                        <w:bCs w:val="0"/>
                        <w:kern w:val="0"/>
                        <w:sz w:val="24"/>
                        <w:szCs w:val="24"/>
                      </w:rPr>
                      <w:t>A</w:t>
                    </w:r>
                    <w:r>
                      <w:rPr>
                        <w:rFonts w:hint="eastAsia" w:asciiTheme="minorEastAsia" w:hAnsiTheme="minorEastAsia" w:eastAsiaTheme="minorEastAsia" w:cstheme="minorEastAsia"/>
                        <w:b w:val="0"/>
                        <w:bCs w:val="0"/>
                        <w:kern w:val="0"/>
                        <w:sz w:val="24"/>
                        <w:szCs w:val="24"/>
                        <w:lang w:val="en-US" w:eastAsia="zh-CN"/>
                      </w:rPr>
                      <w:t>不组织</w:t>
                    </w:r>
                    <w:r>
                      <w:rPr>
                        <w:rFonts w:hint="eastAsia" w:asciiTheme="minorEastAsia" w:hAnsiTheme="minorEastAsia" w:eastAsiaTheme="minorEastAsia" w:cstheme="minorEastAsia"/>
                        <w:b w:val="0"/>
                        <w:bCs w:val="0"/>
                        <w:sz w:val="24"/>
                        <w:szCs w:val="24"/>
                      </w:rPr>
                      <w:t>。</w:t>
                    </w:r>
                  </w:sdtContent>
                </w:sdt>
              </w:sdtContent>
            </w:sdt>
          </w:p>
        </w:tc>
      </w:tr>
      <w:tr w14:paraId="19A7E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77C194B8">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1843" w:type="dxa"/>
            <w:vMerge w:val="restart"/>
            <w:tcBorders>
              <w:top w:val="single" w:color="000000" w:sz="8" w:space="0"/>
              <w:left w:val="single" w:color="auto" w:sz="4" w:space="0"/>
              <w:right w:val="single" w:color="000000" w:sz="8" w:space="0"/>
            </w:tcBorders>
            <w:vAlign w:val="center"/>
          </w:tcPr>
          <w:p w14:paraId="745CCDB8">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14:paraId="2EC13D6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（1）资格证明文件：见招标文件第二部分11.1。</w:t>
            </w:r>
          </w:p>
          <w:p w14:paraId="18A60B5E">
            <w:pPr>
              <w:spacing w:line="360" w:lineRule="auto"/>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kern w:val="0"/>
                <w:sz w:val="24"/>
                <w:szCs w:val="24"/>
                <w:lang w:val="zh-CN"/>
              </w:rPr>
              <w:t>投标人未提供有效的资格证明文件的，视为投标人不具备招标文件中规定的资格要求，投标无效。</w:t>
            </w:r>
          </w:p>
        </w:tc>
      </w:tr>
      <w:tr w14:paraId="4DBC2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44CA175D">
            <w:pPr>
              <w:snapToGrid w:val="0"/>
              <w:spacing w:line="360" w:lineRule="auto"/>
              <w:jc w:val="center"/>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EAA2149">
            <w:pPr>
              <w:snapToGrid w:val="0"/>
              <w:spacing w:line="360" w:lineRule="auto"/>
              <w:jc w:val="center"/>
              <w:rPr>
                <w:rFonts w:hint="eastAsia" w:asciiTheme="minorEastAsia" w:hAnsiTheme="minorEastAsia" w:eastAsiaTheme="minorEastAsia" w:cstheme="minorEastAsia"/>
                <w:b/>
                <w:sz w:val="24"/>
                <w:szCs w:val="24"/>
              </w:rPr>
            </w:pPr>
          </w:p>
        </w:tc>
        <w:tc>
          <w:tcPr>
            <w:tcW w:w="6506" w:type="dxa"/>
            <w:tcBorders>
              <w:top w:val="single" w:color="auto" w:sz="4" w:space="0"/>
              <w:left w:val="single" w:color="000000" w:sz="2" w:space="0"/>
              <w:bottom w:val="single" w:color="000000" w:sz="8" w:space="0"/>
              <w:right w:val="single" w:color="000000" w:sz="8" w:space="0"/>
            </w:tcBorders>
            <w:vAlign w:val="center"/>
          </w:tcPr>
          <w:p w14:paraId="697DA8C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（2）资信证明文件：根据招标文件第四部分评标标准提供。</w:t>
            </w:r>
          </w:p>
        </w:tc>
      </w:tr>
      <w:tr w14:paraId="59E58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AB2BA7D">
            <w:pPr>
              <w:snapToGrid w:val="0"/>
              <w:spacing w:line="360" w:lineRule="auto"/>
              <w:jc w:val="center"/>
              <w:rPr>
                <w:rFonts w:hint="eastAsia" w:asciiTheme="minorEastAsia" w:hAnsiTheme="minorEastAsia" w:eastAsiaTheme="minorEastAsia" w:cstheme="minorEastAsia"/>
                <w:sz w:val="24"/>
                <w:szCs w:val="24"/>
              </w:rPr>
            </w:pPr>
          </w:p>
          <w:p w14:paraId="62169F72">
            <w:pPr>
              <w:snapToGrid w:val="0"/>
              <w:spacing w:line="360" w:lineRule="auto"/>
              <w:jc w:val="center"/>
              <w:rPr>
                <w:rFonts w:hint="eastAsia" w:asciiTheme="minorEastAsia" w:hAnsiTheme="minorEastAsia" w:eastAsiaTheme="minorEastAsia" w:cstheme="minorEastAsia"/>
                <w:sz w:val="24"/>
                <w:szCs w:val="24"/>
              </w:rPr>
            </w:pPr>
          </w:p>
          <w:p w14:paraId="0E1A5754">
            <w:pPr>
              <w:snapToGrid w:val="0"/>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5561D34F">
            <w:pPr>
              <w:snapToGrid w:val="0"/>
              <w:spacing w:line="360" w:lineRule="auto"/>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0935BEA5">
            <w:pPr>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BA8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D6D1748">
            <w:pPr>
              <w:snapToGrid w:val="0"/>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p>
        </w:tc>
        <w:tc>
          <w:tcPr>
            <w:tcW w:w="1843" w:type="dxa"/>
            <w:tcBorders>
              <w:top w:val="single" w:color="000000" w:sz="8" w:space="0"/>
              <w:left w:val="single" w:color="auto" w:sz="4" w:space="0"/>
              <w:bottom w:val="single" w:color="000000" w:sz="8" w:space="0"/>
              <w:right w:val="single" w:color="000000" w:sz="8" w:space="0"/>
            </w:tcBorders>
            <w:vAlign w:val="center"/>
          </w:tcPr>
          <w:p w14:paraId="291DDBCA">
            <w:pPr>
              <w:snapToGrid w:val="0"/>
              <w:spacing w:line="360" w:lineRule="auto"/>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6B1B87B">
            <w:pPr>
              <w:spacing w:line="360" w:lineRule="auto"/>
              <w:ind w:firstLine="241" w:firstLineChars="100"/>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F146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8" w:hRule="atLeast"/>
        </w:trPr>
        <w:tc>
          <w:tcPr>
            <w:tcW w:w="629" w:type="dxa"/>
            <w:tcBorders>
              <w:top w:val="single" w:color="auto" w:sz="4" w:space="0"/>
              <w:left w:val="single" w:color="000000" w:sz="8" w:space="0"/>
              <w:right w:val="single" w:color="000000" w:sz="2" w:space="0"/>
            </w:tcBorders>
            <w:vAlign w:val="center"/>
          </w:tcPr>
          <w:p w14:paraId="2DADF5AB">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0302135F">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14:paraId="089DD3B5">
            <w:pPr>
              <w:spacing w:line="360" w:lineRule="auto"/>
              <w:rPr>
                <w:rFonts w:hint="eastAsia" w:asciiTheme="minorEastAsia" w:hAnsiTheme="minorEastAsia" w:eastAsiaTheme="minorEastAsia" w:cstheme="minorEastAsia"/>
                <w:snapToGrid w:val="0"/>
                <w:kern w:val="28"/>
                <w:sz w:val="24"/>
                <w:szCs w:val="24"/>
              </w:rPr>
            </w:pPr>
            <w:r>
              <w:rPr>
                <w:rFonts w:hint="eastAsia" w:asciiTheme="minorEastAsia" w:hAnsiTheme="minorEastAsia" w:eastAsiaTheme="minorEastAsia" w:cstheme="minorEastAsia"/>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A6E2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806EDE0">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ADE796">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14:paraId="555B352F">
            <w:pPr>
              <w:pStyle w:val="13"/>
              <w:spacing w:line="360" w:lineRule="auto"/>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备份投标文件送达地点：</w:t>
            </w:r>
            <w:r>
              <w:rPr>
                <w:rFonts w:hint="eastAsia" w:asciiTheme="minorEastAsia" w:hAnsiTheme="minorEastAsia" w:eastAsiaTheme="minorEastAsia" w:cstheme="minorEastAsia"/>
                <w:kern w:val="28"/>
                <w:sz w:val="24"/>
                <w:szCs w:val="24"/>
                <w:u w:val="single"/>
                <w:lang w:val="en-US" w:eastAsia="zh-CN"/>
              </w:rPr>
              <w:t>杭州市</w:t>
            </w:r>
            <w:r>
              <w:rPr>
                <w:rFonts w:hint="eastAsia" w:asciiTheme="minorEastAsia" w:hAnsiTheme="minorEastAsia" w:eastAsiaTheme="minorEastAsia" w:cstheme="minorEastAsia"/>
                <w:sz w:val="24"/>
                <w:szCs w:val="24"/>
                <w:u w:val="single"/>
                <w:lang w:eastAsia="zh-CN"/>
              </w:rPr>
              <w:t>桐庐县城南街道迎春南路61号萧商大厦20楼</w:t>
            </w:r>
            <w:r>
              <w:rPr>
                <w:rFonts w:hint="eastAsia" w:asciiTheme="minorEastAsia" w:hAnsiTheme="minorEastAsia" w:eastAsiaTheme="minorEastAsia" w:cstheme="minorEastAsia"/>
                <w:kern w:val="28"/>
                <w:sz w:val="24"/>
                <w:szCs w:val="24"/>
              </w:rPr>
              <w:t>；备份投标文件签收人员：</w:t>
            </w:r>
            <w:r>
              <w:rPr>
                <w:rFonts w:hint="eastAsia" w:asciiTheme="minorEastAsia" w:hAnsiTheme="minorEastAsia" w:eastAsiaTheme="minorEastAsia" w:cstheme="minorEastAsia"/>
                <w:kern w:val="28"/>
                <w:sz w:val="24"/>
                <w:szCs w:val="24"/>
                <w:u w:val="single"/>
                <w:lang w:eastAsia="zh-CN"/>
              </w:rPr>
              <w:t>王超</w:t>
            </w:r>
            <w:r>
              <w:rPr>
                <w:rFonts w:hint="eastAsia" w:asciiTheme="minorEastAsia" w:hAnsiTheme="minorEastAsia" w:eastAsiaTheme="minorEastAsia" w:cstheme="minorEastAsia"/>
                <w:kern w:val="28"/>
                <w:sz w:val="24"/>
                <w:szCs w:val="24"/>
              </w:rPr>
              <w:t>，联系电话：</w:t>
            </w:r>
            <w:r>
              <w:rPr>
                <w:rFonts w:hint="eastAsia" w:asciiTheme="minorEastAsia" w:hAnsiTheme="minorEastAsia" w:eastAsiaTheme="minorEastAsia" w:cstheme="minorEastAsia"/>
                <w:sz w:val="24"/>
                <w:szCs w:val="24"/>
                <w:u w:val="single"/>
                <w:lang w:eastAsia="zh-CN"/>
              </w:rPr>
              <w:t>13758248175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w:t>
            </w:r>
            <w:r>
              <w:rPr>
                <w:rFonts w:hint="eastAsia" w:asciiTheme="minorEastAsia" w:hAnsiTheme="minorEastAsia" w:eastAsiaTheme="minorEastAsia" w:cstheme="minorEastAsia"/>
                <w:b/>
                <w:sz w:val="24"/>
                <w:szCs w:val="24"/>
                <w:lang w:eastAsia="zh-CN"/>
              </w:rPr>
              <w:t>代理</w:t>
            </w:r>
            <w:r>
              <w:rPr>
                <w:rFonts w:hint="eastAsia" w:asciiTheme="minorEastAsia" w:hAnsiTheme="minorEastAsia" w:eastAsiaTheme="minorEastAsia" w:cstheme="minorEastAsia"/>
                <w:b/>
                <w:sz w:val="24"/>
                <w:szCs w:val="24"/>
              </w:rPr>
              <w:t>机构不强制或变相强制投标人提交备份投标文件。</w:t>
            </w:r>
          </w:p>
        </w:tc>
      </w:tr>
      <w:tr w14:paraId="3E4FA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trPr>
        <w:tc>
          <w:tcPr>
            <w:tcW w:w="629" w:type="dxa"/>
            <w:vMerge w:val="restart"/>
            <w:tcBorders>
              <w:top w:val="single" w:color="auto" w:sz="4" w:space="0"/>
              <w:left w:val="single" w:color="000000" w:sz="8" w:space="0"/>
              <w:right w:val="single" w:color="000000" w:sz="2" w:space="0"/>
            </w:tcBorders>
            <w:vAlign w:val="center"/>
          </w:tcPr>
          <w:p w14:paraId="2BEAA206">
            <w:pPr>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14:paraId="150F4F0B">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14:paraId="4225E698">
            <w:pPr>
              <w:spacing w:line="360" w:lineRule="auto"/>
              <w:rPr>
                <w:rFonts w:hint="eastAsia" w:asciiTheme="minorEastAsia" w:hAnsiTheme="minorEastAsia" w:eastAsiaTheme="minorEastAsia" w:cstheme="minorEastAsia"/>
                <w:kern w:val="28"/>
                <w:sz w:val="24"/>
                <w:szCs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CB4E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2" w:hRule="atLeast"/>
        </w:trPr>
        <w:tc>
          <w:tcPr>
            <w:tcW w:w="629" w:type="dxa"/>
            <w:vMerge w:val="continue"/>
            <w:tcBorders>
              <w:left w:val="single" w:color="000000" w:sz="8" w:space="0"/>
              <w:bottom w:val="single" w:color="auto" w:sz="4" w:space="0"/>
              <w:right w:val="single" w:color="000000" w:sz="2" w:space="0"/>
            </w:tcBorders>
            <w:vAlign w:val="center"/>
          </w:tcPr>
          <w:p w14:paraId="7E5C9E1C">
            <w:pPr>
              <w:pStyle w:val="13"/>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14:paraId="4DC50348">
            <w:pPr>
              <w:pStyle w:val="13"/>
              <w:spacing w:line="360" w:lineRule="auto"/>
            </w:pPr>
          </w:p>
        </w:tc>
        <w:tc>
          <w:tcPr>
            <w:tcW w:w="6506" w:type="dxa"/>
            <w:tcBorders>
              <w:top w:val="single" w:color="000000" w:sz="8" w:space="0"/>
              <w:left w:val="single" w:color="000000" w:sz="2" w:space="0"/>
              <w:bottom w:val="single" w:color="000000" w:sz="8" w:space="0"/>
              <w:right w:val="single" w:color="000000" w:sz="8" w:space="0"/>
            </w:tcBorders>
            <w:vAlign w:val="center"/>
          </w:tcPr>
          <w:p w14:paraId="4905BD6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78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5D70791">
            <w:pPr>
              <w:spacing w:line="360" w:lineRule="auto"/>
              <w:rPr>
                <w:rFonts w:hint="eastAsia" w:asciiTheme="minorEastAsia" w:hAnsiTheme="minorEastAsia" w:eastAsiaTheme="minorEastAsia" w:cstheme="minorEastAsia"/>
                <w:kern w:val="28"/>
                <w:sz w:val="24"/>
                <w:szCs w:val="24"/>
              </w:rPr>
            </w:pPr>
            <w:sdt>
              <w:sdtPr>
                <w:rPr>
                  <w:rFonts w:hint="eastAsia" w:cs="Arial" w:asciiTheme="minorEastAsia" w:hAnsiTheme="minorEastAsia" w:eastAsiaTheme="minorEastAsia"/>
                  <w:color w:val="auto"/>
                  <w:kern w:val="0"/>
                  <w:sz w:val="24"/>
                  <w:highlight w:val="none"/>
                </w:rPr>
                <w:id w:val="14747623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C562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9" w:hRule="atLeast"/>
        </w:trPr>
        <w:tc>
          <w:tcPr>
            <w:tcW w:w="629" w:type="dxa"/>
            <w:vMerge w:val="continue"/>
            <w:tcBorders>
              <w:left w:val="single" w:color="000000" w:sz="8" w:space="0"/>
              <w:bottom w:val="single" w:color="auto" w:sz="4" w:space="0"/>
              <w:right w:val="single" w:color="000000" w:sz="2" w:space="0"/>
            </w:tcBorders>
            <w:vAlign w:val="center"/>
          </w:tcPr>
          <w:p w14:paraId="512188F7">
            <w:pPr>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14:paraId="3AB83DF2">
            <w:pPr>
              <w:spacing w:line="360" w:lineRule="auto"/>
            </w:pPr>
          </w:p>
        </w:tc>
        <w:tc>
          <w:tcPr>
            <w:tcW w:w="6506" w:type="dxa"/>
            <w:tcBorders>
              <w:top w:val="single" w:color="000000" w:sz="8" w:space="0"/>
              <w:left w:val="single" w:color="000000" w:sz="2" w:space="0"/>
              <w:bottom w:val="single" w:color="000000" w:sz="8" w:space="0"/>
              <w:right w:val="single" w:color="000000" w:sz="8" w:space="0"/>
            </w:tcBorders>
            <w:vAlign w:val="center"/>
          </w:tcPr>
          <w:p w14:paraId="2E2ABBC7">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kern w:val="0"/>
                <w:sz w:val="24"/>
                <w:highlight w:val="none"/>
              </w:rPr>
              <w:t>中标后，中标</w:t>
            </w:r>
            <w:r>
              <w:rPr>
                <w:rFonts w:hint="eastAsia" w:ascii="宋体" w:hAnsi="宋体" w:eastAsia="宋体" w:cs="宋体"/>
                <w:color w:val="auto"/>
                <w:kern w:val="0"/>
                <w:sz w:val="24"/>
                <w:highlight w:val="none"/>
                <w:lang w:eastAsia="zh-CN"/>
              </w:rPr>
              <w:t>人须</w:t>
            </w:r>
            <w:r>
              <w:rPr>
                <w:rFonts w:hint="eastAsia" w:ascii="宋体" w:hAnsi="宋体" w:eastAsia="宋体" w:cs="宋体"/>
                <w:color w:val="auto"/>
                <w:kern w:val="0"/>
                <w:sz w:val="24"/>
                <w:highlight w:val="none"/>
              </w:rPr>
              <w:t>向</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代理机构)提供4份（一正三副）纸质版投标文件（胶装）。</w:t>
            </w:r>
          </w:p>
        </w:tc>
      </w:tr>
      <w:tr w14:paraId="176A7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trPr>
        <w:tc>
          <w:tcPr>
            <w:tcW w:w="629" w:type="dxa"/>
            <w:tcBorders>
              <w:left w:val="single" w:color="000000" w:sz="8" w:space="0"/>
              <w:bottom w:val="single" w:color="auto" w:sz="4" w:space="0"/>
              <w:right w:val="single" w:color="000000" w:sz="2" w:space="0"/>
            </w:tcBorders>
            <w:vAlign w:val="center"/>
          </w:tcPr>
          <w:p w14:paraId="1129EC01">
            <w:pPr>
              <w:snapToGrid w:val="0"/>
              <w:spacing w:line="360" w:lineRule="auto"/>
              <w:jc w:val="center"/>
              <w:rPr>
                <w:rFonts w:hint="default" w:eastAsia="宋体"/>
                <w:lang w:val="en-US" w:eastAsia="zh-CN"/>
              </w:rPr>
            </w:pPr>
            <w:r>
              <w:rPr>
                <w:rFonts w:hint="eastAsia" w:asciiTheme="minorEastAsia" w:hAnsiTheme="minorEastAsia" w:eastAsiaTheme="minorEastAsia" w:cstheme="minorEastAsia"/>
                <w:sz w:val="24"/>
                <w:szCs w:val="24"/>
                <w:lang w:val="en-US" w:eastAsia="zh-CN"/>
              </w:rPr>
              <w:t>14</w:t>
            </w:r>
          </w:p>
        </w:tc>
        <w:tc>
          <w:tcPr>
            <w:tcW w:w="1843" w:type="dxa"/>
            <w:tcBorders>
              <w:left w:val="single" w:color="000000" w:sz="2" w:space="0"/>
              <w:bottom w:val="single" w:color="000000" w:sz="8" w:space="0"/>
              <w:right w:val="single" w:color="000000" w:sz="8" w:space="0"/>
            </w:tcBorders>
            <w:vAlign w:val="center"/>
          </w:tcPr>
          <w:p w14:paraId="26923916">
            <w:pPr>
              <w:snapToGrid w:val="0"/>
              <w:spacing w:line="360" w:lineRule="auto"/>
              <w:jc w:val="center"/>
            </w:pPr>
            <w:r>
              <w:rPr>
                <w:rFonts w:hint="eastAsia" w:cs="仿宋_GB2312" w:asciiTheme="minorEastAsia" w:hAnsiTheme="minorEastAsia" w:eastAsiaTheme="minorEastAsia"/>
                <w:b/>
                <w:color w:val="auto"/>
                <w:sz w:val="24"/>
                <w:highlight w:val="none"/>
                <w:lang w:val="en" w:eastAsia="zh-CN"/>
              </w:rPr>
              <w:t>成交候选人数量</w:t>
            </w:r>
          </w:p>
        </w:tc>
        <w:tc>
          <w:tcPr>
            <w:tcW w:w="6506" w:type="dxa"/>
            <w:tcBorders>
              <w:top w:val="single" w:color="000000" w:sz="8" w:space="0"/>
              <w:left w:val="single" w:color="000000" w:sz="2" w:space="0"/>
              <w:bottom w:val="single" w:color="000000" w:sz="8" w:space="0"/>
              <w:right w:val="single" w:color="000000" w:sz="8" w:space="0"/>
            </w:tcBorders>
            <w:vAlign w:val="center"/>
          </w:tcPr>
          <w:p w14:paraId="6A99CDB2">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1个  </w:t>
            </w:r>
            <w:r>
              <w:rPr>
                <w:rFonts w:hint="eastAsia" w:ascii="宋体" w:hAnsi="宋体" w:eastAsia="宋体" w:cs="宋体"/>
                <w:color w:val="auto"/>
                <w:kern w:val="0"/>
                <w:sz w:val="24"/>
                <w:highlight w:val="none"/>
                <w:lang w:val="en" w:eastAsia="zh-CN"/>
              </w:rPr>
              <w:t>。</w:t>
            </w:r>
          </w:p>
        </w:tc>
      </w:tr>
      <w:tr w14:paraId="405D7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931EB15">
            <w:pPr>
              <w:snapToGrid w:val="0"/>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83A5B09">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代理费用收取方式及标准</w:t>
            </w:r>
          </w:p>
        </w:tc>
        <w:tc>
          <w:tcPr>
            <w:tcW w:w="6506" w:type="dxa"/>
            <w:tcBorders>
              <w:top w:val="single" w:color="000000" w:sz="8" w:space="0"/>
              <w:left w:val="single" w:color="000000" w:sz="2" w:space="0"/>
              <w:bottom w:val="single" w:color="000000" w:sz="8" w:space="0"/>
              <w:right w:val="single" w:color="000000" w:sz="8" w:space="0"/>
            </w:tcBorders>
            <w:vAlign w:val="center"/>
          </w:tcPr>
          <w:p w14:paraId="0ADF5C4A">
            <w:pPr>
              <w:widowControl/>
              <w:spacing w:line="360" w:lineRule="auto"/>
              <w:jc w:val="left"/>
              <w:rPr>
                <w:rFonts w:hint="eastAsia" w:asciiTheme="minorEastAsia" w:hAnsiTheme="minorEastAsia" w:eastAsiaTheme="minorEastAsia" w:cstheme="minorEastAsia"/>
                <w:snapToGrid w:val="0"/>
                <w:kern w:val="28"/>
                <w:sz w:val="24"/>
                <w:szCs w:val="24"/>
              </w:rPr>
            </w:pPr>
            <w:r>
              <w:rPr>
                <w:rFonts w:hint="eastAsia" w:asciiTheme="minorEastAsia" w:hAnsiTheme="minorEastAsia" w:eastAsiaTheme="minorEastAsia" w:cstheme="minorEastAsia"/>
                <w:bCs/>
                <w:sz w:val="24"/>
                <w:szCs w:val="24"/>
                <w:highlight w:val="none"/>
              </w:rPr>
              <w:t>本次采购的招标代理服务费</w:t>
            </w:r>
            <w:r>
              <w:rPr>
                <w:rFonts w:hint="eastAsia" w:asciiTheme="minorEastAsia" w:hAnsiTheme="minorEastAsia" w:eastAsiaTheme="minorEastAsia" w:cstheme="minorEastAsia"/>
                <w:snapToGrid w:val="0"/>
                <w:kern w:val="28"/>
                <w:sz w:val="24"/>
                <w:szCs w:val="24"/>
                <w:highlight w:val="none"/>
              </w:rPr>
              <w:t>按</w:t>
            </w:r>
            <w:r>
              <w:rPr>
                <w:rFonts w:hint="eastAsia" w:asciiTheme="minorEastAsia" w:hAnsiTheme="minorEastAsia" w:eastAsiaTheme="minorEastAsia" w:cstheme="minorEastAsia"/>
                <w:snapToGrid w:val="0"/>
                <w:kern w:val="28"/>
                <w:sz w:val="24"/>
                <w:szCs w:val="24"/>
                <w:highlight w:val="none"/>
                <w:lang w:val="en-US" w:eastAsia="zh-CN"/>
              </w:rPr>
              <w:t>浙价服【2003】77号文件*79.33%</w:t>
            </w:r>
            <w:r>
              <w:rPr>
                <w:rFonts w:hint="eastAsia" w:asciiTheme="minorEastAsia" w:hAnsiTheme="minorEastAsia" w:eastAsiaTheme="minorEastAsia" w:cstheme="minorEastAsia"/>
                <w:bCs/>
                <w:sz w:val="24"/>
                <w:szCs w:val="24"/>
                <w:highlight w:val="none"/>
              </w:rPr>
              <w:t>收取；</w:t>
            </w:r>
            <w:r>
              <w:rPr>
                <w:rFonts w:hint="eastAsia" w:asciiTheme="minorEastAsia" w:hAnsiTheme="minorEastAsia" w:eastAsiaTheme="minorEastAsia" w:cstheme="minorEastAsia"/>
                <w:bCs/>
                <w:sz w:val="24"/>
                <w:szCs w:val="24"/>
              </w:rPr>
              <w:t>由中标（成交）供应商在领取中标通知书前一次性支付给代理公司，上述费用应含在投标报价中（不得单独列项），供应商在投标报价中考虑上述费用。</w:t>
            </w:r>
          </w:p>
        </w:tc>
      </w:tr>
      <w:bookmarkEnd w:id="7"/>
    </w:tbl>
    <w:p w14:paraId="281AA996">
      <w:pPr>
        <w:adjustRightInd/>
        <w:spacing w:line="360" w:lineRule="auto"/>
        <w:outlineLvl w:val="0"/>
        <w:rPr>
          <w:rFonts w:hint="eastAsia" w:ascii="宋体" w:hAnsi="宋体" w:cs="宋体"/>
          <w:b/>
          <w:sz w:val="32"/>
          <w:szCs w:val="20"/>
        </w:rPr>
      </w:pPr>
      <w:bookmarkStart w:id="8" w:name="第三部分"/>
      <w:bookmarkStart w:id="9" w:name="_Toc164416483"/>
    </w:p>
    <w:p w14:paraId="1D6CFF7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AB0959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05CB93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563973C">
      <w:pPr>
        <w:adjustRightInd/>
        <w:spacing w:line="360" w:lineRule="auto"/>
        <w:outlineLvl w:val="0"/>
        <w:rPr>
          <w:rFonts w:ascii="宋体" w:hAnsi="宋体" w:cs="宋体"/>
          <w:b/>
          <w:sz w:val="24"/>
        </w:rPr>
      </w:pPr>
      <w:r>
        <w:rPr>
          <w:rFonts w:hint="eastAsia" w:ascii="宋体" w:hAnsi="宋体" w:cs="宋体"/>
          <w:b/>
          <w:sz w:val="24"/>
        </w:rPr>
        <w:t xml:space="preserve">   2.定义</w:t>
      </w:r>
    </w:p>
    <w:p w14:paraId="34EC9C0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136BFC4">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099AA52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A9FB25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30A825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348B365">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56935BB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BF450E7">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7F5139E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CF9F74C">
      <w:pPr>
        <w:spacing w:line="360" w:lineRule="auto"/>
        <w:ind w:firstLine="240" w:firstLineChars="100"/>
        <w:rPr>
          <w:rFonts w:ascii="宋体" w:hAnsi="宋体" w:cs="宋体"/>
          <w:sz w:val="24"/>
        </w:rPr>
      </w:pPr>
      <w:r>
        <w:rPr>
          <w:rFonts w:hint="eastAsia" w:ascii="宋体" w:hAnsi="宋体" w:cs="宋体"/>
          <w:sz w:val="24"/>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D3DA694">
      <w:pPr>
        <w:spacing w:line="360" w:lineRule="auto"/>
        <w:ind w:firstLine="240" w:firstLineChars="100"/>
        <w:rPr>
          <w:rFonts w:ascii="宋体" w:hAnsi="宋体" w:cs="宋体"/>
          <w:sz w:val="24"/>
        </w:rPr>
      </w:pPr>
      <w:r>
        <w:rPr>
          <w:rFonts w:hint="eastAsia" w:ascii="宋体" w:hAnsi="宋体" w:cs="宋体"/>
          <w:sz w:val="24"/>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B0AD701">
      <w:pPr>
        <w:spacing w:line="360" w:lineRule="auto"/>
        <w:rPr>
          <w:rFonts w:ascii="宋体" w:hAnsi="宋体" w:cs="宋体"/>
          <w:b/>
          <w:sz w:val="24"/>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1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1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9"/>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1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1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2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2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2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6203B32">
      <w:pPr>
        <w:pStyle w:val="27"/>
        <w:shd w:val="clear" w:color="auto" w:fill="FFFFFF"/>
        <w:snapToGrid w:val="0"/>
        <w:spacing w:after="240" w:afterAutospacing="0" w:line="360" w:lineRule="auto"/>
        <w:ind w:firstLine="400"/>
        <w:contextualSpacing/>
      </w:pPr>
      <w:r>
        <w:rPr>
          <w:rFonts w:hint="eastAsia"/>
          <w:color w:val="auto"/>
          <w:highlight w:val="none"/>
        </w:rPr>
        <w:t>投诉书范本及制作说明详见附件3。</w:t>
      </w:r>
    </w:p>
    <w:p w14:paraId="1F80C0BD">
      <w:pPr>
        <w:pStyle w:val="27"/>
        <w:shd w:val="clear" w:color="auto" w:fill="FFFFFF"/>
        <w:snapToGrid w:val="0"/>
        <w:spacing w:after="240" w:afterAutospacing="0" w:line="360" w:lineRule="auto"/>
        <w:ind w:firstLine="400"/>
        <w:contextualSpacing/>
      </w:pPr>
    </w:p>
    <w:p w14:paraId="0A7037B2">
      <w:pPr>
        <w:pStyle w:val="27"/>
        <w:shd w:val="clear" w:color="auto" w:fill="FFFFFF"/>
        <w:snapToGrid w:val="0"/>
        <w:spacing w:after="240" w:afterAutospacing="0" w:line="360" w:lineRule="auto"/>
        <w:ind w:firstLine="400"/>
        <w:contextualSpacing/>
        <w:jc w:val="center"/>
        <w:rPr>
          <w:b/>
          <w:sz w:val="30"/>
          <w:szCs w:val="20"/>
        </w:rPr>
      </w:pPr>
      <w:r>
        <w:rPr>
          <w:rFonts w:hint="eastAsia"/>
          <w:b/>
          <w:sz w:val="30"/>
          <w:szCs w:val="20"/>
        </w:rPr>
        <w:t>二、招标文件的构成、澄清、修改</w:t>
      </w:r>
    </w:p>
    <w:p w14:paraId="781E4775">
      <w:pPr>
        <w:pStyle w:val="13"/>
        <w:spacing w:line="360" w:lineRule="auto"/>
        <w:rPr>
          <w:rFonts w:hAnsi="宋体" w:cs="宋体"/>
          <w:b/>
          <w:sz w:val="24"/>
          <w:szCs w:val="24"/>
        </w:rPr>
      </w:pPr>
      <w:r>
        <w:rPr>
          <w:rFonts w:hint="eastAsia" w:hAnsi="宋体" w:cs="宋体"/>
          <w:b/>
          <w:sz w:val="24"/>
          <w:szCs w:val="24"/>
        </w:rPr>
        <w:t>5．招标文件的构成</w:t>
      </w:r>
    </w:p>
    <w:p w14:paraId="02B58920">
      <w:pPr>
        <w:pStyle w:val="1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002C915">
      <w:pPr>
        <w:pStyle w:val="1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0FE3034">
      <w:pPr>
        <w:pStyle w:val="1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48729EF">
      <w:pPr>
        <w:pStyle w:val="1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4250DF8">
      <w:pPr>
        <w:pStyle w:val="1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746EBC7">
      <w:pPr>
        <w:pStyle w:val="1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F54FF00">
      <w:pPr>
        <w:pStyle w:val="1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37A0E1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EFDE43B">
      <w:pPr>
        <w:pStyle w:val="13"/>
        <w:spacing w:line="360" w:lineRule="auto"/>
        <w:rPr>
          <w:rFonts w:hAnsi="宋体" w:cs="宋体"/>
          <w:b/>
          <w:sz w:val="24"/>
          <w:szCs w:val="24"/>
        </w:rPr>
      </w:pPr>
      <w:r>
        <w:rPr>
          <w:rFonts w:hint="eastAsia" w:hAnsi="宋体" w:cs="宋体"/>
          <w:b/>
          <w:sz w:val="24"/>
          <w:szCs w:val="24"/>
        </w:rPr>
        <w:t>6. 招标文件的澄清、修改</w:t>
      </w:r>
    </w:p>
    <w:p w14:paraId="533B99E2">
      <w:pPr>
        <w:pStyle w:val="28"/>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CE4A0D6">
      <w:pPr>
        <w:pStyle w:val="28"/>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1F0211E">
      <w:pPr>
        <w:adjustRightInd/>
        <w:spacing w:line="360" w:lineRule="auto"/>
        <w:jc w:val="center"/>
        <w:outlineLvl w:val="0"/>
        <w:rPr>
          <w:rFonts w:hint="eastAsia" w:ascii="宋体" w:hAnsi="宋体" w:cs="宋体"/>
          <w:b/>
          <w:sz w:val="30"/>
          <w:szCs w:val="20"/>
        </w:rPr>
      </w:pPr>
    </w:p>
    <w:p w14:paraId="20D4222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3FCD728">
      <w:pPr>
        <w:pStyle w:val="13"/>
        <w:spacing w:line="360" w:lineRule="auto"/>
        <w:rPr>
          <w:rFonts w:hAnsi="宋体" w:cs="宋体"/>
          <w:b/>
          <w:sz w:val="24"/>
          <w:szCs w:val="24"/>
        </w:rPr>
      </w:pPr>
      <w:r>
        <w:rPr>
          <w:rFonts w:hint="eastAsia" w:hAnsi="宋体" w:cs="宋体"/>
          <w:b/>
          <w:sz w:val="24"/>
          <w:szCs w:val="24"/>
        </w:rPr>
        <w:t>7. 招标文件的获取</w:t>
      </w:r>
    </w:p>
    <w:p w14:paraId="29394F4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AB672E1">
      <w:pPr>
        <w:pStyle w:val="13"/>
        <w:spacing w:line="360" w:lineRule="auto"/>
        <w:rPr>
          <w:rFonts w:hAnsi="宋体" w:cs="宋体"/>
          <w:b/>
          <w:sz w:val="24"/>
          <w:szCs w:val="24"/>
        </w:rPr>
      </w:pPr>
      <w:r>
        <w:rPr>
          <w:rFonts w:hint="eastAsia" w:hAnsi="宋体" w:cs="宋体"/>
          <w:b/>
          <w:sz w:val="24"/>
          <w:szCs w:val="24"/>
        </w:rPr>
        <w:t>8.开标前答疑会或现场考察</w:t>
      </w:r>
    </w:p>
    <w:p w14:paraId="15A39F4E">
      <w:pPr>
        <w:pStyle w:val="1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846530C">
      <w:pPr>
        <w:pStyle w:val="13"/>
        <w:spacing w:line="360" w:lineRule="auto"/>
        <w:rPr>
          <w:rFonts w:hAnsi="宋体" w:cs="宋体"/>
          <w:b/>
          <w:szCs w:val="24"/>
        </w:rPr>
      </w:pPr>
      <w:r>
        <w:rPr>
          <w:rFonts w:hint="eastAsia" w:hAnsi="宋体" w:cs="宋体"/>
          <w:b/>
          <w:kern w:val="28"/>
          <w:sz w:val="24"/>
          <w:szCs w:val="24"/>
        </w:rPr>
        <w:t>9.投标保证金</w:t>
      </w:r>
    </w:p>
    <w:p w14:paraId="04A1B7A5">
      <w:pPr>
        <w:pStyle w:val="9"/>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3D0EA38">
      <w:pPr>
        <w:pStyle w:val="13"/>
        <w:spacing w:line="360" w:lineRule="auto"/>
        <w:rPr>
          <w:rFonts w:hAnsi="宋体" w:cs="宋体"/>
          <w:b/>
          <w:sz w:val="24"/>
          <w:szCs w:val="24"/>
        </w:rPr>
      </w:pPr>
      <w:r>
        <w:rPr>
          <w:rFonts w:hint="eastAsia" w:hAnsi="宋体" w:cs="宋体"/>
          <w:b/>
          <w:sz w:val="24"/>
          <w:szCs w:val="24"/>
        </w:rPr>
        <w:t>10. 投标文件的语言</w:t>
      </w:r>
    </w:p>
    <w:p w14:paraId="0E8327D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2AABCB0">
      <w:pPr>
        <w:pStyle w:val="13"/>
        <w:spacing w:line="360" w:lineRule="auto"/>
        <w:rPr>
          <w:rFonts w:hAnsi="宋体" w:cs="宋体"/>
          <w:b/>
          <w:sz w:val="24"/>
          <w:szCs w:val="24"/>
        </w:rPr>
      </w:pPr>
      <w:r>
        <w:rPr>
          <w:rFonts w:hint="eastAsia" w:hAnsi="宋体" w:cs="宋体"/>
          <w:b/>
          <w:sz w:val="24"/>
          <w:szCs w:val="24"/>
        </w:rPr>
        <w:t>11. 投标文件的组成</w:t>
      </w:r>
    </w:p>
    <w:p w14:paraId="48601AEE">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1B1447F">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11.1.1提供有效的营业执照副本并加盖公章（或事业单位法人登记证或其他工商等登记证明材料）</w:t>
      </w:r>
      <w:r>
        <w:rPr>
          <w:rFonts w:hint="eastAsia" w:ascii="宋体" w:hAnsi="宋体" w:cs="宋体"/>
          <w:sz w:val="24"/>
          <w:lang w:eastAsia="zh-CN"/>
        </w:rPr>
        <w:t>；</w:t>
      </w:r>
    </w:p>
    <w:p w14:paraId="0110F3F6">
      <w:pPr>
        <w:snapToGrid w:val="0"/>
        <w:spacing w:line="360" w:lineRule="auto"/>
        <w:ind w:firstLine="960" w:firstLineChars="400"/>
        <w:rPr>
          <w:rFonts w:hint="eastAsia" w:ascii="宋体" w:hAnsi="宋体" w:cs="宋体"/>
          <w:sz w:val="24"/>
        </w:rPr>
      </w:pPr>
      <w:r>
        <w:rPr>
          <w:rFonts w:hint="eastAsia" w:ascii="宋体" w:hAnsi="宋体" w:cs="宋体"/>
          <w:sz w:val="24"/>
        </w:rPr>
        <w:t>11.1.2符合参加政府采购活动应当具备的一般条件的承诺函；</w:t>
      </w:r>
    </w:p>
    <w:p w14:paraId="26AB9764">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lang w:eastAsia="zh-CN"/>
        </w:rPr>
        <w:t>联合协议（如有）</w:t>
      </w:r>
      <w:r>
        <w:rPr>
          <w:rFonts w:hint="eastAsia" w:ascii="宋体" w:hAnsi="宋体" w:cs="宋体"/>
          <w:sz w:val="24"/>
        </w:rPr>
        <w:t>；</w:t>
      </w:r>
    </w:p>
    <w:p w14:paraId="0330904A">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p>
    <w:p w14:paraId="018C68ED">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p>
    <w:p w14:paraId="5CE48168">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77A4A6F0">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35FCC1A0">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3FA7709E">
      <w:pPr>
        <w:snapToGrid w:val="0"/>
        <w:spacing w:line="360" w:lineRule="auto"/>
        <w:ind w:firstLine="960" w:firstLineChars="400"/>
        <w:rPr>
          <w:rFonts w:ascii="宋体" w:hAnsi="宋体" w:cs="宋体"/>
          <w:sz w:val="24"/>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7B6EC6">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符合性审查资料；</w:t>
      </w:r>
    </w:p>
    <w:p w14:paraId="1BAB1D07">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评标标准相应的商务技术资料；</w:t>
      </w:r>
    </w:p>
    <w:p w14:paraId="0377D710">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34BC610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76F871C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57BC814A">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3A8732E9">
      <w:pPr>
        <w:snapToGrid w:val="0"/>
        <w:spacing w:line="360" w:lineRule="auto"/>
        <w:ind w:firstLine="960" w:firstLineChars="400"/>
        <w:rPr>
          <w:rFonts w:ascii="宋体" w:hAnsi="宋体" w:cs="仿宋_GB2312"/>
          <w:color w:val="auto"/>
          <w:sz w:val="24"/>
        </w:rPr>
      </w:pPr>
      <w:r>
        <w:rPr>
          <w:rFonts w:ascii="宋体" w:hAnsi="宋体" w:cs="仿宋_GB2312"/>
          <w:color w:val="auto"/>
          <w:sz w:val="24"/>
        </w:rPr>
        <w:t>11.3.</w:t>
      </w:r>
      <w:r>
        <w:rPr>
          <w:rFonts w:hint="eastAsia" w:ascii="宋体" w:hAnsi="宋体" w:cs="仿宋_GB2312"/>
          <w:color w:val="auto"/>
          <w:sz w:val="24"/>
        </w:rPr>
        <w:t>2</w:t>
      </w:r>
      <w:r>
        <w:rPr>
          <w:rFonts w:ascii="宋体" w:hAnsi="宋体" w:cs="仿宋_GB2312"/>
          <w:color w:val="auto"/>
          <w:sz w:val="24"/>
        </w:rPr>
        <w:t>中小企业声明函。</w:t>
      </w:r>
    </w:p>
    <w:p w14:paraId="4FE261E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A6FC123">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83EB5B1">
      <w:pPr>
        <w:pStyle w:val="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39C420">
      <w:pPr>
        <w:spacing w:line="360" w:lineRule="auto"/>
        <w:ind w:firstLine="480" w:firstLineChars="200"/>
        <w:rPr>
          <w:rFonts w:ascii="宋体" w:hAnsi="宋体" w:cs="宋体"/>
          <w:kern w:val="0"/>
          <w:sz w:val="24"/>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2495AF8">
      <w:pPr>
        <w:snapToGrid w:val="0"/>
        <w:spacing w:line="360" w:lineRule="auto"/>
        <w:rPr>
          <w:rFonts w:ascii="宋体" w:hAnsi="宋体" w:cs="宋体"/>
          <w:b/>
          <w:sz w:val="24"/>
        </w:rPr>
      </w:pPr>
      <w:r>
        <w:rPr>
          <w:rFonts w:hint="eastAsia" w:ascii="宋体" w:hAnsi="宋体" w:cs="宋体"/>
          <w:b/>
          <w:sz w:val="24"/>
        </w:rPr>
        <w:t>13.投标文件的签署、盖章</w:t>
      </w:r>
    </w:p>
    <w:p w14:paraId="3B93CB6D">
      <w:pPr>
        <w:pStyle w:val="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D9CBB9">
      <w:pPr>
        <w:pStyle w:val="28"/>
        <w:snapToGrid w:val="0"/>
        <w:spacing w:before="0"/>
        <w:ind w:firstLine="480"/>
        <w:rPr>
          <w:rFonts w:ascii="宋体" w:hAnsi="宋体" w:cs="宋体"/>
          <w:szCs w:val="24"/>
        </w:rPr>
      </w:pPr>
      <w:r>
        <w:rPr>
          <w:rFonts w:hint="eastAsia" w:ascii="宋体" w:hAnsi="宋体" w:cs="宋体"/>
          <w:color w:val="auto"/>
          <w:highlight w:val="none"/>
        </w:rPr>
        <w:t>13.3招标文件对投标文件签署、盖章的要求适用于电子签名。</w:t>
      </w:r>
    </w:p>
    <w:p w14:paraId="08CA40EE">
      <w:pPr>
        <w:pStyle w:val="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5BCDF5B">
      <w:pPr>
        <w:pStyle w:val="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57D1DC">
      <w:pPr>
        <w:pStyle w:val="28"/>
        <w:spacing w:before="0"/>
        <w:ind w:firstLine="480"/>
        <w:rPr>
          <w:rFonts w:ascii="宋体" w:hAnsi="宋体" w:cs="宋体"/>
          <w:szCs w:val="24"/>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45C950C">
      <w:pPr>
        <w:pStyle w:val="13"/>
        <w:spacing w:line="360" w:lineRule="auto"/>
        <w:rPr>
          <w:rFonts w:hAnsi="宋体" w:cs="宋体"/>
          <w:b/>
          <w:sz w:val="24"/>
          <w:szCs w:val="24"/>
        </w:rPr>
      </w:pPr>
      <w:r>
        <w:rPr>
          <w:rFonts w:hint="eastAsia" w:hAnsi="宋体" w:cs="宋体"/>
          <w:b/>
          <w:sz w:val="24"/>
          <w:szCs w:val="24"/>
        </w:rPr>
        <w:t>15.备份投标文件</w:t>
      </w:r>
    </w:p>
    <w:p w14:paraId="42A04E0C">
      <w:pPr>
        <w:pStyle w:val="1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1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B63B54A">
      <w:pPr>
        <w:pStyle w:val="13"/>
        <w:spacing w:line="360" w:lineRule="auto"/>
        <w:ind w:firstLine="479" w:firstLineChars="199"/>
        <w:rPr>
          <w:rFonts w:hAnsi="宋体" w:cs="宋体"/>
          <w:b/>
          <w:sz w:val="24"/>
          <w:szCs w:val="24"/>
        </w:rPr>
      </w:pPr>
      <w:r>
        <w:rPr>
          <w:rFonts w:hint="eastAsia" w:hAnsi="宋体" w:cs="宋体"/>
          <w:b/>
          <w:color w:val="auto"/>
          <w:sz w:val="24"/>
          <w:szCs w:val="24"/>
          <w:highlight w:val="none"/>
        </w:rPr>
        <w:t>15.5投标人仅提交备份投标文件，未在电子交易平台传输递交投标文件的，投标无效。</w:t>
      </w:r>
    </w:p>
    <w:p w14:paraId="11BB8DAF">
      <w:pPr>
        <w:pStyle w:val="28"/>
        <w:spacing w:before="0"/>
        <w:ind w:firstLine="0" w:firstLineChars="0"/>
        <w:rPr>
          <w:rFonts w:ascii="宋体" w:hAnsi="宋体" w:cs="宋体"/>
          <w:b/>
          <w:szCs w:val="24"/>
        </w:rPr>
      </w:pPr>
      <w:r>
        <w:rPr>
          <w:rFonts w:hint="eastAsia" w:ascii="宋体" w:hAnsi="宋体" w:cs="宋体"/>
          <w:b/>
          <w:szCs w:val="24"/>
        </w:rPr>
        <w:t>16.投标文件的无效处理</w:t>
      </w:r>
    </w:p>
    <w:p w14:paraId="55D6199D">
      <w:pPr>
        <w:pStyle w:val="12"/>
        <w:spacing w:line="360" w:lineRule="auto"/>
        <w:ind w:firstLine="360" w:firstLineChars="150"/>
        <w:rPr>
          <w:rFonts w:cs="宋体"/>
          <w:szCs w:val="21"/>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FC7ED7">
      <w:pPr>
        <w:pStyle w:val="28"/>
        <w:spacing w:before="0"/>
        <w:ind w:firstLine="0" w:firstLineChars="0"/>
        <w:rPr>
          <w:rFonts w:ascii="宋体" w:hAnsi="宋体" w:cs="宋体"/>
          <w:b/>
          <w:szCs w:val="24"/>
        </w:rPr>
      </w:pPr>
      <w:r>
        <w:rPr>
          <w:rFonts w:hint="eastAsia" w:ascii="宋体" w:hAnsi="宋体" w:cs="宋体"/>
          <w:b/>
          <w:szCs w:val="24"/>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1C5A556">
      <w:pPr>
        <w:pStyle w:val="28"/>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3A33111">
      <w:pPr>
        <w:pStyle w:val="28"/>
        <w:spacing w:before="0"/>
        <w:ind w:firstLine="1928" w:firstLineChars="600"/>
        <w:rPr>
          <w:rFonts w:hint="eastAsia" w:ascii="宋体" w:hAnsi="宋体" w:cs="宋体"/>
          <w:b/>
          <w:sz w:val="32"/>
        </w:rPr>
      </w:pPr>
    </w:p>
    <w:p w14:paraId="13C2DE19">
      <w:pPr>
        <w:pStyle w:val="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1C3D3F8">
      <w:pPr>
        <w:pStyle w:val="2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1DBAA014">
      <w:pPr>
        <w:pStyle w:val="29"/>
        <w:spacing w:before="0" w:line="360" w:lineRule="auto"/>
        <w:ind w:left="0" w:firstLine="480" w:firstLineChars="200"/>
        <w:contextualSpacing/>
        <w:rPr>
          <w:rFonts w:ascii="宋体" w:hAnsi="宋体" w:cs="宋体"/>
          <w:b/>
          <w:bCs/>
          <w:sz w:val="24"/>
        </w:rPr>
      </w:pPr>
      <w:r>
        <w:rPr>
          <w:rFonts w:hint="eastAsia" w:ascii="宋体" w:hAnsi="宋体" w:cs="宋体"/>
          <w:sz w:val="24"/>
        </w:rPr>
        <w:t>18.1采购机构按照招标文件规定的时间通过电子交易平台组织开标，所有投标人均应当准时在线参加。</w:t>
      </w:r>
      <w:r>
        <w:rPr>
          <w:rFonts w:hint="eastAsia" w:ascii="宋体" w:hAnsi="宋体" w:cs="宋体"/>
          <w:b/>
          <w:bCs/>
          <w:sz w:val="24"/>
        </w:rPr>
        <w:t>投标人不足3家的，不得开标。</w:t>
      </w:r>
    </w:p>
    <w:p w14:paraId="0E629F21">
      <w:pPr>
        <w:pStyle w:val="2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1DE24413">
      <w:pPr>
        <w:pStyle w:val="2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B319F07">
      <w:pPr>
        <w:pStyle w:val="29"/>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8F2A2E6">
      <w:pPr>
        <w:pStyle w:val="28"/>
        <w:spacing w:before="0"/>
        <w:ind w:firstLine="480"/>
        <w:rPr>
          <w:rFonts w:ascii="宋体" w:hAnsi="宋体" w:cs="宋体"/>
          <w:b/>
          <w:bCs/>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2A42D99">
      <w:pPr>
        <w:pStyle w:val="28"/>
        <w:spacing w:before="0"/>
        <w:ind w:firstLine="0" w:firstLineChars="0"/>
        <w:rPr>
          <w:rFonts w:ascii="宋体" w:hAnsi="宋体" w:cs="宋体"/>
          <w:b/>
          <w:szCs w:val="24"/>
        </w:rPr>
      </w:pPr>
      <w:r>
        <w:rPr>
          <w:rFonts w:hint="eastAsia" w:ascii="宋体" w:hAnsi="宋体" w:cs="宋体"/>
          <w:b/>
          <w:szCs w:val="24"/>
        </w:rPr>
        <w:t>20、信用信息查询</w:t>
      </w:r>
    </w:p>
    <w:p w14:paraId="385E7C5D">
      <w:pPr>
        <w:pStyle w:val="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CFC9284">
      <w:pPr>
        <w:pStyle w:val="2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4662166">
      <w:pPr>
        <w:snapToGrid w:val="0"/>
        <w:spacing w:line="360" w:lineRule="auto"/>
        <w:jc w:val="center"/>
        <w:outlineLvl w:val="0"/>
        <w:rPr>
          <w:rFonts w:hint="eastAsia" w:ascii="宋体" w:hAnsi="宋体" w:cs="宋体"/>
          <w:b/>
          <w:sz w:val="36"/>
          <w:szCs w:val="36"/>
        </w:rPr>
      </w:pPr>
    </w:p>
    <w:p w14:paraId="51A14F2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CB84C5F">
      <w:pPr>
        <w:spacing w:line="360" w:lineRule="auto"/>
        <w:rPr>
          <w:rFonts w:ascii="宋体" w:hAnsi="宋体" w:cs="宋体"/>
          <w:b/>
          <w:sz w:val="24"/>
        </w:rPr>
      </w:pPr>
      <w:bookmarkStart w:id="10" w:name="_Toc91899903"/>
      <w:r>
        <w:rPr>
          <w:rFonts w:hint="eastAsia" w:ascii="宋体" w:hAnsi="宋体" w:cs="宋体"/>
          <w:b/>
          <w:sz w:val="24"/>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D906505">
      <w:pPr>
        <w:spacing w:line="360" w:lineRule="auto"/>
        <w:rPr>
          <w:rFonts w:ascii="宋体" w:hAnsi="宋体" w:cs="宋体"/>
          <w:b/>
          <w:sz w:val="24"/>
        </w:rPr>
      </w:pPr>
    </w:p>
    <w:p w14:paraId="471E7A2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2FCFC40">
      <w:pPr>
        <w:pStyle w:val="12"/>
        <w:spacing w:line="360" w:lineRule="auto"/>
        <w:ind w:left="479" w:hanging="479" w:hangingChars="199"/>
        <w:rPr>
          <w:rFonts w:cs="宋体"/>
          <w:b/>
        </w:rPr>
      </w:pPr>
      <w:r>
        <w:rPr>
          <w:rFonts w:hint="eastAsia" w:cs="宋体"/>
          <w:b/>
        </w:rPr>
        <w:t>22. 确定中标供应商</w:t>
      </w:r>
    </w:p>
    <w:p w14:paraId="634B889C">
      <w:pPr>
        <w:pStyle w:val="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34B05BD">
      <w:pPr>
        <w:pStyle w:val="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1" w:name="_Hlk101184471"/>
      <w:r>
        <w:rPr>
          <w:rFonts w:hint="eastAsia" w:ascii="宋体" w:hAnsi="宋体" w:cs="宋体"/>
          <w:color w:val="auto"/>
          <w:sz w:val="24"/>
          <w:highlight w:val="none"/>
        </w:rPr>
        <w:t>资格审查情况、评审专家抽取规则、符合性审查情况、</w:t>
      </w:r>
      <w:bookmarkEnd w:id="11"/>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33847E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23.4 </w:t>
      </w:r>
      <w:r>
        <w:rPr>
          <w:rFonts w:hint="eastAsia" w:ascii="宋体" w:hAnsi="宋体" w:eastAsia="宋体" w:cs="宋体"/>
          <w:color w:val="auto"/>
          <w:sz w:val="24"/>
          <w:highlight w:val="none"/>
        </w:rPr>
        <w:t>由于中标、成交供应商原因导致重新采购的，应当承担支付代理费和专家评审费等费用在内的赔偿责任。</w:t>
      </w:r>
    </w:p>
    <w:p w14:paraId="19AF5D1D">
      <w:pPr>
        <w:pStyle w:val="25"/>
        <w:rPr>
          <w:rFonts w:hint="eastAsia"/>
        </w:rPr>
      </w:pPr>
    </w:p>
    <w:p w14:paraId="575AA81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7E55A7C">
      <w:pPr>
        <w:pStyle w:val="1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合同主要条款详见第五部分拟签订的合同文本。（具体合同文本以实际签署的为准）</w:t>
      </w:r>
    </w:p>
    <w:p w14:paraId="2D71391C">
      <w:pPr>
        <w:pStyle w:val="12"/>
        <w:spacing w:line="360" w:lineRule="auto"/>
        <w:ind w:left="479" w:hanging="479" w:hangingChars="199"/>
        <w:rPr>
          <w:rFonts w:cs="宋体"/>
          <w:b/>
        </w:rPr>
      </w:pPr>
      <w:r>
        <w:rPr>
          <w:rFonts w:hint="eastAsia" w:cs="宋体"/>
          <w:b/>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D3E2D23">
      <w:pPr>
        <w:pStyle w:val="12"/>
        <w:spacing w:line="360" w:lineRule="auto"/>
        <w:ind w:left="479" w:hanging="477" w:hangingChars="199"/>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3B2EA54">
      <w:pPr>
        <w:pStyle w:val="12"/>
        <w:spacing w:line="360" w:lineRule="auto"/>
        <w:ind w:left="479" w:hanging="479" w:hangingChars="199"/>
        <w:rPr>
          <w:rFonts w:cs="宋体"/>
          <w:b/>
        </w:rPr>
      </w:pPr>
      <w:r>
        <w:rPr>
          <w:rFonts w:hint="eastAsia" w:cs="宋体"/>
          <w:b/>
        </w:rPr>
        <w:t>26. 履约保证金</w:t>
      </w:r>
    </w:p>
    <w:p w14:paraId="20F9E6A8">
      <w:pPr>
        <w:snapToGrid w:val="0"/>
        <w:spacing w:line="360" w:lineRule="auto"/>
        <w:ind w:firstLine="480" w:firstLineChars="200"/>
        <w:jc w:val="both"/>
        <w:rPr>
          <w:rFonts w:hint="eastAsia" w:ascii="宋体" w:hAnsi="宋体" w:cs="宋体"/>
          <w:kern w:val="2"/>
          <w:sz w:val="24"/>
          <w:szCs w:val="20"/>
          <w:lang w:val="en-US" w:eastAsia="zh-CN" w:bidi="ar-SA"/>
        </w:rPr>
      </w:pPr>
      <w:r>
        <w:rPr>
          <w:rFonts w:hint="eastAsia" w:ascii="宋体" w:hAnsi="宋体" w:cs="宋体"/>
          <w:kern w:val="2"/>
          <w:sz w:val="24"/>
          <w:szCs w:val="20"/>
          <w:lang w:val="en-US" w:eastAsia="zh-CN" w:bidi="ar-SA"/>
        </w:rPr>
        <w:t>本项目无需缴纳履约保证金。</w:t>
      </w:r>
    </w:p>
    <w:p w14:paraId="50DFAF70">
      <w:pPr>
        <w:snapToGrid w:val="0"/>
        <w:spacing w:line="360" w:lineRule="auto"/>
        <w:ind w:firstLine="643" w:firstLineChars="200"/>
        <w:jc w:val="center"/>
        <w:rPr>
          <w:rFonts w:hint="eastAsia" w:ascii="宋体" w:hAnsi="宋体" w:cs="宋体"/>
          <w:b/>
          <w:sz w:val="32"/>
        </w:rPr>
      </w:pPr>
    </w:p>
    <w:p w14:paraId="5A745BE3">
      <w:pPr>
        <w:snapToGrid w:val="0"/>
        <w:spacing w:line="360" w:lineRule="auto"/>
        <w:ind w:firstLine="643" w:firstLineChars="200"/>
        <w:jc w:val="center"/>
        <w:rPr>
          <w:rFonts w:ascii="宋体" w:hAnsi="宋体" w:cs="宋体"/>
          <w:b/>
          <w:sz w:val="24"/>
        </w:rPr>
      </w:pPr>
      <w:r>
        <w:rPr>
          <w:rFonts w:hint="eastAsia" w:ascii="宋体" w:hAnsi="宋体" w:cs="宋体"/>
          <w:b/>
          <w:sz w:val="32"/>
        </w:rPr>
        <w:t>八、电子交易活动的中止</w:t>
      </w:r>
    </w:p>
    <w:p w14:paraId="6E667E69">
      <w:pPr>
        <w:pStyle w:val="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D3CABEC">
      <w:pPr>
        <w:pStyle w:val="28"/>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503B784C">
      <w:pPr>
        <w:pStyle w:val="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6E12D974">
      <w:pPr>
        <w:pStyle w:val="28"/>
        <w:snapToGrid w:val="0"/>
        <w:spacing w:before="0"/>
        <w:ind w:firstLine="480"/>
        <w:rPr>
          <w:rFonts w:ascii="宋体" w:hAnsi="宋体" w:cs="宋体"/>
        </w:rPr>
      </w:pPr>
      <w:r>
        <w:rPr>
          <w:rFonts w:hint="eastAsia" w:ascii="宋体" w:hAnsi="宋体" w:cs="宋体"/>
        </w:rPr>
        <w:t>27.3电子交易平台发现严重安全漏洞，有潜在泄密危险的；</w:t>
      </w:r>
    </w:p>
    <w:p w14:paraId="0375FBDE">
      <w:pPr>
        <w:pStyle w:val="28"/>
        <w:snapToGrid w:val="0"/>
        <w:spacing w:before="0"/>
        <w:ind w:firstLine="480"/>
        <w:rPr>
          <w:rFonts w:ascii="宋体" w:hAnsi="宋体" w:cs="宋体"/>
        </w:rPr>
      </w:pPr>
      <w:r>
        <w:rPr>
          <w:rFonts w:hint="eastAsia" w:ascii="宋体" w:hAnsi="宋体" w:cs="宋体"/>
        </w:rPr>
        <w:t xml:space="preserve">27.4病毒发作导致不能进行正常操作的； </w:t>
      </w:r>
    </w:p>
    <w:p w14:paraId="281D858E">
      <w:pPr>
        <w:pStyle w:val="28"/>
        <w:snapToGrid w:val="0"/>
        <w:spacing w:before="0"/>
        <w:ind w:firstLine="480"/>
        <w:rPr>
          <w:rFonts w:ascii="宋体" w:hAnsi="宋体" w:cs="宋体"/>
        </w:rPr>
      </w:pPr>
      <w:r>
        <w:rPr>
          <w:rFonts w:hint="eastAsia" w:ascii="宋体" w:hAnsi="宋体" w:cs="宋体"/>
        </w:rPr>
        <w:t>27.5其他无法保证电子交易的公平、公正和安全的情况。</w:t>
      </w:r>
    </w:p>
    <w:p w14:paraId="0089D4DA">
      <w:pPr>
        <w:pStyle w:val="28"/>
        <w:snapToGrid w:val="0"/>
        <w:spacing w:before="0"/>
        <w:ind w:firstLine="0" w:firstLineChars="0"/>
        <w:rPr>
          <w:rFonts w:ascii="宋体" w:hAnsi="宋体" w:cs="宋体"/>
          <w:sz w:val="24"/>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196027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E0477CA">
      <w:pPr>
        <w:pStyle w:val="12"/>
        <w:spacing w:line="360" w:lineRule="auto"/>
        <w:ind w:firstLine="0" w:firstLineChars="0"/>
        <w:rPr>
          <w:rFonts w:cs="宋体"/>
          <w:b/>
        </w:rPr>
      </w:pPr>
      <w:r>
        <w:rPr>
          <w:rFonts w:hint="eastAsia" w:cs="宋体"/>
          <w:b/>
        </w:rPr>
        <w:t>29.验收</w:t>
      </w:r>
    </w:p>
    <w:p w14:paraId="6901797B">
      <w:pPr>
        <w:tabs>
          <w:tab w:val="left" w:pos="0"/>
        </w:tabs>
        <w:spacing w:line="360" w:lineRule="auto"/>
        <w:ind w:firstLine="480"/>
        <w:rPr>
          <w:rFonts w:ascii="宋体" w:hAnsi="宋体" w:cs="宋体"/>
          <w:kern w:val="0"/>
          <w:sz w:val="24"/>
        </w:rPr>
      </w:pPr>
      <w:r>
        <w:rPr>
          <w:rFonts w:hint="eastAsia" w:ascii="宋体" w:hAnsi="宋体" w:cs="宋体"/>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19F1BB">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6AD305C0">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84E93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29.4</w:t>
      </w:r>
      <w:bookmarkEnd w:id="10"/>
      <w:bookmarkStart w:id="12" w:name="_Hlt74707468"/>
      <w:bookmarkEnd w:id="12"/>
      <w:bookmarkStart w:id="13" w:name="_Hlt74714665"/>
      <w:bookmarkEnd w:id="13"/>
      <w:bookmarkStart w:id="14" w:name="_Hlt68072990"/>
      <w:bookmarkEnd w:id="14"/>
      <w:bookmarkStart w:id="15" w:name="_Hlt74730295"/>
      <w:bookmarkEnd w:id="15"/>
      <w:bookmarkStart w:id="16" w:name="_Hlt75236290"/>
      <w:bookmarkEnd w:id="16"/>
      <w:bookmarkStart w:id="17" w:name="_Hlt68072998"/>
      <w:bookmarkEnd w:id="17"/>
      <w:bookmarkStart w:id="18" w:name="_Hlt68403820"/>
      <w:bookmarkEnd w:id="18"/>
      <w:bookmarkStart w:id="19" w:name="_Hlt75236101"/>
      <w:bookmarkEnd w:id="19"/>
      <w:bookmarkStart w:id="20" w:name="_Hlt75236011"/>
      <w:bookmarkEnd w:id="20"/>
      <w:bookmarkStart w:id="21" w:name="_Hlt68057669"/>
      <w:bookmarkEnd w:id="21"/>
      <w:bookmarkStart w:id="22" w:name="_Hlt74729768"/>
      <w:bookmarkEnd w:id="22"/>
      <w:bookmarkStart w:id="23" w:name="_Hlt68073093"/>
      <w:bookmarkEnd w:id="23"/>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57EE09">
      <w:pPr>
        <w:tabs>
          <w:tab w:val="left" w:pos="0"/>
        </w:tabs>
        <w:spacing w:line="360" w:lineRule="auto"/>
        <w:ind w:firstLine="480"/>
        <w:rPr>
          <w:rFonts w:ascii="宋体" w:hAnsi="宋体" w:cs="宋体"/>
          <w:kern w:val="0"/>
          <w:sz w:val="24"/>
        </w:rPr>
        <w:sectPr>
          <w:footerReference r:id="rId10" w:type="first"/>
          <w:footerReference r:id="rId9"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8"/>
    <w:bookmarkEnd w:id="9"/>
    <w:p w14:paraId="2B724FCC">
      <w:pPr>
        <w:tabs>
          <w:tab w:val="left" w:pos="0"/>
        </w:tabs>
        <w:spacing w:line="360" w:lineRule="auto"/>
        <w:ind w:firstLine="2262" w:firstLineChars="626"/>
        <w:rPr>
          <w:rFonts w:hint="eastAsia" w:ascii="宋体" w:hAnsi="宋体" w:cs="宋体"/>
          <w:b/>
          <w:bCs/>
          <w:kern w:val="0"/>
          <w:sz w:val="36"/>
          <w:szCs w:val="36"/>
        </w:rPr>
      </w:pPr>
      <w:bookmarkStart w:id="24" w:name="第四部分"/>
      <w:r>
        <w:rPr>
          <w:rFonts w:hint="eastAsia" w:ascii="宋体" w:hAnsi="宋体" w:cs="宋体"/>
          <w:b/>
          <w:bCs/>
          <w:kern w:val="0"/>
          <w:sz w:val="36"/>
          <w:szCs w:val="36"/>
        </w:rPr>
        <w:t>第三部分   采购需求</w:t>
      </w:r>
    </w:p>
    <w:p w14:paraId="478E57C5">
      <w:pPr>
        <w:keepNext w:val="0"/>
        <w:keepLines w:val="0"/>
        <w:pageBreakBefore w:val="0"/>
        <w:kinsoku/>
        <w:wordWrap/>
        <w:overflowPunct/>
        <w:topLinePunct w:val="0"/>
        <w:autoSpaceDE/>
        <w:autoSpaceDN/>
        <w:bidi w:val="0"/>
        <w:spacing w:before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为</w:t>
      </w:r>
      <w:r>
        <w:rPr>
          <w:rFonts w:hint="eastAsia" w:ascii="宋体" w:hAnsi="宋体" w:eastAsia="宋体" w:cs="宋体"/>
          <w:sz w:val="24"/>
          <w:szCs w:val="24"/>
          <w:lang w:val="en-US" w:eastAsia="zh-CN"/>
        </w:rPr>
        <w:t>切实</w:t>
      </w:r>
      <w:r>
        <w:rPr>
          <w:rFonts w:hint="eastAsia" w:ascii="宋体" w:hAnsi="宋体" w:eastAsia="宋体" w:cs="宋体"/>
          <w:sz w:val="24"/>
          <w:szCs w:val="24"/>
        </w:rPr>
        <w:t>落实企业安全生产主体责任，充分发挥社会力量在安全生产工作中的作用，使政府监管得到充分落实,保障生产安全和社会稳定，富春江镇</w:t>
      </w:r>
      <w:r>
        <w:rPr>
          <w:rFonts w:hint="eastAsia" w:ascii="宋体" w:hAnsi="宋体" w:eastAsia="宋体" w:cs="宋体"/>
          <w:sz w:val="24"/>
          <w:szCs w:val="24"/>
          <w:lang w:val="en-US" w:eastAsia="zh-CN"/>
        </w:rPr>
        <w:t>2025</w:t>
      </w:r>
      <w:r>
        <w:rPr>
          <w:rFonts w:hint="eastAsia" w:ascii="宋体" w:hAnsi="宋体" w:eastAsia="宋体" w:cs="宋体"/>
          <w:sz w:val="24"/>
          <w:szCs w:val="24"/>
        </w:rPr>
        <w:t>年拟开展安全生产社会化服务工作按以下方案</w:t>
      </w:r>
      <w:r>
        <w:rPr>
          <w:rFonts w:hint="eastAsia" w:ascii="宋体" w:hAnsi="宋体" w:eastAsia="宋体" w:cs="宋体"/>
          <w:sz w:val="24"/>
          <w:szCs w:val="24"/>
          <w:lang w:val="en-US" w:eastAsia="zh-CN"/>
        </w:rPr>
        <w:t>进行：</w:t>
      </w:r>
    </w:p>
    <w:p w14:paraId="116BB09C">
      <w:pPr>
        <w:keepNext w:val="0"/>
        <w:keepLines w:val="0"/>
        <w:pageBreakBefore w:val="0"/>
        <w:kinsoku/>
        <w:wordWrap/>
        <w:overflowPunct/>
        <w:topLinePunct w:val="0"/>
        <w:autoSpaceDE/>
        <w:autoSpaceDN/>
        <w:bidi w:val="0"/>
        <w:spacing w:beforeLines="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一、服务项目清单：</w:t>
      </w:r>
    </w:p>
    <w:tbl>
      <w:tblPr>
        <w:tblStyle w:val="20"/>
        <w:tblpPr w:leftFromText="180" w:rightFromText="180" w:vertAnchor="text" w:horzAnchor="page" w:tblpXSpec="center" w:tblpY="77"/>
        <w:tblOverlap w:val="never"/>
        <w:tblW w:w="8569" w:type="dxa"/>
        <w:jc w:val="center"/>
        <w:tblLayout w:type="fixed"/>
        <w:tblCellMar>
          <w:top w:w="0" w:type="dxa"/>
          <w:left w:w="108" w:type="dxa"/>
          <w:bottom w:w="0" w:type="dxa"/>
          <w:right w:w="108" w:type="dxa"/>
        </w:tblCellMar>
      </w:tblPr>
      <w:tblGrid>
        <w:gridCol w:w="727"/>
        <w:gridCol w:w="4000"/>
        <w:gridCol w:w="929"/>
        <w:gridCol w:w="909"/>
        <w:gridCol w:w="2004"/>
      </w:tblGrid>
      <w:tr w14:paraId="16E451D5">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42D161B3">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000" w:type="dxa"/>
            <w:tcBorders>
              <w:top w:val="single" w:color="auto" w:sz="4" w:space="0"/>
              <w:left w:val="nil"/>
              <w:bottom w:val="single" w:color="auto" w:sz="4" w:space="0"/>
              <w:right w:val="single" w:color="auto" w:sz="4" w:space="0"/>
            </w:tcBorders>
            <w:noWrap w:val="0"/>
            <w:vAlign w:val="center"/>
          </w:tcPr>
          <w:p w14:paraId="16C5CB97">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服务范围及内容</w:t>
            </w:r>
          </w:p>
        </w:tc>
        <w:tc>
          <w:tcPr>
            <w:tcW w:w="929" w:type="dxa"/>
            <w:tcBorders>
              <w:top w:val="single" w:color="auto" w:sz="4" w:space="0"/>
              <w:left w:val="nil"/>
              <w:bottom w:val="single" w:color="auto" w:sz="4" w:space="0"/>
              <w:right w:val="single" w:color="auto" w:sz="4" w:space="0"/>
            </w:tcBorders>
            <w:noWrap w:val="0"/>
            <w:vAlign w:val="center"/>
          </w:tcPr>
          <w:p w14:paraId="2712FC9D">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909" w:type="dxa"/>
            <w:tcBorders>
              <w:top w:val="single" w:color="auto" w:sz="4" w:space="0"/>
              <w:left w:val="nil"/>
              <w:bottom w:val="single" w:color="auto" w:sz="4" w:space="0"/>
              <w:right w:val="single" w:color="auto" w:sz="4" w:space="0"/>
            </w:tcBorders>
            <w:noWrap w:val="0"/>
            <w:vAlign w:val="center"/>
          </w:tcPr>
          <w:p w14:paraId="7F42913A">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004" w:type="dxa"/>
            <w:tcBorders>
              <w:top w:val="single" w:color="auto" w:sz="4" w:space="0"/>
              <w:left w:val="nil"/>
              <w:bottom w:val="single" w:color="auto" w:sz="4" w:space="0"/>
              <w:right w:val="single" w:color="auto" w:sz="4" w:space="0"/>
            </w:tcBorders>
            <w:noWrap w:val="0"/>
            <w:vAlign w:val="center"/>
          </w:tcPr>
          <w:p w14:paraId="2CC3820E">
            <w:pPr>
              <w:keepNext w:val="0"/>
              <w:keepLines w:val="0"/>
              <w:pageBreakBefore w:val="0"/>
              <w:kinsoku/>
              <w:wordWrap/>
              <w:overflowPunct/>
              <w:topLinePunct w:val="0"/>
              <w:autoSpaceDE/>
              <w:autoSpaceDN/>
              <w:bidi w:val="0"/>
              <w:adjustRightInd/>
              <w:snapToGrid/>
              <w:spacing w:beforeLines="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单价上限价</w:t>
            </w:r>
          </w:p>
        </w:tc>
      </w:tr>
      <w:tr w14:paraId="538A0CD1">
        <w:tblPrEx>
          <w:tblCellMar>
            <w:top w:w="0" w:type="dxa"/>
            <w:left w:w="108" w:type="dxa"/>
            <w:bottom w:w="0" w:type="dxa"/>
            <w:right w:w="108" w:type="dxa"/>
          </w:tblCellMar>
        </w:tblPrEx>
        <w:trPr>
          <w:trHeight w:val="886" w:hRule="atLeast"/>
          <w:jc w:val="center"/>
        </w:trPr>
        <w:tc>
          <w:tcPr>
            <w:tcW w:w="727" w:type="dxa"/>
            <w:tcBorders>
              <w:top w:val="single" w:color="auto" w:sz="4" w:space="0"/>
              <w:left w:val="single" w:color="auto" w:sz="4" w:space="0"/>
              <w:right w:val="single" w:color="auto" w:sz="4" w:space="0"/>
            </w:tcBorders>
            <w:noWrap w:val="0"/>
            <w:vAlign w:val="center"/>
          </w:tcPr>
          <w:p w14:paraId="1DB8B5F3">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000" w:type="dxa"/>
            <w:tcBorders>
              <w:top w:val="single" w:color="auto" w:sz="4" w:space="0"/>
              <w:left w:val="single" w:color="auto" w:sz="4" w:space="0"/>
              <w:right w:val="single" w:color="auto" w:sz="4" w:space="0"/>
            </w:tcBorders>
            <w:noWrap w:val="0"/>
            <w:vAlign w:val="center"/>
          </w:tcPr>
          <w:p w14:paraId="03A2BDCE">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全镇所有</w:t>
            </w:r>
            <w:r>
              <w:rPr>
                <w:rFonts w:hint="eastAsia" w:ascii="宋体" w:hAnsi="宋体" w:eastAsia="宋体" w:cs="宋体"/>
                <w:color w:val="auto"/>
                <w:kern w:val="0"/>
                <w:sz w:val="24"/>
                <w:szCs w:val="24"/>
              </w:rPr>
              <w:t>企业约2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0家，每年检查服务1次，结算按实际</w:t>
            </w:r>
            <w:r>
              <w:rPr>
                <w:rFonts w:hint="eastAsia" w:ascii="宋体" w:hAnsi="宋体" w:eastAsia="宋体" w:cs="宋体"/>
                <w:color w:val="auto"/>
                <w:kern w:val="0"/>
                <w:sz w:val="24"/>
                <w:szCs w:val="24"/>
                <w:lang w:val="en-US" w:eastAsia="zh-CN"/>
              </w:rPr>
              <w:t>整改闭环</w:t>
            </w:r>
            <w:r>
              <w:rPr>
                <w:rFonts w:hint="eastAsia" w:ascii="宋体" w:hAnsi="宋体" w:eastAsia="宋体" w:cs="宋体"/>
                <w:color w:val="auto"/>
                <w:kern w:val="0"/>
                <w:sz w:val="24"/>
                <w:szCs w:val="24"/>
              </w:rPr>
              <w:t>企业家·次数量计算。</w:t>
            </w:r>
          </w:p>
        </w:tc>
        <w:tc>
          <w:tcPr>
            <w:tcW w:w="929" w:type="dxa"/>
            <w:tcBorders>
              <w:top w:val="single" w:color="auto" w:sz="4" w:space="0"/>
              <w:left w:val="single" w:color="auto" w:sz="4" w:space="0"/>
              <w:right w:val="single" w:color="auto" w:sz="4" w:space="0"/>
            </w:tcBorders>
            <w:noWrap w:val="0"/>
            <w:vAlign w:val="center"/>
          </w:tcPr>
          <w:p w14:paraId="4CE30D60">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家</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次</w:t>
            </w:r>
          </w:p>
        </w:tc>
        <w:tc>
          <w:tcPr>
            <w:tcW w:w="909" w:type="dxa"/>
            <w:tcBorders>
              <w:top w:val="single" w:color="auto" w:sz="4" w:space="0"/>
              <w:left w:val="single" w:color="auto" w:sz="4" w:space="0"/>
              <w:right w:val="single" w:color="auto" w:sz="4" w:space="0"/>
            </w:tcBorders>
            <w:noWrap w:val="0"/>
            <w:vAlign w:val="center"/>
          </w:tcPr>
          <w:p w14:paraId="4FEA3EE2">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0*1</w:t>
            </w:r>
          </w:p>
        </w:tc>
        <w:tc>
          <w:tcPr>
            <w:tcW w:w="2004" w:type="dxa"/>
            <w:tcBorders>
              <w:top w:val="single" w:color="auto" w:sz="4" w:space="0"/>
              <w:left w:val="single" w:color="auto" w:sz="4" w:space="0"/>
              <w:right w:val="single" w:color="auto" w:sz="4" w:space="0"/>
            </w:tcBorders>
            <w:noWrap w:val="0"/>
            <w:vAlign w:val="center"/>
          </w:tcPr>
          <w:p w14:paraId="11995E90">
            <w:pPr>
              <w:keepNext w:val="0"/>
              <w:keepLines w:val="0"/>
              <w:pageBreakBefore w:val="0"/>
              <w:widowControl/>
              <w:suppressLineNumbers w:val="0"/>
              <w:kinsoku/>
              <w:wordWrap/>
              <w:overflowPunct/>
              <w:topLinePunct w:val="0"/>
              <w:autoSpaceDE/>
              <w:autoSpaceDN/>
              <w:bidi w:val="0"/>
              <w:adjustRightInd/>
              <w:snapToGrid/>
              <w:spacing w:beforeLines="0" w:line="360" w:lineRule="auto"/>
              <w:jc w:val="center"/>
              <w:textAlignment w:val="center"/>
              <w:rPr>
                <w:rFonts w:hint="eastAsia" w:ascii="宋体" w:hAnsi="宋体" w:eastAsia="宋体" w:cs="宋体"/>
                <w:bCs/>
                <w:color w:val="auto"/>
                <w:sz w:val="24"/>
                <w:szCs w:val="24"/>
                <w:lang w:val="en-US"/>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200</w:t>
            </w:r>
            <w:r>
              <w:rPr>
                <w:rFonts w:hint="eastAsia" w:ascii="宋体" w:hAnsi="宋体" w:eastAsia="宋体" w:cs="宋体"/>
                <w:bCs/>
                <w:color w:val="auto"/>
                <w:sz w:val="24"/>
                <w:szCs w:val="24"/>
              </w:rPr>
              <w:t>元/家·次</w:t>
            </w:r>
          </w:p>
        </w:tc>
      </w:tr>
      <w:tr w14:paraId="25A84093">
        <w:tblPrEx>
          <w:tblCellMar>
            <w:top w:w="0" w:type="dxa"/>
            <w:left w:w="108" w:type="dxa"/>
            <w:bottom w:w="0" w:type="dxa"/>
            <w:right w:w="108" w:type="dxa"/>
          </w:tblCellMar>
        </w:tblPrEx>
        <w:trPr>
          <w:trHeight w:val="1259"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0C2D1D23">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4000" w:type="dxa"/>
            <w:tcBorders>
              <w:top w:val="single" w:color="auto" w:sz="4" w:space="0"/>
              <w:left w:val="single" w:color="auto" w:sz="4" w:space="0"/>
              <w:bottom w:val="single" w:color="auto" w:sz="4" w:space="0"/>
              <w:right w:val="single" w:color="auto" w:sz="4" w:space="0"/>
            </w:tcBorders>
            <w:noWrap w:val="0"/>
            <w:vAlign w:val="center"/>
          </w:tcPr>
          <w:p w14:paraId="1CD9A401">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根据风险评估结果列入较高风险的企业每季实施检查跟踪服务（工业企业30家；大型建筑工地、加油站、煤气站共10个），结算按实际</w:t>
            </w:r>
            <w:r>
              <w:rPr>
                <w:rFonts w:hint="eastAsia" w:ascii="宋体" w:hAnsi="宋体" w:eastAsia="宋体" w:cs="宋体"/>
                <w:color w:val="auto"/>
                <w:kern w:val="0"/>
                <w:sz w:val="24"/>
                <w:szCs w:val="24"/>
                <w:lang w:val="en-US" w:eastAsia="zh-CN"/>
              </w:rPr>
              <w:t>整改闭环</w:t>
            </w:r>
            <w:r>
              <w:rPr>
                <w:rFonts w:hint="eastAsia" w:ascii="宋体" w:hAnsi="宋体" w:eastAsia="宋体" w:cs="宋体"/>
                <w:color w:val="auto"/>
                <w:kern w:val="0"/>
                <w:sz w:val="24"/>
                <w:szCs w:val="24"/>
              </w:rPr>
              <w:t>企业家·次数量计算。</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7A48FC3">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家</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次</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7924931E">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40*3</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DCFB8F4">
            <w:pPr>
              <w:keepNext w:val="0"/>
              <w:keepLines w:val="0"/>
              <w:pageBreakBefore w:val="0"/>
              <w:widowControl/>
              <w:suppressLineNumbers w:val="0"/>
              <w:kinsoku/>
              <w:wordWrap/>
              <w:overflowPunct/>
              <w:topLinePunct w:val="0"/>
              <w:autoSpaceDE/>
              <w:autoSpaceDN/>
              <w:bidi w:val="0"/>
              <w:adjustRightInd/>
              <w:snapToGrid/>
              <w:spacing w:beforeLines="0" w:line="360" w:lineRule="auto"/>
              <w:jc w:val="center"/>
              <w:textAlignment w:val="center"/>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rPr>
              <w:t>500</w:t>
            </w:r>
            <w:r>
              <w:rPr>
                <w:rFonts w:hint="eastAsia" w:ascii="宋体" w:hAnsi="宋体" w:eastAsia="宋体" w:cs="宋体"/>
                <w:bCs/>
                <w:color w:val="auto"/>
                <w:sz w:val="24"/>
                <w:szCs w:val="24"/>
              </w:rPr>
              <w:t>元/家·次</w:t>
            </w:r>
          </w:p>
        </w:tc>
      </w:tr>
      <w:tr w14:paraId="02AAC748">
        <w:tblPrEx>
          <w:tblCellMar>
            <w:top w:w="0" w:type="dxa"/>
            <w:left w:w="108" w:type="dxa"/>
            <w:bottom w:w="0" w:type="dxa"/>
            <w:right w:w="108" w:type="dxa"/>
          </w:tblCellMar>
        </w:tblPrEx>
        <w:trPr>
          <w:trHeight w:val="1806"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3076397B">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4000" w:type="dxa"/>
            <w:tcBorders>
              <w:top w:val="single" w:color="auto" w:sz="4" w:space="0"/>
              <w:left w:val="single" w:color="auto" w:sz="4" w:space="0"/>
              <w:bottom w:val="single" w:color="auto" w:sz="4" w:space="0"/>
              <w:right w:val="single" w:color="auto" w:sz="4" w:space="0"/>
            </w:tcBorders>
            <w:noWrap w:val="0"/>
            <w:vAlign w:val="center"/>
          </w:tcPr>
          <w:p w14:paraId="4FF93638">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全镇所有经营性民宿约300家，开展消防安全、食品安全、周边辅助设施等安全检查，每年检查服务1次，</w:t>
            </w:r>
            <w:r>
              <w:rPr>
                <w:rFonts w:hint="eastAsia" w:ascii="宋体" w:hAnsi="宋体" w:eastAsia="宋体" w:cs="宋体"/>
                <w:color w:val="auto"/>
                <w:kern w:val="0"/>
                <w:sz w:val="24"/>
                <w:szCs w:val="24"/>
              </w:rPr>
              <w:t>结算按实际</w:t>
            </w:r>
            <w:r>
              <w:rPr>
                <w:rFonts w:hint="eastAsia" w:ascii="宋体" w:hAnsi="宋体" w:eastAsia="宋体" w:cs="宋体"/>
                <w:color w:val="auto"/>
                <w:kern w:val="0"/>
                <w:sz w:val="24"/>
                <w:szCs w:val="24"/>
                <w:lang w:val="en-US" w:eastAsia="zh-CN"/>
              </w:rPr>
              <w:t>整改闭环</w:t>
            </w:r>
            <w:r>
              <w:rPr>
                <w:rFonts w:hint="eastAsia" w:ascii="宋体" w:hAnsi="宋体" w:eastAsia="宋体" w:cs="宋体"/>
                <w:color w:val="auto"/>
                <w:kern w:val="0"/>
                <w:sz w:val="24"/>
                <w:szCs w:val="24"/>
              </w:rPr>
              <w:t>企业家·次数量计算。</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413F7E1">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家</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次</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0F89C37A">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300*1</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4935DB8">
            <w:pPr>
              <w:keepNext w:val="0"/>
              <w:keepLines w:val="0"/>
              <w:pageBreakBefore w:val="0"/>
              <w:widowControl/>
              <w:suppressLineNumbers w:val="0"/>
              <w:kinsoku/>
              <w:wordWrap/>
              <w:overflowPunct/>
              <w:topLinePunct w:val="0"/>
              <w:autoSpaceDE/>
              <w:autoSpaceDN/>
              <w:bidi w:val="0"/>
              <w:adjustRightInd/>
              <w:snapToGrid/>
              <w:spacing w:beforeLines="0" w:line="360" w:lineRule="auto"/>
              <w:jc w:val="center"/>
              <w:textAlignment w:val="center"/>
              <w:rPr>
                <w:rFonts w:hint="eastAsia" w:ascii="宋体" w:hAnsi="宋体" w:eastAsia="宋体" w:cs="宋体"/>
                <w:bCs/>
                <w:color w:val="auto"/>
                <w:sz w:val="24"/>
                <w:szCs w:val="24"/>
                <w:lang w:val="en-US" w:eastAsia="zh-CN"/>
              </w:rPr>
            </w:pPr>
            <w:r>
              <w:rPr>
                <w:rFonts w:hint="eastAsia" w:ascii="宋体" w:hAnsi="宋体" w:eastAsia="宋体" w:cs="宋体"/>
                <w:color w:val="auto"/>
                <w:kern w:val="0"/>
                <w:sz w:val="24"/>
                <w:szCs w:val="24"/>
                <w:lang w:val="en-US" w:eastAsia="zh-CN"/>
              </w:rPr>
              <w:t>300</w:t>
            </w:r>
            <w:r>
              <w:rPr>
                <w:rFonts w:hint="eastAsia" w:ascii="宋体" w:hAnsi="宋体" w:eastAsia="宋体" w:cs="宋体"/>
                <w:bCs/>
                <w:color w:val="auto"/>
                <w:sz w:val="24"/>
                <w:szCs w:val="24"/>
              </w:rPr>
              <w:t>元/家·次</w:t>
            </w:r>
          </w:p>
        </w:tc>
      </w:tr>
      <w:tr w14:paraId="416D2514">
        <w:tblPrEx>
          <w:tblCellMar>
            <w:top w:w="0" w:type="dxa"/>
            <w:left w:w="108" w:type="dxa"/>
            <w:bottom w:w="0" w:type="dxa"/>
            <w:right w:w="108" w:type="dxa"/>
          </w:tblCellMar>
        </w:tblPrEx>
        <w:trPr>
          <w:trHeight w:val="1806"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01189815">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4000" w:type="dxa"/>
            <w:tcBorders>
              <w:top w:val="single" w:color="auto" w:sz="4" w:space="0"/>
              <w:left w:val="single" w:color="auto" w:sz="4" w:space="0"/>
              <w:bottom w:val="single" w:color="auto" w:sz="4" w:space="0"/>
              <w:right w:val="single" w:color="auto" w:sz="4" w:space="0"/>
            </w:tcBorders>
            <w:noWrap w:val="0"/>
            <w:vAlign w:val="center"/>
          </w:tcPr>
          <w:p w14:paraId="426E2519">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全镇所有九小场所约600家，开展消防安全、周边辅助设施等安全检查，每年检查服务1次，</w:t>
            </w:r>
            <w:r>
              <w:rPr>
                <w:rFonts w:hint="eastAsia" w:ascii="宋体" w:hAnsi="宋体" w:eastAsia="宋体" w:cs="宋体"/>
                <w:color w:val="auto"/>
                <w:kern w:val="0"/>
                <w:sz w:val="24"/>
                <w:szCs w:val="24"/>
              </w:rPr>
              <w:t>结算按实际</w:t>
            </w:r>
            <w:r>
              <w:rPr>
                <w:rFonts w:hint="eastAsia" w:ascii="宋体" w:hAnsi="宋体" w:eastAsia="宋体" w:cs="宋体"/>
                <w:color w:val="auto"/>
                <w:kern w:val="0"/>
                <w:sz w:val="24"/>
                <w:szCs w:val="24"/>
                <w:lang w:val="en-US" w:eastAsia="zh-CN"/>
              </w:rPr>
              <w:t>整改闭环</w:t>
            </w:r>
            <w:r>
              <w:rPr>
                <w:rFonts w:hint="eastAsia" w:ascii="宋体" w:hAnsi="宋体" w:eastAsia="宋体" w:cs="宋体"/>
                <w:color w:val="auto"/>
                <w:kern w:val="0"/>
                <w:sz w:val="24"/>
                <w:szCs w:val="24"/>
              </w:rPr>
              <w:t>企业家·次数量计算。</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016BEF24">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家</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次</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253ACC79">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600*1</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0AF72C5">
            <w:pPr>
              <w:keepNext w:val="0"/>
              <w:keepLines w:val="0"/>
              <w:pageBreakBefore w:val="0"/>
              <w:widowControl/>
              <w:suppressLineNumbers w:val="0"/>
              <w:kinsoku/>
              <w:wordWrap/>
              <w:overflowPunct/>
              <w:topLinePunct w:val="0"/>
              <w:autoSpaceDE/>
              <w:autoSpaceDN/>
              <w:bidi w:val="0"/>
              <w:adjustRightInd/>
              <w:snapToGrid/>
              <w:spacing w:beforeLines="0"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kern w:val="0"/>
                <w:sz w:val="24"/>
                <w:szCs w:val="24"/>
                <w:lang w:val="en-US" w:eastAsia="zh-CN"/>
              </w:rPr>
              <w:t>160</w:t>
            </w:r>
            <w:r>
              <w:rPr>
                <w:rFonts w:hint="eastAsia" w:ascii="宋体" w:hAnsi="宋体" w:eastAsia="宋体" w:cs="宋体"/>
                <w:bCs/>
                <w:color w:val="auto"/>
                <w:sz w:val="24"/>
                <w:szCs w:val="24"/>
              </w:rPr>
              <w:t>元/家·次</w:t>
            </w:r>
          </w:p>
        </w:tc>
      </w:tr>
      <w:tr w14:paraId="6EBEDE51">
        <w:tblPrEx>
          <w:tblCellMar>
            <w:top w:w="0" w:type="dxa"/>
            <w:left w:w="108" w:type="dxa"/>
            <w:bottom w:w="0" w:type="dxa"/>
            <w:right w:w="108" w:type="dxa"/>
          </w:tblCellMar>
        </w:tblPrEx>
        <w:trPr>
          <w:trHeight w:val="75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085E75A3">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p>
        </w:tc>
        <w:tc>
          <w:tcPr>
            <w:tcW w:w="4000" w:type="dxa"/>
            <w:tcBorders>
              <w:top w:val="single" w:color="auto" w:sz="4" w:space="0"/>
              <w:left w:val="single" w:color="auto" w:sz="4" w:space="0"/>
              <w:bottom w:val="single" w:color="auto" w:sz="4" w:space="0"/>
              <w:right w:val="single" w:color="auto" w:sz="4" w:space="0"/>
            </w:tcBorders>
            <w:noWrap w:val="0"/>
            <w:vAlign w:val="center"/>
          </w:tcPr>
          <w:p w14:paraId="35A8F72E">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对特别需求企业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在建工地</w:t>
            </w:r>
            <w:r>
              <w:rPr>
                <w:rFonts w:hint="eastAsia" w:ascii="宋体" w:hAnsi="宋体" w:eastAsia="宋体" w:cs="宋体"/>
                <w:color w:val="auto"/>
                <w:sz w:val="24"/>
                <w:szCs w:val="24"/>
              </w:rPr>
              <w:t>提供安全生产知识培训或应急演练活动（约</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民宿安全培训2场。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081B7B30">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场次</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0AFE717F">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4DCDFDF">
            <w:pPr>
              <w:keepNext w:val="0"/>
              <w:keepLines w:val="0"/>
              <w:pageBreakBefore w:val="0"/>
              <w:widowControl/>
              <w:suppressLineNumbers w:val="0"/>
              <w:kinsoku/>
              <w:wordWrap/>
              <w:overflowPunct/>
              <w:topLinePunct w:val="0"/>
              <w:autoSpaceDE/>
              <w:autoSpaceDN/>
              <w:bidi w:val="0"/>
              <w:adjustRightInd/>
              <w:snapToGrid/>
              <w:spacing w:beforeLines="0" w:line="360" w:lineRule="auto"/>
              <w:jc w:val="center"/>
              <w:textAlignment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1750</w:t>
            </w:r>
            <w:r>
              <w:rPr>
                <w:rFonts w:hint="eastAsia" w:ascii="宋体" w:hAnsi="宋体" w:eastAsia="宋体" w:cs="宋体"/>
                <w:bCs/>
                <w:color w:val="auto"/>
                <w:sz w:val="24"/>
                <w:szCs w:val="24"/>
              </w:rPr>
              <w:t>元/场·次</w:t>
            </w:r>
          </w:p>
        </w:tc>
      </w:tr>
      <w:tr w14:paraId="757D077A">
        <w:tblPrEx>
          <w:tblCellMar>
            <w:top w:w="0" w:type="dxa"/>
            <w:left w:w="108" w:type="dxa"/>
            <w:bottom w:w="0" w:type="dxa"/>
            <w:right w:w="108" w:type="dxa"/>
          </w:tblCellMar>
        </w:tblPrEx>
        <w:trPr>
          <w:trHeight w:val="429"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7AACE98D">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p>
        </w:tc>
        <w:tc>
          <w:tcPr>
            <w:tcW w:w="4000" w:type="dxa"/>
            <w:tcBorders>
              <w:top w:val="single" w:color="auto" w:sz="4" w:space="0"/>
              <w:left w:val="single" w:color="auto" w:sz="4" w:space="0"/>
              <w:bottom w:val="single" w:color="auto" w:sz="4" w:space="0"/>
              <w:right w:val="single" w:color="auto" w:sz="4" w:space="0"/>
            </w:tcBorders>
            <w:noWrap w:val="0"/>
            <w:vAlign w:val="center"/>
          </w:tcPr>
          <w:p w14:paraId="587FBFBA">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每月</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天提供固定日驻镇开展其它临时安全生产专项检查等咨询服务，结算按实际服务签到服务日计算。</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64023D16">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360B7105">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B7EF62D">
            <w:pPr>
              <w:keepNext w:val="0"/>
              <w:keepLines w:val="0"/>
              <w:pageBreakBefore w:val="0"/>
              <w:widowControl/>
              <w:suppressLineNumbers w:val="0"/>
              <w:kinsoku/>
              <w:wordWrap/>
              <w:overflowPunct/>
              <w:topLinePunct w:val="0"/>
              <w:autoSpaceDE/>
              <w:autoSpaceDN/>
              <w:bidi w:val="0"/>
              <w:adjustRightInd/>
              <w:snapToGrid/>
              <w:spacing w:beforeLines="0" w:line="360" w:lineRule="auto"/>
              <w:jc w:val="center"/>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600元/人·天</w:t>
            </w:r>
          </w:p>
        </w:tc>
      </w:tr>
      <w:tr w14:paraId="53F51ED3">
        <w:tblPrEx>
          <w:tblCellMar>
            <w:top w:w="0" w:type="dxa"/>
            <w:left w:w="108" w:type="dxa"/>
            <w:bottom w:w="0" w:type="dxa"/>
            <w:right w:w="108" w:type="dxa"/>
          </w:tblCellMar>
        </w:tblPrEx>
        <w:trPr>
          <w:trHeight w:val="327"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5FB66D24">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p>
        </w:tc>
        <w:tc>
          <w:tcPr>
            <w:tcW w:w="4000" w:type="dxa"/>
            <w:tcBorders>
              <w:top w:val="single" w:color="auto" w:sz="4" w:space="0"/>
              <w:left w:val="single" w:color="auto" w:sz="4" w:space="0"/>
              <w:bottom w:val="single" w:color="auto" w:sz="4" w:space="0"/>
              <w:right w:val="single" w:color="auto" w:sz="4" w:space="0"/>
            </w:tcBorders>
            <w:noWrap w:val="0"/>
            <w:vAlign w:val="center"/>
          </w:tcPr>
          <w:p w14:paraId="09390B6D">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企业风险普查核验及政企“工业在线”</w:t>
            </w:r>
            <w:r>
              <w:rPr>
                <w:rFonts w:hint="eastAsia" w:ascii="宋体" w:hAnsi="宋体" w:eastAsia="宋体" w:cs="宋体"/>
                <w:color w:val="auto"/>
                <w:kern w:val="0"/>
                <w:sz w:val="24"/>
                <w:szCs w:val="24"/>
                <w:lang w:val="en-US" w:eastAsia="zh-CN"/>
              </w:rPr>
              <w:t>等</w:t>
            </w:r>
            <w:r>
              <w:rPr>
                <w:rFonts w:hint="eastAsia" w:ascii="宋体" w:hAnsi="宋体" w:eastAsia="宋体" w:cs="宋体"/>
                <w:color w:val="auto"/>
                <w:kern w:val="0"/>
                <w:sz w:val="24"/>
                <w:szCs w:val="24"/>
              </w:rPr>
              <w:t>各类网上</w:t>
            </w:r>
            <w:r>
              <w:rPr>
                <w:rFonts w:hint="eastAsia" w:ascii="宋体" w:hAnsi="宋体" w:eastAsia="宋体" w:cs="宋体"/>
                <w:color w:val="auto"/>
                <w:kern w:val="0"/>
                <w:sz w:val="24"/>
                <w:szCs w:val="24"/>
                <w:lang w:eastAsia="zh-CN"/>
              </w:rPr>
              <w:t>平台</w:t>
            </w:r>
            <w:r>
              <w:rPr>
                <w:rFonts w:hint="eastAsia" w:ascii="宋体" w:hAnsi="宋体" w:eastAsia="宋体" w:cs="宋体"/>
                <w:color w:val="auto"/>
                <w:kern w:val="0"/>
                <w:sz w:val="24"/>
                <w:szCs w:val="24"/>
                <w:lang w:val="en-US" w:eastAsia="zh-CN"/>
              </w:rPr>
              <w:t>协助</w:t>
            </w:r>
            <w:r>
              <w:rPr>
                <w:rFonts w:hint="eastAsia" w:ascii="宋体" w:hAnsi="宋体" w:eastAsia="宋体" w:cs="宋体"/>
                <w:color w:val="auto"/>
                <w:kern w:val="0"/>
                <w:sz w:val="24"/>
                <w:szCs w:val="24"/>
              </w:rPr>
              <w:t>数据</w:t>
            </w:r>
            <w:r>
              <w:rPr>
                <w:rFonts w:hint="eastAsia" w:ascii="宋体" w:hAnsi="宋体" w:eastAsia="宋体" w:cs="宋体"/>
                <w:color w:val="auto"/>
                <w:kern w:val="0"/>
                <w:sz w:val="24"/>
                <w:szCs w:val="24"/>
                <w:lang w:eastAsia="zh-CN"/>
              </w:rPr>
              <w:t>维护和</w:t>
            </w:r>
            <w:r>
              <w:rPr>
                <w:rFonts w:hint="eastAsia" w:ascii="宋体" w:hAnsi="宋体" w:eastAsia="宋体" w:cs="宋体"/>
                <w:color w:val="auto"/>
                <w:kern w:val="0"/>
                <w:sz w:val="24"/>
                <w:szCs w:val="24"/>
              </w:rPr>
              <w:t>操作</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各项专业报表报送</w:t>
            </w:r>
            <w:r>
              <w:rPr>
                <w:rFonts w:hint="eastAsia" w:ascii="宋体" w:hAnsi="宋体" w:eastAsia="宋体" w:cs="宋体"/>
                <w:color w:val="auto"/>
                <w:kern w:val="0"/>
                <w:sz w:val="24"/>
                <w:szCs w:val="24"/>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69649A9A">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17324464">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bCs/>
                <w:color w:val="auto"/>
                <w:sz w:val="24"/>
                <w:szCs w:val="24"/>
                <w:lang w:eastAsia="zh-CN"/>
              </w:rPr>
            </w:pPr>
            <w:r>
              <w:rPr>
                <w:rFonts w:hint="eastAsia" w:ascii="宋体" w:hAnsi="宋体" w:cs="宋体"/>
                <w:color w:val="auto"/>
                <w:kern w:val="0"/>
                <w:sz w:val="24"/>
                <w:szCs w:val="24"/>
                <w:lang w:val="en-US" w:eastAsia="zh-CN"/>
              </w:rPr>
              <w:t>1</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8F4F21B">
            <w:pPr>
              <w:keepNext w:val="0"/>
              <w:keepLines w:val="0"/>
              <w:pageBreakBefore w:val="0"/>
              <w:widowControl/>
              <w:suppressLineNumbers w:val="0"/>
              <w:kinsoku/>
              <w:wordWrap/>
              <w:overflowPunct/>
              <w:topLinePunct w:val="0"/>
              <w:autoSpaceDE/>
              <w:autoSpaceDN/>
              <w:bidi w:val="0"/>
              <w:adjustRightInd/>
              <w:snapToGrid/>
              <w:spacing w:beforeLines="0" w:line="360" w:lineRule="auto"/>
              <w:jc w:val="center"/>
              <w:textAlignment w:val="center"/>
              <w:rPr>
                <w:rFonts w:hint="eastAsia" w:ascii="宋体" w:hAnsi="宋体" w:eastAsia="宋体" w:cs="宋体"/>
                <w:bCs/>
                <w:color w:val="auto"/>
                <w:sz w:val="24"/>
                <w:szCs w:val="24"/>
              </w:rPr>
            </w:pPr>
            <w:r>
              <w:rPr>
                <w:rFonts w:hint="eastAsia" w:ascii="宋体" w:hAnsi="宋体" w:eastAsia="宋体" w:cs="宋体"/>
                <w:i w:val="0"/>
                <w:iCs w:val="0"/>
                <w:color w:val="000000"/>
                <w:kern w:val="0"/>
                <w:sz w:val="24"/>
                <w:szCs w:val="24"/>
                <w:u w:val="none"/>
                <w:lang w:val="en-US" w:eastAsia="zh-CN" w:bidi="ar"/>
              </w:rPr>
              <w:t>15000</w:t>
            </w:r>
            <w:r>
              <w:rPr>
                <w:rFonts w:hint="eastAsia" w:ascii="宋体" w:hAnsi="宋体" w:cs="宋体"/>
                <w:i w:val="0"/>
                <w:iCs w:val="0"/>
                <w:color w:val="000000"/>
                <w:kern w:val="0"/>
                <w:sz w:val="24"/>
                <w:szCs w:val="24"/>
                <w:u w:val="none"/>
                <w:lang w:val="en-US" w:eastAsia="zh-CN" w:bidi="ar"/>
              </w:rPr>
              <w:t>元/年</w:t>
            </w:r>
          </w:p>
        </w:tc>
      </w:tr>
      <w:tr w14:paraId="39C8293E">
        <w:tblPrEx>
          <w:tblCellMar>
            <w:top w:w="0" w:type="dxa"/>
            <w:left w:w="108" w:type="dxa"/>
            <w:bottom w:w="0" w:type="dxa"/>
            <w:right w:w="108" w:type="dxa"/>
          </w:tblCellMar>
        </w:tblPrEx>
        <w:trPr>
          <w:trHeight w:val="65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6B6DDB36">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842" w:type="dxa"/>
            <w:gridSpan w:val="4"/>
            <w:tcBorders>
              <w:top w:val="single" w:color="auto" w:sz="4" w:space="0"/>
              <w:left w:val="single" w:color="auto" w:sz="4" w:space="0"/>
              <w:bottom w:val="single" w:color="auto" w:sz="4" w:space="0"/>
              <w:right w:val="single" w:color="auto" w:sz="4" w:space="0"/>
            </w:tcBorders>
            <w:noWrap w:val="0"/>
            <w:vAlign w:val="center"/>
          </w:tcPr>
          <w:p w14:paraId="0E37DED1">
            <w:pPr>
              <w:keepNext w:val="0"/>
              <w:keepLines w:val="0"/>
              <w:pageBreakBefore w:val="0"/>
              <w:widowControl/>
              <w:kinsoku/>
              <w:wordWrap/>
              <w:overflowPunct/>
              <w:topLinePunct w:val="0"/>
              <w:autoSpaceDE/>
              <w:autoSpaceDN/>
              <w:bidi w:val="0"/>
              <w:adjustRightInd/>
              <w:snapToGrid/>
              <w:spacing w:beforeLines="0"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驻镇咨询服务人员需具备国家注册安全工程师、中级工程师、安全培训师、安全标准化评审员等以上职称人员。</w:t>
            </w:r>
          </w:p>
        </w:tc>
      </w:tr>
    </w:tbl>
    <w:p w14:paraId="02CEF945">
      <w:pPr>
        <w:keepNext w:val="0"/>
        <w:keepLines w:val="0"/>
        <w:pageBreakBefore w:val="0"/>
        <w:kinsoku/>
        <w:wordWrap/>
        <w:overflowPunct/>
        <w:topLinePunct w:val="0"/>
        <w:autoSpaceDE/>
        <w:autoSpaceDN/>
        <w:bidi w:val="0"/>
        <w:spacing w:beforeLines="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二、具体服务要求：</w:t>
      </w:r>
    </w:p>
    <w:p w14:paraId="241D41E1">
      <w:pPr>
        <w:keepNext w:val="0"/>
        <w:keepLines w:val="0"/>
        <w:pageBreakBefore w:val="0"/>
        <w:numPr>
          <w:ilvl w:val="0"/>
          <w:numId w:val="0"/>
        </w:numPr>
        <w:kinsoku/>
        <w:wordWrap/>
        <w:overflowPunct/>
        <w:topLinePunct w:val="0"/>
        <w:autoSpaceDE/>
        <w:autoSpaceDN/>
        <w:bidi w:val="0"/>
        <w:spacing w:beforeLines="0"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对辖区所有生产经营企业进行一次</w:t>
      </w:r>
      <w:r>
        <w:rPr>
          <w:rFonts w:hint="eastAsia" w:ascii="宋体" w:hAnsi="宋体" w:eastAsia="宋体" w:cs="宋体"/>
          <w:color w:val="auto"/>
          <w:sz w:val="24"/>
          <w:szCs w:val="24"/>
          <w:lang w:eastAsia="zh-CN"/>
        </w:rPr>
        <w:t>全面性</w:t>
      </w:r>
      <w:r>
        <w:rPr>
          <w:rFonts w:hint="eastAsia" w:ascii="宋体" w:hAnsi="宋体" w:eastAsia="宋体" w:cs="宋体"/>
          <w:color w:val="auto"/>
          <w:sz w:val="24"/>
          <w:szCs w:val="24"/>
        </w:rPr>
        <w:t>体检，重点检查企业现场安全</w:t>
      </w:r>
      <w:r>
        <w:rPr>
          <w:rFonts w:hint="eastAsia" w:ascii="宋体" w:hAnsi="宋体" w:eastAsia="宋体" w:cs="宋体"/>
          <w:color w:val="auto"/>
          <w:sz w:val="24"/>
          <w:szCs w:val="24"/>
          <w:lang w:val="en-US" w:eastAsia="zh-CN"/>
        </w:rPr>
        <w:t>状况</w:t>
      </w:r>
      <w:r>
        <w:rPr>
          <w:rFonts w:hint="eastAsia" w:ascii="宋体" w:hAnsi="宋体" w:eastAsia="宋体" w:cs="宋体"/>
          <w:color w:val="auto"/>
          <w:sz w:val="24"/>
          <w:szCs w:val="24"/>
          <w:lang w:eastAsia="zh-CN"/>
        </w:rPr>
        <w:t>，针对每家企业出具综合检查报告</w:t>
      </w:r>
      <w:r>
        <w:rPr>
          <w:rFonts w:hint="eastAsia" w:ascii="宋体" w:hAnsi="宋体" w:eastAsia="宋体" w:cs="宋体"/>
          <w:color w:val="auto"/>
          <w:sz w:val="24"/>
          <w:szCs w:val="24"/>
        </w:rPr>
        <w:t>。服务包括：</w:t>
      </w:r>
      <w:r>
        <w:rPr>
          <w:rFonts w:hint="eastAsia" w:ascii="宋体" w:hAnsi="宋体" w:eastAsia="宋体" w:cs="宋体"/>
          <w:color w:val="auto"/>
          <w:sz w:val="24"/>
          <w:szCs w:val="24"/>
          <w:lang w:val="en-US" w:eastAsia="zh-CN"/>
        </w:rPr>
        <w:t>检查、服务指导、复查。检查包括：基础台账（协助规下企业</w:t>
      </w:r>
      <w:r>
        <w:rPr>
          <w:rFonts w:hint="eastAsia" w:ascii="宋体" w:hAnsi="宋体" w:eastAsia="宋体" w:cs="宋体"/>
          <w:color w:val="auto"/>
          <w:sz w:val="24"/>
          <w:szCs w:val="24"/>
        </w:rPr>
        <w:t>完善员工责任书、三级教育、业主责任体系各项制度</w:t>
      </w:r>
      <w:r>
        <w:rPr>
          <w:rFonts w:hint="eastAsia" w:ascii="宋体" w:hAnsi="宋体" w:eastAsia="宋体" w:cs="宋体"/>
          <w:color w:val="auto"/>
          <w:sz w:val="24"/>
          <w:szCs w:val="24"/>
          <w:lang w:eastAsia="zh-CN"/>
        </w:rPr>
        <w:t>点</w:t>
      </w:r>
      <w:r>
        <w:rPr>
          <w:rFonts w:hint="eastAsia" w:ascii="宋体" w:hAnsi="宋体" w:eastAsia="宋体" w:cs="宋体"/>
          <w:color w:val="auto"/>
          <w:sz w:val="24"/>
          <w:szCs w:val="24"/>
          <w:lang w:val="en-US" w:eastAsia="zh-CN"/>
        </w:rPr>
        <w:t>台账资料</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现场安全：消防安全、设备设施安全、人员操作安全。对特种设备作业、环保设施作业、有限空间作业、高空作业进行重点检查；对</w:t>
      </w:r>
      <w:r>
        <w:rPr>
          <w:rFonts w:hint="eastAsia" w:ascii="宋体" w:hAnsi="宋体" w:eastAsia="宋体" w:cs="宋体"/>
          <w:color w:val="auto"/>
          <w:sz w:val="24"/>
          <w:szCs w:val="24"/>
        </w:rPr>
        <w:t>企业双预防机制核验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四色图、现场风险告知卡</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rPr>
        <w:t>设置</w:t>
      </w:r>
      <w:r>
        <w:rPr>
          <w:rFonts w:hint="eastAsia" w:ascii="宋体" w:hAnsi="宋体" w:eastAsia="宋体" w:cs="宋体"/>
          <w:color w:val="auto"/>
          <w:sz w:val="24"/>
          <w:szCs w:val="24"/>
          <w:lang w:val="en-US" w:eastAsia="zh-CN"/>
        </w:rPr>
        <w:t>到位</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6月底完成检查，8月底前完成复查。</w:t>
      </w:r>
    </w:p>
    <w:p w14:paraId="4054375A">
      <w:pPr>
        <w:keepNext w:val="0"/>
        <w:keepLines w:val="0"/>
        <w:pageBreakBefore w:val="0"/>
        <w:numPr>
          <w:ilvl w:val="0"/>
          <w:numId w:val="0"/>
        </w:numPr>
        <w:kinsoku/>
        <w:wordWrap/>
        <w:overflowPunct/>
        <w:topLinePunct w:val="0"/>
        <w:autoSpaceDE/>
        <w:autoSpaceDN/>
        <w:bidi w:val="0"/>
        <w:spacing w:beforeLines="0"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根据企业体检情况汇总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筛选风险较高以上企业30家及大型建筑工地、危化储存经营单位共10家</w:t>
      </w:r>
      <w:r>
        <w:rPr>
          <w:rFonts w:hint="eastAsia" w:ascii="宋体" w:hAnsi="宋体" w:eastAsia="宋体" w:cs="宋体"/>
          <w:color w:val="auto"/>
          <w:sz w:val="24"/>
          <w:szCs w:val="24"/>
        </w:rPr>
        <w:t>实施分类监管，实施</w:t>
      </w:r>
      <w:r>
        <w:rPr>
          <w:rFonts w:hint="eastAsia" w:ascii="宋体" w:hAnsi="宋体" w:eastAsia="宋体" w:cs="宋体"/>
          <w:color w:val="auto"/>
          <w:sz w:val="24"/>
          <w:szCs w:val="24"/>
          <w:lang w:val="en-US" w:eastAsia="zh-CN"/>
        </w:rPr>
        <w:t>每季1次</w:t>
      </w:r>
      <w:r>
        <w:rPr>
          <w:rFonts w:hint="eastAsia" w:ascii="宋体" w:hAnsi="宋体" w:eastAsia="宋体" w:cs="宋体"/>
          <w:color w:val="auto"/>
          <w:sz w:val="24"/>
          <w:szCs w:val="24"/>
        </w:rPr>
        <w:t>跟踪检查</w:t>
      </w:r>
      <w:r>
        <w:rPr>
          <w:rFonts w:hint="eastAsia" w:ascii="宋体" w:hAnsi="宋体" w:eastAsia="宋体" w:cs="宋体"/>
          <w:color w:val="auto"/>
          <w:sz w:val="24"/>
          <w:szCs w:val="24"/>
          <w:lang w:val="en-US" w:eastAsia="zh-CN"/>
        </w:rPr>
        <w:t>指导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直至消除重点隐患，降低风险等级；</w:t>
      </w:r>
      <w:r>
        <w:rPr>
          <w:rFonts w:hint="eastAsia" w:ascii="宋体" w:hAnsi="宋体" w:eastAsia="宋体" w:cs="宋体"/>
          <w:color w:val="auto"/>
          <w:sz w:val="24"/>
          <w:szCs w:val="24"/>
          <w:lang w:val="en-US" w:eastAsia="zh-CN"/>
        </w:rPr>
        <w:t>7月以后开展。</w:t>
      </w:r>
    </w:p>
    <w:p w14:paraId="10C1DDA4">
      <w:pPr>
        <w:pStyle w:val="10"/>
        <w:keepNext w:val="0"/>
        <w:keepLines w:val="0"/>
        <w:pageBreakBefore w:val="0"/>
        <w:numPr>
          <w:ilvl w:val="0"/>
          <w:numId w:val="0"/>
        </w:numPr>
        <w:kinsoku/>
        <w:wordWrap/>
        <w:overflowPunct/>
        <w:topLinePunct w:val="0"/>
        <w:autoSpaceDE/>
        <w:autoSpaceDN/>
        <w:bidi w:val="0"/>
        <w:spacing w:beforeLines="0" w:after="0" w:line="360" w:lineRule="auto"/>
        <w:ind w:left="0" w:leftChars="0" w:firstLine="470" w:firstLineChars="196"/>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3、对所有经营性民宿开展全面检查。服务包括：检查、服务指导、复查。检查内容;消防安全、食品安全、周边辅助设施安全、人员出入安全等。5月开始检查，9月底前完成闭环。</w:t>
      </w:r>
    </w:p>
    <w:p w14:paraId="2B36657D">
      <w:pPr>
        <w:pStyle w:val="10"/>
        <w:keepNext w:val="0"/>
        <w:keepLines w:val="0"/>
        <w:pageBreakBefore w:val="0"/>
        <w:numPr>
          <w:ilvl w:val="0"/>
          <w:numId w:val="0"/>
        </w:numPr>
        <w:kinsoku/>
        <w:wordWrap/>
        <w:overflowPunct/>
        <w:topLinePunct w:val="0"/>
        <w:autoSpaceDE/>
        <w:autoSpaceDN/>
        <w:bidi w:val="0"/>
        <w:spacing w:beforeLines="0" w:after="0" w:line="360" w:lineRule="auto"/>
        <w:ind w:left="0" w:leftChars="0" w:firstLine="470" w:firstLineChars="196"/>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lang w:val="en-US" w:eastAsia="zh-CN"/>
        </w:rPr>
        <w:t>对所有九小场所（小学校或幼儿园、小医院、小商店、小餐饮场所、小旅馆</w:t>
      </w:r>
      <w:r>
        <w:rPr>
          <w:rFonts w:hint="eastAsia" w:hAnsi="宋体" w:cs="宋体"/>
          <w:color w:val="auto"/>
          <w:sz w:val="24"/>
          <w:szCs w:val="24"/>
          <w:lang w:val="en-US" w:eastAsia="zh-CN"/>
        </w:rPr>
        <w:t>（不含民宿）</w:t>
      </w:r>
      <w:r>
        <w:rPr>
          <w:rFonts w:hint="eastAsia" w:ascii="宋体" w:hAnsi="宋体" w:eastAsia="宋体" w:cs="宋体"/>
          <w:color w:val="auto"/>
          <w:sz w:val="24"/>
          <w:szCs w:val="24"/>
          <w:lang w:val="en-US" w:eastAsia="zh-CN"/>
        </w:rPr>
        <w:t>、小歌舞娱乐场所、小网吧、小美容洗浴场所、小生产加工企业）摸清底数，全面检查。服务包括：检查、服务指导、复查。检查内容;消防安全、周边辅助设施安全、人员出入安全等。5月开始检查，12月底前完成闭环。</w:t>
      </w:r>
    </w:p>
    <w:p w14:paraId="2DD2F581">
      <w:pPr>
        <w:keepNext w:val="0"/>
        <w:keepLines w:val="0"/>
        <w:pageBreakBefore w:val="0"/>
        <w:numPr>
          <w:ilvl w:val="0"/>
          <w:numId w:val="0"/>
        </w:numPr>
        <w:kinsoku/>
        <w:wordWrap/>
        <w:overflowPunct/>
        <w:topLinePunct w:val="0"/>
        <w:autoSpaceDE/>
        <w:autoSpaceDN/>
        <w:bidi w:val="0"/>
        <w:spacing w:beforeLines="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5、计划</w:t>
      </w:r>
      <w:r>
        <w:rPr>
          <w:rFonts w:hint="eastAsia" w:ascii="宋体" w:hAnsi="宋体" w:eastAsia="宋体" w:cs="宋体"/>
          <w:color w:val="auto"/>
          <w:sz w:val="24"/>
          <w:szCs w:val="24"/>
        </w:rPr>
        <w:t>提升部分特定企业（如矿山、冶炼、危化、事故单位以及安全生产示范企业约5家企业）的需求，派出安全生产专家实施针对性安全生产培训、应急演习演练、风险管控等应急能力提升的专项技术服务，提升安全生产高品质企业的形象；</w:t>
      </w:r>
      <w:r>
        <w:rPr>
          <w:rFonts w:hint="eastAsia" w:ascii="宋体" w:hAnsi="宋体" w:eastAsia="宋体" w:cs="宋体"/>
          <w:color w:val="auto"/>
          <w:sz w:val="24"/>
          <w:szCs w:val="24"/>
          <w:lang w:val="en-US" w:eastAsia="zh-CN"/>
        </w:rPr>
        <w:t>组织所有民宿业主分2场进行安全培训。</w:t>
      </w:r>
    </w:p>
    <w:p w14:paraId="172E4EFD">
      <w:pPr>
        <w:keepNext w:val="0"/>
        <w:keepLines w:val="0"/>
        <w:pageBreakBefore w:val="0"/>
        <w:kinsoku/>
        <w:wordWrap/>
        <w:overflowPunct/>
        <w:topLinePunct w:val="0"/>
        <w:autoSpaceDE/>
        <w:autoSpaceDN/>
        <w:bidi w:val="0"/>
        <w:spacing w:before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.采用专家蹲点驻守服务，必须派驻专家每月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天驻镇实施固定安全生产服务日，开展镇应对上级部门指示需要所开展的其它临时性专项检查</w:t>
      </w:r>
      <w:r>
        <w:rPr>
          <w:rFonts w:hint="eastAsia" w:ascii="宋体" w:hAnsi="宋体" w:eastAsia="宋体" w:cs="宋体"/>
          <w:color w:val="auto"/>
          <w:sz w:val="24"/>
          <w:szCs w:val="24"/>
          <w:lang w:eastAsia="zh-CN"/>
        </w:rPr>
        <w:t>和工业在线系统操作</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的现场</w:t>
      </w:r>
      <w:r>
        <w:rPr>
          <w:rFonts w:hint="eastAsia" w:ascii="宋体" w:hAnsi="宋体" w:eastAsia="宋体" w:cs="宋体"/>
          <w:color w:val="auto"/>
          <w:sz w:val="24"/>
          <w:szCs w:val="24"/>
        </w:rPr>
        <w:t>咨询</w:t>
      </w:r>
      <w:r>
        <w:rPr>
          <w:rFonts w:hint="eastAsia" w:ascii="宋体" w:hAnsi="宋体" w:eastAsia="宋体" w:cs="宋体"/>
          <w:color w:val="auto"/>
          <w:sz w:val="24"/>
          <w:szCs w:val="24"/>
          <w:lang w:eastAsia="zh-CN"/>
        </w:rPr>
        <w:t>指导</w:t>
      </w:r>
      <w:r>
        <w:rPr>
          <w:rFonts w:hint="eastAsia" w:ascii="宋体" w:hAnsi="宋体" w:eastAsia="宋体" w:cs="宋体"/>
          <w:color w:val="auto"/>
          <w:sz w:val="24"/>
          <w:szCs w:val="24"/>
        </w:rPr>
        <w:t>服务，全年总约</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w:t>
      </w:r>
    </w:p>
    <w:p w14:paraId="194156FC">
      <w:pPr>
        <w:keepNext w:val="0"/>
        <w:keepLines w:val="0"/>
        <w:pageBreakBefore w:val="0"/>
        <w:kinsoku/>
        <w:wordWrap/>
        <w:overflowPunct/>
        <w:topLinePunct w:val="0"/>
        <w:autoSpaceDE/>
        <w:autoSpaceDN/>
        <w:bidi w:val="0"/>
        <w:spacing w:before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及时对浙江省工业在线系统上新增、变更、搬迁、注销企业进行现场核验，针对现场排查隐患及时</w:t>
      </w:r>
      <w:r>
        <w:rPr>
          <w:rFonts w:hint="eastAsia" w:ascii="宋体" w:hAnsi="宋体" w:cs="宋体"/>
          <w:color w:val="auto"/>
          <w:sz w:val="24"/>
          <w:szCs w:val="24"/>
          <w:lang w:val="en-US" w:eastAsia="zh-CN"/>
        </w:rPr>
        <w:t>协助</w:t>
      </w:r>
      <w:r>
        <w:rPr>
          <w:rFonts w:hint="eastAsia" w:ascii="宋体" w:hAnsi="宋体" w:eastAsia="宋体" w:cs="宋体"/>
          <w:color w:val="auto"/>
          <w:sz w:val="24"/>
          <w:szCs w:val="24"/>
          <w:lang w:eastAsia="zh-CN"/>
        </w:rPr>
        <w:t>录入系统，对发现的生产安全事故隐患情况实施跟踪指导整改并在系统上进行整改确认；</w:t>
      </w:r>
      <w:r>
        <w:rPr>
          <w:rFonts w:hint="eastAsia" w:ascii="宋体" w:hAnsi="宋体" w:eastAsia="宋体" w:cs="宋体"/>
          <w:color w:val="auto"/>
          <w:sz w:val="24"/>
          <w:szCs w:val="24"/>
        </w:rPr>
        <w:t>及时完成县应急</w:t>
      </w:r>
      <w:r>
        <w:rPr>
          <w:rFonts w:hint="eastAsia" w:ascii="宋体" w:hAnsi="宋体" w:eastAsia="宋体" w:cs="宋体"/>
          <w:color w:val="auto"/>
          <w:sz w:val="24"/>
          <w:szCs w:val="24"/>
          <w:lang w:eastAsia="zh-CN"/>
        </w:rPr>
        <w:t>管理</w:t>
      </w:r>
      <w:r>
        <w:rPr>
          <w:rFonts w:hint="eastAsia" w:ascii="宋体" w:hAnsi="宋体" w:eastAsia="宋体" w:cs="宋体"/>
          <w:color w:val="auto"/>
          <w:sz w:val="24"/>
          <w:szCs w:val="24"/>
        </w:rPr>
        <w:t>局下达的</w:t>
      </w:r>
      <w:r>
        <w:rPr>
          <w:rFonts w:hint="eastAsia" w:ascii="宋体" w:hAnsi="宋体" w:eastAsia="宋体" w:cs="宋体"/>
          <w:color w:val="auto"/>
          <w:sz w:val="24"/>
          <w:szCs w:val="24"/>
          <w:lang w:eastAsia="zh-CN"/>
        </w:rPr>
        <w:t>其它</w:t>
      </w:r>
      <w:r>
        <w:rPr>
          <w:rFonts w:hint="eastAsia" w:ascii="宋体" w:hAnsi="宋体" w:eastAsia="宋体" w:cs="宋体"/>
          <w:color w:val="auto"/>
          <w:sz w:val="24"/>
          <w:szCs w:val="24"/>
        </w:rPr>
        <w:t>各类网上数据</w:t>
      </w:r>
      <w:r>
        <w:rPr>
          <w:rFonts w:hint="eastAsia" w:ascii="宋体" w:hAnsi="宋体" w:cs="宋体"/>
          <w:color w:val="auto"/>
          <w:sz w:val="24"/>
          <w:szCs w:val="24"/>
          <w:lang w:val="en-US" w:eastAsia="zh-CN"/>
        </w:rPr>
        <w:t>协助</w:t>
      </w:r>
      <w:r>
        <w:rPr>
          <w:rFonts w:hint="eastAsia" w:ascii="宋体" w:hAnsi="宋体" w:eastAsia="宋体" w:cs="宋体"/>
          <w:color w:val="auto"/>
          <w:sz w:val="24"/>
          <w:szCs w:val="24"/>
        </w:rPr>
        <w:t>填报</w:t>
      </w:r>
      <w:r>
        <w:rPr>
          <w:rFonts w:hint="eastAsia" w:ascii="宋体" w:hAnsi="宋体" w:eastAsia="宋体" w:cs="宋体"/>
          <w:color w:val="auto"/>
          <w:sz w:val="24"/>
          <w:szCs w:val="24"/>
          <w:lang w:eastAsia="zh-CN"/>
        </w:rPr>
        <w:t>和平台维护</w:t>
      </w:r>
      <w:r>
        <w:rPr>
          <w:rFonts w:hint="eastAsia" w:ascii="宋体" w:hAnsi="宋体" w:eastAsia="宋体" w:cs="宋体"/>
          <w:color w:val="auto"/>
          <w:sz w:val="24"/>
          <w:szCs w:val="24"/>
        </w:rPr>
        <w:t>；</w:t>
      </w:r>
    </w:p>
    <w:p w14:paraId="4EA52CD6">
      <w:pPr>
        <w:keepNext w:val="0"/>
        <w:keepLines w:val="0"/>
        <w:pageBreakBefore w:val="0"/>
        <w:kinsoku/>
        <w:wordWrap/>
        <w:overflowPunct/>
        <w:topLinePunct w:val="0"/>
        <w:autoSpaceDE/>
        <w:autoSpaceDN/>
        <w:bidi w:val="0"/>
        <w:spacing w:before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7月上旬、12月中旬、2026年3月下旬</w:t>
      </w:r>
      <w:r>
        <w:rPr>
          <w:rFonts w:hint="eastAsia" w:ascii="宋体" w:hAnsi="宋体" w:eastAsia="宋体" w:cs="宋体"/>
          <w:color w:val="auto"/>
          <w:sz w:val="24"/>
          <w:szCs w:val="24"/>
        </w:rPr>
        <w:t>向镇应急管理站书面汇报委托管理服务的进展情况</w:t>
      </w:r>
      <w:r>
        <w:rPr>
          <w:rFonts w:hint="eastAsia" w:ascii="宋体" w:hAnsi="宋体" w:eastAsia="宋体" w:cs="宋体"/>
          <w:color w:val="auto"/>
          <w:sz w:val="24"/>
          <w:szCs w:val="24"/>
          <w:lang w:eastAsia="zh-CN"/>
        </w:rPr>
        <w:t>，具体包括（首次社会化服务综合性总结分析报告、</w:t>
      </w:r>
      <w:r>
        <w:rPr>
          <w:rFonts w:hint="eastAsia" w:ascii="宋体" w:hAnsi="宋体" w:eastAsia="宋体" w:cs="宋体"/>
          <w:color w:val="auto"/>
          <w:sz w:val="24"/>
          <w:szCs w:val="24"/>
          <w:lang w:val="en-US" w:eastAsia="zh-CN"/>
        </w:rPr>
        <w:t>年终</w:t>
      </w:r>
      <w:r>
        <w:rPr>
          <w:rFonts w:hint="eastAsia" w:ascii="宋体" w:hAnsi="宋体" w:eastAsia="宋体" w:cs="宋体"/>
          <w:color w:val="auto"/>
          <w:sz w:val="24"/>
          <w:szCs w:val="24"/>
          <w:lang w:eastAsia="zh-CN"/>
        </w:rPr>
        <w:t>社会化服务综合小结报告、全年度社会化服务总结报告）</w:t>
      </w:r>
      <w:r>
        <w:rPr>
          <w:rFonts w:hint="eastAsia" w:ascii="宋体" w:hAnsi="宋体" w:eastAsia="宋体" w:cs="宋体"/>
          <w:color w:val="auto"/>
          <w:sz w:val="24"/>
          <w:szCs w:val="24"/>
        </w:rPr>
        <w:t>；本次服务项目分期进行，时间根据实际情况具体安排。</w:t>
      </w:r>
    </w:p>
    <w:p w14:paraId="4510C569">
      <w:pPr>
        <w:keepNext w:val="0"/>
        <w:keepLines w:val="0"/>
        <w:pageBreakBefore w:val="0"/>
        <w:kinsoku/>
        <w:wordWrap/>
        <w:overflowPunct/>
        <w:topLinePunct w:val="0"/>
        <w:autoSpaceDE/>
        <w:autoSpaceDN/>
        <w:bidi w:val="0"/>
        <w:snapToGrid w:val="0"/>
        <w:spacing w:before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三、服务期</w:t>
      </w:r>
    </w:p>
    <w:p w14:paraId="3B4AD481">
      <w:pPr>
        <w:keepNext w:val="0"/>
        <w:keepLines w:val="0"/>
        <w:pageBreakBefore w:val="0"/>
        <w:kinsoku/>
        <w:wordWrap/>
        <w:overflowPunct/>
        <w:topLinePunct w:val="0"/>
        <w:autoSpaceDE/>
        <w:autoSpaceDN/>
        <w:bidi w:val="0"/>
        <w:snapToGrid w:val="0"/>
        <w:spacing w:beforeLines="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合同签订后一年</w:t>
      </w:r>
      <w:r>
        <w:rPr>
          <w:rFonts w:hint="eastAsia" w:ascii="宋体" w:hAnsi="宋体" w:cs="宋体"/>
          <w:sz w:val="24"/>
          <w:szCs w:val="24"/>
          <w:lang w:val="en-US" w:eastAsia="zh-CN"/>
        </w:rPr>
        <w:t>（服务费用达到合同金额，合同终止）</w:t>
      </w:r>
      <w:r>
        <w:rPr>
          <w:rFonts w:hint="eastAsia" w:ascii="宋体" w:hAnsi="宋体" w:eastAsia="宋体" w:cs="宋体"/>
          <w:sz w:val="24"/>
          <w:szCs w:val="24"/>
          <w:lang w:val="en-US" w:eastAsia="zh-CN"/>
        </w:rPr>
        <w:t>。</w:t>
      </w:r>
    </w:p>
    <w:p w14:paraId="7E85B1D6">
      <w:pPr>
        <w:keepNext w:val="0"/>
        <w:keepLines w:val="0"/>
        <w:pageBreakBefore w:val="0"/>
        <w:kinsoku/>
        <w:wordWrap/>
        <w:overflowPunct/>
        <w:topLinePunct w:val="0"/>
        <w:autoSpaceDE/>
        <w:autoSpaceDN/>
        <w:bidi w:val="0"/>
        <w:snapToGrid w:val="0"/>
        <w:spacing w:before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四、履约保证金</w:t>
      </w:r>
    </w:p>
    <w:p w14:paraId="07308F31">
      <w:pPr>
        <w:keepNext w:val="0"/>
        <w:keepLines w:val="0"/>
        <w:pageBreakBefore w:val="0"/>
        <w:kinsoku/>
        <w:wordWrap/>
        <w:overflowPunct/>
        <w:topLinePunct w:val="0"/>
        <w:autoSpaceDE/>
        <w:autoSpaceDN/>
        <w:bidi w:val="0"/>
        <w:snapToGrid w:val="0"/>
        <w:spacing w:before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签订合同前，中标供应商应向采购单位足额缴纳履约保证金（合同价的0.1%），履约完成后无息退还。</w:t>
      </w:r>
    </w:p>
    <w:p w14:paraId="1E8D7C2D">
      <w:pPr>
        <w:keepNext w:val="0"/>
        <w:keepLines w:val="0"/>
        <w:pageBreakBefore w:val="0"/>
        <w:kinsoku/>
        <w:wordWrap/>
        <w:overflowPunct/>
        <w:topLinePunct w:val="0"/>
        <w:autoSpaceDE/>
        <w:autoSpaceDN/>
        <w:bidi w:val="0"/>
        <w:snapToGrid w:val="0"/>
        <w:spacing w:before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五、付款方式</w:t>
      </w:r>
    </w:p>
    <w:p w14:paraId="03B630F1">
      <w:pPr>
        <w:keepNext w:val="0"/>
        <w:keepLines w:val="0"/>
        <w:pageBreakBefore w:val="0"/>
        <w:kinsoku/>
        <w:wordWrap/>
        <w:overflowPunct/>
        <w:topLinePunct w:val="0"/>
        <w:autoSpaceDE/>
        <w:autoSpaceDN/>
        <w:bidi w:val="0"/>
        <w:snapToGrid w:val="0"/>
        <w:spacing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本项目预付款为合同金额的</w:t>
      </w:r>
      <w:r>
        <w:rPr>
          <w:rFonts w:hint="eastAsia" w:ascii="宋体" w:hAnsi="宋体" w:eastAsia="宋体" w:cs="宋体"/>
          <w:sz w:val="24"/>
          <w:szCs w:val="24"/>
          <w:lang w:val="en-US" w:eastAsia="zh-CN"/>
        </w:rPr>
        <w:t>60</w:t>
      </w:r>
      <w:r>
        <w:rPr>
          <w:rFonts w:hint="eastAsia" w:ascii="宋体" w:hAnsi="宋体" w:eastAsia="宋体" w:cs="宋体"/>
          <w:sz w:val="24"/>
          <w:szCs w:val="24"/>
        </w:rPr>
        <w:t>％，采购人应在合同生效以及具备实施条件后7个工作日内支付预付款。服务期满经验收合格后支付剩余款项。（最终按实际服务数量进行结算）</w:t>
      </w:r>
    </w:p>
    <w:p w14:paraId="5CBA9675">
      <w:pPr>
        <w:keepNext w:val="0"/>
        <w:keepLines w:val="0"/>
        <w:pageBreakBefore w:val="0"/>
        <w:tabs>
          <w:tab w:val="left" w:pos="7088"/>
        </w:tabs>
        <w:kinsoku/>
        <w:wordWrap/>
        <w:overflowPunct/>
        <w:topLinePunct w:val="0"/>
        <w:autoSpaceDE/>
        <w:autoSpaceDN/>
        <w:bidi w:val="0"/>
        <w:snapToGrid w:val="0"/>
        <w:spacing w:before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六、考核办法</w:t>
      </w:r>
    </w:p>
    <w:p w14:paraId="12F3EB11">
      <w:pPr>
        <w:keepNext w:val="0"/>
        <w:keepLines w:val="0"/>
        <w:pageBreakBefore w:val="0"/>
        <w:kinsoku/>
        <w:wordWrap/>
        <w:overflowPunct/>
        <w:topLinePunct w:val="0"/>
        <w:autoSpaceDE/>
        <w:autoSpaceDN/>
        <w:bidi w:val="0"/>
        <w:snapToGrid w:val="0"/>
        <w:spacing w:before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采购单位将对中标单位</w:t>
      </w:r>
      <w:r>
        <w:rPr>
          <w:rFonts w:hint="eastAsia" w:ascii="宋体" w:hAnsi="宋体" w:eastAsia="宋体" w:cs="宋体"/>
          <w:color w:val="000000"/>
          <w:sz w:val="24"/>
          <w:szCs w:val="24"/>
          <w:lang w:val="en-US" w:eastAsia="zh-CN"/>
        </w:rPr>
        <w:t>每半年</w:t>
      </w:r>
      <w:r>
        <w:rPr>
          <w:rFonts w:hint="eastAsia" w:ascii="宋体" w:hAnsi="宋体" w:eastAsia="宋体" w:cs="宋体"/>
          <w:color w:val="000000"/>
          <w:sz w:val="24"/>
          <w:szCs w:val="24"/>
        </w:rPr>
        <w:t>进行考核，进行累加扣分制。初始分值为100分，每有一次扣分情况，采购单位将对中标单位进行扣分，当中标单位分值低于80分（不含），则采购单位有权终止合同，重新进行招标。</w:t>
      </w:r>
    </w:p>
    <w:tbl>
      <w:tblPr>
        <w:tblStyle w:val="20"/>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960"/>
        <w:gridCol w:w="3686"/>
      </w:tblGrid>
      <w:tr w14:paraId="201A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4" w:type="dxa"/>
            <w:noWrap/>
            <w:vAlign w:val="center"/>
          </w:tcPr>
          <w:p w14:paraId="3F491D9B">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4960" w:type="dxa"/>
            <w:noWrap/>
            <w:vAlign w:val="center"/>
          </w:tcPr>
          <w:p w14:paraId="504F16CA">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扣分情况</w:t>
            </w:r>
          </w:p>
        </w:tc>
        <w:tc>
          <w:tcPr>
            <w:tcW w:w="3686" w:type="dxa"/>
            <w:noWrap/>
            <w:vAlign w:val="center"/>
          </w:tcPr>
          <w:p w14:paraId="7F8404A9">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扣分分值</w:t>
            </w:r>
          </w:p>
        </w:tc>
      </w:tr>
      <w:tr w14:paraId="148E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14:paraId="32563732">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960" w:type="dxa"/>
            <w:noWrap/>
            <w:vAlign w:val="center"/>
          </w:tcPr>
          <w:p w14:paraId="61B24FE6">
            <w:pPr>
              <w:keepNext w:val="0"/>
              <w:keepLines w:val="0"/>
              <w:pageBreakBefore w:val="0"/>
              <w:kinsoku/>
              <w:wordWrap/>
              <w:overflowPunct/>
              <w:topLinePunct w:val="0"/>
              <w:autoSpaceDE/>
              <w:autoSpaceDN/>
              <w:bidi w:val="0"/>
              <w:spacing w:beforeLines="0"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被服务企业在服务期间发生企业因中标方未按要求履行工作职责而造成的生产安全事故或造成较大社会影响的</w:t>
            </w:r>
            <w:r>
              <w:rPr>
                <w:rFonts w:hint="eastAsia" w:ascii="宋体" w:hAnsi="宋体" w:eastAsia="宋体" w:cs="宋体"/>
                <w:sz w:val="24"/>
                <w:szCs w:val="24"/>
                <w:lang w:eastAsia="zh-CN"/>
              </w:rPr>
              <w:t>。</w:t>
            </w:r>
          </w:p>
        </w:tc>
        <w:tc>
          <w:tcPr>
            <w:tcW w:w="3686" w:type="dxa"/>
            <w:noWrap/>
            <w:vAlign w:val="center"/>
          </w:tcPr>
          <w:p w14:paraId="50A87FED">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bCs/>
                <w:sz w:val="24"/>
                <w:szCs w:val="24"/>
              </w:rPr>
            </w:pPr>
            <w:r>
              <w:rPr>
                <w:rFonts w:hint="eastAsia" w:ascii="宋体" w:hAnsi="宋体" w:eastAsia="宋体" w:cs="宋体"/>
                <w:bCs/>
                <w:sz w:val="24"/>
                <w:szCs w:val="24"/>
              </w:rPr>
              <w:t>每次扣10分</w:t>
            </w:r>
          </w:p>
        </w:tc>
      </w:tr>
      <w:tr w14:paraId="7669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14:paraId="102D4B8D">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960" w:type="dxa"/>
            <w:noWrap/>
            <w:vAlign w:val="center"/>
          </w:tcPr>
          <w:p w14:paraId="795B9546">
            <w:pPr>
              <w:keepNext w:val="0"/>
              <w:keepLines w:val="0"/>
              <w:pageBreakBefore w:val="0"/>
              <w:kinsoku/>
              <w:wordWrap/>
              <w:overflowPunct/>
              <w:topLinePunct w:val="0"/>
              <w:autoSpaceDE/>
              <w:autoSpaceDN/>
              <w:bidi w:val="0"/>
              <w:spacing w:beforeLines="0"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企业发生因服务机构未按要求履行工作职责，造成企业被上级安全生产监管部门行政处罚或媒体曝光的</w:t>
            </w:r>
            <w:r>
              <w:rPr>
                <w:rFonts w:hint="eastAsia" w:ascii="宋体" w:hAnsi="宋体" w:eastAsia="宋体" w:cs="宋体"/>
                <w:sz w:val="24"/>
                <w:szCs w:val="24"/>
                <w:lang w:eastAsia="zh-CN"/>
              </w:rPr>
              <w:t>。</w:t>
            </w:r>
          </w:p>
        </w:tc>
        <w:tc>
          <w:tcPr>
            <w:tcW w:w="3686" w:type="dxa"/>
            <w:noWrap/>
            <w:vAlign w:val="center"/>
          </w:tcPr>
          <w:p w14:paraId="5682B5C8">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bCs/>
                <w:sz w:val="24"/>
                <w:szCs w:val="24"/>
              </w:rPr>
            </w:pPr>
            <w:r>
              <w:rPr>
                <w:rFonts w:hint="eastAsia" w:ascii="宋体" w:hAnsi="宋体" w:eastAsia="宋体" w:cs="宋体"/>
                <w:bCs/>
                <w:sz w:val="24"/>
                <w:szCs w:val="24"/>
              </w:rPr>
              <w:t>每次扣5分</w:t>
            </w:r>
          </w:p>
        </w:tc>
      </w:tr>
      <w:tr w14:paraId="5AD3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14:paraId="1B71A3C6">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960" w:type="dxa"/>
            <w:noWrap/>
            <w:vAlign w:val="center"/>
          </w:tcPr>
          <w:p w14:paraId="23964553">
            <w:pPr>
              <w:keepNext w:val="0"/>
              <w:keepLines w:val="0"/>
              <w:pageBreakBefore w:val="0"/>
              <w:kinsoku/>
              <w:wordWrap/>
              <w:overflowPunct/>
              <w:topLinePunct w:val="0"/>
              <w:autoSpaceDE/>
              <w:autoSpaceDN/>
              <w:bidi w:val="0"/>
              <w:spacing w:beforeLines="0"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企业发生因服务机构未按要求履行工作职责，而被安全生产监管部门检查发现存在重大事故隐患责令限期整改</w:t>
            </w:r>
            <w:r>
              <w:rPr>
                <w:rFonts w:hint="eastAsia" w:ascii="宋体" w:hAnsi="宋体" w:eastAsia="宋体" w:cs="宋体"/>
                <w:sz w:val="24"/>
                <w:szCs w:val="24"/>
                <w:lang w:eastAsia="zh-CN"/>
              </w:rPr>
              <w:t>。</w:t>
            </w:r>
          </w:p>
        </w:tc>
        <w:tc>
          <w:tcPr>
            <w:tcW w:w="3686" w:type="dxa"/>
            <w:noWrap/>
            <w:vAlign w:val="center"/>
          </w:tcPr>
          <w:p w14:paraId="5A5101CF">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bCs/>
                <w:sz w:val="24"/>
                <w:szCs w:val="24"/>
              </w:rPr>
            </w:pPr>
            <w:r>
              <w:rPr>
                <w:rFonts w:hint="eastAsia" w:ascii="宋体" w:hAnsi="宋体" w:eastAsia="宋体" w:cs="宋体"/>
                <w:bCs/>
                <w:sz w:val="24"/>
                <w:szCs w:val="24"/>
              </w:rPr>
              <w:t>每次扣2分。</w:t>
            </w:r>
          </w:p>
        </w:tc>
      </w:tr>
      <w:tr w14:paraId="1464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14:paraId="3244ADD8">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960" w:type="dxa"/>
            <w:noWrap/>
            <w:vAlign w:val="center"/>
          </w:tcPr>
          <w:p w14:paraId="4E9CE9F0">
            <w:pPr>
              <w:keepNext w:val="0"/>
              <w:keepLines w:val="0"/>
              <w:pageBreakBefore w:val="0"/>
              <w:kinsoku/>
              <w:wordWrap/>
              <w:overflowPunct/>
              <w:topLinePunct w:val="0"/>
              <w:autoSpaceDE/>
              <w:autoSpaceDN/>
              <w:bidi w:val="0"/>
              <w:spacing w:beforeLines="0"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被服务的企业安全隐患整改成效</w:t>
            </w:r>
            <w:r>
              <w:rPr>
                <w:rFonts w:hint="eastAsia" w:ascii="宋体" w:hAnsi="宋体" w:eastAsia="宋体" w:cs="宋体"/>
                <w:sz w:val="24"/>
                <w:szCs w:val="24"/>
                <w:lang w:eastAsia="zh-CN"/>
              </w:rPr>
              <w:t>。</w:t>
            </w:r>
          </w:p>
        </w:tc>
        <w:tc>
          <w:tcPr>
            <w:tcW w:w="3686" w:type="dxa"/>
            <w:noWrap/>
            <w:vAlign w:val="center"/>
          </w:tcPr>
          <w:p w14:paraId="57DFC7A1">
            <w:pPr>
              <w:keepNext w:val="0"/>
              <w:keepLines w:val="0"/>
              <w:pageBreakBefore w:val="0"/>
              <w:kinsoku/>
              <w:wordWrap/>
              <w:overflowPunct/>
              <w:topLinePunct w:val="0"/>
              <w:autoSpaceDE/>
              <w:autoSpaceDN/>
              <w:bidi w:val="0"/>
              <w:spacing w:beforeLines="0" w:line="360" w:lineRule="auto"/>
              <w:rPr>
                <w:rFonts w:hint="eastAsia" w:ascii="宋体" w:hAnsi="宋体" w:eastAsia="宋体" w:cs="宋体"/>
                <w:sz w:val="24"/>
                <w:szCs w:val="24"/>
              </w:rPr>
            </w:pPr>
            <w:r>
              <w:rPr>
                <w:rFonts w:hint="eastAsia" w:ascii="宋体" w:hAnsi="宋体" w:eastAsia="宋体" w:cs="宋体"/>
                <w:sz w:val="24"/>
                <w:szCs w:val="24"/>
              </w:rPr>
              <w:t>无整改前后照片对比或无简要整改过程的，每发现一次扣2分。</w:t>
            </w:r>
          </w:p>
        </w:tc>
      </w:tr>
      <w:tr w14:paraId="1D65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14:paraId="7DB7DD42">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4960" w:type="dxa"/>
            <w:noWrap/>
            <w:vAlign w:val="center"/>
          </w:tcPr>
          <w:p w14:paraId="4EAD537D">
            <w:pPr>
              <w:keepNext w:val="0"/>
              <w:keepLines w:val="0"/>
              <w:pageBreakBefore w:val="0"/>
              <w:kinsoku/>
              <w:wordWrap/>
              <w:overflowPunct/>
              <w:topLinePunct w:val="0"/>
              <w:autoSpaceDE/>
              <w:autoSpaceDN/>
              <w:bidi w:val="0"/>
              <w:spacing w:beforeLines="0"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服务合同履行完毕后，对被服务企业的安全状况做书面整体评价</w:t>
            </w:r>
            <w:r>
              <w:rPr>
                <w:rFonts w:hint="eastAsia" w:ascii="宋体" w:hAnsi="宋体" w:eastAsia="宋体" w:cs="宋体"/>
                <w:sz w:val="24"/>
                <w:szCs w:val="24"/>
                <w:lang w:eastAsia="zh-CN"/>
              </w:rPr>
              <w:t>。</w:t>
            </w:r>
          </w:p>
        </w:tc>
        <w:tc>
          <w:tcPr>
            <w:tcW w:w="3686" w:type="dxa"/>
            <w:noWrap/>
            <w:vAlign w:val="center"/>
          </w:tcPr>
          <w:p w14:paraId="614B60EB">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无书面报告的，扣5分；书面报告不完善的，扣2分。</w:t>
            </w:r>
          </w:p>
        </w:tc>
      </w:tr>
      <w:tr w14:paraId="13A9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14:paraId="36240E9C">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4960" w:type="dxa"/>
            <w:noWrap/>
            <w:vAlign w:val="center"/>
          </w:tcPr>
          <w:p w14:paraId="2426D3C2">
            <w:pPr>
              <w:keepNext w:val="0"/>
              <w:keepLines w:val="0"/>
              <w:pageBreakBefore w:val="0"/>
              <w:kinsoku/>
              <w:wordWrap/>
              <w:overflowPunct/>
              <w:topLinePunct w:val="0"/>
              <w:autoSpaceDE/>
              <w:autoSpaceDN/>
              <w:bidi w:val="0"/>
              <w:spacing w:beforeLines="0" w:line="360" w:lineRule="auto"/>
              <w:rPr>
                <w:rFonts w:hint="eastAsia" w:ascii="宋体" w:hAnsi="宋体" w:eastAsia="宋体" w:cs="宋体"/>
                <w:sz w:val="24"/>
                <w:szCs w:val="24"/>
              </w:rPr>
            </w:pPr>
            <w:r>
              <w:rPr>
                <w:rFonts w:hint="eastAsia" w:ascii="宋体" w:hAnsi="宋体" w:eastAsia="宋体" w:cs="宋体"/>
                <w:sz w:val="24"/>
                <w:szCs w:val="24"/>
              </w:rPr>
              <w:t>中标方因服务质量、态度等被服务对象投诉</w:t>
            </w:r>
          </w:p>
        </w:tc>
        <w:tc>
          <w:tcPr>
            <w:tcW w:w="3686" w:type="dxa"/>
            <w:noWrap/>
            <w:vAlign w:val="center"/>
          </w:tcPr>
          <w:p w14:paraId="689DC151">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经查证属实的每起扣2分。</w:t>
            </w:r>
          </w:p>
        </w:tc>
      </w:tr>
      <w:tr w14:paraId="3403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94" w:type="dxa"/>
            <w:noWrap/>
            <w:vAlign w:val="center"/>
          </w:tcPr>
          <w:p w14:paraId="1BE86239">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4960" w:type="dxa"/>
            <w:noWrap/>
            <w:vAlign w:val="center"/>
          </w:tcPr>
          <w:p w14:paraId="5DEC9E38">
            <w:pPr>
              <w:keepNext w:val="0"/>
              <w:keepLines w:val="0"/>
              <w:pageBreakBefore w:val="0"/>
              <w:kinsoku/>
              <w:wordWrap/>
              <w:overflowPunct/>
              <w:topLinePunct w:val="0"/>
              <w:autoSpaceDE/>
              <w:autoSpaceDN/>
              <w:bidi w:val="0"/>
              <w:spacing w:beforeLines="0" w:line="360" w:lineRule="auto"/>
              <w:jc w:val="left"/>
              <w:rPr>
                <w:rFonts w:hint="eastAsia" w:ascii="宋体" w:hAnsi="宋体" w:eastAsia="宋体" w:cs="宋体"/>
                <w:bCs/>
                <w:sz w:val="24"/>
                <w:szCs w:val="24"/>
                <w:lang w:eastAsia="zh-CN"/>
              </w:rPr>
            </w:pPr>
            <w:r>
              <w:rPr>
                <w:rFonts w:hint="eastAsia" w:ascii="宋体" w:hAnsi="宋体" w:eastAsia="宋体" w:cs="宋体"/>
                <w:bCs/>
                <w:sz w:val="24"/>
                <w:szCs w:val="24"/>
              </w:rPr>
              <w:t>配合完成合同内容以外工作任务可根据实际加分</w:t>
            </w:r>
            <w:r>
              <w:rPr>
                <w:rFonts w:hint="eastAsia" w:ascii="宋体" w:hAnsi="宋体" w:eastAsia="宋体" w:cs="宋体"/>
                <w:bCs/>
                <w:sz w:val="24"/>
                <w:szCs w:val="24"/>
                <w:lang w:eastAsia="zh-CN"/>
              </w:rPr>
              <w:t>。</w:t>
            </w:r>
          </w:p>
        </w:tc>
        <w:tc>
          <w:tcPr>
            <w:tcW w:w="3686" w:type="dxa"/>
            <w:noWrap/>
            <w:vAlign w:val="center"/>
          </w:tcPr>
          <w:p w14:paraId="52CD4ABB">
            <w:pPr>
              <w:keepNext w:val="0"/>
              <w:keepLines w:val="0"/>
              <w:pageBreakBefore w:val="0"/>
              <w:kinsoku/>
              <w:wordWrap/>
              <w:overflowPunct/>
              <w:topLinePunct w:val="0"/>
              <w:autoSpaceDE/>
              <w:autoSpaceDN/>
              <w:bidi w:val="0"/>
              <w:spacing w:beforeLines="0" w:line="360" w:lineRule="auto"/>
              <w:jc w:val="center"/>
              <w:rPr>
                <w:rFonts w:hint="eastAsia" w:ascii="宋体" w:hAnsi="宋体" w:eastAsia="宋体" w:cs="宋体"/>
                <w:sz w:val="24"/>
                <w:szCs w:val="24"/>
              </w:rPr>
            </w:pPr>
            <w:r>
              <w:rPr>
                <w:rFonts w:hint="eastAsia" w:ascii="宋体" w:hAnsi="宋体" w:eastAsia="宋体" w:cs="宋体"/>
                <w:bCs/>
                <w:sz w:val="24"/>
                <w:szCs w:val="24"/>
              </w:rPr>
              <w:t>最高不超过10分。</w:t>
            </w:r>
          </w:p>
        </w:tc>
      </w:tr>
    </w:tbl>
    <w:p w14:paraId="25D91DC9">
      <w:pPr>
        <w:keepNext w:val="0"/>
        <w:keepLines w:val="0"/>
        <w:pageBreakBefore w:val="0"/>
        <w:kinsoku/>
        <w:wordWrap/>
        <w:overflowPunct/>
        <w:topLinePunct w:val="0"/>
        <w:autoSpaceDE/>
        <w:autoSpaceDN/>
        <w:bidi w:val="0"/>
        <w:snapToGrid w:val="0"/>
        <w:spacing w:beforeLines="0"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注：</w:t>
      </w:r>
    </w:p>
    <w:p w14:paraId="7902436B">
      <w:pPr>
        <w:keepNext w:val="0"/>
        <w:keepLines w:val="0"/>
        <w:pageBreakBefore w:val="0"/>
        <w:kinsoku/>
        <w:wordWrap/>
        <w:overflowPunct/>
        <w:topLinePunct w:val="0"/>
        <w:autoSpaceDE/>
        <w:autoSpaceDN/>
        <w:bidi w:val="0"/>
        <w:snapToGrid w:val="0"/>
        <w:spacing w:beforeLines="0" w:line="360" w:lineRule="auto"/>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考核满分为100分；以上考核细则针对成交人考核，采购人随机抽查。</w:t>
      </w:r>
    </w:p>
    <w:p w14:paraId="2B0348DD">
      <w:pPr>
        <w:keepNext w:val="0"/>
        <w:keepLines w:val="0"/>
        <w:pageBreakBefore w:val="0"/>
        <w:kinsoku/>
        <w:wordWrap/>
        <w:overflowPunct/>
        <w:topLinePunct w:val="0"/>
        <w:autoSpaceDE/>
        <w:autoSpaceDN/>
        <w:bidi w:val="0"/>
        <w:snapToGrid w:val="0"/>
        <w:spacing w:beforeLines="0" w:line="360" w:lineRule="auto"/>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）总体考核分数{95分-100分}为优秀，全额支付款项；</w:t>
      </w:r>
    </w:p>
    <w:p w14:paraId="73011F99">
      <w:pPr>
        <w:keepNext w:val="0"/>
        <w:keepLines w:val="0"/>
        <w:pageBreakBefore w:val="0"/>
        <w:kinsoku/>
        <w:wordWrap/>
        <w:overflowPunct/>
        <w:topLinePunct w:val="0"/>
        <w:autoSpaceDE/>
        <w:autoSpaceDN/>
        <w:bidi w:val="0"/>
        <w:snapToGrid w:val="0"/>
        <w:spacing w:beforeLines="0" w:line="360" w:lineRule="auto"/>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val="en-US" w:eastAsia="zh-CN"/>
        </w:rPr>
        <w:t>2</w:t>
      </w:r>
      <w:r>
        <w:rPr>
          <w:rFonts w:hint="eastAsia" w:ascii="宋体" w:hAnsi="宋体" w:eastAsia="宋体" w:cs="宋体"/>
          <w:bCs/>
          <w:color w:val="000000"/>
          <w:kern w:val="0"/>
          <w:sz w:val="24"/>
          <w:szCs w:val="24"/>
        </w:rPr>
        <w:t>）总体考核分数若低于95分以下，每扣1分</w:t>
      </w:r>
      <w:r>
        <w:rPr>
          <w:rFonts w:hint="eastAsia" w:ascii="宋体" w:hAnsi="宋体" w:eastAsia="宋体" w:cs="宋体"/>
          <w:bCs/>
          <w:color w:val="000000"/>
          <w:kern w:val="0"/>
          <w:sz w:val="24"/>
          <w:szCs w:val="24"/>
          <w:lang w:val="en-US" w:eastAsia="zh-CN"/>
        </w:rPr>
        <w:t>扣款200元</w:t>
      </w:r>
      <w:r>
        <w:rPr>
          <w:rFonts w:hint="eastAsia" w:ascii="宋体" w:hAnsi="宋体" w:eastAsia="宋体" w:cs="宋体"/>
          <w:bCs/>
          <w:color w:val="000000"/>
          <w:kern w:val="0"/>
          <w:sz w:val="24"/>
          <w:szCs w:val="24"/>
        </w:rPr>
        <w:t>；</w:t>
      </w:r>
    </w:p>
    <w:p w14:paraId="0043292B">
      <w:pPr>
        <w:keepNext w:val="0"/>
        <w:keepLines w:val="0"/>
        <w:pageBreakBefore w:val="0"/>
        <w:kinsoku/>
        <w:wordWrap/>
        <w:overflowPunct/>
        <w:topLinePunct w:val="0"/>
        <w:autoSpaceDE/>
        <w:autoSpaceDN/>
        <w:bidi w:val="0"/>
        <w:snapToGrid w:val="0"/>
        <w:spacing w:beforeLines="0" w:line="360" w:lineRule="auto"/>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w:t>
      </w:r>
      <w:r>
        <w:rPr>
          <w:rFonts w:hint="eastAsia" w:ascii="宋体" w:hAnsi="宋体" w:cs="宋体"/>
          <w:bCs/>
          <w:color w:val="000000"/>
          <w:kern w:val="0"/>
          <w:sz w:val="24"/>
          <w:szCs w:val="24"/>
          <w:lang w:val="en-US" w:eastAsia="zh-CN"/>
        </w:rPr>
        <w:t>3</w:t>
      </w:r>
      <w:r>
        <w:rPr>
          <w:rFonts w:hint="eastAsia" w:ascii="宋体" w:hAnsi="宋体" w:eastAsia="宋体" w:cs="宋体"/>
          <w:bCs/>
          <w:color w:val="000000"/>
          <w:kern w:val="0"/>
          <w:sz w:val="24"/>
          <w:szCs w:val="24"/>
        </w:rPr>
        <w:t>）总体考核分数若低于90分以下，每扣1分</w:t>
      </w:r>
      <w:r>
        <w:rPr>
          <w:rFonts w:hint="eastAsia" w:ascii="宋体" w:hAnsi="宋体" w:eastAsia="宋体" w:cs="宋体"/>
          <w:bCs/>
          <w:color w:val="000000"/>
          <w:kern w:val="0"/>
          <w:sz w:val="24"/>
          <w:szCs w:val="24"/>
          <w:lang w:val="en-US" w:eastAsia="zh-CN"/>
        </w:rPr>
        <w:t>扣款300元</w:t>
      </w:r>
      <w:r>
        <w:rPr>
          <w:rFonts w:hint="eastAsia" w:ascii="宋体" w:hAnsi="宋体" w:eastAsia="宋体" w:cs="宋体"/>
          <w:bCs/>
          <w:color w:val="000000"/>
          <w:kern w:val="0"/>
          <w:sz w:val="24"/>
          <w:szCs w:val="24"/>
        </w:rPr>
        <w:t>；</w:t>
      </w:r>
    </w:p>
    <w:p w14:paraId="5E31C93F">
      <w:pPr>
        <w:pStyle w:val="39"/>
        <w:keepNext w:val="0"/>
        <w:keepLines w:val="0"/>
        <w:pageBreakBefore w:val="0"/>
        <w:kinsoku/>
        <w:wordWrap/>
        <w:overflowPunct/>
        <w:topLinePunct w:val="0"/>
        <w:autoSpaceDE/>
        <w:autoSpaceDN/>
        <w:bidi w:val="0"/>
        <w:adjustRightInd w:val="0"/>
        <w:snapToGrid w:val="0"/>
        <w:spacing w:beforeLines="0" w:line="360" w:lineRule="auto"/>
        <w:ind w:firstLine="200"/>
        <w:jc w:val="left"/>
        <w:rPr>
          <w:rFonts w:hint="eastAsia" w:ascii="宋体" w:hAnsi="宋体" w:eastAsia="宋体" w:cs="宋体"/>
          <w:sz w:val="24"/>
          <w:szCs w:val="24"/>
          <w:lang w:eastAsia="zh-CN"/>
        </w:rPr>
      </w:pPr>
      <w:r>
        <w:rPr>
          <w:rFonts w:hint="eastAsia" w:ascii="宋体" w:hAnsi="宋体" w:eastAsia="宋体" w:cs="宋体"/>
          <w:bCs/>
          <w:color w:val="000000"/>
          <w:kern w:val="0"/>
          <w:sz w:val="24"/>
          <w:szCs w:val="24"/>
        </w:rPr>
        <w:t xml:space="preserve">  （</w:t>
      </w:r>
      <w:r>
        <w:rPr>
          <w:rFonts w:hint="eastAsia" w:ascii="宋体" w:hAnsi="宋体" w:cs="宋体"/>
          <w:bCs/>
          <w:color w:val="000000"/>
          <w:kern w:val="0"/>
          <w:sz w:val="24"/>
          <w:szCs w:val="24"/>
          <w:lang w:val="en-US" w:eastAsia="zh-CN"/>
        </w:rPr>
        <w:t>4</w:t>
      </w:r>
      <w:r>
        <w:rPr>
          <w:rFonts w:hint="eastAsia" w:ascii="宋体" w:hAnsi="宋体" w:eastAsia="宋体" w:cs="宋体"/>
          <w:bCs/>
          <w:color w:val="000000"/>
          <w:kern w:val="0"/>
          <w:sz w:val="24"/>
          <w:szCs w:val="24"/>
        </w:rPr>
        <w:t>）总体考核分数低于80分视为不合格，采购单位有权单方面终止合同并按考核办法扣罚相应款项</w:t>
      </w:r>
      <w:r>
        <w:rPr>
          <w:rFonts w:hint="eastAsia" w:ascii="宋体" w:hAnsi="宋体" w:cs="宋体"/>
          <w:bCs/>
          <w:color w:val="000000"/>
          <w:kern w:val="0"/>
          <w:sz w:val="24"/>
          <w:szCs w:val="24"/>
          <w:lang w:eastAsia="zh-CN"/>
        </w:rPr>
        <w:t>；</w:t>
      </w:r>
    </w:p>
    <w:p w14:paraId="5514A601">
      <w:pPr>
        <w:keepNext w:val="0"/>
        <w:keepLines w:val="0"/>
        <w:pageBreakBefore w:val="0"/>
        <w:kinsoku/>
        <w:wordWrap/>
        <w:overflowPunct/>
        <w:topLinePunct w:val="0"/>
        <w:autoSpaceDE/>
        <w:autoSpaceDN/>
        <w:bidi w:val="0"/>
        <w:snapToGrid w:val="0"/>
        <w:spacing w:beforeLines="0" w:line="360" w:lineRule="auto"/>
        <w:ind w:firstLine="480" w:firstLineChars="200"/>
        <w:jc w:val="left"/>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rPr>
        <w:t>（</w:t>
      </w:r>
      <w:r>
        <w:rPr>
          <w:rFonts w:hint="eastAsia" w:ascii="宋体" w:hAnsi="宋体" w:cs="宋体"/>
          <w:bCs/>
          <w:color w:val="000000"/>
          <w:kern w:val="0"/>
          <w:sz w:val="24"/>
          <w:szCs w:val="24"/>
          <w:lang w:val="en-US" w:eastAsia="zh-CN"/>
        </w:rPr>
        <w:t>5</w:t>
      </w:r>
      <w:r>
        <w:rPr>
          <w:rFonts w:hint="eastAsia" w:ascii="宋体" w:hAnsi="宋体" w:eastAsia="宋体" w:cs="宋体"/>
          <w:bCs/>
          <w:color w:val="000000"/>
          <w:kern w:val="0"/>
          <w:sz w:val="24"/>
          <w:szCs w:val="24"/>
        </w:rPr>
        <w:t>）一票否决情况</w:t>
      </w:r>
      <w:r>
        <w:rPr>
          <w:rFonts w:hint="eastAsia" w:ascii="宋体" w:hAnsi="宋体" w:cs="宋体"/>
          <w:bCs/>
          <w:color w:val="000000"/>
          <w:kern w:val="0"/>
          <w:sz w:val="24"/>
          <w:szCs w:val="24"/>
          <w:lang w:eastAsia="zh-CN"/>
        </w:rPr>
        <w:t>。</w:t>
      </w:r>
    </w:p>
    <w:p w14:paraId="73A0C8AB">
      <w:pPr>
        <w:pStyle w:val="18"/>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b/>
          <w:bCs/>
          <w:kern w:val="0"/>
          <w:sz w:val="36"/>
          <w:szCs w:val="36"/>
        </w:rPr>
      </w:pPr>
      <w:r>
        <w:rPr>
          <w:rFonts w:hint="eastAsia" w:ascii="宋体" w:hAnsi="宋体" w:eastAsia="宋体" w:cs="宋体"/>
          <w:bCs/>
          <w:color w:val="000000"/>
          <w:kern w:val="0"/>
          <w:sz w:val="24"/>
          <w:szCs w:val="24"/>
        </w:rPr>
        <w:t>发现中标方有构违反国家咨询服务相关规定，吃拿卡要、弄虚作假、出具虚假检查报告、泄漏企业技术密秘等行为，一经查实确认，全额扣除被服务企业当年服务费用，并报有关部门按《安全生产法》第八十九条进行处理。</w:t>
      </w:r>
      <w:bookmarkStart w:id="506" w:name="_GoBack"/>
      <w:bookmarkEnd w:id="506"/>
    </w:p>
    <w:p w14:paraId="13D414E8">
      <w:pPr>
        <w:snapToGrid w:val="0"/>
        <w:spacing w:line="360" w:lineRule="auto"/>
        <w:jc w:val="center"/>
        <w:rPr>
          <w:rFonts w:hint="eastAsia" w:ascii="宋体" w:hAnsi="宋体" w:cs="宋体"/>
          <w:b/>
          <w:sz w:val="36"/>
          <w:szCs w:val="36"/>
        </w:rPr>
      </w:pPr>
    </w:p>
    <w:p w14:paraId="289E42B1">
      <w:pPr>
        <w:snapToGrid w:val="0"/>
        <w:spacing w:line="360" w:lineRule="auto"/>
        <w:jc w:val="center"/>
        <w:rPr>
          <w:rFonts w:hint="eastAsia" w:ascii="宋体" w:hAnsi="宋体" w:cs="宋体"/>
          <w:b/>
          <w:sz w:val="36"/>
          <w:szCs w:val="36"/>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1014618C">
      <w:pPr>
        <w:pStyle w:val="13"/>
        <w:rPr>
          <w:rFonts w:hint="eastAsia"/>
        </w:rPr>
      </w:pPr>
    </w:p>
    <w:p w14:paraId="6049CD1D">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5" w:name="_Toc184314412"/>
      <w:bookmarkEnd w:id="25"/>
      <w:bookmarkStart w:id="26" w:name="_Toc184314434"/>
      <w:bookmarkEnd w:id="26"/>
      <w:bookmarkStart w:id="27" w:name="_Toc184310331"/>
      <w:bookmarkEnd w:id="27"/>
      <w:bookmarkStart w:id="28" w:name="_Toc184310336"/>
      <w:bookmarkEnd w:id="28"/>
      <w:bookmarkStart w:id="29" w:name="_Toc184314429"/>
      <w:bookmarkEnd w:id="29"/>
      <w:bookmarkStart w:id="30" w:name="_Toc184313241"/>
      <w:bookmarkEnd w:id="30"/>
      <w:bookmarkStart w:id="31" w:name="_Toc184313258"/>
      <w:bookmarkEnd w:id="31"/>
      <w:bookmarkStart w:id="32" w:name="_Toc184308042"/>
      <w:bookmarkEnd w:id="32"/>
      <w:bookmarkStart w:id="33" w:name="_Toc184314455"/>
      <w:bookmarkEnd w:id="33"/>
      <w:bookmarkStart w:id="34" w:name="_Toc184308067"/>
      <w:bookmarkEnd w:id="34"/>
      <w:bookmarkStart w:id="35" w:name="_Toc184312132"/>
      <w:bookmarkEnd w:id="35"/>
      <w:bookmarkStart w:id="36" w:name="_Toc184308094"/>
      <w:bookmarkEnd w:id="36"/>
      <w:bookmarkStart w:id="37" w:name="_Toc184314449"/>
      <w:bookmarkEnd w:id="37"/>
      <w:bookmarkStart w:id="38" w:name="_Toc184310305"/>
      <w:bookmarkEnd w:id="38"/>
      <w:bookmarkStart w:id="39" w:name="_Toc184314416"/>
      <w:bookmarkEnd w:id="39"/>
      <w:bookmarkStart w:id="40" w:name="_Toc184308046"/>
      <w:bookmarkEnd w:id="40"/>
      <w:bookmarkStart w:id="41" w:name="_Toc184308108"/>
      <w:bookmarkEnd w:id="41"/>
      <w:bookmarkStart w:id="42" w:name="_Toc184308102"/>
      <w:bookmarkEnd w:id="42"/>
      <w:bookmarkStart w:id="43" w:name="_Toc184312084"/>
      <w:bookmarkEnd w:id="43"/>
      <w:bookmarkStart w:id="44" w:name="_Toc184313263"/>
      <w:bookmarkEnd w:id="44"/>
      <w:bookmarkStart w:id="45" w:name="_Toc184308039"/>
      <w:bookmarkEnd w:id="45"/>
      <w:bookmarkStart w:id="46" w:name="_Toc184313286"/>
      <w:bookmarkEnd w:id="46"/>
      <w:bookmarkStart w:id="47" w:name="_Toc184314458"/>
      <w:bookmarkEnd w:id="47"/>
      <w:bookmarkStart w:id="48" w:name="_Toc184313305"/>
      <w:bookmarkEnd w:id="48"/>
      <w:bookmarkStart w:id="49" w:name="_Toc184312103"/>
      <w:bookmarkEnd w:id="49"/>
      <w:bookmarkStart w:id="50" w:name="_Toc184312129"/>
      <w:bookmarkEnd w:id="50"/>
      <w:bookmarkStart w:id="51" w:name="_Toc184310330"/>
      <w:bookmarkEnd w:id="51"/>
      <w:bookmarkStart w:id="52" w:name="_Toc184312136"/>
      <w:bookmarkEnd w:id="52"/>
      <w:bookmarkStart w:id="53" w:name="_Toc184313249"/>
      <w:bookmarkEnd w:id="53"/>
      <w:bookmarkStart w:id="54" w:name="_Toc184314431"/>
      <w:bookmarkEnd w:id="54"/>
      <w:bookmarkStart w:id="55" w:name="_Toc184314430"/>
      <w:bookmarkEnd w:id="55"/>
      <w:bookmarkStart w:id="56" w:name="_Toc184312108"/>
      <w:bookmarkEnd w:id="56"/>
      <w:bookmarkStart w:id="57" w:name="_Toc184313273"/>
      <w:bookmarkEnd w:id="57"/>
      <w:bookmarkStart w:id="58" w:name="_Toc184313279"/>
      <w:bookmarkEnd w:id="58"/>
      <w:bookmarkStart w:id="59" w:name="_Toc184313278"/>
      <w:bookmarkEnd w:id="59"/>
      <w:bookmarkStart w:id="60" w:name="_Toc184313255"/>
      <w:bookmarkEnd w:id="60"/>
      <w:bookmarkStart w:id="61" w:name="_Toc184314456"/>
      <w:bookmarkEnd w:id="61"/>
      <w:bookmarkStart w:id="62" w:name="_Toc184312137"/>
      <w:bookmarkEnd w:id="62"/>
      <w:bookmarkStart w:id="63" w:name="_Toc184310337"/>
      <w:bookmarkEnd w:id="63"/>
      <w:bookmarkStart w:id="64" w:name="_Toc184312071"/>
      <w:bookmarkEnd w:id="64"/>
      <w:bookmarkStart w:id="65" w:name="_Toc184310294"/>
      <w:bookmarkEnd w:id="65"/>
      <w:bookmarkStart w:id="66" w:name="_Toc184308077"/>
      <w:bookmarkEnd w:id="66"/>
      <w:bookmarkStart w:id="67" w:name="_Toc184310292"/>
      <w:bookmarkEnd w:id="67"/>
      <w:bookmarkStart w:id="68" w:name="_Toc184308038"/>
      <w:bookmarkEnd w:id="68"/>
      <w:bookmarkStart w:id="69" w:name="_Toc184310275"/>
      <w:bookmarkEnd w:id="69"/>
      <w:bookmarkStart w:id="70" w:name="_Toc184308092"/>
      <w:bookmarkEnd w:id="70"/>
      <w:bookmarkStart w:id="71" w:name="_Toc184314423"/>
      <w:bookmarkEnd w:id="71"/>
      <w:bookmarkStart w:id="72" w:name="_Toc184310341"/>
      <w:bookmarkEnd w:id="72"/>
      <w:bookmarkStart w:id="73" w:name="_Toc184313288"/>
      <w:bookmarkEnd w:id="73"/>
      <w:bookmarkStart w:id="74" w:name="_Toc184314439"/>
      <w:bookmarkEnd w:id="74"/>
      <w:bookmarkStart w:id="75" w:name="_Toc184312114"/>
      <w:bookmarkEnd w:id="75"/>
      <w:bookmarkStart w:id="76" w:name="_Toc184308079"/>
      <w:bookmarkEnd w:id="76"/>
      <w:bookmarkStart w:id="77" w:name="_Toc184308073"/>
      <w:bookmarkEnd w:id="77"/>
      <w:bookmarkStart w:id="78" w:name="_Toc184310302"/>
      <w:bookmarkEnd w:id="78"/>
      <w:bookmarkStart w:id="79" w:name="_Toc184308047"/>
      <w:bookmarkEnd w:id="79"/>
      <w:bookmarkStart w:id="80" w:name="_Toc184308049"/>
      <w:bookmarkEnd w:id="80"/>
      <w:bookmarkStart w:id="81" w:name="_Toc184308101"/>
      <w:bookmarkEnd w:id="81"/>
      <w:bookmarkStart w:id="82" w:name="_Toc184310338"/>
      <w:bookmarkEnd w:id="82"/>
      <w:bookmarkStart w:id="83" w:name="_Toc184312085"/>
      <w:bookmarkEnd w:id="83"/>
      <w:bookmarkStart w:id="84" w:name="_Toc184310324"/>
      <w:bookmarkEnd w:id="84"/>
      <w:bookmarkStart w:id="85" w:name="_Toc184312106"/>
      <w:bookmarkEnd w:id="85"/>
      <w:bookmarkStart w:id="86" w:name="_Toc184310321"/>
      <w:bookmarkEnd w:id="86"/>
      <w:bookmarkStart w:id="87" w:name="_Toc184310327"/>
      <w:bookmarkEnd w:id="87"/>
      <w:bookmarkStart w:id="88" w:name="_Toc184313247"/>
      <w:bookmarkEnd w:id="88"/>
      <w:bookmarkStart w:id="89" w:name="_Toc184312134"/>
      <w:bookmarkEnd w:id="89"/>
      <w:bookmarkStart w:id="90" w:name="_Toc184308036"/>
      <w:bookmarkEnd w:id="90"/>
      <w:bookmarkStart w:id="91" w:name="_Toc184314420"/>
      <w:bookmarkEnd w:id="91"/>
      <w:bookmarkStart w:id="92" w:name="_Toc184310281"/>
      <w:bookmarkEnd w:id="92"/>
      <w:bookmarkStart w:id="93" w:name="_Toc184308040"/>
      <w:bookmarkEnd w:id="93"/>
      <w:bookmarkStart w:id="94" w:name="_Toc184313304"/>
      <w:bookmarkEnd w:id="94"/>
      <w:bookmarkStart w:id="95" w:name="_Toc184310303"/>
      <w:bookmarkEnd w:id="95"/>
      <w:bookmarkStart w:id="96" w:name="_Toc184312109"/>
      <w:bookmarkEnd w:id="96"/>
      <w:bookmarkStart w:id="97" w:name="_Toc184310334"/>
      <w:bookmarkEnd w:id="97"/>
      <w:bookmarkStart w:id="98" w:name="_Toc184308083"/>
      <w:bookmarkEnd w:id="98"/>
      <w:bookmarkStart w:id="99" w:name="_Toc184314466"/>
      <w:bookmarkEnd w:id="99"/>
      <w:bookmarkStart w:id="100" w:name="_Toc184312107"/>
      <w:bookmarkEnd w:id="100"/>
      <w:bookmarkStart w:id="101" w:name="_Toc184314475"/>
      <w:bookmarkEnd w:id="101"/>
      <w:bookmarkStart w:id="102" w:name="_Toc184312105"/>
      <w:bookmarkEnd w:id="102"/>
      <w:bookmarkStart w:id="103" w:name="_Toc184310335"/>
      <w:bookmarkEnd w:id="103"/>
      <w:bookmarkStart w:id="104" w:name="_Toc184314426"/>
      <w:bookmarkEnd w:id="104"/>
      <w:bookmarkStart w:id="105" w:name="_Toc184310279"/>
      <w:bookmarkEnd w:id="105"/>
      <w:bookmarkStart w:id="106" w:name="_Toc184314481"/>
      <w:bookmarkEnd w:id="106"/>
      <w:bookmarkStart w:id="107" w:name="_Toc184310284"/>
      <w:bookmarkEnd w:id="107"/>
      <w:bookmarkStart w:id="108" w:name="_Toc184310297"/>
      <w:bookmarkEnd w:id="108"/>
      <w:bookmarkStart w:id="109" w:name="_Toc184312098"/>
      <w:bookmarkEnd w:id="109"/>
      <w:bookmarkStart w:id="110" w:name="_Toc184314410"/>
      <w:bookmarkEnd w:id="110"/>
      <w:bookmarkStart w:id="111" w:name="_Toc184313250"/>
      <w:bookmarkEnd w:id="111"/>
      <w:bookmarkStart w:id="112" w:name="_Toc184313310"/>
      <w:bookmarkEnd w:id="112"/>
      <w:bookmarkStart w:id="113" w:name="_Toc184308055"/>
      <w:bookmarkEnd w:id="113"/>
      <w:bookmarkStart w:id="114" w:name="_Toc184313269"/>
      <w:bookmarkEnd w:id="114"/>
      <w:bookmarkStart w:id="115" w:name="_Toc184312100"/>
      <w:bookmarkEnd w:id="115"/>
      <w:bookmarkStart w:id="116" w:name="_Toc184313272"/>
      <w:bookmarkEnd w:id="116"/>
      <w:bookmarkStart w:id="117" w:name="_Toc184310296"/>
      <w:bookmarkEnd w:id="117"/>
      <w:bookmarkStart w:id="118" w:name="_Toc184308087"/>
      <w:bookmarkEnd w:id="118"/>
      <w:bookmarkStart w:id="119" w:name="_Toc184308080"/>
      <w:bookmarkEnd w:id="119"/>
      <w:bookmarkStart w:id="120" w:name="_Toc184312133"/>
      <w:bookmarkEnd w:id="120"/>
      <w:bookmarkStart w:id="121" w:name="_Toc184308097"/>
      <w:bookmarkEnd w:id="121"/>
      <w:bookmarkStart w:id="122" w:name="_Toc184308050"/>
      <w:bookmarkEnd w:id="122"/>
      <w:bookmarkStart w:id="123" w:name="_Toc184314437"/>
      <w:bookmarkEnd w:id="123"/>
      <w:bookmarkStart w:id="124" w:name="_Toc184308041"/>
      <w:bookmarkEnd w:id="124"/>
      <w:bookmarkStart w:id="125" w:name="_Toc184314457"/>
      <w:bookmarkEnd w:id="125"/>
      <w:bookmarkStart w:id="126" w:name="_Toc184308082"/>
      <w:bookmarkEnd w:id="126"/>
      <w:bookmarkStart w:id="127" w:name="_Toc184308054"/>
      <w:bookmarkEnd w:id="127"/>
      <w:bookmarkStart w:id="128" w:name="_Toc184312069"/>
      <w:bookmarkEnd w:id="128"/>
      <w:bookmarkStart w:id="129" w:name="_Toc184312088"/>
      <w:bookmarkEnd w:id="129"/>
      <w:bookmarkStart w:id="130" w:name="_Toc184314453"/>
      <w:bookmarkEnd w:id="130"/>
      <w:bookmarkStart w:id="131" w:name="_Toc184314470"/>
      <w:bookmarkEnd w:id="131"/>
      <w:bookmarkStart w:id="132" w:name="_Toc184313264"/>
      <w:bookmarkEnd w:id="132"/>
      <w:bookmarkStart w:id="133" w:name="_Toc184314465"/>
      <w:bookmarkEnd w:id="133"/>
      <w:bookmarkStart w:id="134" w:name="_Toc184312125"/>
      <w:bookmarkEnd w:id="134"/>
      <w:bookmarkStart w:id="135" w:name="_Toc184310299"/>
      <w:bookmarkEnd w:id="135"/>
      <w:bookmarkStart w:id="136" w:name="_Toc184310276"/>
      <w:bookmarkEnd w:id="136"/>
      <w:bookmarkStart w:id="137" w:name="_Toc184308037"/>
      <w:bookmarkEnd w:id="137"/>
      <w:bookmarkStart w:id="138" w:name="_Toc184310333"/>
      <w:bookmarkEnd w:id="138"/>
      <w:bookmarkStart w:id="139" w:name="_Toc184313295"/>
      <w:bookmarkEnd w:id="139"/>
      <w:bookmarkStart w:id="140" w:name="_Toc184310304"/>
      <w:bookmarkEnd w:id="140"/>
      <w:bookmarkStart w:id="141" w:name="_Toc184313294"/>
      <w:bookmarkEnd w:id="141"/>
      <w:bookmarkStart w:id="142" w:name="_Toc184313276"/>
      <w:bookmarkEnd w:id="142"/>
      <w:bookmarkStart w:id="143" w:name="_Toc184313265"/>
      <w:bookmarkEnd w:id="143"/>
      <w:bookmarkStart w:id="144" w:name="_Toc184314460"/>
      <w:bookmarkEnd w:id="144"/>
      <w:bookmarkStart w:id="145" w:name="_Toc184310288"/>
      <w:bookmarkEnd w:id="145"/>
      <w:bookmarkStart w:id="146" w:name="_Toc184313285"/>
      <w:bookmarkEnd w:id="146"/>
      <w:bookmarkStart w:id="147" w:name="_Toc184310277"/>
      <w:bookmarkEnd w:id="147"/>
      <w:bookmarkStart w:id="148" w:name="_Toc184308045"/>
      <w:bookmarkEnd w:id="148"/>
      <w:bookmarkStart w:id="149" w:name="_Toc184313309"/>
      <w:bookmarkEnd w:id="149"/>
      <w:bookmarkStart w:id="150" w:name="_Toc184314443"/>
      <w:bookmarkEnd w:id="150"/>
      <w:bookmarkStart w:id="151" w:name="_Toc184313290"/>
      <w:bookmarkEnd w:id="151"/>
      <w:bookmarkStart w:id="152" w:name="_Toc184312111"/>
      <w:bookmarkEnd w:id="152"/>
      <w:bookmarkStart w:id="153" w:name="_Toc184308044"/>
      <w:bookmarkEnd w:id="153"/>
      <w:bookmarkStart w:id="154" w:name="_Toc184312102"/>
      <w:bookmarkEnd w:id="154"/>
      <w:bookmarkStart w:id="155" w:name="_Toc184313302"/>
      <w:bookmarkEnd w:id="155"/>
      <w:bookmarkStart w:id="156" w:name="_Toc184310320"/>
      <w:bookmarkEnd w:id="156"/>
      <w:bookmarkStart w:id="157" w:name="_Toc184310344"/>
      <w:bookmarkEnd w:id="157"/>
      <w:bookmarkStart w:id="158" w:name="_Toc184312104"/>
      <w:bookmarkEnd w:id="158"/>
      <w:bookmarkStart w:id="159" w:name="_Toc184312123"/>
      <w:bookmarkEnd w:id="159"/>
      <w:bookmarkStart w:id="160" w:name="_Toc184312127"/>
      <w:bookmarkEnd w:id="160"/>
      <w:bookmarkStart w:id="161" w:name="_Toc184308071"/>
      <w:bookmarkEnd w:id="161"/>
      <w:bookmarkStart w:id="162" w:name="_Toc184314463"/>
      <w:bookmarkEnd w:id="162"/>
      <w:bookmarkStart w:id="163" w:name="_Toc184312075"/>
      <w:bookmarkEnd w:id="163"/>
      <w:bookmarkStart w:id="164" w:name="_Toc184313281"/>
      <w:bookmarkEnd w:id="164"/>
      <w:bookmarkStart w:id="165" w:name="_Toc184314482"/>
      <w:bookmarkEnd w:id="165"/>
      <w:bookmarkStart w:id="166" w:name="_Toc184312067"/>
      <w:bookmarkEnd w:id="166"/>
      <w:bookmarkStart w:id="167" w:name="_Toc184313261"/>
      <w:bookmarkEnd w:id="167"/>
      <w:bookmarkStart w:id="168" w:name="_Toc184310309"/>
      <w:bookmarkEnd w:id="168"/>
      <w:bookmarkStart w:id="169" w:name="_Toc184314442"/>
      <w:bookmarkEnd w:id="169"/>
      <w:bookmarkStart w:id="170" w:name="_Toc184312096"/>
      <w:bookmarkEnd w:id="170"/>
      <w:bookmarkStart w:id="171" w:name="_Toc184310280"/>
      <w:bookmarkEnd w:id="171"/>
      <w:bookmarkStart w:id="172" w:name="_Toc184314414"/>
      <w:bookmarkEnd w:id="172"/>
      <w:bookmarkStart w:id="173" w:name="_Toc184312068"/>
      <w:bookmarkEnd w:id="173"/>
      <w:bookmarkStart w:id="174" w:name="_Toc184314432"/>
      <w:bookmarkEnd w:id="174"/>
      <w:bookmarkStart w:id="175" w:name="_Toc184308051"/>
      <w:bookmarkEnd w:id="175"/>
      <w:bookmarkStart w:id="176" w:name="_Toc184310293"/>
      <w:bookmarkEnd w:id="176"/>
      <w:bookmarkStart w:id="177" w:name="_Toc184314472"/>
      <w:bookmarkEnd w:id="177"/>
      <w:bookmarkStart w:id="178" w:name="_Toc184314436"/>
      <w:bookmarkEnd w:id="178"/>
      <w:bookmarkStart w:id="179" w:name="_Toc184308081"/>
      <w:bookmarkEnd w:id="179"/>
      <w:bookmarkStart w:id="180" w:name="_Toc184308056"/>
      <w:bookmarkEnd w:id="180"/>
      <w:bookmarkStart w:id="181" w:name="_Toc184313238"/>
      <w:bookmarkEnd w:id="181"/>
      <w:bookmarkStart w:id="182" w:name="_Toc184314459"/>
      <w:bookmarkEnd w:id="182"/>
      <w:bookmarkStart w:id="183" w:name="_Toc184312091"/>
      <w:bookmarkEnd w:id="183"/>
      <w:bookmarkStart w:id="184" w:name="_Toc184312099"/>
      <w:bookmarkEnd w:id="184"/>
      <w:bookmarkStart w:id="185" w:name="_Toc184312124"/>
      <w:bookmarkEnd w:id="185"/>
      <w:bookmarkStart w:id="186" w:name="_Toc184308060"/>
      <w:bookmarkEnd w:id="186"/>
      <w:bookmarkStart w:id="187" w:name="_Toc184310289"/>
      <w:bookmarkEnd w:id="187"/>
      <w:bookmarkStart w:id="188" w:name="_Toc184313259"/>
      <w:bookmarkEnd w:id="188"/>
      <w:bookmarkStart w:id="189" w:name="_Toc184308095"/>
      <w:bookmarkEnd w:id="189"/>
      <w:bookmarkStart w:id="190" w:name="_Toc184314461"/>
      <w:bookmarkEnd w:id="190"/>
      <w:bookmarkStart w:id="191" w:name="_Toc184314411"/>
      <w:bookmarkEnd w:id="191"/>
      <w:bookmarkStart w:id="192" w:name="_Toc184310328"/>
      <w:bookmarkEnd w:id="192"/>
      <w:bookmarkStart w:id="193" w:name="_Toc184314435"/>
      <w:bookmarkEnd w:id="193"/>
      <w:bookmarkStart w:id="194" w:name="_Toc184312089"/>
      <w:bookmarkEnd w:id="194"/>
      <w:bookmarkStart w:id="195" w:name="_Toc184313296"/>
      <w:bookmarkEnd w:id="195"/>
      <w:bookmarkStart w:id="196" w:name="_Toc184308084"/>
      <w:bookmarkEnd w:id="196"/>
      <w:bookmarkStart w:id="197" w:name="_Toc184314424"/>
      <w:bookmarkEnd w:id="197"/>
      <w:bookmarkStart w:id="198" w:name="_Toc184310326"/>
      <w:bookmarkEnd w:id="198"/>
      <w:bookmarkStart w:id="199" w:name="_Toc184308072"/>
      <w:bookmarkEnd w:id="199"/>
      <w:bookmarkStart w:id="200" w:name="_Toc184314452"/>
      <w:bookmarkEnd w:id="200"/>
      <w:bookmarkStart w:id="201" w:name="_Toc184310310"/>
      <w:bookmarkEnd w:id="201"/>
      <w:bookmarkStart w:id="202" w:name="_Toc184310291"/>
      <w:bookmarkEnd w:id="202"/>
      <w:bookmarkStart w:id="203" w:name="_Toc184312118"/>
      <w:bookmarkEnd w:id="203"/>
      <w:bookmarkStart w:id="204" w:name="_Toc184308074"/>
      <w:bookmarkEnd w:id="204"/>
      <w:bookmarkStart w:id="205" w:name="_Toc184310301"/>
      <w:bookmarkEnd w:id="205"/>
      <w:bookmarkStart w:id="206" w:name="_Toc184310317"/>
      <w:bookmarkEnd w:id="206"/>
      <w:bookmarkStart w:id="207" w:name="_Toc184314450"/>
      <w:bookmarkEnd w:id="207"/>
      <w:bookmarkStart w:id="208" w:name="_Toc184308052"/>
      <w:bookmarkEnd w:id="208"/>
      <w:bookmarkStart w:id="209" w:name="_Toc184310314"/>
      <w:bookmarkEnd w:id="209"/>
      <w:bookmarkStart w:id="210" w:name="_Toc184313239"/>
      <w:bookmarkEnd w:id="210"/>
      <w:bookmarkStart w:id="211" w:name="_Toc184308078"/>
      <w:bookmarkEnd w:id="211"/>
      <w:bookmarkStart w:id="212" w:name="_Toc184312112"/>
      <w:bookmarkEnd w:id="212"/>
      <w:bookmarkStart w:id="213" w:name="_Toc184314478"/>
      <w:bookmarkEnd w:id="213"/>
      <w:bookmarkStart w:id="214" w:name="_Toc184313246"/>
      <w:bookmarkEnd w:id="214"/>
      <w:bookmarkStart w:id="215" w:name="_Toc184310339"/>
      <w:bookmarkEnd w:id="215"/>
      <w:bookmarkStart w:id="216" w:name="_Toc184312090"/>
      <w:bookmarkEnd w:id="216"/>
      <w:bookmarkStart w:id="217" w:name="_Toc184312076"/>
      <w:bookmarkEnd w:id="217"/>
      <w:bookmarkStart w:id="218" w:name="_Toc184313298"/>
      <w:bookmarkEnd w:id="218"/>
      <w:bookmarkStart w:id="219" w:name="_Toc184312070"/>
      <w:bookmarkEnd w:id="219"/>
      <w:bookmarkStart w:id="220" w:name="_Toc184314467"/>
      <w:bookmarkEnd w:id="220"/>
      <w:bookmarkStart w:id="221" w:name="_Toc184313277"/>
      <w:bookmarkEnd w:id="221"/>
      <w:bookmarkStart w:id="222" w:name="_Toc184308059"/>
      <w:bookmarkEnd w:id="222"/>
      <w:bookmarkStart w:id="223" w:name="_Toc184314433"/>
      <w:bookmarkEnd w:id="223"/>
      <w:bookmarkStart w:id="224" w:name="_Toc184310278"/>
      <w:bookmarkEnd w:id="224"/>
      <w:bookmarkStart w:id="225" w:name="_Toc184312135"/>
      <w:bookmarkEnd w:id="225"/>
      <w:bookmarkStart w:id="226" w:name="_Toc184314480"/>
      <w:bookmarkEnd w:id="226"/>
      <w:bookmarkStart w:id="227" w:name="_Toc184308088"/>
      <w:bookmarkEnd w:id="227"/>
      <w:bookmarkStart w:id="228" w:name="_Toc184313262"/>
      <w:bookmarkEnd w:id="228"/>
      <w:bookmarkStart w:id="229" w:name="_Toc184308048"/>
      <w:bookmarkEnd w:id="229"/>
      <w:bookmarkStart w:id="230" w:name="_Toc184312117"/>
      <w:bookmarkEnd w:id="230"/>
      <w:bookmarkStart w:id="231" w:name="_Toc184312082"/>
      <w:bookmarkEnd w:id="231"/>
      <w:bookmarkStart w:id="232" w:name="_Toc184308057"/>
      <w:bookmarkEnd w:id="232"/>
      <w:bookmarkStart w:id="233" w:name="_Toc184313243"/>
      <w:bookmarkEnd w:id="233"/>
      <w:bookmarkStart w:id="234" w:name="_Toc184313303"/>
      <w:bookmarkEnd w:id="234"/>
      <w:bookmarkStart w:id="235" w:name="_Toc184314415"/>
      <w:bookmarkEnd w:id="235"/>
      <w:bookmarkStart w:id="236" w:name="_Toc184314462"/>
      <w:bookmarkEnd w:id="236"/>
      <w:bookmarkStart w:id="237" w:name="_Toc184312121"/>
      <w:bookmarkEnd w:id="237"/>
      <w:bookmarkStart w:id="238" w:name="_Toc184312128"/>
      <w:bookmarkEnd w:id="238"/>
      <w:bookmarkStart w:id="239" w:name="_Toc184308093"/>
      <w:bookmarkEnd w:id="239"/>
      <w:bookmarkStart w:id="240" w:name="_Toc184313254"/>
      <w:bookmarkEnd w:id="240"/>
      <w:bookmarkStart w:id="241" w:name="_Toc184314418"/>
      <w:bookmarkEnd w:id="241"/>
      <w:bookmarkStart w:id="242" w:name="_Toc184312115"/>
      <w:bookmarkEnd w:id="242"/>
      <w:bookmarkStart w:id="243" w:name="_Toc184313245"/>
      <w:bookmarkEnd w:id="243"/>
      <w:bookmarkStart w:id="244" w:name="_Toc184308090"/>
      <w:bookmarkEnd w:id="244"/>
      <w:bookmarkStart w:id="245" w:name="_Toc184308065"/>
      <w:bookmarkEnd w:id="245"/>
      <w:bookmarkStart w:id="246" w:name="_Toc184313287"/>
      <w:bookmarkEnd w:id="246"/>
      <w:bookmarkStart w:id="247" w:name="_Toc184312126"/>
      <w:bookmarkEnd w:id="247"/>
      <w:bookmarkStart w:id="248" w:name="_Toc184314471"/>
      <w:bookmarkEnd w:id="248"/>
      <w:bookmarkStart w:id="249" w:name="_Toc184313301"/>
      <w:bookmarkEnd w:id="249"/>
      <w:bookmarkStart w:id="250" w:name="_Toc184310325"/>
      <w:bookmarkEnd w:id="250"/>
      <w:bookmarkStart w:id="251" w:name="_Toc184313240"/>
      <w:bookmarkEnd w:id="251"/>
      <w:bookmarkStart w:id="252" w:name="_Toc184313284"/>
      <w:bookmarkEnd w:id="252"/>
      <w:bookmarkStart w:id="253" w:name="_Toc184312086"/>
      <w:bookmarkEnd w:id="253"/>
      <w:bookmarkStart w:id="254" w:name="_Toc184313289"/>
      <w:bookmarkEnd w:id="254"/>
      <w:bookmarkStart w:id="255" w:name="_Toc184312092"/>
      <w:bookmarkEnd w:id="255"/>
      <w:bookmarkStart w:id="256" w:name="_Toc184310300"/>
      <w:bookmarkEnd w:id="256"/>
      <w:bookmarkStart w:id="257" w:name="_Toc184312139"/>
      <w:bookmarkEnd w:id="257"/>
      <w:bookmarkStart w:id="258" w:name="_Toc184313292"/>
      <w:bookmarkEnd w:id="258"/>
      <w:bookmarkStart w:id="259" w:name="_Toc184308106"/>
      <w:bookmarkEnd w:id="259"/>
      <w:bookmarkStart w:id="260" w:name="_Toc184313251"/>
      <w:bookmarkEnd w:id="260"/>
      <w:bookmarkStart w:id="261" w:name="_Toc184314454"/>
      <w:bookmarkEnd w:id="261"/>
      <w:bookmarkStart w:id="262" w:name="_Toc184312120"/>
      <w:bookmarkEnd w:id="262"/>
      <w:bookmarkStart w:id="263" w:name="_Toc184312119"/>
      <w:bookmarkEnd w:id="263"/>
      <w:bookmarkStart w:id="264" w:name="_Toc184313257"/>
      <w:bookmarkEnd w:id="264"/>
      <w:bookmarkStart w:id="265" w:name="_Toc184314448"/>
      <w:bookmarkEnd w:id="265"/>
      <w:bookmarkStart w:id="266" w:name="_Toc184312097"/>
      <w:bookmarkEnd w:id="266"/>
      <w:bookmarkStart w:id="267" w:name="_Toc184308076"/>
      <w:bookmarkEnd w:id="267"/>
      <w:bookmarkStart w:id="268" w:name="_Toc184310272"/>
      <w:bookmarkEnd w:id="268"/>
      <w:bookmarkStart w:id="269" w:name="_Toc184312130"/>
      <w:bookmarkEnd w:id="269"/>
      <w:bookmarkStart w:id="270" w:name="_Toc184314413"/>
      <w:bookmarkEnd w:id="270"/>
      <w:bookmarkStart w:id="271" w:name="_Toc184313268"/>
      <w:bookmarkEnd w:id="271"/>
      <w:bookmarkStart w:id="272" w:name="_Toc184308107"/>
      <w:bookmarkEnd w:id="272"/>
      <w:bookmarkStart w:id="273" w:name="_Toc184313242"/>
      <w:bookmarkEnd w:id="273"/>
      <w:bookmarkStart w:id="274" w:name="_Toc184308086"/>
      <w:bookmarkEnd w:id="274"/>
      <w:bookmarkStart w:id="275" w:name="_Toc184313308"/>
      <w:bookmarkEnd w:id="275"/>
      <w:bookmarkStart w:id="276" w:name="_Toc184313253"/>
      <w:bookmarkEnd w:id="276"/>
      <w:bookmarkStart w:id="277" w:name="_Toc184308099"/>
      <w:bookmarkEnd w:id="277"/>
      <w:bookmarkStart w:id="278" w:name="_Toc184314417"/>
      <w:bookmarkEnd w:id="278"/>
      <w:bookmarkStart w:id="279" w:name="_Toc184308069"/>
      <w:bookmarkEnd w:id="279"/>
      <w:bookmarkStart w:id="280" w:name="_Toc184310273"/>
      <w:bookmarkEnd w:id="280"/>
      <w:bookmarkStart w:id="281" w:name="_Toc184312101"/>
      <w:bookmarkEnd w:id="281"/>
      <w:bookmarkStart w:id="282" w:name="_Toc184310285"/>
      <w:bookmarkEnd w:id="282"/>
      <w:bookmarkStart w:id="283" w:name="_Toc184314445"/>
      <w:bookmarkEnd w:id="283"/>
      <w:bookmarkStart w:id="284" w:name="_Toc184313280"/>
      <w:bookmarkEnd w:id="284"/>
      <w:bookmarkStart w:id="285" w:name="_Toc184313248"/>
      <w:bookmarkEnd w:id="285"/>
      <w:bookmarkStart w:id="286" w:name="_Toc184308100"/>
      <w:bookmarkEnd w:id="286"/>
      <w:bookmarkStart w:id="287" w:name="_Toc184314464"/>
      <w:bookmarkEnd w:id="287"/>
      <w:bookmarkStart w:id="288" w:name="_Toc184310319"/>
      <w:bookmarkEnd w:id="288"/>
      <w:bookmarkStart w:id="289" w:name="_Toc184313252"/>
      <w:bookmarkEnd w:id="289"/>
      <w:bookmarkStart w:id="290" w:name="_Toc184314468"/>
      <w:bookmarkEnd w:id="290"/>
      <w:bookmarkStart w:id="291" w:name="_Toc184310298"/>
      <w:bookmarkEnd w:id="291"/>
      <w:bookmarkStart w:id="292" w:name="_Toc184308085"/>
      <w:bookmarkEnd w:id="292"/>
      <w:bookmarkStart w:id="293" w:name="_Toc184308063"/>
      <w:bookmarkEnd w:id="293"/>
      <w:bookmarkStart w:id="294" w:name="_Toc184313300"/>
      <w:bookmarkEnd w:id="294"/>
      <w:bookmarkStart w:id="295" w:name="_Toc184308068"/>
      <w:bookmarkEnd w:id="295"/>
      <w:bookmarkStart w:id="296" w:name="_Toc184308064"/>
      <w:bookmarkEnd w:id="296"/>
      <w:bookmarkStart w:id="297" w:name="_Toc184308066"/>
      <w:bookmarkEnd w:id="297"/>
      <w:bookmarkStart w:id="298" w:name="_Toc184310286"/>
      <w:bookmarkEnd w:id="298"/>
      <w:bookmarkStart w:id="299" w:name="_Toc184310323"/>
      <w:bookmarkEnd w:id="299"/>
      <w:bookmarkStart w:id="300" w:name="_Toc184312087"/>
      <w:bookmarkEnd w:id="300"/>
      <w:bookmarkStart w:id="301" w:name="_Toc184313299"/>
      <w:bookmarkEnd w:id="301"/>
      <w:bookmarkStart w:id="302" w:name="_Toc184308061"/>
      <w:bookmarkEnd w:id="302"/>
      <w:bookmarkStart w:id="303" w:name="_Toc184308089"/>
      <w:bookmarkEnd w:id="303"/>
      <w:bookmarkStart w:id="304" w:name="_Toc184314441"/>
      <w:bookmarkEnd w:id="304"/>
      <w:bookmarkStart w:id="305" w:name="_Toc184310307"/>
      <w:bookmarkEnd w:id="305"/>
      <w:bookmarkStart w:id="306" w:name="_Toc184313271"/>
      <w:bookmarkEnd w:id="306"/>
      <w:bookmarkStart w:id="307" w:name="_Toc184314473"/>
      <w:bookmarkEnd w:id="307"/>
      <w:bookmarkStart w:id="308" w:name="_Toc184312077"/>
      <w:bookmarkEnd w:id="308"/>
      <w:bookmarkStart w:id="309" w:name="_Toc184310312"/>
      <w:bookmarkEnd w:id="309"/>
      <w:bookmarkStart w:id="310" w:name="_Toc184308098"/>
      <w:bookmarkEnd w:id="310"/>
      <w:bookmarkStart w:id="311" w:name="_Toc184308058"/>
      <w:bookmarkEnd w:id="311"/>
      <w:bookmarkStart w:id="312" w:name="_Toc184312095"/>
      <w:bookmarkEnd w:id="312"/>
      <w:bookmarkStart w:id="313" w:name="_Toc184313291"/>
      <w:bookmarkEnd w:id="313"/>
      <w:bookmarkStart w:id="314" w:name="_Toc184314446"/>
      <w:bookmarkEnd w:id="314"/>
      <w:bookmarkStart w:id="315" w:name="_Toc184310316"/>
      <w:bookmarkEnd w:id="315"/>
      <w:bookmarkStart w:id="316" w:name="_Toc184313267"/>
      <w:bookmarkEnd w:id="316"/>
      <w:bookmarkStart w:id="317" w:name="_Toc184314427"/>
      <w:bookmarkEnd w:id="317"/>
      <w:bookmarkStart w:id="318" w:name="_Toc184308070"/>
      <w:bookmarkEnd w:id="318"/>
      <w:bookmarkStart w:id="319" w:name="_Toc184313274"/>
      <w:bookmarkEnd w:id="319"/>
      <w:bookmarkStart w:id="320" w:name="_Toc184314451"/>
      <w:bookmarkEnd w:id="320"/>
      <w:bookmarkStart w:id="321" w:name="_Toc184312078"/>
      <w:bookmarkEnd w:id="321"/>
      <w:bookmarkStart w:id="322" w:name="_Toc184314428"/>
      <w:bookmarkEnd w:id="322"/>
      <w:bookmarkStart w:id="323" w:name="_Toc184310343"/>
      <w:bookmarkEnd w:id="323"/>
      <w:bookmarkStart w:id="324" w:name="_Toc184310308"/>
      <w:bookmarkEnd w:id="324"/>
      <w:bookmarkStart w:id="325" w:name="_Toc184310340"/>
      <w:bookmarkEnd w:id="325"/>
      <w:bookmarkStart w:id="326" w:name="_Toc184313283"/>
      <w:bookmarkEnd w:id="326"/>
      <w:bookmarkStart w:id="327" w:name="_Toc184312122"/>
      <w:bookmarkEnd w:id="327"/>
      <w:bookmarkStart w:id="328" w:name="_Toc184313275"/>
      <w:bookmarkEnd w:id="328"/>
      <w:bookmarkStart w:id="329" w:name="_Toc184314477"/>
      <w:bookmarkEnd w:id="329"/>
      <w:bookmarkStart w:id="330" w:name="_Toc184314425"/>
      <w:bookmarkEnd w:id="330"/>
      <w:bookmarkStart w:id="331" w:name="_Toc184310287"/>
      <w:bookmarkEnd w:id="331"/>
      <w:bookmarkStart w:id="332" w:name="_Toc184308105"/>
      <w:bookmarkEnd w:id="332"/>
      <w:bookmarkStart w:id="333" w:name="_Toc184310332"/>
      <w:bookmarkEnd w:id="333"/>
      <w:bookmarkStart w:id="334" w:name="_Toc184310295"/>
      <w:bookmarkEnd w:id="334"/>
      <w:bookmarkStart w:id="335" w:name="_Toc184310315"/>
      <w:bookmarkEnd w:id="335"/>
      <w:bookmarkStart w:id="336" w:name="_Toc184308096"/>
      <w:bookmarkEnd w:id="336"/>
      <w:bookmarkStart w:id="337" w:name="_Toc184312080"/>
      <w:bookmarkEnd w:id="337"/>
      <w:bookmarkStart w:id="338" w:name="_Toc184313260"/>
      <w:bookmarkEnd w:id="338"/>
      <w:bookmarkStart w:id="339" w:name="_Toc184312093"/>
      <w:bookmarkEnd w:id="339"/>
      <w:bookmarkStart w:id="340" w:name="_Toc184313256"/>
      <w:bookmarkEnd w:id="340"/>
      <w:bookmarkStart w:id="341" w:name="_Toc184312138"/>
      <w:bookmarkEnd w:id="341"/>
      <w:bookmarkStart w:id="342" w:name="_Toc184314474"/>
      <w:bookmarkEnd w:id="342"/>
      <w:bookmarkStart w:id="343" w:name="_Toc184310322"/>
      <w:bookmarkEnd w:id="343"/>
      <w:bookmarkStart w:id="344" w:name="_Toc184308053"/>
      <w:bookmarkEnd w:id="344"/>
      <w:bookmarkStart w:id="345" w:name="_Toc184314444"/>
      <w:bookmarkEnd w:id="345"/>
      <w:bookmarkStart w:id="346" w:name="_Toc184312131"/>
      <w:bookmarkEnd w:id="346"/>
      <w:bookmarkStart w:id="347" w:name="_Toc184314479"/>
      <w:bookmarkEnd w:id="347"/>
      <w:bookmarkStart w:id="348" w:name="_Toc184314476"/>
      <w:bookmarkEnd w:id="348"/>
      <w:bookmarkStart w:id="349" w:name="_Toc184312113"/>
      <w:bookmarkEnd w:id="349"/>
      <w:bookmarkStart w:id="350" w:name="_Toc184308091"/>
      <w:bookmarkEnd w:id="350"/>
      <w:bookmarkStart w:id="351" w:name="_Toc184308062"/>
      <w:bookmarkEnd w:id="351"/>
      <w:bookmarkStart w:id="352" w:name="_Toc184314440"/>
      <w:bookmarkEnd w:id="352"/>
      <w:bookmarkStart w:id="353" w:name="_Toc184312073"/>
      <w:bookmarkEnd w:id="353"/>
      <w:bookmarkStart w:id="354" w:name="_Toc184310306"/>
      <w:bookmarkEnd w:id="354"/>
      <w:bookmarkStart w:id="355" w:name="_Toc184314419"/>
      <w:bookmarkEnd w:id="355"/>
      <w:bookmarkStart w:id="356" w:name="_Toc184310342"/>
      <w:bookmarkEnd w:id="356"/>
      <w:bookmarkStart w:id="357" w:name="_Toc184313307"/>
      <w:bookmarkEnd w:id="357"/>
      <w:bookmarkStart w:id="358" w:name="_Toc184312079"/>
      <w:bookmarkEnd w:id="358"/>
      <w:bookmarkStart w:id="359" w:name="_Toc184314469"/>
      <w:bookmarkEnd w:id="359"/>
      <w:bookmarkStart w:id="360" w:name="_Toc184313282"/>
      <w:bookmarkEnd w:id="360"/>
      <w:bookmarkStart w:id="361" w:name="_Toc184312094"/>
      <w:bookmarkEnd w:id="361"/>
      <w:bookmarkStart w:id="362" w:name="_Toc184313270"/>
      <w:bookmarkEnd w:id="362"/>
      <w:bookmarkStart w:id="363" w:name="_Toc184314422"/>
      <w:bookmarkEnd w:id="363"/>
      <w:bookmarkStart w:id="364" w:name="_Toc184314438"/>
      <w:bookmarkEnd w:id="364"/>
      <w:bookmarkStart w:id="365" w:name="_Toc184313266"/>
      <w:bookmarkEnd w:id="365"/>
      <w:bookmarkStart w:id="366" w:name="_Toc184308104"/>
      <w:bookmarkEnd w:id="366"/>
      <w:bookmarkStart w:id="367" w:name="_Toc184312072"/>
      <w:bookmarkEnd w:id="367"/>
      <w:bookmarkStart w:id="368" w:name="_Toc184310282"/>
      <w:bookmarkEnd w:id="368"/>
      <w:bookmarkStart w:id="369" w:name="_Toc184310329"/>
      <w:bookmarkEnd w:id="369"/>
      <w:bookmarkStart w:id="370" w:name="_Toc184313297"/>
      <w:bookmarkEnd w:id="370"/>
      <w:bookmarkStart w:id="371" w:name="_Toc184310313"/>
      <w:bookmarkEnd w:id="371"/>
      <w:bookmarkStart w:id="372" w:name="_Toc184310283"/>
      <w:bookmarkEnd w:id="372"/>
      <w:bookmarkStart w:id="373" w:name="_Toc184314421"/>
      <w:bookmarkEnd w:id="373"/>
      <w:bookmarkStart w:id="374" w:name="_Toc184308043"/>
      <w:bookmarkEnd w:id="374"/>
      <w:bookmarkStart w:id="375" w:name="_Toc184312110"/>
      <w:bookmarkEnd w:id="375"/>
      <w:bookmarkStart w:id="376" w:name="_Toc184313293"/>
      <w:bookmarkEnd w:id="376"/>
      <w:bookmarkStart w:id="377" w:name="_Toc184312074"/>
      <w:bookmarkEnd w:id="377"/>
      <w:bookmarkStart w:id="378" w:name="_Toc184310318"/>
      <w:bookmarkEnd w:id="378"/>
      <w:bookmarkStart w:id="379" w:name="_Toc184312083"/>
      <w:bookmarkEnd w:id="379"/>
      <w:bookmarkStart w:id="380" w:name="_Toc184313244"/>
      <w:bookmarkEnd w:id="380"/>
      <w:bookmarkStart w:id="381" w:name="_Toc184310311"/>
      <w:bookmarkEnd w:id="381"/>
      <w:bookmarkStart w:id="382" w:name="_Toc184310290"/>
      <w:bookmarkEnd w:id="382"/>
      <w:bookmarkStart w:id="383" w:name="_Toc184312116"/>
      <w:bookmarkEnd w:id="383"/>
      <w:bookmarkStart w:id="384" w:name="_Toc184314447"/>
      <w:bookmarkEnd w:id="384"/>
      <w:bookmarkStart w:id="385" w:name="_Toc184308075"/>
      <w:bookmarkEnd w:id="385"/>
      <w:bookmarkStart w:id="386" w:name="_Toc184312081"/>
      <w:bookmarkEnd w:id="386"/>
      <w:bookmarkStart w:id="387" w:name="_Toc184313306"/>
      <w:bookmarkEnd w:id="387"/>
      <w:bookmarkStart w:id="388" w:name="_Toc184310274"/>
      <w:bookmarkEnd w:id="388"/>
      <w:bookmarkStart w:id="389" w:name="_Toc184308103"/>
      <w:bookmarkEnd w:id="389"/>
      <w:r>
        <w:rPr>
          <w:rFonts w:hint="eastAsia" w:ascii="宋体" w:hAnsi="宋体" w:cs="宋体"/>
          <w:b/>
          <w:sz w:val="36"/>
          <w:szCs w:val="36"/>
        </w:rPr>
        <w:t>评标办法</w:t>
      </w:r>
    </w:p>
    <w:p w14:paraId="06286A70">
      <w:pPr>
        <w:snapToGrid w:val="0"/>
        <w:spacing w:line="240" w:lineRule="auto"/>
        <w:jc w:val="center"/>
        <w:rPr>
          <w:rFonts w:ascii="宋体" w:hAnsi="宋体" w:cs="宋体"/>
          <w:b/>
          <w:sz w:val="32"/>
          <w:szCs w:val="20"/>
        </w:rPr>
      </w:pPr>
      <w:r>
        <w:rPr>
          <w:rFonts w:hint="eastAsia" w:ascii="宋体" w:hAnsi="宋体" w:cs="宋体"/>
          <w:b/>
          <w:sz w:val="32"/>
          <w:szCs w:val="20"/>
        </w:rPr>
        <w:t>评标办法前附表</w:t>
      </w:r>
    </w:p>
    <w:tbl>
      <w:tblPr>
        <w:tblStyle w:val="20"/>
        <w:tblpPr w:leftFromText="180" w:rightFromText="180" w:vertAnchor="text" w:horzAnchor="page" w:tblpXSpec="center" w:tblpY="401"/>
        <w:tblOverlap w:val="never"/>
        <w:tblW w:w="9839"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5233"/>
        <w:gridCol w:w="825"/>
        <w:gridCol w:w="1035"/>
        <w:gridCol w:w="1920"/>
      </w:tblGrid>
      <w:tr w14:paraId="77607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26" w:type="dxa"/>
            <w:noWrap w:val="0"/>
            <w:vAlign w:val="center"/>
          </w:tcPr>
          <w:p w14:paraId="515C6DBD">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序号</w:t>
            </w:r>
          </w:p>
        </w:tc>
        <w:tc>
          <w:tcPr>
            <w:tcW w:w="5233" w:type="dxa"/>
            <w:noWrap w:val="0"/>
            <w:vAlign w:val="center"/>
          </w:tcPr>
          <w:p w14:paraId="60CCCCBF">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评标标准</w:t>
            </w:r>
          </w:p>
        </w:tc>
        <w:tc>
          <w:tcPr>
            <w:tcW w:w="825" w:type="dxa"/>
            <w:noWrap w:val="0"/>
            <w:vAlign w:val="center"/>
          </w:tcPr>
          <w:p w14:paraId="4146057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权重</w:t>
            </w:r>
          </w:p>
        </w:tc>
        <w:tc>
          <w:tcPr>
            <w:tcW w:w="1035" w:type="dxa"/>
            <w:noWrap w:val="0"/>
            <w:vAlign w:val="center"/>
          </w:tcPr>
          <w:p w14:paraId="141C580A">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bCs/>
                <w:color w:val="auto"/>
                <w:sz w:val="24"/>
                <w:szCs w:val="24"/>
                <w:highlight w:val="none"/>
              </w:rPr>
              <w:t>主观分/客观分属性</w:t>
            </w:r>
          </w:p>
        </w:tc>
        <w:tc>
          <w:tcPr>
            <w:tcW w:w="1920" w:type="dxa"/>
            <w:noWrap w:val="0"/>
            <w:vAlign w:val="center"/>
          </w:tcPr>
          <w:p w14:paraId="3F4DC40B">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投标文件中评标标准相应的商务技术资料目录</w:t>
            </w:r>
          </w:p>
        </w:tc>
      </w:tr>
      <w:tr w14:paraId="1490E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26" w:type="dxa"/>
            <w:noWrap w:val="0"/>
            <w:vAlign w:val="center"/>
          </w:tcPr>
          <w:p w14:paraId="6CE7D9D5">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5233" w:type="dxa"/>
            <w:noWrap w:val="0"/>
            <w:vAlign w:val="center"/>
          </w:tcPr>
          <w:p w14:paraId="0344ECA5">
            <w:pPr>
              <w:keepNext w:val="0"/>
              <w:keepLines w:val="0"/>
              <w:pageBreakBefore w:val="0"/>
              <w:kinsoku/>
              <w:wordWrap/>
              <w:overflowPunct/>
              <w:topLinePunct w:val="0"/>
              <w:autoSpaceDE/>
              <w:autoSpaceDN/>
              <w:bidi w:val="0"/>
              <w:adjustRightInd/>
              <w:spacing w:beforeLines="0" w:line="360" w:lineRule="auto"/>
              <w:rPr>
                <w:rFonts w:hint="eastAsia" w:ascii="宋体" w:hAnsi="宋体" w:eastAsia="宋体" w:cs="宋体"/>
                <w:bCs/>
                <w:sz w:val="24"/>
                <w:szCs w:val="24"/>
              </w:rPr>
            </w:pPr>
            <w:r>
              <w:rPr>
                <w:rFonts w:hint="eastAsia" w:ascii="宋体" w:hAnsi="宋体" w:eastAsia="宋体" w:cs="宋体"/>
                <w:bCs/>
                <w:sz w:val="24"/>
                <w:szCs w:val="24"/>
              </w:rPr>
              <w:t>标人自20</w:t>
            </w:r>
            <w:r>
              <w:rPr>
                <w:rFonts w:hint="eastAsia" w:ascii="宋体" w:hAnsi="宋体" w:eastAsia="宋体" w:cs="宋体"/>
                <w:bCs/>
                <w:sz w:val="24"/>
                <w:szCs w:val="24"/>
                <w:lang w:val="en-US" w:eastAsia="zh-CN"/>
              </w:rPr>
              <w:t>20</w:t>
            </w:r>
            <w:r>
              <w:rPr>
                <w:rFonts w:hint="eastAsia" w:ascii="宋体" w:hAnsi="宋体" w:eastAsia="宋体" w:cs="宋体"/>
                <w:bCs/>
                <w:sz w:val="24"/>
                <w:szCs w:val="24"/>
              </w:rPr>
              <w:t>年1月1日（以合同时间为准）至今承担过类似项目,每提供一个得0.5分，最多得1分。</w:t>
            </w:r>
          </w:p>
          <w:p w14:paraId="6652FB5D">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GB" w:eastAsia="zh-CN"/>
              </w:rPr>
            </w:pPr>
            <w:r>
              <w:rPr>
                <w:rFonts w:hint="eastAsia" w:ascii="宋体" w:hAnsi="宋体" w:eastAsia="宋体" w:cs="宋体"/>
                <w:bCs/>
                <w:sz w:val="24"/>
                <w:szCs w:val="24"/>
              </w:rPr>
              <w:t>（投标文件中提供合同复印件并加盖投标人公章）</w:t>
            </w:r>
          </w:p>
        </w:tc>
        <w:tc>
          <w:tcPr>
            <w:tcW w:w="825" w:type="dxa"/>
            <w:noWrap w:val="0"/>
            <w:vAlign w:val="center"/>
          </w:tcPr>
          <w:p w14:paraId="375CCB7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1035" w:type="dxa"/>
            <w:noWrap w:val="0"/>
            <w:vAlign w:val="center"/>
          </w:tcPr>
          <w:p w14:paraId="5EABFCC7">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40048AF8">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GB" w:eastAsia="zh-CN"/>
              </w:rPr>
            </w:pPr>
            <w:r>
              <w:rPr>
                <w:rFonts w:hint="eastAsia" w:ascii="宋体" w:hAnsi="宋体" w:eastAsia="宋体" w:cs="宋体"/>
                <w:color w:val="000000"/>
                <w:kern w:val="0"/>
                <w:sz w:val="24"/>
                <w:szCs w:val="24"/>
                <w:lang w:val="en-GB" w:eastAsia="zh-CN"/>
              </w:rPr>
              <w:t>类似业绩</w:t>
            </w:r>
          </w:p>
        </w:tc>
      </w:tr>
      <w:tr w14:paraId="0415D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trPr>
        <w:tc>
          <w:tcPr>
            <w:tcW w:w="826" w:type="dxa"/>
            <w:noWrap w:val="0"/>
            <w:vAlign w:val="center"/>
          </w:tcPr>
          <w:p w14:paraId="43FF638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5233" w:type="dxa"/>
            <w:noWrap w:val="0"/>
            <w:vAlign w:val="center"/>
          </w:tcPr>
          <w:p w14:paraId="15B86B85">
            <w:pPr>
              <w:keepNext w:val="0"/>
              <w:keepLines w:val="0"/>
              <w:pageBreakBefore w:val="0"/>
              <w:tabs>
                <w:tab w:val="left" w:pos="630"/>
              </w:tabs>
              <w:kinsoku/>
              <w:wordWrap/>
              <w:overflowPunct/>
              <w:topLinePunct w:val="0"/>
              <w:autoSpaceDE/>
              <w:autoSpaceDN/>
              <w:bidi w:val="0"/>
              <w:adjustRightInd/>
              <w:spacing w:beforeLines="0" w:line="360" w:lineRule="auto"/>
              <w:rPr>
                <w:rFonts w:hint="eastAsia" w:ascii="宋体" w:hAnsi="宋体" w:eastAsia="宋体" w:cs="宋体"/>
                <w:sz w:val="24"/>
                <w:szCs w:val="24"/>
                <w:lang w:val="en-GB"/>
              </w:rPr>
            </w:pPr>
            <w:r>
              <w:rPr>
                <w:rFonts w:hint="eastAsia" w:ascii="宋体" w:hAnsi="宋体" w:eastAsia="宋体" w:cs="宋体"/>
                <w:sz w:val="24"/>
                <w:szCs w:val="24"/>
                <w:lang w:val="en-GB"/>
              </w:rPr>
              <w:t>投标人获得应急管理厅社会化服务机构等级评定为</w:t>
            </w:r>
            <w:r>
              <w:rPr>
                <w:rFonts w:hint="eastAsia" w:ascii="宋体" w:hAnsi="宋体" w:eastAsia="宋体" w:cs="宋体"/>
                <w:sz w:val="24"/>
                <w:szCs w:val="24"/>
              </w:rPr>
              <w:t>C</w:t>
            </w:r>
            <w:r>
              <w:rPr>
                <w:rFonts w:hint="eastAsia" w:ascii="宋体" w:hAnsi="宋体" w:eastAsia="宋体" w:cs="宋体"/>
                <w:sz w:val="24"/>
                <w:szCs w:val="24"/>
                <w:lang w:val="en-GB"/>
              </w:rPr>
              <w:t>级以上的得</w:t>
            </w:r>
            <w:r>
              <w:rPr>
                <w:rFonts w:hint="eastAsia" w:ascii="宋体" w:hAnsi="宋体" w:cs="宋体"/>
                <w:sz w:val="24"/>
                <w:szCs w:val="24"/>
                <w:lang w:val="en-US" w:eastAsia="zh-CN"/>
              </w:rPr>
              <w:t>2</w:t>
            </w:r>
            <w:r>
              <w:rPr>
                <w:rFonts w:hint="eastAsia" w:ascii="宋体" w:hAnsi="宋体" w:eastAsia="宋体" w:cs="宋体"/>
                <w:sz w:val="24"/>
                <w:szCs w:val="24"/>
                <w:lang w:val="en-GB"/>
              </w:rPr>
              <w:t>分，B级的得</w:t>
            </w:r>
            <w:r>
              <w:rPr>
                <w:rFonts w:hint="eastAsia" w:ascii="宋体" w:hAnsi="宋体" w:eastAsia="宋体" w:cs="宋体"/>
                <w:sz w:val="24"/>
                <w:szCs w:val="24"/>
                <w:lang w:val="en-US" w:eastAsia="zh-CN"/>
              </w:rPr>
              <w:t>3</w:t>
            </w:r>
            <w:r>
              <w:rPr>
                <w:rFonts w:hint="eastAsia" w:ascii="宋体" w:hAnsi="宋体" w:eastAsia="宋体" w:cs="宋体"/>
                <w:sz w:val="24"/>
                <w:szCs w:val="24"/>
                <w:lang w:val="en-GB"/>
              </w:rPr>
              <w:t>分，</w:t>
            </w:r>
            <w:r>
              <w:rPr>
                <w:rFonts w:hint="eastAsia" w:ascii="宋体" w:hAnsi="宋体" w:eastAsia="宋体" w:cs="宋体"/>
                <w:sz w:val="24"/>
                <w:szCs w:val="24"/>
              </w:rPr>
              <w:t>A</w:t>
            </w:r>
            <w:r>
              <w:rPr>
                <w:rFonts w:hint="eastAsia" w:ascii="宋体" w:hAnsi="宋体" w:eastAsia="宋体" w:cs="宋体"/>
                <w:sz w:val="24"/>
                <w:szCs w:val="24"/>
                <w:lang w:val="en-GB"/>
              </w:rPr>
              <w:t>级的得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val="en-GB"/>
              </w:rPr>
              <w:t>其余不得分。</w:t>
            </w:r>
          </w:p>
          <w:p w14:paraId="734F681F">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GB"/>
              </w:rPr>
              <w:t>提供投标截止时间前10天内的工业企业安全在线平台系统显示的截图（截图必须包含截图时间），加盖公章。</w:t>
            </w:r>
          </w:p>
        </w:tc>
        <w:tc>
          <w:tcPr>
            <w:tcW w:w="825" w:type="dxa"/>
            <w:noWrap w:val="0"/>
            <w:vAlign w:val="center"/>
          </w:tcPr>
          <w:p w14:paraId="5388E28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w:t>
            </w:r>
          </w:p>
        </w:tc>
        <w:tc>
          <w:tcPr>
            <w:tcW w:w="1035" w:type="dxa"/>
            <w:noWrap w:val="0"/>
            <w:vAlign w:val="center"/>
          </w:tcPr>
          <w:p w14:paraId="4E33DF9D">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kern w:val="0"/>
                <w:sz w:val="24"/>
                <w:szCs w:val="24"/>
                <w:lang w:val="en-US" w:eastAsia="zh-CN"/>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67BFFF2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kern w:val="0"/>
                <w:sz w:val="24"/>
                <w:szCs w:val="24"/>
                <w:lang w:val="en-US" w:eastAsia="zh-CN"/>
              </w:rPr>
            </w:pPr>
            <w:r>
              <w:rPr>
                <w:rFonts w:hint="eastAsia" w:ascii="宋体" w:hAnsi="宋体" w:eastAsia="宋体" w:cs="宋体"/>
                <w:sz w:val="24"/>
                <w:szCs w:val="24"/>
              </w:rPr>
              <w:t>企业荣誉及资历</w:t>
            </w:r>
          </w:p>
        </w:tc>
      </w:tr>
      <w:tr w14:paraId="72413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26" w:type="dxa"/>
            <w:noWrap w:val="0"/>
            <w:vAlign w:val="center"/>
          </w:tcPr>
          <w:p w14:paraId="4D6EB4DC">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5233" w:type="dxa"/>
            <w:noWrap w:val="0"/>
            <w:vAlign w:val="center"/>
          </w:tcPr>
          <w:p w14:paraId="428DD272">
            <w:pPr>
              <w:keepNext w:val="0"/>
              <w:keepLines w:val="0"/>
              <w:pageBreakBefore w:val="0"/>
              <w:widowControl/>
              <w:kinsoku/>
              <w:wordWrap/>
              <w:overflowPunct/>
              <w:topLinePunct w:val="0"/>
              <w:autoSpaceDE/>
              <w:autoSpaceDN/>
              <w:bidi w:val="0"/>
              <w:adjustRightInd/>
              <w:spacing w:beforeLines="0" w:line="360" w:lineRule="auto"/>
              <w:textAlignment w:val="center"/>
              <w:rPr>
                <w:rFonts w:hint="eastAsia" w:ascii="宋体" w:hAnsi="宋体" w:eastAsia="宋体" w:cs="宋体"/>
                <w:sz w:val="24"/>
                <w:szCs w:val="24"/>
              </w:rPr>
            </w:pPr>
            <w:r>
              <w:rPr>
                <w:rFonts w:hint="eastAsia" w:ascii="宋体" w:hAnsi="宋体" w:eastAsia="宋体" w:cs="宋体"/>
                <w:sz w:val="24"/>
                <w:szCs w:val="24"/>
              </w:rPr>
              <w:t>投标人具有质量管理体系认证证书，得2分；</w:t>
            </w:r>
          </w:p>
          <w:p w14:paraId="694B1DED">
            <w:pPr>
              <w:keepNext w:val="0"/>
              <w:keepLines w:val="0"/>
              <w:pageBreakBefore w:val="0"/>
              <w:widowControl/>
              <w:kinsoku/>
              <w:wordWrap/>
              <w:overflowPunct/>
              <w:topLinePunct w:val="0"/>
              <w:autoSpaceDE/>
              <w:autoSpaceDN/>
              <w:bidi w:val="0"/>
              <w:adjustRightInd/>
              <w:spacing w:beforeLines="0" w:line="360" w:lineRule="auto"/>
              <w:textAlignment w:val="center"/>
              <w:rPr>
                <w:rFonts w:hint="eastAsia" w:ascii="宋体" w:hAnsi="宋体" w:eastAsia="宋体" w:cs="宋体"/>
                <w:sz w:val="24"/>
                <w:szCs w:val="24"/>
              </w:rPr>
            </w:pPr>
            <w:r>
              <w:rPr>
                <w:rFonts w:hint="eastAsia" w:ascii="宋体" w:hAnsi="宋体" w:eastAsia="宋体" w:cs="宋体"/>
                <w:sz w:val="24"/>
                <w:szCs w:val="24"/>
              </w:rPr>
              <w:t>投标人具有环境管理体系认证证书，得2分；</w:t>
            </w:r>
          </w:p>
          <w:p w14:paraId="3B1D3EDA">
            <w:pPr>
              <w:keepNext w:val="0"/>
              <w:keepLines w:val="0"/>
              <w:pageBreakBefore w:val="0"/>
              <w:widowControl/>
              <w:kinsoku/>
              <w:wordWrap/>
              <w:overflowPunct/>
              <w:topLinePunct w:val="0"/>
              <w:autoSpaceDE/>
              <w:autoSpaceDN/>
              <w:bidi w:val="0"/>
              <w:adjustRightInd/>
              <w:spacing w:beforeLines="0" w:line="360" w:lineRule="auto"/>
              <w:textAlignment w:val="center"/>
              <w:rPr>
                <w:rFonts w:hint="eastAsia" w:ascii="宋体" w:hAnsi="宋体" w:eastAsia="宋体" w:cs="宋体"/>
                <w:sz w:val="24"/>
                <w:szCs w:val="24"/>
              </w:rPr>
            </w:pPr>
            <w:r>
              <w:rPr>
                <w:rFonts w:hint="eastAsia" w:ascii="宋体" w:hAnsi="宋体" w:eastAsia="宋体" w:cs="宋体"/>
                <w:sz w:val="24"/>
                <w:szCs w:val="24"/>
              </w:rPr>
              <w:t>投标人具有职业健康管理体系认证证书，得2分；</w:t>
            </w:r>
          </w:p>
          <w:p w14:paraId="5BE6720E">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b/>
                <w:bCs/>
                <w:sz w:val="24"/>
                <w:szCs w:val="24"/>
              </w:rPr>
              <w:t>（注：须提供相关证明材料复印件加盖单位公章，未提供相关证明材料的不给分。）</w:t>
            </w:r>
          </w:p>
        </w:tc>
        <w:tc>
          <w:tcPr>
            <w:tcW w:w="825" w:type="dxa"/>
            <w:noWrap w:val="0"/>
            <w:vAlign w:val="center"/>
          </w:tcPr>
          <w:p w14:paraId="43AAFF3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w:t>
            </w:r>
          </w:p>
        </w:tc>
        <w:tc>
          <w:tcPr>
            <w:tcW w:w="1035" w:type="dxa"/>
            <w:noWrap w:val="0"/>
            <w:vAlign w:val="center"/>
          </w:tcPr>
          <w:p w14:paraId="6B87BA9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1FF2A10E">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机构管理</w:t>
            </w:r>
          </w:p>
        </w:tc>
      </w:tr>
      <w:tr w14:paraId="64D73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826" w:type="dxa"/>
            <w:vMerge w:val="restart"/>
            <w:noWrap w:val="0"/>
            <w:vAlign w:val="center"/>
          </w:tcPr>
          <w:p w14:paraId="0C5F76F3">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5233" w:type="dxa"/>
            <w:noWrap w:val="0"/>
            <w:vAlign w:val="center"/>
          </w:tcPr>
          <w:p w14:paraId="47A42577">
            <w:pPr>
              <w:keepNext w:val="0"/>
              <w:keepLines w:val="0"/>
              <w:pageBreakBefore w:val="0"/>
              <w:widowControl/>
              <w:kinsoku/>
              <w:wordWrap/>
              <w:overflowPunct/>
              <w:topLinePunct w:val="0"/>
              <w:autoSpaceDE/>
              <w:autoSpaceDN/>
              <w:bidi w:val="0"/>
              <w:adjustRightInd/>
              <w:snapToGrid w:val="0"/>
              <w:spacing w:beforeLines="0" w:line="360" w:lineRule="auto"/>
              <w:jc w:val="left"/>
              <w:rPr>
                <w:rFonts w:hint="eastAsia" w:ascii="宋体" w:hAnsi="宋体" w:eastAsia="宋体" w:cs="宋体"/>
                <w:sz w:val="24"/>
                <w:szCs w:val="24"/>
              </w:rPr>
            </w:pPr>
            <w:r>
              <w:rPr>
                <w:rFonts w:hint="eastAsia" w:ascii="宋体" w:hAnsi="宋体" w:eastAsia="宋体" w:cs="宋体"/>
                <w:sz w:val="24"/>
                <w:szCs w:val="24"/>
              </w:rPr>
              <w:t>拟派本项目负责人具备初级注册安全工程师的得</w:t>
            </w:r>
            <w:r>
              <w:rPr>
                <w:rFonts w:hint="eastAsia" w:ascii="宋体" w:hAnsi="宋体" w:cs="宋体"/>
                <w:sz w:val="24"/>
                <w:szCs w:val="24"/>
                <w:lang w:val="en-US" w:eastAsia="zh-CN"/>
              </w:rPr>
              <w:t>4</w:t>
            </w:r>
            <w:r>
              <w:rPr>
                <w:rFonts w:hint="eastAsia" w:ascii="宋体" w:hAnsi="宋体" w:eastAsia="宋体" w:cs="宋体"/>
                <w:sz w:val="24"/>
                <w:szCs w:val="24"/>
              </w:rPr>
              <w:t>分，具备中级注册安全工程师的得</w:t>
            </w:r>
            <w:r>
              <w:rPr>
                <w:rFonts w:hint="eastAsia" w:ascii="宋体" w:hAnsi="宋体" w:cs="宋体"/>
                <w:sz w:val="24"/>
                <w:szCs w:val="24"/>
                <w:lang w:val="en-US" w:eastAsia="zh-CN"/>
              </w:rPr>
              <w:t>5</w:t>
            </w:r>
            <w:r>
              <w:rPr>
                <w:rFonts w:hint="eastAsia" w:ascii="宋体" w:hAnsi="宋体" w:eastAsia="宋体" w:cs="宋体"/>
                <w:sz w:val="24"/>
                <w:szCs w:val="24"/>
              </w:rPr>
              <w:t>分，具备高级（安全工程类）工程师的得6分；</w:t>
            </w:r>
          </w:p>
          <w:p w14:paraId="07EFB01E">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【须</w:t>
            </w:r>
            <w:r>
              <w:rPr>
                <w:rFonts w:hint="eastAsia" w:ascii="宋体" w:hAnsi="宋体" w:eastAsia="宋体" w:cs="宋体"/>
                <w:sz w:val="24"/>
                <w:szCs w:val="24"/>
                <w:lang w:val="en-US" w:eastAsia="zh-CN"/>
              </w:rPr>
              <w:t>提供</w:t>
            </w:r>
            <w:r>
              <w:rPr>
                <w:rFonts w:hint="eastAsia" w:ascii="宋体" w:hAnsi="宋体" w:eastAsia="宋体" w:cs="宋体"/>
                <w:sz w:val="24"/>
                <w:szCs w:val="24"/>
                <w:highlight w:val="none"/>
              </w:rPr>
              <w:t>上述拟派人员相关</w:t>
            </w:r>
            <w:r>
              <w:rPr>
                <w:rFonts w:hint="eastAsia" w:ascii="宋体" w:hAnsi="宋体" w:eastAsia="宋体" w:cs="宋体"/>
                <w:sz w:val="24"/>
                <w:szCs w:val="24"/>
                <w:highlight w:val="none"/>
                <w:lang w:val="en-US" w:eastAsia="zh-CN"/>
              </w:rPr>
              <w:t>证书</w:t>
            </w:r>
            <w:r>
              <w:rPr>
                <w:rFonts w:hint="eastAsia" w:ascii="宋体" w:hAnsi="宋体" w:eastAsia="宋体" w:cs="宋体"/>
                <w:sz w:val="24"/>
                <w:szCs w:val="24"/>
                <w:highlight w:val="none"/>
              </w:rPr>
              <w:t>证明材料</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投标截止时间前</w:t>
            </w:r>
            <w:r>
              <w:rPr>
                <w:rFonts w:hint="eastAsia" w:ascii="宋体" w:hAnsi="宋体" w:eastAsia="宋体" w:cs="宋体"/>
                <w:sz w:val="24"/>
                <w:szCs w:val="24"/>
              </w:rPr>
              <w:t>3个月内</w:t>
            </w:r>
            <w:r>
              <w:rPr>
                <w:rFonts w:hint="eastAsia" w:ascii="宋体" w:hAnsi="宋体" w:eastAsia="宋体" w:cs="宋体"/>
                <w:kern w:val="0"/>
                <w:sz w:val="24"/>
                <w:szCs w:val="24"/>
              </w:rPr>
              <w:t>（任意一个月）</w:t>
            </w:r>
            <w:r>
              <w:rPr>
                <w:rFonts w:hint="eastAsia" w:ascii="宋体" w:hAnsi="宋体" w:eastAsia="宋体" w:cs="宋体"/>
                <w:kern w:val="0"/>
                <w:sz w:val="24"/>
                <w:szCs w:val="24"/>
                <w:highlight w:val="none"/>
              </w:rPr>
              <w:t>社保缴纳证明材料</w:t>
            </w:r>
            <w:r>
              <w:rPr>
                <w:rFonts w:hint="eastAsia" w:ascii="宋体" w:hAnsi="宋体" w:eastAsia="宋体" w:cs="宋体"/>
                <w:sz w:val="24"/>
                <w:szCs w:val="24"/>
                <w:highlight w:val="none"/>
              </w:rPr>
              <w:t>加盖投标人</w:t>
            </w:r>
            <w:r>
              <w:rPr>
                <w:rFonts w:hint="eastAsia" w:ascii="宋体" w:hAnsi="宋体" w:eastAsia="宋体" w:cs="宋体"/>
                <w:sz w:val="24"/>
                <w:szCs w:val="24"/>
                <w:highlight w:val="none"/>
                <w:lang w:eastAsia="zh-CN"/>
              </w:rPr>
              <w:t>公章</w:t>
            </w:r>
            <w:r>
              <w:rPr>
                <w:rFonts w:hint="eastAsia" w:ascii="宋体" w:hAnsi="宋体" w:eastAsia="宋体" w:cs="宋体"/>
                <w:sz w:val="24"/>
                <w:szCs w:val="24"/>
                <w:highlight w:val="none"/>
              </w:rPr>
              <w:t>，不提供不得分。</w:t>
            </w:r>
            <w:r>
              <w:rPr>
                <w:rFonts w:hint="eastAsia" w:ascii="宋体" w:hAnsi="宋体" w:eastAsia="宋体" w:cs="宋体"/>
                <w:sz w:val="24"/>
                <w:szCs w:val="24"/>
              </w:rPr>
              <w:t>】</w:t>
            </w:r>
          </w:p>
        </w:tc>
        <w:tc>
          <w:tcPr>
            <w:tcW w:w="825" w:type="dxa"/>
            <w:noWrap w:val="0"/>
            <w:vAlign w:val="center"/>
          </w:tcPr>
          <w:p w14:paraId="22D6FB6B">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w:t>
            </w:r>
          </w:p>
        </w:tc>
        <w:tc>
          <w:tcPr>
            <w:tcW w:w="1035" w:type="dxa"/>
            <w:noWrap w:val="0"/>
            <w:vAlign w:val="center"/>
          </w:tcPr>
          <w:p w14:paraId="03859FF1">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920" w:type="dxa"/>
            <w:vMerge w:val="restart"/>
            <w:noWrap w:val="0"/>
            <w:vAlign w:val="center"/>
          </w:tcPr>
          <w:p w14:paraId="5513D53C">
            <w:pPr>
              <w:keepNext w:val="0"/>
              <w:keepLines w:val="0"/>
              <w:pageBreakBefore w:val="0"/>
              <w:kinsoku/>
              <w:wordWrap/>
              <w:overflowPunct/>
              <w:topLinePunct w:val="0"/>
              <w:autoSpaceDE/>
              <w:autoSpaceDN/>
              <w:bidi w:val="0"/>
              <w:adjustRightInd/>
              <w:spacing w:beforeLines="0" w:line="360" w:lineRule="auto"/>
              <w:jc w:val="center"/>
              <w:rPr>
                <w:rFonts w:hint="eastAsia" w:ascii="宋体" w:hAnsi="宋体" w:eastAsia="宋体" w:cs="宋体"/>
                <w:sz w:val="24"/>
                <w:szCs w:val="24"/>
              </w:rPr>
            </w:pPr>
            <w:r>
              <w:rPr>
                <w:rFonts w:hint="eastAsia" w:ascii="宋体" w:hAnsi="宋体" w:eastAsia="宋体" w:cs="宋体"/>
                <w:sz w:val="24"/>
                <w:szCs w:val="24"/>
              </w:rPr>
              <w:t>拟投入本项目的</w:t>
            </w:r>
          </w:p>
          <w:p w14:paraId="0DCC65BA">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班组成员情况</w:t>
            </w:r>
          </w:p>
        </w:tc>
      </w:tr>
      <w:tr w14:paraId="4CCB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826" w:type="dxa"/>
            <w:vMerge w:val="continue"/>
            <w:noWrap w:val="0"/>
            <w:vAlign w:val="center"/>
          </w:tcPr>
          <w:p w14:paraId="2105DCEC">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p>
        </w:tc>
        <w:tc>
          <w:tcPr>
            <w:tcW w:w="5233" w:type="dxa"/>
            <w:noWrap w:val="0"/>
            <w:vAlign w:val="center"/>
          </w:tcPr>
          <w:p w14:paraId="17C74892">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bCs/>
                <w:sz w:val="24"/>
                <w:szCs w:val="24"/>
              </w:rPr>
            </w:pPr>
            <w:r>
              <w:rPr>
                <w:rFonts w:hint="eastAsia" w:ascii="宋体" w:hAnsi="宋体" w:eastAsia="宋体" w:cs="宋体"/>
                <w:bCs/>
                <w:sz w:val="24"/>
                <w:szCs w:val="24"/>
              </w:rPr>
              <w:t>根据拟派班子</w:t>
            </w:r>
            <w:r>
              <w:rPr>
                <w:rFonts w:hint="eastAsia" w:ascii="宋体" w:hAnsi="宋体" w:eastAsia="宋体" w:cs="宋体"/>
                <w:bCs/>
                <w:sz w:val="24"/>
                <w:szCs w:val="24"/>
                <w:lang w:val="en-US" w:eastAsia="zh-CN"/>
              </w:rPr>
              <w:t>成员（项目负责人除外）</w:t>
            </w:r>
            <w:r>
              <w:rPr>
                <w:rFonts w:hint="eastAsia" w:ascii="宋体" w:hAnsi="宋体" w:eastAsia="宋体" w:cs="宋体"/>
                <w:bCs/>
                <w:sz w:val="24"/>
                <w:szCs w:val="24"/>
              </w:rPr>
              <w:t>，具备中级职称（或具备注册安全工程师）的每有1人得2分，最高得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p>
          <w:p w14:paraId="02901DA8">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【须</w:t>
            </w:r>
            <w:r>
              <w:rPr>
                <w:rFonts w:hint="eastAsia" w:ascii="宋体" w:hAnsi="宋体" w:eastAsia="宋体" w:cs="宋体"/>
                <w:sz w:val="24"/>
                <w:szCs w:val="24"/>
                <w:lang w:val="en-US" w:eastAsia="zh-CN"/>
              </w:rPr>
              <w:t>提供</w:t>
            </w:r>
            <w:r>
              <w:rPr>
                <w:rFonts w:hint="eastAsia" w:ascii="宋体" w:hAnsi="宋体" w:eastAsia="宋体" w:cs="宋体"/>
                <w:sz w:val="24"/>
                <w:szCs w:val="24"/>
                <w:highlight w:val="none"/>
              </w:rPr>
              <w:t>上述拟派人员相关</w:t>
            </w:r>
            <w:r>
              <w:rPr>
                <w:rFonts w:hint="eastAsia" w:ascii="宋体" w:hAnsi="宋体" w:eastAsia="宋体" w:cs="宋体"/>
                <w:sz w:val="24"/>
                <w:szCs w:val="24"/>
                <w:highlight w:val="none"/>
                <w:lang w:val="en-US" w:eastAsia="zh-CN"/>
              </w:rPr>
              <w:t>证书</w:t>
            </w:r>
            <w:r>
              <w:rPr>
                <w:rFonts w:hint="eastAsia" w:ascii="宋体" w:hAnsi="宋体" w:eastAsia="宋体" w:cs="宋体"/>
                <w:sz w:val="24"/>
                <w:szCs w:val="24"/>
                <w:highlight w:val="none"/>
              </w:rPr>
              <w:t>证明材料</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投标截止时间前</w:t>
            </w:r>
            <w:r>
              <w:rPr>
                <w:rFonts w:hint="eastAsia" w:ascii="宋体" w:hAnsi="宋体" w:eastAsia="宋体" w:cs="宋体"/>
                <w:sz w:val="24"/>
                <w:szCs w:val="24"/>
              </w:rPr>
              <w:t>3个月内</w:t>
            </w:r>
            <w:r>
              <w:rPr>
                <w:rFonts w:hint="eastAsia" w:ascii="宋体" w:hAnsi="宋体" w:eastAsia="宋体" w:cs="宋体"/>
                <w:kern w:val="0"/>
                <w:sz w:val="24"/>
                <w:szCs w:val="24"/>
              </w:rPr>
              <w:t>（任意一个月）</w:t>
            </w:r>
            <w:r>
              <w:rPr>
                <w:rFonts w:hint="eastAsia" w:ascii="宋体" w:hAnsi="宋体" w:eastAsia="宋体" w:cs="宋体"/>
                <w:kern w:val="0"/>
                <w:sz w:val="24"/>
                <w:szCs w:val="24"/>
                <w:highlight w:val="none"/>
              </w:rPr>
              <w:t>社保缴纳证明材料</w:t>
            </w:r>
            <w:r>
              <w:rPr>
                <w:rFonts w:hint="eastAsia" w:ascii="宋体" w:hAnsi="宋体" w:eastAsia="宋体" w:cs="宋体"/>
                <w:sz w:val="24"/>
                <w:szCs w:val="24"/>
                <w:highlight w:val="none"/>
              </w:rPr>
              <w:t>加盖投标人</w:t>
            </w:r>
            <w:r>
              <w:rPr>
                <w:rFonts w:hint="eastAsia" w:ascii="宋体" w:hAnsi="宋体" w:eastAsia="宋体" w:cs="宋体"/>
                <w:sz w:val="24"/>
                <w:szCs w:val="24"/>
                <w:highlight w:val="none"/>
                <w:lang w:eastAsia="zh-CN"/>
              </w:rPr>
              <w:t>公章</w:t>
            </w:r>
            <w:r>
              <w:rPr>
                <w:rFonts w:hint="eastAsia" w:ascii="宋体" w:hAnsi="宋体" w:eastAsia="宋体" w:cs="宋体"/>
                <w:sz w:val="24"/>
                <w:szCs w:val="24"/>
                <w:highlight w:val="none"/>
              </w:rPr>
              <w:t>，不提供不得分。</w:t>
            </w:r>
            <w:r>
              <w:rPr>
                <w:rFonts w:hint="eastAsia" w:ascii="宋体" w:hAnsi="宋体" w:eastAsia="宋体" w:cs="宋体"/>
                <w:sz w:val="24"/>
                <w:szCs w:val="24"/>
              </w:rPr>
              <w:t>】</w:t>
            </w:r>
          </w:p>
        </w:tc>
        <w:tc>
          <w:tcPr>
            <w:tcW w:w="825" w:type="dxa"/>
            <w:noWrap w:val="0"/>
            <w:vAlign w:val="center"/>
          </w:tcPr>
          <w:p w14:paraId="3EF9F71B">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w:t>
            </w:r>
          </w:p>
        </w:tc>
        <w:tc>
          <w:tcPr>
            <w:tcW w:w="1035" w:type="dxa"/>
            <w:noWrap w:val="0"/>
            <w:vAlign w:val="center"/>
          </w:tcPr>
          <w:p w14:paraId="06A3685B">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920" w:type="dxa"/>
            <w:vMerge w:val="continue"/>
            <w:noWrap w:val="0"/>
            <w:vAlign w:val="center"/>
          </w:tcPr>
          <w:p w14:paraId="4919F575">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p>
        </w:tc>
      </w:tr>
      <w:tr w14:paraId="5D7E7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trPr>
        <w:tc>
          <w:tcPr>
            <w:tcW w:w="826" w:type="dxa"/>
            <w:vMerge w:val="continue"/>
            <w:noWrap w:val="0"/>
            <w:vAlign w:val="center"/>
          </w:tcPr>
          <w:p w14:paraId="10C32704">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p>
        </w:tc>
        <w:tc>
          <w:tcPr>
            <w:tcW w:w="5233" w:type="dxa"/>
            <w:noWrap w:val="0"/>
            <w:vAlign w:val="center"/>
          </w:tcPr>
          <w:p w14:paraId="73F409AB">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rPr>
              <w:t>根据拟派班子</w:t>
            </w:r>
            <w:r>
              <w:rPr>
                <w:rFonts w:hint="eastAsia" w:ascii="宋体" w:hAnsi="宋体" w:eastAsia="宋体" w:cs="宋体"/>
                <w:bCs/>
                <w:sz w:val="24"/>
                <w:szCs w:val="24"/>
                <w:lang w:val="en-US" w:eastAsia="zh-CN"/>
              </w:rPr>
              <w:t>组成员（项目负责人除外）</w:t>
            </w:r>
            <w:r>
              <w:rPr>
                <w:rFonts w:hint="eastAsia" w:ascii="宋体" w:hAnsi="宋体" w:eastAsia="宋体" w:cs="宋体"/>
                <w:bCs/>
                <w:sz w:val="24"/>
                <w:szCs w:val="24"/>
              </w:rPr>
              <w:t>，具备安全培训师资证的每有1人得1分，最高得3分。</w:t>
            </w:r>
            <w:r>
              <w:rPr>
                <w:rFonts w:hint="eastAsia" w:ascii="宋体" w:hAnsi="宋体" w:eastAsia="宋体" w:cs="宋体"/>
                <w:sz w:val="24"/>
                <w:szCs w:val="24"/>
              </w:rPr>
              <w:t>【须</w:t>
            </w:r>
            <w:r>
              <w:rPr>
                <w:rFonts w:hint="eastAsia" w:ascii="宋体" w:hAnsi="宋体" w:eastAsia="宋体" w:cs="宋体"/>
                <w:sz w:val="24"/>
                <w:szCs w:val="24"/>
                <w:lang w:val="en-US" w:eastAsia="zh-CN"/>
              </w:rPr>
              <w:t>提供</w:t>
            </w:r>
            <w:r>
              <w:rPr>
                <w:rFonts w:hint="eastAsia" w:ascii="宋体" w:hAnsi="宋体" w:eastAsia="宋体" w:cs="宋体"/>
                <w:sz w:val="24"/>
                <w:szCs w:val="24"/>
                <w:highlight w:val="none"/>
              </w:rPr>
              <w:t>上述拟派人员相关</w:t>
            </w:r>
            <w:r>
              <w:rPr>
                <w:rFonts w:hint="eastAsia" w:ascii="宋体" w:hAnsi="宋体" w:eastAsia="宋体" w:cs="宋体"/>
                <w:sz w:val="24"/>
                <w:szCs w:val="24"/>
                <w:highlight w:val="none"/>
                <w:lang w:val="en-US" w:eastAsia="zh-CN"/>
              </w:rPr>
              <w:t>证书</w:t>
            </w:r>
            <w:r>
              <w:rPr>
                <w:rFonts w:hint="eastAsia" w:ascii="宋体" w:hAnsi="宋体" w:eastAsia="宋体" w:cs="宋体"/>
                <w:sz w:val="24"/>
                <w:szCs w:val="24"/>
                <w:highlight w:val="none"/>
              </w:rPr>
              <w:t>证明材料</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投标截止时间前</w:t>
            </w:r>
            <w:r>
              <w:rPr>
                <w:rFonts w:hint="eastAsia" w:ascii="宋体" w:hAnsi="宋体" w:eastAsia="宋体" w:cs="宋体"/>
                <w:sz w:val="24"/>
                <w:szCs w:val="24"/>
              </w:rPr>
              <w:t>3个月内</w:t>
            </w:r>
            <w:r>
              <w:rPr>
                <w:rFonts w:hint="eastAsia" w:ascii="宋体" w:hAnsi="宋体" w:eastAsia="宋体" w:cs="宋体"/>
                <w:kern w:val="0"/>
                <w:sz w:val="24"/>
                <w:szCs w:val="24"/>
              </w:rPr>
              <w:t>（任意一个月）</w:t>
            </w:r>
            <w:r>
              <w:rPr>
                <w:rFonts w:hint="eastAsia" w:ascii="宋体" w:hAnsi="宋体" w:eastAsia="宋体" w:cs="宋体"/>
                <w:kern w:val="0"/>
                <w:sz w:val="24"/>
                <w:szCs w:val="24"/>
                <w:highlight w:val="none"/>
              </w:rPr>
              <w:t>社保缴纳证明材料</w:t>
            </w:r>
            <w:r>
              <w:rPr>
                <w:rFonts w:hint="eastAsia" w:ascii="宋体" w:hAnsi="宋体" w:eastAsia="宋体" w:cs="宋体"/>
                <w:sz w:val="24"/>
                <w:szCs w:val="24"/>
                <w:highlight w:val="none"/>
              </w:rPr>
              <w:t>加盖投标人</w:t>
            </w:r>
            <w:r>
              <w:rPr>
                <w:rFonts w:hint="eastAsia" w:ascii="宋体" w:hAnsi="宋体" w:eastAsia="宋体" w:cs="宋体"/>
                <w:sz w:val="24"/>
                <w:szCs w:val="24"/>
                <w:highlight w:val="none"/>
                <w:lang w:eastAsia="zh-CN"/>
              </w:rPr>
              <w:t>公章</w:t>
            </w:r>
            <w:r>
              <w:rPr>
                <w:rFonts w:hint="eastAsia" w:ascii="宋体" w:hAnsi="宋体" w:eastAsia="宋体" w:cs="宋体"/>
                <w:sz w:val="24"/>
                <w:szCs w:val="24"/>
                <w:highlight w:val="none"/>
              </w:rPr>
              <w:t>，不提供不得分。</w:t>
            </w:r>
            <w:r>
              <w:rPr>
                <w:rFonts w:hint="eastAsia" w:ascii="宋体" w:hAnsi="宋体" w:eastAsia="宋体" w:cs="宋体"/>
                <w:sz w:val="24"/>
                <w:szCs w:val="24"/>
              </w:rPr>
              <w:t>】</w:t>
            </w:r>
          </w:p>
        </w:tc>
        <w:tc>
          <w:tcPr>
            <w:tcW w:w="825" w:type="dxa"/>
            <w:noWrap w:val="0"/>
            <w:vAlign w:val="center"/>
          </w:tcPr>
          <w:p w14:paraId="5EEA4A32">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w:t>
            </w:r>
          </w:p>
        </w:tc>
        <w:tc>
          <w:tcPr>
            <w:tcW w:w="1035" w:type="dxa"/>
            <w:noWrap w:val="0"/>
            <w:vAlign w:val="center"/>
          </w:tcPr>
          <w:p w14:paraId="152A77CE">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bCs/>
                <w:color w:val="auto"/>
                <w:sz w:val="24"/>
                <w:szCs w:val="24"/>
                <w:highlight w:val="none"/>
              </w:rPr>
              <w:t>客观</w:t>
            </w:r>
            <w:r>
              <w:rPr>
                <w:rFonts w:hint="eastAsia" w:ascii="宋体" w:hAnsi="宋体" w:eastAsia="宋体" w:cs="宋体"/>
                <w:bCs/>
                <w:color w:val="auto"/>
                <w:sz w:val="24"/>
                <w:szCs w:val="24"/>
                <w:highlight w:val="none"/>
                <w:lang w:val="en-US" w:eastAsia="zh-CN"/>
              </w:rPr>
              <w:t>分</w:t>
            </w:r>
          </w:p>
        </w:tc>
        <w:tc>
          <w:tcPr>
            <w:tcW w:w="1920" w:type="dxa"/>
            <w:vMerge w:val="continue"/>
            <w:noWrap w:val="0"/>
            <w:vAlign w:val="center"/>
          </w:tcPr>
          <w:p w14:paraId="067D6EC5">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p>
        </w:tc>
      </w:tr>
      <w:tr w14:paraId="3DD24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trPr>
        <w:tc>
          <w:tcPr>
            <w:tcW w:w="826" w:type="dxa"/>
            <w:noWrap w:val="0"/>
            <w:vAlign w:val="center"/>
          </w:tcPr>
          <w:p w14:paraId="395CB25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5233" w:type="dxa"/>
            <w:noWrap w:val="0"/>
            <w:vAlign w:val="center"/>
          </w:tcPr>
          <w:p w14:paraId="72930007">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投标方案与需求的吻合程度以及方案的优势情况，整体服务方案对项目理解（企业风险及管控措施）是否到位、服务体系是否合理、措施步骤衔接连贯、岗位安排合理、具有操作。性充分理解，得4-</w:t>
            </w:r>
            <w:r>
              <w:rPr>
                <w:rFonts w:hint="eastAsia" w:ascii="宋体" w:hAnsi="宋体" w:eastAsia="宋体" w:cs="宋体"/>
                <w:sz w:val="24"/>
                <w:szCs w:val="24"/>
                <w:lang w:val="en-US" w:eastAsia="zh-CN"/>
              </w:rPr>
              <w:t>6</w:t>
            </w:r>
            <w:r>
              <w:rPr>
                <w:rFonts w:hint="eastAsia" w:ascii="宋体" w:hAnsi="宋体" w:eastAsia="宋体" w:cs="宋体"/>
                <w:sz w:val="24"/>
                <w:szCs w:val="24"/>
              </w:rPr>
              <w:t>分；部分理解，得</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3.9</w:t>
            </w:r>
            <w:r>
              <w:rPr>
                <w:rFonts w:hint="eastAsia" w:ascii="宋体" w:hAnsi="宋体" w:eastAsia="宋体" w:cs="宋体"/>
                <w:sz w:val="24"/>
                <w:szCs w:val="24"/>
              </w:rPr>
              <w:t>分；理解一般，得0-1</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825" w:type="dxa"/>
            <w:noWrap w:val="0"/>
            <w:vAlign w:val="center"/>
          </w:tcPr>
          <w:p w14:paraId="75F97C95">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w:t>
            </w:r>
          </w:p>
        </w:tc>
        <w:tc>
          <w:tcPr>
            <w:tcW w:w="1035" w:type="dxa"/>
            <w:noWrap w:val="0"/>
            <w:vAlign w:val="center"/>
          </w:tcPr>
          <w:p w14:paraId="55578E9A">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0BFCEA2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组织实施、技术服务方案</w:t>
            </w:r>
          </w:p>
        </w:tc>
      </w:tr>
      <w:tr w14:paraId="786DF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826" w:type="dxa"/>
            <w:vMerge w:val="restart"/>
            <w:noWrap w:val="0"/>
            <w:vAlign w:val="center"/>
          </w:tcPr>
          <w:p w14:paraId="0A8C5A07">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5233" w:type="dxa"/>
            <w:noWrap w:val="0"/>
            <w:vAlign w:val="center"/>
          </w:tcPr>
          <w:p w14:paraId="03DE4602">
            <w:pPr>
              <w:keepNext w:val="0"/>
              <w:keepLines w:val="0"/>
              <w:pageBreakBefore w:val="0"/>
              <w:kinsoku/>
              <w:wordWrap/>
              <w:overflowPunct/>
              <w:topLinePunct w:val="0"/>
              <w:autoSpaceDE/>
              <w:autoSpaceDN/>
              <w:bidi w:val="0"/>
              <w:adjustRightInd/>
              <w:spacing w:beforeLines="0" w:line="360" w:lineRule="auto"/>
              <w:outlineLvl w:val="0"/>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投标人针对本项目需求提供对辖区内企业检查服务的服务方案；根据方案内容是否点对点对应与响应，全面、无遗漏，并在采购要求基础上有延伸、细化服务。定位准确、方案详尽到位，得4-6分；定位得当、方案较为合理，得2-</w:t>
            </w:r>
            <w:r>
              <w:rPr>
                <w:rFonts w:hint="eastAsia" w:ascii="宋体" w:hAnsi="宋体" w:eastAsia="宋体" w:cs="宋体"/>
                <w:sz w:val="24"/>
                <w:szCs w:val="24"/>
                <w:lang w:val="en-US" w:eastAsia="zh-CN"/>
              </w:rPr>
              <w:t>3.9</w:t>
            </w:r>
            <w:r>
              <w:rPr>
                <w:rFonts w:hint="eastAsia" w:ascii="宋体" w:hAnsi="宋体" w:eastAsia="宋体" w:cs="宋体"/>
                <w:sz w:val="24"/>
                <w:szCs w:val="24"/>
              </w:rPr>
              <w:t>分；定位精度一般、方案笼统，得0-</w:t>
            </w:r>
            <w:r>
              <w:rPr>
                <w:rFonts w:hint="eastAsia" w:ascii="宋体" w:hAnsi="宋体" w:eastAsia="宋体" w:cs="宋体"/>
                <w:sz w:val="24"/>
                <w:szCs w:val="24"/>
                <w:lang w:val="en-US" w:eastAsia="zh-CN"/>
              </w:rPr>
              <w:t>1.9</w:t>
            </w:r>
            <w:r>
              <w:rPr>
                <w:rFonts w:hint="eastAsia" w:ascii="宋体" w:hAnsi="宋体" w:eastAsia="宋体" w:cs="宋体"/>
                <w:sz w:val="24"/>
                <w:szCs w:val="24"/>
              </w:rPr>
              <w:t>分。</w:t>
            </w:r>
          </w:p>
        </w:tc>
        <w:tc>
          <w:tcPr>
            <w:tcW w:w="825" w:type="dxa"/>
            <w:noWrap w:val="0"/>
            <w:vAlign w:val="center"/>
          </w:tcPr>
          <w:p w14:paraId="32408C65">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w:t>
            </w:r>
          </w:p>
        </w:tc>
        <w:tc>
          <w:tcPr>
            <w:tcW w:w="1035" w:type="dxa"/>
            <w:noWrap w:val="0"/>
            <w:vAlign w:val="center"/>
          </w:tcPr>
          <w:p w14:paraId="1DB6021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vMerge w:val="restart"/>
            <w:noWrap w:val="0"/>
            <w:vAlign w:val="center"/>
          </w:tcPr>
          <w:p w14:paraId="53E855A3">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整体实施方案</w:t>
            </w:r>
          </w:p>
        </w:tc>
      </w:tr>
      <w:tr w14:paraId="12EDD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826" w:type="dxa"/>
            <w:vMerge w:val="continue"/>
            <w:noWrap w:val="0"/>
            <w:vAlign w:val="center"/>
          </w:tcPr>
          <w:p w14:paraId="3149E05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p>
        </w:tc>
        <w:tc>
          <w:tcPr>
            <w:tcW w:w="5233" w:type="dxa"/>
            <w:noWrap w:val="0"/>
            <w:vAlign w:val="center"/>
          </w:tcPr>
          <w:p w14:paraId="53A170D9">
            <w:pPr>
              <w:pStyle w:val="10"/>
              <w:keepNext w:val="0"/>
              <w:keepLines w:val="0"/>
              <w:pageBreakBefore w:val="0"/>
              <w:numPr>
                <w:ilvl w:val="0"/>
                <w:numId w:val="0"/>
              </w:numPr>
              <w:kinsoku/>
              <w:wordWrap/>
              <w:overflowPunct/>
              <w:topLinePunct w:val="0"/>
              <w:autoSpaceDE/>
              <w:autoSpaceDN/>
              <w:bidi w:val="0"/>
              <w:spacing w:beforeLines="0" w:after="0"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投标人针对本项目需求</w:t>
            </w:r>
            <w:r>
              <w:rPr>
                <w:rFonts w:hint="eastAsia" w:ascii="宋体" w:hAnsi="宋体" w:eastAsia="宋体" w:cs="宋体"/>
                <w:sz w:val="24"/>
                <w:szCs w:val="24"/>
                <w:lang w:val="en-US" w:eastAsia="zh-CN"/>
              </w:rPr>
              <w:t>提供</w:t>
            </w:r>
            <w:r>
              <w:rPr>
                <w:rFonts w:hint="eastAsia" w:ascii="宋体" w:hAnsi="宋体" w:eastAsia="宋体" w:cs="宋体"/>
                <w:color w:val="auto"/>
                <w:kern w:val="2"/>
                <w:sz w:val="24"/>
                <w:szCs w:val="24"/>
                <w:lang w:val="en-US" w:eastAsia="zh-CN" w:bidi="ar-SA"/>
              </w:rPr>
              <w:t>对所有经营性民宿开展全面检查。</w:t>
            </w:r>
            <w:r>
              <w:rPr>
                <w:rFonts w:hint="eastAsia" w:ascii="宋体" w:hAnsi="宋体" w:eastAsia="宋体" w:cs="宋体"/>
                <w:sz w:val="24"/>
                <w:szCs w:val="24"/>
              </w:rPr>
              <w:t>根据方案内容是否点对点对应与响应，全面、无遗漏，并在采购要求基础上有延伸、细化服务。定位准确、方案详尽到位，得4-</w:t>
            </w:r>
            <w:r>
              <w:rPr>
                <w:rFonts w:hint="eastAsia" w:ascii="宋体" w:hAnsi="宋体" w:eastAsia="宋体" w:cs="宋体"/>
                <w:sz w:val="24"/>
                <w:szCs w:val="24"/>
                <w:lang w:val="en-US" w:eastAsia="zh-CN"/>
              </w:rPr>
              <w:t>5</w:t>
            </w:r>
            <w:r>
              <w:rPr>
                <w:rFonts w:hint="eastAsia" w:ascii="宋体" w:hAnsi="宋体" w:eastAsia="宋体" w:cs="宋体"/>
                <w:sz w:val="24"/>
                <w:szCs w:val="24"/>
              </w:rPr>
              <w:t>分；定位得当、方案较为合理，得2-</w:t>
            </w:r>
            <w:r>
              <w:rPr>
                <w:rFonts w:hint="eastAsia" w:ascii="宋体" w:hAnsi="宋体" w:eastAsia="宋体" w:cs="宋体"/>
                <w:sz w:val="24"/>
                <w:szCs w:val="24"/>
                <w:lang w:val="en-US" w:eastAsia="zh-CN"/>
              </w:rPr>
              <w:t>3.9</w:t>
            </w:r>
            <w:r>
              <w:rPr>
                <w:rFonts w:hint="eastAsia" w:ascii="宋体" w:hAnsi="宋体" w:eastAsia="宋体" w:cs="宋体"/>
                <w:sz w:val="24"/>
                <w:szCs w:val="24"/>
              </w:rPr>
              <w:t>分；定位精度一般、方案笼统，得0-</w:t>
            </w:r>
            <w:r>
              <w:rPr>
                <w:rFonts w:hint="eastAsia" w:ascii="宋体" w:hAnsi="宋体" w:eastAsia="宋体" w:cs="宋体"/>
                <w:sz w:val="24"/>
                <w:szCs w:val="24"/>
                <w:lang w:val="en-US" w:eastAsia="zh-CN"/>
              </w:rPr>
              <w:t>1.9</w:t>
            </w:r>
            <w:r>
              <w:rPr>
                <w:rFonts w:hint="eastAsia" w:ascii="宋体" w:hAnsi="宋体" w:eastAsia="宋体" w:cs="宋体"/>
                <w:sz w:val="24"/>
                <w:szCs w:val="24"/>
              </w:rPr>
              <w:t>分。</w:t>
            </w:r>
          </w:p>
          <w:p w14:paraId="099D9F5B">
            <w:pPr>
              <w:keepNext w:val="0"/>
              <w:keepLines w:val="0"/>
              <w:pageBreakBefore w:val="0"/>
              <w:kinsoku/>
              <w:wordWrap/>
              <w:overflowPunct/>
              <w:topLinePunct w:val="0"/>
              <w:autoSpaceDE/>
              <w:autoSpaceDN/>
              <w:bidi w:val="0"/>
              <w:adjustRightInd/>
              <w:spacing w:beforeLines="0" w:line="360" w:lineRule="auto"/>
              <w:outlineLvl w:val="0"/>
              <w:rPr>
                <w:rFonts w:hint="eastAsia" w:ascii="宋体" w:hAnsi="宋体" w:eastAsia="宋体" w:cs="宋体"/>
                <w:sz w:val="24"/>
                <w:szCs w:val="24"/>
              </w:rPr>
            </w:pPr>
          </w:p>
        </w:tc>
        <w:tc>
          <w:tcPr>
            <w:tcW w:w="825" w:type="dxa"/>
            <w:noWrap w:val="0"/>
            <w:vAlign w:val="center"/>
          </w:tcPr>
          <w:p w14:paraId="3E04074E">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1035" w:type="dxa"/>
            <w:noWrap w:val="0"/>
            <w:vAlign w:val="center"/>
          </w:tcPr>
          <w:p w14:paraId="0BC5C253">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vMerge w:val="continue"/>
            <w:noWrap w:val="0"/>
            <w:vAlign w:val="center"/>
          </w:tcPr>
          <w:p w14:paraId="734389A1">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sz w:val="24"/>
                <w:szCs w:val="24"/>
              </w:rPr>
            </w:pPr>
          </w:p>
        </w:tc>
      </w:tr>
      <w:tr w14:paraId="0D5D9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826" w:type="dxa"/>
            <w:vMerge w:val="continue"/>
            <w:noWrap w:val="0"/>
            <w:vAlign w:val="center"/>
          </w:tcPr>
          <w:p w14:paraId="72C6474E">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sz w:val="24"/>
                <w:szCs w:val="24"/>
                <w:lang w:eastAsia="zh-CN"/>
              </w:rPr>
            </w:pPr>
          </w:p>
        </w:tc>
        <w:tc>
          <w:tcPr>
            <w:tcW w:w="5233" w:type="dxa"/>
            <w:noWrap w:val="0"/>
            <w:vAlign w:val="center"/>
          </w:tcPr>
          <w:p w14:paraId="7FF61C44">
            <w:pPr>
              <w:keepNext w:val="0"/>
              <w:keepLines w:val="0"/>
              <w:pageBreakBefore w:val="0"/>
              <w:kinsoku/>
              <w:wordWrap/>
              <w:overflowPunct/>
              <w:topLinePunct w:val="0"/>
              <w:autoSpaceDE/>
              <w:autoSpaceDN/>
              <w:bidi w:val="0"/>
              <w:adjustRightInd/>
              <w:spacing w:beforeLines="0" w:line="360" w:lineRule="auto"/>
              <w:outlineLvl w:val="0"/>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投标人针对本项目需求提供对</w:t>
            </w:r>
            <w:r>
              <w:rPr>
                <w:rFonts w:hint="eastAsia" w:ascii="宋体" w:hAnsi="宋体" w:eastAsia="宋体" w:cs="宋体"/>
                <w:sz w:val="24"/>
                <w:szCs w:val="24"/>
                <w:lang w:val="en-US" w:eastAsia="zh-CN"/>
              </w:rPr>
              <w:t>全镇所有九小场，开展消防安全、周边辅助设施等安全检查</w:t>
            </w:r>
            <w:r>
              <w:rPr>
                <w:rFonts w:hint="eastAsia" w:ascii="宋体" w:hAnsi="宋体" w:eastAsia="宋体" w:cs="宋体"/>
                <w:sz w:val="24"/>
                <w:szCs w:val="24"/>
              </w:rPr>
              <w:t>的服务方案，根据内容是否点对点对应与响应，全面、无遗漏，并在采购要求基础上有延伸、细化服务。定位准确、方案详尽到位，得4-</w:t>
            </w:r>
            <w:r>
              <w:rPr>
                <w:rFonts w:hint="eastAsia" w:ascii="宋体" w:hAnsi="宋体" w:eastAsia="宋体" w:cs="宋体"/>
                <w:sz w:val="24"/>
                <w:szCs w:val="24"/>
                <w:lang w:val="en-US" w:eastAsia="zh-CN"/>
              </w:rPr>
              <w:t>5</w:t>
            </w:r>
            <w:r>
              <w:rPr>
                <w:rFonts w:hint="eastAsia" w:ascii="宋体" w:hAnsi="宋体" w:eastAsia="宋体" w:cs="宋体"/>
                <w:sz w:val="24"/>
                <w:szCs w:val="24"/>
              </w:rPr>
              <w:t>分；定位得当、方案较为合理，得2-</w:t>
            </w:r>
            <w:r>
              <w:rPr>
                <w:rFonts w:hint="eastAsia" w:ascii="宋体" w:hAnsi="宋体" w:eastAsia="宋体" w:cs="宋体"/>
                <w:sz w:val="24"/>
                <w:szCs w:val="24"/>
                <w:lang w:val="en-US" w:eastAsia="zh-CN"/>
              </w:rPr>
              <w:t>3.9</w:t>
            </w:r>
            <w:r>
              <w:rPr>
                <w:rFonts w:hint="eastAsia" w:ascii="宋体" w:hAnsi="宋体" w:eastAsia="宋体" w:cs="宋体"/>
                <w:sz w:val="24"/>
                <w:szCs w:val="24"/>
              </w:rPr>
              <w:t>分；定位精度一般、方案笼统，得0-</w:t>
            </w:r>
            <w:r>
              <w:rPr>
                <w:rFonts w:hint="eastAsia" w:ascii="宋体" w:hAnsi="宋体" w:eastAsia="宋体" w:cs="宋体"/>
                <w:sz w:val="24"/>
                <w:szCs w:val="24"/>
                <w:lang w:val="en-US" w:eastAsia="zh-CN"/>
              </w:rPr>
              <w:t>1.9</w:t>
            </w:r>
            <w:r>
              <w:rPr>
                <w:rFonts w:hint="eastAsia" w:ascii="宋体" w:hAnsi="宋体" w:eastAsia="宋体" w:cs="宋体"/>
                <w:sz w:val="24"/>
                <w:szCs w:val="24"/>
              </w:rPr>
              <w:t>分。</w:t>
            </w:r>
          </w:p>
        </w:tc>
        <w:tc>
          <w:tcPr>
            <w:tcW w:w="825" w:type="dxa"/>
            <w:noWrap w:val="0"/>
            <w:vAlign w:val="center"/>
          </w:tcPr>
          <w:p w14:paraId="4CF321A0">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w:t>
            </w:r>
          </w:p>
        </w:tc>
        <w:tc>
          <w:tcPr>
            <w:tcW w:w="1035" w:type="dxa"/>
            <w:noWrap w:val="0"/>
            <w:vAlign w:val="center"/>
          </w:tcPr>
          <w:p w14:paraId="7BCD4892">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vMerge w:val="continue"/>
            <w:noWrap w:val="0"/>
            <w:vAlign w:val="center"/>
          </w:tcPr>
          <w:p w14:paraId="5F15725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p>
        </w:tc>
      </w:tr>
      <w:tr w14:paraId="3C0BA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26" w:type="dxa"/>
            <w:vMerge w:val="continue"/>
            <w:noWrap w:val="0"/>
            <w:vAlign w:val="center"/>
          </w:tcPr>
          <w:p w14:paraId="78C4D1D6">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sz w:val="24"/>
                <w:szCs w:val="24"/>
                <w:lang w:val="en-US" w:eastAsia="zh-CN"/>
              </w:rPr>
            </w:pPr>
          </w:p>
        </w:tc>
        <w:tc>
          <w:tcPr>
            <w:tcW w:w="5233" w:type="dxa"/>
            <w:noWrap w:val="0"/>
            <w:vAlign w:val="center"/>
          </w:tcPr>
          <w:p w14:paraId="246A3E12">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投标人针对本项目需求提供对高风险企业的检查跟踪服务方案，根据方案内容是否点对点对应与响应，全面、无遗漏，并在采购要求基础上有延伸、细化服务。定位准确、方案详尽到位，得4-</w:t>
            </w:r>
            <w:r>
              <w:rPr>
                <w:rFonts w:hint="eastAsia" w:ascii="宋体" w:hAnsi="宋体" w:eastAsia="宋体" w:cs="宋体"/>
                <w:sz w:val="24"/>
                <w:szCs w:val="24"/>
                <w:lang w:val="en-US" w:eastAsia="zh-CN"/>
              </w:rPr>
              <w:t>5</w:t>
            </w:r>
            <w:r>
              <w:rPr>
                <w:rFonts w:hint="eastAsia" w:ascii="宋体" w:hAnsi="宋体" w:eastAsia="宋体" w:cs="宋体"/>
                <w:sz w:val="24"/>
                <w:szCs w:val="24"/>
              </w:rPr>
              <w:t>分；定位得当、方案较为合理，得2-</w:t>
            </w:r>
            <w:r>
              <w:rPr>
                <w:rFonts w:hint="eastAsia" w:ascii="宋体" w:hAnsi="宋体" w:eastAsia="宋体" w:cs="宋体"/>
                <w:sz w:val="24"/>
                <w:szCs w:val="24"/>
                <w:lang w:val="en-US" w:eastAsia="zh-CN"/>
              </w:rPr>
              <w:t>3.9</w:t>
            </w:r>
            <w:r>
              <w:rPr>
                <w:rFonts w:hint="eastAsia" w:ascii="宋体" w:hAnsi="宋体" w:eastAsia="宋体" w:cs="宋体"/>
                <w:sz w:val="24"/>
                <w:szCs w:val="24"/>
              </w:rPr>
              <w:t>分；定位精度一般、方案笼统，得0-</w:t>
            </w:r>
            <w:r>
              <w:rPr>
                <w:rFonts w:hint="eastAsia" w:ascii="宋体" w:hAnsi="宋体" w:eastAsia="宋体" w:cs="宋体"/>
                <w:sz w:val="24"/>
                <w:szCs w:val="24"/>
                <w:lang w:val="en-US" w:eastAsia="zh-CN"/>
              </w:rPr>
              <w:t>1.9</w:t>
            </w:r>
            <w:r>
              <w:rPr>
                <w:rFonts w:hint="eastAsia" w:ascii="宋体" w:hAnsi="宋体" w:eastAsia="宋体" w:cs="宋体"/>
                <w:sz w:val="24"/>
                <w:szCs w:val="24"/>
              </w:rPr>
              <w:t>分。</w:t>
            </w:r>
          </w:p>
        </w:tc>
        <w:tc>
          <w:tcPr>
            <w:tcW w:w="825" w:type="dxa"/>
            <w:noWrap w:val="0"/>
            <w:vAlign w:val="center"/>
          </w:tcPr>
          <w:p w14:paraId="57EB7272">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w:t>
            </w:r>
          </w:p>
        </w:tc>
        <w:tc>
          <w:tcPr>
            <w:tcW w:w="1035" w:type="dxa"/>
            <w:noWrap w:val="0"/>
            <w:vAlign w:val="center"/>
          </w:tcPr>
          <w:p w14:paraId="56FCD88E">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vMerge w:val="continue"/>
            <w:noWrap w:val="0"/>
            <w:vAlign w:val="center"/>
          </w:tcPr>
          <w:p w14:paraId="1D17B2D7">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p>
        </w:tc>
      </w:tr>
      <w:tr w14:paraId="0D81D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26" w:type="dxa"/>
            <w:vMerge w:val="continue"/>
            <w:noWrap w:val="0"/>
            <w:vAlign w:val="center"/>
          </w:tcPr>
          <w:p w14:paraId="678D338F">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sz w:val="24"/>
                <w:szCs w:val="24"/>
                <w:lang w:val="en-US" w:eastAsia="zh-CN"/>
              </w:rPr>
            </w:pPr>
          </w:p>
        </w:tc>
        <w:tc>
          <w:tcPr>
            <w:tcW w:w="5233" w:type="dxa"/>
            <w:noWrap w:val="0"/>
            <w:vAlign w:val="center"/>
          </w:tcPr>
          <w:p w14:paraId="18568138">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投标人针对本项目需求提供对企业提供安全生产知识培训或应急演练活动的实施方案，根据方案内容是否点对点对应与响应，全面、无遗漏，并在采购要求基础上有延伸、细化服务。定位准确、方案详尽到位，得4-</w:t>
            </w:r>
            <w:r>
              <w:rPr>
                <w:rFonts w:hint="eastAsia" w:ascii="宋体" w:hAnsi="宋体" w:eastAsia="宋体" w:cs="宋体"/>
                <w:sz w:val="24"/>
                <w:szCs w:val="24"/>
                <w:lang w:val="en-US" w:eastAsia="zh-CN"/>
              </w:rPr>
              <w:t>5</w:t>
            </w:r>
            <w:r>
              <w:rPr>
                <w:rFonts w:hint="eastAsia" w:ascii="宋体" w:hAnsi="宋体" w:eastAsia="宋体" w:cs="宋体"/>
                <w:sz w:val="24"/>
                <w:szCs w:val="24"/>
              </w:rPr>
              <w:t>分；定位得当、方案较为合理，得2-</w:t>
            </w:r>
            <w:r>
              <w:rPr>
                <w:rFonts w:hint="eastAsia" w:ascii="宋体" w:hAnsi="宋体" w:eastAsia="宋体" w:cs="宋体"/>
                <w:sz w:val="24"/>
                <w:szCs w:val="24"/>
                <w:lang w:val="en-US" w:eastAsia="zh-CN"/>
              </w:rPr>
              <w:t>3.9</w:t>
            </w:r>
            <w:r>
              <w:rPr>
                <w:rFonts w:hint="eastAsia" w:ascii="宋体" w:hAnsi="宋体" w:eastAsia="宋体" w:cs="宋体"/>
                <w:sz w:val="24"/>
                <w:szCs w:val="24"/>
              </w:rPr>
              <w:t>分；定位精度一般、方案笼统，得0-</w:t>
            </w:r>
            <w:r>
              <w:rPr>
                <w:rFonts w:hint="eastAsia" w:ascii="宋体" w:hAnsi="宋体" w:eastAsia="宋体" w:cs="宋体"/>
                <w:sz w:val="24"/>
                <w:szCs w:val="24"/>
                <w:lang w:val="en-US" w:eastAsia="zh-CN"/>
              </w:rPr>
              <w:t>1.9</w:t>
            </w:r>
            <w:r>
              <w:rPr>
                <w:rFonts w:hint="eastAsia" w:ascii="宋体" w:hAnsi="宋体" w:eastAsia="宋体" w:cs="宋体"/>
                <w:sz w:val="24"/>
                <w:szCs w:val="24"/>
              </w:rPr>
              <w:t>分。</w:t>
            </w:r>
          </w:p>
        </w:tc>
        <w:tc>
          <w:tcPr>
            <w:tcW w:w="825" w:type="dxa"/>
            <w:noWrap w:val="0"/>
            <w:vAlign w:val="center"/>
          </w:tcPr>
          <w:p w14:paraId="2E9F3785">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035" w:type="dxa"/>
            <w:noWrap w:val="0"/>
            <w:vAlign w:val="center"/>
          </w:tcPr>
          <w:p w14:paraId="0A7C10B1">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vMerge w:val="continue"/>
            <w:noWrap w:val="0"/>
            <w:vAlign w:val="center"/>
          </w:tcPr>
          <w:p w14:paraId="329FDCF7">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rPr>
            </w:pPr>
          </w:p>
        </w:tc>
      </w:tr>
      <w:tr w14:paraId="449E8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26" w:type="dxa"/>
            <w:vMerge w:val="continue"/>
            <w:noWrap w:val="0"/>
            <w:vAlign w:val="center"/>
          </w:tcPr>
          <w:p w14:paraId="7B888F5F">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sz w:val="24"/>
                <w:szCs w:val="24"/>
                <w:lang w:val="en-US" w:eastAsia="zh-CN"/>
              </w:rPr>
            </w:pPr>
          </w:p>
        </w:tc>
        <w:tc>
          <w:tcPr>
            <w:tcW w:w="5233" w:type="dxa"/>
            <w:noWrap w:val="0"/>
            <w:vAlign w:val="center"/>
          </w:tcPr>
          <w:p w14:paraId="565501F2">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sz w:val="24"/>
                <w:szCs w:val="24"/>
              </w:rPr>
            </w:pPr>
            <w:r>
              <w:rPr>
                <w:rFonts w:hint="eastAsia" w:ascii="宋体" w:hAnsi="宋体" w:eastAsia="宋体" w:cs="宋体"/>
                <w:sz w:val="24"/>
                <w:szCs w:val="24"/>
              </w:rPr>
              <w:t>投标人针对本项目需求提供固定日驻镇开发其他临时安全生产专项检查的咨询服务方案，根据方案内容是否点对点对应与响应，全面、无遗漏，并在采购要求基础上有延伸、细化服务。定位准确、方案详尽到位，得4-</w:t>
            </w:r>
            <w:r>
              <w:rPr>
                <w:rFonts w:hint="eastAsia" w:ascii="宋体" w:hAnsi="宋体" w:eastAsia="宋体" w:cs="宋体"/>
                <w:sz w:val="24"/>
                <w:szCs w:val="24"/>
                <w:lang w:val="en-US" w:eastAsia="zh-CN"/>
              </w:rPr>
              <w:t>5</w:t>
            </w:r>
            <w:r>
              <w:rPr>
                <w:rFonts w:hint="eastAsia" w:ascii="宋体" w:hAnsi="宋体" w:eastAsia="宋体" w:cs="宋体"/>
                <w:sz w:val="24"/>
                <w:szCs w:val="24"/>
              </w:rPr>
              <w:t>分；定位得当、方案较为合理，得2-</w:t>
            </w:r>
            <w:r>
              <w:rPr>
                <w:rFonts w:hint="eastAsia" w:ascii="宋体" w:hAnsi="宋体" w:eastAsia="宋体" w:cs="宋体"/>
                <w:sz w:val="24"/>
                <w:szCs w:val="24"/>
                <w:lang w:val="en-US" w:eastAsia="zh-CN"/>
              </w:rPr>
              <w:t>3.9</w:t>
            </w:r>
            <w:r>
              <w:rPr>
                <w:rFonts w:hint="eastAsia" w:ascii="宋体" w:hAnsi="宋体" w:eastAsia="宋体" w:cs="宋体"/>
                <w:sz w:val="24"/>
                <w:szCs w:val="24"/>
              </w:rPr>
              <w:t>分；定位精度一般、方案笼统，得0-</w:t>
            </w:r>
            <w:r>
              <w:rPr>
                <w:rFonts w:hint="eastAsia" w:ascii="宋体" w:hAnsi="宋体" w:eastAsia="宋体" w:cs="宋体"/>
                <w:sz w:val="24"/>
                <w:szCs w:val="24"/>
                <w:lang w:val="en-US" w:eastAsia="zh-CN"/>
              </w:rPr>
              <w:t>1.9</w:t>
            </w:r>
            <w:r>
              <w:rPr>
                <w:rFonts w:hint="eastAsia" w:ascii="宋体" w:hAnsi="宋体" w:eastAsia="宋体" w:cs="宋体"/>
                <w:sz w:val="24"/>
                <w:szCs w:val="24"/>
              </w:rPr>
              <w:t>分。</w:t>
            </w:r>
          </w:p>
        </w:tc>
        <w:tc>
          <w:tcPr>
            <w:tcW w:w="825" w:type="dxa"/>
            <w:noWrap w:val="0"/>
            <w:vAlign w:val="center"/>
          </w:tcPr>
          <w:p w14:paraId="074ED4B1">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035" w:type="dxa"/>
            <w:noWrap w:val="0"/>
            <w:vAlign w:val="center"/>
          </w:tcPr>
          <w:p w14:paraId="7256CA3A">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vMerge w:val="continue"/>
            <w:noWrap w:val="0"/>
            <w:vAlign w:val="center"/>
          </w:tcPr>
          <w:p w14:paraId="28389E6A">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rPr>
            </w:pPr>
          </w:p>
        </w:tc>
      </w:tr>
      <w:tr w14:paraId="5DF9F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26" w:type="dxa"/>
            <w:vMerge w:val="continue"/>
            <w:noWrap w:val="0"/>
            <w:vAlign w:val="center"/>
          </w:tcPr>
          <w:p w14:paraId="2DE4A1A0">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sz w:val="24"/>
                <w:szCs w:val="24"/>
                <w:lang w:val="en-US" w:eastAsia="zh-CN"/>
              </w:rPr>
            </w:pPr>
          </w:p>
        </w:tc>
        <w:tc>
          <w:tcPr>
            <w:tcW w:w="5233" w:type="dxa"/>
            <w:noWrap w:val="0"/>
            <w:vAlign w:val="center"/>
          </w:tcPr>
          <w:p w14:paraId="12F44E0E">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sz w:val="24"/>
                <w:szCs w:val="24"/>
              </w:rPr>
            </w:pPr>
            <w:r>
              <w:rPr>
                <w:rFonts w:hint="eastAsia" w:ascii="宋体" w:hAnsi="宋体" w:eastAsia="宋体" w:cs="宋体"/>
                <w:sz w:val="24"/>
                <w:szCs w:val="24"/>
              </w:rPr>
              <w:t>投标人根据项目需求对企业风险普查核验及政企“工业在线”各类网上平台维护和操作的服务方案，根据方案内容是否点对点对应与响应，全面、无遗漏，并在采购要求基础上有延伸、细化服务。定位准确、方案详尽到位，得4-</w:t>
            </w:r>
            <w:r>
              <w:rPr>
                <w:rFonts w:hint="eastAsia" w:ascii="宋体" w:hAnsi="宋体" w:eastAsia="宋体" w:cs="宋体"/>
                <w:sz w:val="24"/>
                <w:szCs w:val="24"/>
                <w:lang w:val="en-US" w:eastAsia="zh-CN"/>
              </w:rPr>
              <w:t>5</w:t>
            </w:r>
            <w:r>
              <w:rPr>
                <w:rFonts w:hint="eastAsia" w:ascii="宋体" w:hAnsi="宋体" w:eastAsia="宋体" w:cs="宋体"/>
                <w:sz w:val="24"/>
                <w:szCs w:val="24"/>
              </w:rPr>
              <w:t>分；定位得当、方案较为合理，得2-</w:t>
            </w:r>
            <w:r>
              <w:rPr>
                <w:rFonts w:hint="eastAsia" w:ascii="宋体" w:hAnsi="宋体" w:eastAsia="宋体" w:cs="宋体"/>
                <w:sz w:val="24"/>
                <w:szCs w:val="24"/>
                <w:lang w:val="en-US" w:eastAsia="zh-CN"/>
              </w:rPr>
              <w:t>3.9</w:t>
            </w:r>
            <w:r>
              <w:rPr>
                <w:rFonts w:hint="eastAsia" w:ascii="宋体" w:hAnsi="宋体" w:eastAsia="宋体" w:cs="宋体"/>
                <w:sz w:val="24"/>
                <w:szCs w:val="24"/>
              </w:rPr>
              <w:t>分；定位精度一般、方案笼统，得0-</w:t>
            </w:r>
            <w:r>
              <w:rPr>
                <w:rFonts w:hint="eastAsia" w:ascii="宋体" w:hAnsi="宋体" w:eastAsia="宋体" w:cs="宋体"/>
                <w:sz w:val="24"/>
                <w:szCs w:val="24"/>
                <w:lang w:val="en-US" w:eastAsia="zh-CN"/>
              </w:rPr>
              <w:t>1.9</w:t>
            </w:r>
            <w:r>
              <w:rPr>
                <w:rFonts w:hint="eastAsia" w:ascii="宋体" w:hAnsi="宋体" w:eastAsia="宋体" w:cs="宋体"/>
                <w:sz w:val="24"/>
                <w:szCs w:val="24"/>
              </w:rPr>
              <w:t>分。</w:t>
            </w:r>
          </w:p>
        </w:tc>
        <w:tc>
          <w:tcPr>
            <w:tcW w:w="825" w:type="dxa"/>
            <w:noWrap w:val="0"/>
            <w:vAlign w:val="center"/>
          </w:tcPr>
          <w:p w14:paraId="7FB9A8AA">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035" w:type="dxa"/>
            <w:noWrap w:val="0"/>
            <w:vAlign w:val="center"/>
          </w:tcPr>
          <w:p w14:paraId="37B50E6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vMerge w:val="continue"/>
            <w:noWrap w:val="0"/>
            <w:vAlign w:val="center"/>
          </w:tcPr>
          <w:p w14:paraId="5187874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auto"/>
                <w:sz w:val="24"/>
                <w:szCs w:val="24"/>
              </w:rPr>
            </w:pPr>
          </w:p>
        </w:tc>
      </w:tr>
      <w:tr w14:paraId="687D1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826" w:type="dxa"/>
            <w:noWrap w:val="0"/>
            <w:vAlign w:val="center"/>
          </w:tcPr>
          <w:p w14:paraId="01BF2D65">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233" w:type="dxa"/>
            <w:noWrap w:val="0"/>
            <w:vAlign w:val="center"/>
          </w:tcPr>
          <w:p w14:paraId="455BD256">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巡检人员培训计划方案，根据培训内容、质量等方面的合理性、科学性，是否符合项目需求。</w:t>
            </w:r>
            <w:r>
              <w:rPr>
                <w:rFonts w:hint="eastAsia" w:ascii="宋体" w:hAnsi="宋体" w:eastAsia="宋体" w:cs="宋体"/>
                <w:bCs/>
                <w:sz w:val="24"/>
                <w:szCs w:val="24"/>
              </w:rPr>
              <w:t>（方案内容完整且与项目匹配度好的得4-</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分；方案内容基本完整且与项目匹配度较好的得2-</w:t>
            </w:r>
            <w:r>
              <w:rPr>
                <w:rFonts w:hint="eastAsia" w:ascii="宋体" w:hAnsi="宋体" w:eastAsia="宋体" w:cs="宋体"/>
                <w:bCs/>
                <w:sz w:val="24"/>
                <w:szCs w:val="24"/>
                <w:lang w:val="en-US" w:eastAsia="zh-CN"/>
              </w:rPr>
              <w:t>3.9</w:t>
            </w:r>
            <w:r>
              <w:rPr>
                <w:rFonts w:hint="eastAsia" w:ascii="宋体" w:hAnsi="宋体" w:eastAsia="宋体" w:cs="宋体"/>
                <w:bCs/>
                <w:sz w:val="24"/>
                <w:szCs w:val="24"/>
              </w:rPr>
              <w:t>分；方案内容存在欠缺或与项目匹配度一般的得0-</w:t>
            </w:r>
            <w:r>
              <w:rPr>
                <w:rFonts w:hint="eastAsia" w:ascii="宋体" w:hAnsi="宋体" w:eastAsia="宋体" w:cs="宋体"/>
                <w:bCs/>
                <w:sz w:val="24"/>
                <w:szCs w:val="24"/>
                <w:lang w:val="en-US" w:eastAsia="zh-CN"/>
              </w:rPr>
              <w:t>1.9</w:t>
            </w:r>
            <w:r>
              <w:rPr>
                <w:rFonts w:hint="eastAsia" w:ascii="宋体" w:hAnsi="宋体" w:eastAsia="宋体" w:cs="宋体"/>
                <w:bCs/>
                <w:sz w:val="24"/>
                <w:szCs w:val="24"/>
              </w:rPr>
              <w:t>分。）</w:t>
            </w:r>
            <w:r>
              <w:rPr>
                <w:rFonts w:hint="eastAsia" w:ascii="宋体" w:hAnsi="宋体" w:eastAsia="宋体" w:cs="宋体"/>
                <w:color w:val="auto"/>
                <w:sz w:val="24"/>
                <w:szCs w:val="24"/>
              </w:rPr>
              <w:t xml:space="preserve"> </w:t>
            </w:r>
          </w:p>
        </w:tc>
        <w:tc>
          <w:tcPr>
            <w:tcW w:w="825" w:type="dxa"/>
            <w:noWrap w:val="0"/>
            <w:vAlign w:val="center"/>
          </w:tcPr>
          <w:p w14:paraId="123C6E9E">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1035" w:type="dxa"/>
            <w:noWrap w:val="0"/>
            <w:vAlign w:val="center"/>
          </w:tcPr>
          <w:p w14:paraId="2F6332DE">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46ABAA6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培训实施方案</w:t>
            </w:r>
            <w:r>
              <w:rPr>
                <w:rFonts w:hint="eastAsia" w:ascii="宋体" w:hAnsi="宋体" w:eastAsia="宋体" w:cs="宋体"/>
                <w:color w:val="auto"/>
                <w:sz w:val="24"/>
                <w:szCs w:val="24"/>
              </w:rPr>
              <w:t xml:space="preserve"> </w:t>
            </w:r>
          </w:p>
        </w:tc>
      </w:tr>
      <w:tr w14:paraId="3B631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826" w:type="dxa"/>
            <w:noWrap w:val="0"/>
            <w:vAlign w:val="center"/>
          </w:tcPr>
          <w:p w14:paraId="1809617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233" w:type="dxa"/>
            <w:noWrap w:val="0"/>
            <w:vAlign w:val="center"/>
          </w:tcPr>
          <w:p w14:paraId="289B0727">
            <w:pPr>
              <w:keepNext w:val="0"/>
              <w:keepLines w:val="0"/>
              <w:pageBreakBefore w:val="0"/>
              <w:kinsoku/>
              <w:wordWrap/>
              <w:overflowPunct/>
              <w:topLinePunct w:val="0"/>
              <w:autoSpaceDE/>
              <w:autoSpaceDN/>
              <w:bidi w:val="0"/>
              <w:adjustRightInd/>
              <w:snapToGrid w:val="0"/>
              <w:spacing w:beforeLines="0"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rPr>
              <w:t>针对本项目实施投标人提出项目管理制度，根据管理制度包括员工从业守则、工作流程、培训制度、回访制度以及根据本项目提供的单位在编车辆等情况进行综合评定。（内容完整且与项目匹配度好的得4-</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分；内容基本完整且与项目匹配度较好的得2-</w:t>
            </w:r>
            <w:r>
              <w:rPr>
                <w:rFonts w:hint="eastAsia" w:ascii="宋体" w:hAnsi="宋体" w:eastAsia="宋体" w:cs="宋体"/>
                <w:bCs/>
                <w:sz w:val="24"/>
                <w:szCs w:val="24"/>
                <w:lang w:val="en-US" w:eastAsia="zh-CN"/>
              </w:rPr>
              <w:t>3.9</w:t>
            </w:r>
            <w:r>
              <w:rPr>
                <w:rFonts w:hint="eastAsia" w:ascii="宋体" w:hAnsi="宋体" w:eastAsia="宋体" w:cs="宋体"/>
                <w:bCs/>
                <w:sz w:val="24"/>
                <w:szCs w:val="24"/>
              </w:rPr>
              <w:t>分；方案内容存在欠缺或与项目匹配度一般的得0-</w:t>
            </w:r>
            <w:r>
              <w:rPr>
                <w:rFonts w:hint="eastAsia" w:ascii="宋体" w:hAnsi="宋体" w:eastAsia="宋体" w:cs="宋体"/>
                <w:bCs/>
                <w:sz w:val="24"/>
                <w:szCs w:val="24"/>
                <w:lang w:val="en-US" w:eastAsia="zh-CN"/>
              </w:rPr>
              <w:t>1.9</w:t>
            </w:r>
            <w:r>
              <w:rPr>
                <w:rFonts w:hint="eastAsia" w:ascii="宋体" w:hAnsi="宋体" w:eastAsia="宋体" w:cs="宋体"/>
                <w:bCs/>
                <w:sz w:val="24"/>
                <w:szCs w:val="24"/>
              </w:rPr>
              <w:t>分。）</w:t>
            </w:r>
          </w:p>
        </w:tc>
        <w:tc>
          <w:tcPr>
            <w:tcW w:w="825" w:type="dxa"/>
            <w:noWrap w:val="0"/>
            <w:vAlign w:val="center"/>
          </w:tcPr>
          <w:p w14:paraId="591B35EF">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1035" w:type="dxa"/>
            <w:noWrap w:val="0"/>
            <w:vAlign w:val="center"/>
          </w:tcPr>
          <w:p w14:paraId="2AF58F55">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4BA46DA0">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kern w:val="0"/>
                <w:sz w:val="24"/>
                <w:szCs w:val="24"/>
                <w:lang w:val="zh-CN"/>
              </w:rPr>
              <w:t>项目管理</w:t>
            </w:r>
            <w:r>
              <w:rPr>
                <w:rFonts w:hint="eastAsia" w:ascii="宋体" w:hAnsi="宋体" w:eastAsia="宋体" w:cs="宋体"/>
                <w:kern w:val="0"/>
                <w:sz w:val="24"/>
                <w:szCs w:val="24"/>
              </w:rPr>
              <w:t>与保障</w:t>
            </w:r>
          </w:p>
        </w:tc>
      </w:tr>
      <w:tr w14:paraId="5D42C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826" w:type="dxa"/>
            <w:noWrap w:val="0"/>
            <w:vAlign w:val="center"/>
          </w:tcPr>
          <w:p w14:paraId="2E7E9EA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233" w:type="dxa"/>
            <w:noWrap w:val="0"/>
            <w:vAlign w:val="center"/>
          </w:tcPr>
          <w:p w14:paraId="729DE83F">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rPr>
              <w:t>根据投标人对突发事件应急预案的可操作性等进行综合评定。（内容完整且与项目匹配度好的得4-5分；方案内容基本完整且与项目匹配度较好的得1-4分；方案内容存在欠缺或与项目匹配度一般的得0-1分。）</w:t>
            </w:r>
          </w:p>
        </w:tc>
        <w:tc>
          <w:tcPr>
            <w:tcW w:w="825" w:type="dxa"/>
            <w:noWrap w:val="0"/>
            <w:vAlign w:val="center"/>
          </w:tcPr>
          <w:p w14:paraId="258DC082">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035" w:type="dxa"/>
            <w:noWrap w:val="0"/>
            <w:vAlign w:val="center"/>
          </w:tcPr>
          <w:p w14:paraId="319AF6C7">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3ED5A149">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kern w:val="0"/>
                <w:sz w:val="24"/>
                <w:szCs w:val="24"/>
              </w:rPr>
              <w:t>应急预案编制等服务方案</w:t>
            </w:r>
          </w:p>
        </w:tc>
      </w:tr>
      <w:tr w14:paraId="6C8CE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826" w:type="dxa"/>
            <w:noWrap w:val="0"/>
            <w:vAlign w:val="center"/>
          </w:tcPr>
          <w:p w14:paraId="10A0FFE7">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233" w:type="dxa"/>
            <w:noWrap w:val="0"/>
            <w:vAlign w:val="center"/>
          </w:tcPr>
          <w:p w14:paraId="72E0E4D2">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bCs/>
                <w:sz w:val="24"/>
                <w:szCs w:val="24"/>
              </w:rPr>
            </w:pPr>
            <w:r>
              <w:rPr>
                <w:rFonts w:hint="eastAsia" w:ascii="宋体" w:hAnsi="宋体" w:eastAsia="宋体" w:cs="宋体"/>
                <w:sz w:val="24"/>
                <w:szCs w:val="24"/>
                <w:lang w:val="en-GB"/>
              </w:rPr>
              <w:t>投标文件中应提供详尽的售后服务方案，其中售后服务流程应清晰完整，体现售后服务承诺等内容及承诺对比评分。</w:t>
            </w:r>
            <w:r>
              <w:rPr>
                <w:rFonts w:hint="eastAsia" w:ascii="宋体" w:hAnsi="宋体" w:eastAsia="宋体" w:cs="宋体"/>
                <w:bCs/>
                <w:sz w:val="24"/>
                <w:szCs w:val="24"/>
              </w:rPr>
              <w:t>（服务承诺完整且有</w:t>
            </w:r>
            <w:r>
              <w:rPr>
                <w:rFonts w:hint="eastAsia" w:ascii="宋体" w:hAnsi="宋体" w:eastAsia="宋体" w:cs="宋体"/>
                <w:bCs/>
                <w:sz w:val="24"/>
                <w:szCs w:val="24"/>
                <w:lang w:eastAsia="zh-CN"/>
              </w:rPr>
              <w:t>实质性</w:t>
            </w:r>
            <w:r>
              <w:rPr>
                <w:rFonts w:hint="eastAsia" w:ascii="宋体" w:hAnsi="宋体" w:eastAsia="宋体" w:cs="宋体"/>
                <w:bCs/>
                <w:sz w:val="24"/>
                <w:szCs w:val="24"/>
              </w:rPr>
              <w:t>承诺内容的得</w:t>
            </w:r>
            <w:r>
              <w:rPr>
                <w:rFonts w:hint="eastAsia" w:ascii="宋体" w:hAnsi="宋体" w:eastAsia="宋体" w:cs="宋体"/>
                <w:bCs/>
                <w:sz w:val="24"/>
                <w:szCs w:val="24"/>
                <w:lang w:val="en-US" w:eastAsia="zh-CN"/>
              </w:rPr>
              <w:t>4-5</w:t>
            </w:r>
            <w:r>
              <w:rPr>
                <w:rFonts w:hint="eastAsia" w:ascii="宋体" w:hAnsi="宋体" w:eastAsia="宋体" w:cs="宋体"/>
                <w:bCs/>
                <w:sz w:val="24"/>
                <w:szCs w:val="24"/>
              </w:rPr>
              <w:t>分；内容基本完整，承诺一般的得2-</w:t>
            </w:r>
            <w:r>
              <w:rPr>
                <w:rFonts w:hint="eastAsia" w:ascii="宋体" w:hAnsi="宋体" w:eastAsia="宋体" w:cs="宋体"/>
                <w:bCs/>
                <w:sz w:val="24"/>
                <w:szCs w:val="24"/>
                <w:lang w:val="en-US" w:eastAsia="zh-CN"/>
              </w:rPr>
              <w:t>3.9</w:t>
            </w:r>
            <w:r>
              <w:rPr>
                <w:rFonts w:hint="eastAsia" w:ascii="宋体" w:hAnsi="宋体" w:eastAsia="宋体" w:cs="宋体"/>
                <w:bCs/>
                <w:sz w:val="24"/>
                <w:szCs w:val="24"/>
              </w:rPr>
              <w:t>分；内容存在欠缺得0-</w:t>
            </w:r>
            <w:r>
              <w:rPr>
                <w:rFonts w:hint="eastAsia" w:ascii="宋体" w:hAnsi="宋体" w:eastAsia="宋体" w:cs="宋体"/>
                <w:bCs/>
                <w:sz w:val="24"/>
                <w:szCs w:val="24"/>
                <w:lang w:val="en-US" w:eastAsia="zh-CN"/>
              </w:rPr>
              <w:t>1.9</w:t>
            </w:r>
            <w:r>
              <w:rPr>
                <w:rFonts w:hint="eastAsia" w:ascii="宋体" w:hAnsi="宋体" w:eastAsia="宋体" w:cs="宋体"/>
                <w:bCs/>
                <w:sz w:val="24"/>
                <w:szCs w:val="24"/>
              </w:rPr>
              <w:t>分。）</w:t>
            </w:r>
          </w:p>
        </w:tc>
        <w:tc>
          <w:tcPr>
            <w:tcW w:w="825" w:type="dxa"/>
            <w:noWrap w:val="0"/>
            <w:vAlign w:val="center"/>
          </w:tcPr>
          <w:p w14:paraId="4A7C5EE2">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035" w:type="dxa"/>
            <w:noWrap w:val="0"/>
            <w:vAlign w:val="center"/>
          </w:tcPr>
          <w:p w14:paraId="5038EF23">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rPr>
              <w:t>主观</w:t>
            </w:r>
            <w:r>
              <w:rPr>
                <w:rFonts w:hint="eastAsia" w:ascii="宋体" w:hAnsi="宋体" w:eastAsia="宋体" w:cs="宋体"/>
                <w:bCs/>
                <w:color w:val="auto"/>
                <w:sz w:val="24"/>
                <w:szCs w:val="24"/>
                <w:highlight w:val="none"/>
                <w:lang w:val="en-US" w:eastAsia="zh-CN"/>
              </w:rPr>
              <w:t>分</w:t>
            </w:r>
          </w:p>
        </w:tc>
        <w:tc>
          <w:tcPr>
            <w:tcW w:w="1920" w:type="dxa"/>
            <w:noWrap w:val="0"/>
            <w:vAlign w:val="center"/>
          </w:tcPr>
          <w:p w14:paraId="7C5FEA36">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kern w:val="0"/>
                <w:sz w:val="24"/>
                <w:szCs w:val="24"/>
              </w:rPr>
            </w:pPr>
            <w:r>
              <w:rPr>
                <w:rFonts w:hint="eastAsia" w:ascii="宋体" w:hAnsi="宋体" w:eastAsia="宋体" w:cs="宋体"/>
                <w:sz w:val="24"/>
                <w:szCs w:val="24"/>
              </w:rPr>
              <w:t>后续服务及承诺</w:t>
            </w:r>
          </w:p>
        </w:tc>
      </w:tr>
      <w:tr w14:paraId="7ED3E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826" w:type="dxa"/>
            <w:noWrap w:val="0"/>
            <w:vAlign w:val="center"/>
          </w:tcPr>
          <w:p w14:paraId="51B6739F">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11</w:t>
            </w:r>
          </w:p>
        </w:tc>
        <w:tc>
          <w:tcPr>
            <w:tcW w:w="5233" w:type="dxa"/>
            <w:noWrap w:val="0"/>
            <w:vAlign w:val="center"/>
          </w:tcPr>
          <w:p w14:paraId="1EF79560">
            <w:pPr>
              <w:keepNext w:val="0"/>
              <w:keepLines w:val="0"/>
              <w:pageBreakBefore w:val="0"/>
              <w:widowControl/>
              <w:kinsoku/>
              <w:wordWrap/>
              <w:overflowPunct/>
              <w:topLinePunct w:val="0"/>
              <w:autoSpaceDE/>
              <w:autoSpaceDN/>
              <w:bidi w:val="0"/>
              <w:adjustRightInd/>
              <w:spacing w:beforeLines="0" w:line="360" w:lineRule="auto"/>
              <w:jc w:val="both"/>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有效投标报价的最低价作为评标基准价，其最低报价为满分；按［投标报价得分=（评标基准价/投标报价）*10］的计算公式计算。评标过程中，不得去掉报价中的最高报价和最低报价。</w:t>
            </w:r>
          </w:p>
        </w:tc>
        <w:tc>
          <w:tcPr>
            <w:tcW w:w="825" w:type="dxa"/>
            <w:noWrap w:val="0"/>
            <w:vAlign w:val="center"/>
          </w:tcPr>
          <w:p w14:paraId="3A59FE09">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rPr>
              <w:t>10</w:t>
            </w:r>
          </w:p>
        </w:tc>
        <w:tc>
          <w:tcPr>
            <w:tcW w:w="1035" w:type="dxa"/>
            <w:noWrap w:val="0"/>
            <w:vAlign w:val="center"/>
          </w:tcPr>
          <w:p w14:paraId="7267E4FD">
            <w:pPr>
              <w:keepNext w:val="0"/>
              <w:keepLines w:val="0"/>
              <w:pageBreakBefore w:val="0"/>
              <w:widowControl/>
              <w:kinsoku/>
              <w:wordWrap/>
              <w:overflowPunct/>
              <w:topLinePunct w:val="0"/>
              <w:autoSpaceDE/>
              <w:autoSpaceDN/>
              <w:bidi w:val="0"/>
              <w:adjustRightInd/>
              <w:spacing w:beforeLines="0" w:line="360" w:lineRule="auto"/>
              <w:jc w:val="center"/>
              <w:textAlignment w:val="center"/>
              <w:rPr>
                <w:rFonts w:hint="eastAsia" w:ascii="宋体" w:hAnsi="宋体" w:eastAsia="宋体" w:cs="宋体"/>
                <w:color w:val="000000"/>
                <w:kern w:val="0"/>
                <w:sz w:val="24"/>
                <w:szCs w:val="24"/>
                <w:lang w:val="en-US" w:eastAsia="zh-CN"/>
              </w:rPr>
            </w:pPr>
          </w:p>
        </w:tc>
        <w:tc>
          <w:tcPr>
            <w:tcW w:w="1920" w:type="dxa"/>
            <w:noWrap w:val="0"/>
            <w:vAlign w:val="center"/>
          </w:tcPr>
          <w:p w14:paraId="51504F63">
            <w:pPr>
              <w:keepNext w:val="0"/>
              <w:keepLines w:val="0"/>
              <w:pageBreakBefore w:val="0"/>
              <w:widowControl/>
              <w:kinsoku/>
              <w:wordWrap/>
              <w:overflowPunct/>
              <w:topLinePunct w:val="0"/>
              <w:autoSpaceDE/>
              <w:autoSpaceDN/>
              <w:bidi w:val="0"/>
              <w:adjustRightInd/>
              <w:spacing w:beforeLines="0" w:line="360" w:lineRule="auto"/>
              <w:jc w:val="center"/>
              <w:textAlignment w:val="top"/>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r>
    </w:tbl>
    <w:p w14:paraId="412EBCCA"/>
    <w:p w14:paraId="7D419D79">
      <w:pPr>
        <w:snapToGrid w:val="0"/>
        <w:spacing w:line="360" w:lineRule="auto"/>
        <w:rPr>
          <w:rFonts w:hint="eastAsia" w:ascii="宋体" w:hAnsi="宋体" w:cs="宋体"/>
          <w:b/>
          <w:sz w:val="32"/>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bookmarkEnd w:id="24"/>
    <w:p w14:paraId="3362E634">
      <w:pPr>
        <w:pageBreakBefore w:val="0"/>
        <w:kinsoku/>
        <w:wordWrap/>
        <w:overflowPunct/>
        <w:topLinePunct w:val="0"/>
        <w:autoSpaceDE/>
        <w:autoSpaceDN/>
        <w:bidi w:val="0"/>
        <w:snapToGrid w:val="0"/>
        <w:spacing w:line="440" w:lineRule="exact"/>
        <w:textAlignment w:val="auto"/>
        <w:rPr>
          <w:rFonts w:ascii="宋体" w:hAnsi="宋体" w:cs="宋体"/>
          <w:b/>
          <w:color w:val="auto"/>
          <w:sz w:val="28"/>
          <w:szCs w:val="28"/>
          <w:highlight w:val="none"/>
        </w:rPr>
      </w:pPr>
      <w:bookmarkStart w:id="390" w:name="第五部分"/>
      <w:bookmarkStart w:id="391" w:name="_Toc86217003"/>
      <w:r>
        <w:rPr>
          <w:rFonts w:hint="eastAsia" w:ascii="宋体" w:hAnsi="宋体" w:cs="宋体"/>
          <w:b/>
          <w:color w:val="auto"/>
          <w:sz w:val="32"/>
          <w:highlight w:val="none"/>
        </w:rPr>
        <w:t>一、评标方法</w:t>
      </w:r>
    </w:p>
    <w:p w14:paraId="3FF64587">
      <w:pPr>
        <w:pageBreakBefore w:val="0"/>
        <w:kinsoku/>
        <w:wordWrap/>
        <w:overflowPunct/>
        <w:topLinePunct w:val="0"/>
        <w:autoSpaceDE/>
        <w:autoSpaceDN/>
        <w:bidi w:val="0"/>
        <w:adjustRightInd/>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pageBreakBefore w:val="0"/>
        <w:kinsoku/>
        <w:wordWrap/>
        <w:overflowPunct/>
        <w:topLinePunct w:val="0"/>
        <w:autoSpaceDE/>
        <w:autoSpaceDN/>
        <w:bidi w:val="0"/>
        <w:adjustRightInd/>
        <w:spacing w:line="440" w:lineRule="exact"/>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pageBreakBefore w:val="0"/>
        <w:kinsoku/>
        <w:wordWrap/>
        <w:overflowPunct/>
        <w:topLinePunct w:val="0"/>
        <w:autoSpaceDE/>
        <w:autoSpaceDN/>
        <w:bidi w:val="0"/>
        <w:spacing w:line="440" w:lineRule="exact"/>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pageBreakBefore w:val="0"/>
        <w:kinsoku/>
        <w:wordWrap/>
        <w:overflowPunct/>
        <w:topLinePunct w:val="0"/>
        <w:autoSpaceDE/>
        <w:autoSpaceDN/>
        <w:bidi w:val="0"/>
        <w:spacing w:line="440" w:lineRule="exact"/>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pageBreakBefore w:val="0"/>
        <w:kinsoku/>
        <w:wordWrap/>
        <w:overflowPunct/>
        <w:topLinePunct w:val="0"/>
        <w:autoSpaceDE/>
        <w:autoSpaceDN/>
        <w:bidi w:val="0"/>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pageBreakBefore w:val="0"/>
        <w:kinsoku/>
        <w:wordWrap/>
        <w:overflowPunct/>
        <w:topLinePunct w:val="0"/>
        <w:autoSpaceDE/>
        <w:autoSpaceDN/>
        <w:bidi w:val="0"/>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pageBreakBefore w:val="0"/>
        <w:kinsoku/>
        <w:wordWrap/>
        <w:overflowPunct/>
        <w:topLinePunct w:val="0"/>
        <w:autoSpaceDE/>
        <w:autoSpaceDN/>
        <w:bidi w:val="0"/>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pageBreakBefore w:val="0"/>
        <w:kinsoku/>
        <w:wordWrap/>
        <w:overflowPunct/>
        <w:topLinePunct w:val="0"/>
        <w:autoSpaceDE/>
        <w:autoSpaceDN/>
        <w:bidi w:val="0"/>
        <w:spacing w:line="440" w:lineRule="exact"/>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28"/>
        <w:pageBreakBefore w:val="0"/>
        <w:kinsoku/>
        <w:wordWrap/>
        <w:overflowPunct/>
        <w:topLinePunct w:val="0"/>
        <w:autoSpaceDE/>
        <w:autoSpaceDN/>
        <w:bidi w:val="0"/>
        <w:spacing w:before="0" w:line="440" w:lineRule="exact"/>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28"/>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28"/>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28"/>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28"/>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28"/>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pageBreakBefore w:val="0"/>
        <w:kinsoku/>
        <w:wordWrap/>
        <w:overflowPunct/>
        <w:topLinePunct w:val="0"/>
        <w:autoSpaceDE/>
        <w:autoSpaceDN/>
        <w:bidi w:val="0"/>
        <w:snapToGrid w:val="0"/>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pageBreakBefore w:val="0"/>
        <w:kinsoku/>
        <w:wordWrap/>
        <w:overflowPunct/>
        <w:topLinePunct w:val="0"/>
        <w:autoSpaceDE/>
        <w:autoSpaceDN/>
        <w:bidi w:val="0"/>
        <w:snapToGrid w:val="0"/>
        <w:spacing w:line="44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28"/>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28"/>
        <w:pageBreakBefore w:val="0"/>
        <w:kinsoku/>
        <w:wordWrap/>
        <w:overflowPunct/>
        <w:topLinePunct w:val="0"/>
        <w:autoSpaceDE/>
        <w:autoSpaceDN/>
        <w:bidi w:val="0"/>
        <w:spacing w:before="0" w:line="44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pageBreakBefore w:val="0"/>
        <w:kinsoku/>
        <w:wordWrap/>
        <w:overflowPunct/>
        <w:topLinePunct w:val="0"/>
        <w:autoSpaceDE/>
        <w:autoSpaceDN/>
        <w:bidi w:val="0"/>
        <w:spacing w:line="440" w:lineRule="exact"/>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p w14:paraId="1A32EC83">
      <w:pPr>
        <w:pageBreakBefore w:val="0"/>
        <w:kinsoku/>
        <w:wordWrap/>
        <w:overflowPunct/>
        <w:topLinePunct w:val="0"/>
        <w:autoSpaceDE/>
        <w:autoSpaceDN/>
        <w:bidi w:val="0"/>
        <w:spacing w:line="440" w:lineRule="exact"/>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pageBreakBefore w:val="0"/>
        <w:kinsoku/>
        <w:wordWrap/>
        <w:overflowPunct/>
        <w:topLinePunct w:val="0"/>
        <w:autoSpaceDE/>
        <w:autoSpaceDN/>
        <w:bidi w:val="0"/>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pageBreakBefore w:val="0"/>
        <w:widowControl/>
        <w:shd w:val="clear" w:color="auto" w:fill="FFFFFF"/>
        <w:kinsoku/>
        <w:wordWrap/>
        <w:overflowPunct/>
        <w:topLinePunct w:val="0"/>
        <w:autoSpaceDE/>
        <w:autoSpaceDN/>
        <w:bidi w:val="0"/>
        <w:adjustRightInd/>
        <w:spacing w:after="225" w:line="440" w:lineRule="exact"/>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28"/>
        <w:pageBreakBefore w:val="0"/>
        <w:kinsoku/>
        <w:wordWrap/>
        <w:overflowPunct/>
        <w:topLinePunct w:val="0"/>
        <w:autoSpaceDE/>
        <w:autoSpaceDN/>
        <w:bidi w:val="0"/>
        <w:spacing w:before="0" w:line="440" w:lineRule="exact"/>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12"/>
        <w:pageBreakBefore w:val="0"/>
        <w:kinsoku/>
        <w:wordWrap/>
        <w:overflowPunct/>
        <w:topLinePunct w:val="0"/>
        <w:autoSpaceDE/>
        <w:autoSpaceDN/>
        <w:bidi w:val="0"/>
        <w:spacing w:line="440" w:lineRule="exact"/>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pageBreakBefore w:val="0"/>
        <w:kinsoku/>
        <w:wordWrap/>
        <w:overflowPunct/>
        <w:topLinePunct w:val="0"/>
        <w:autoSpaceDE/>
        <w:autoSpaceDN/>
        <w:bidi w:val="0"/>
        <w:snapToGrid w:val="0"/>
        <w:spacing w:line="440" w:lineRule="exact"/>
        <w:ind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pageBreakBefore w:val="0"/>
        <w:kinsoku/>
        <w:wordWrap/>
        <w:overflowPunct/>
        <w:topLinePunct w:val="0"/>
        <w:autoSpaceDE/>
        <w:autoSpaceDN/>
        <w:bidi w:val="0"/>
        <w:spacing w:line="440" w:lineRule="exact"/>
        <w:ind w:firstLine="480" w:firstLineChars="200"/>
        <w:textAlignment w:val="auto"/>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pageBreakBefore w:val="0"/>
        <w:kinsoku/>
        <w:wordWrap/>
        <w:overflowPunct/>
        <w:topLinePunct w:val="0"/>
        <w:autoSpaceDE/>
        <w:autoSpaceDN/>
        <w:bidi w:val="0"/>
        <w:spacing w:line="440" w:lineRule="exact"/>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pageBreakBefore w:val="0"/>
        <w:kinsoku/>
        <w:wordWrap/>
        <w:overflowPunct/>
        <w:topLinePunct w:val="0"/>
        <w:autoSpaceDE/>
        <w:autoSpaceDN/>
        <w:bidi w:val="0"/>
        <w:spacing w:line="440" w:lineRule="exact"/>
        <w:ind w:firstLine="480" w:firstLineChars="200"/>
        <w:textAlignment w:val="auto"/>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pageBreakBefore w:val="0"/>
        <w:kinsoku/>
        <w:wordWrap/>
        <w:overflowPunct/>
        <w:topLinePunct w:val="0"/>
        <w:autoSpaceDE/>
        <w:autoSpaceDN/>
        <w:bidi w:val="0"/>
        <w:spacing w:line="440" w:lineRule="exact"/>
        <w:ind w:left="862" w:leftChars="205"/>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12"/>
        <w:pageBreakBefore w:val="0"/>
        <w:kinsoku/>
        <w:wordWrap/>
        <w:overflowPunct/>
        <w:topLinePunct w:val="0"/>
        <w:autoSpaceDE/>
        <w:autoSpaceDN/>
        <w:bidi w:val="0"/>
        <w:snapToGrid w:val="0"/>
        <w:spacing w:line="440" w:lineRule="exact"/>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1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1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5.2出现影响采购公正的违法、违规行为的；</w:t>
      </w:r>
    </w:p>
    <w:p w14:paraId="3861788E">
      <w:pPr>
        <w:pStyle w:val="1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5.3投标人的报价均超过了采购预算，采购人不能支付的；</w:t>
      </w:r>
    </w:p>
    <w:p w14:paraId="2C8A1F44">
      <w:pPr>
        <w:pStyle w:val="1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5.4因重大变故，采购任务取消的。</w:t>
      </w:r>
    </w:p>
    <w:p w14:paraId="0F20D232">
      <w:pPr>
        <w:pStyle w:val="1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12"/>
        <w:pageBreakBefore w:val="0"/>
        <w:kinsoku/>
        <w:wordWrap/>
        <w:overflowPunct/>
        <w:topLinePunct w:val="0"/>
        <w:autoSpaceDE/>
        <w:autoSpaceDN/>
        <w:bidi w:val="0"/>
        <w:snapToGrid w:val="0"/>
        <w:spacing w:line="440" w:lineRule="exact"/>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12"/>
        <w:pageBreakBefore w:val="0"/>
        <w:kinsoku/>
        <w:wordWrap/>
        <w:overflowPunct/>
        <w:topLinePunct w:val="0"/>
        <w:autoSpaceDE/>
        <w:autoSpaceDN/>
        <w:bidi w:val="0"/>
        <w:snapToGrid w:val="0"/>
        <w:spacing w:line="440" w:lineRule="exact"/>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1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1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1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12"/>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62A6C03C">
      <w:pPr>
        <w:pStyle w:val="12"/>
        <w:pageBreakBefore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437B466">
      <w:pPr>
        <w:spacing w:line="360" w:lineRule="auto"/>
        <w:jc w:val="center"/>
        <w:outlineLvl w:val="0"/>
        <w:rPr>
          <w:rFonts w:hint="eastAsia" w:ascii="宋体" w:hAnsi="宋体" w:eastAsia="宋体" w:cs="宋体"/>
          <w:b/>
          <w:sz w:val="36"/>
          <w:szCs w:val="36"/>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0F7684A3">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56968F6B">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（仅供参考，具体以合同签订为准）</w:t>
      </w:r>
    </w:p>
    <w:p w14:paraId="4A9A4E3A">
      <w:pPr>
        <w:spacing w:line="480" w:lineRule="auto"/>
        <w:jc w:val="center"/>
        <w:rPr>
          <w:rFonts w:ascii="宋体" w:hAnsi="宋体" w:cs="宋体"/>
          <w:b/>
          <w:sz w:val="28"/>
          <w:szCs w:val="28"/>
        </w:rPr>
      </w:pPr>
    </w:p>
    <w:p w14:paraId="3822B199">
      <w:pPr>
        <w:spacing w:line="480" w:lineRule="auto"/>
        <w:rPr>
          <w:rFonts w:ascii="宋体" w:hAnsi="宋体" w:cs="宋体"/>
          <w:b/>
          <w:sz w:val="24"/>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3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31"/>
        <w:spacing w:before="120" w:line="22" w:lineRule="atLeast"/>
        <w:rPr>
          <w:rFonts w:ascii="宋体" w:hAnsi="宋体" w:eastAsia="宋体" w:cs="宋体"/>
          <w:color w:val="auto"/>
          <w:szCs w:val="24"/>
          <w:highlight w:val="none"/>
        </w:rPr>
      </w:pPr>
    </w:p>
    <w:p w14:paraId="5912128F">
      <w:pPr>
        <w:pStyle w:val="31"/>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2" w:name="_Toc19273"/>
      <w:bookmarkStart w:id="393" w:name="_Toc28855"/>
      <w:bookmarkStart w:id="394" w:name="_Toc22967"/>
      <w:bookmarkStart w:id="395" w:name="_Toc20421"/>
      <w:bookmarkStart w:id="396"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2"/>
      <w:bookmarkEnd w:id="393"/>
      <w:bookmarkEnd w:id="394"/>
      <w:bookmarkEnd w:id="395"/>
      <w:bookmarkEnd w:id="396"/>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397" w:name="_Toc6773"/>
      <w:bookmarkStart w:id="398" w:name="_Toc2918"/>
      <w:bookmarkStart w:id="399" w:name="_Toc6311"/>
      <w:bookmarkStart w:id="400" w:name="_Toc18585"/>
      <w:bookmarkStart w:id="401"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397"/>
      <w:bookmarkEnd w:id="398"/>
      <w:bookmarkEnd w:id="399"/>
      <w:bookmarkEnd w:id="400"/>
      <w:bookmarkEnd w:id="401"/>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bookmarkStart w:id="402" w:name="_Toc13918"/>
      <w:bookmarkStart w:id="403" w:name="_Toc5635"/>
      <w:bookmarkStart w:id="404" w:name="_Toc1386"/>
      <w:bookmarkStart w:id="405" w:name="_Toc4929"/>
      <w:bookmarkStart w:id="406" w:name="_Toc21124"/>
      <w:r>
        <w:rPr>
          <w:rFonts w:ascii="宋体" w:hAnsi="宋体"/>
          <w:b/>
          <w:color w:val="auto"/>
          <w:sz w:val="24"/>
          <w:highlight w:val="none"/>
        </w:rPr>
        <w:t>1.3 价款</w:t>
      </w:r>
      <w:bookmarkEnd w:id="402"/>
      <w:bookmarkEnd w:id="403"/>
      <w:bookmarkEnd w:id="404"/>
      <w:bookmarkEnd w:id="405"/>
      <w:bookmarkEnd w:id="406"/>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F5CCC91">
      <w:pPr>
        <w:pStyle w:val="40"/>
        <w:spacing w:before="0" w:beforeAutospacing="0" w:after="0" w:afterAutospacing="0" w:line="360" w:lineRule="auto"/>
        <w:ind w:firstLine="480"/>
        <w:rPr>
          <w:b/>
          <w:color w:val="auto"/>
          <w:highlight w:val="none"/>
        </w:rPr>
      </w:pPr>
      <w:bookmarkStart w:id="407" w:name="_Toc10340"/>
      <w:bookmarkStart w:id="408" w:name="_Toc1814"/>
      <w:bookmarkStart w:id="409" w:name="_Toc22618"/>
      <w:bookmarkStart w:id="410" w:name="_Toc8772"/>
      <w:bookmarkStart w:id="411" w:name="_Toc31421"/>
      <w:bookmarkStart w:id="412" w:name="_Toc3625"/>
      <w:bookmarkStart w:id="413" w:name="_Toc11108"/>
      <w:bookmarkStart w:id="414" w:name="_Toc4760"/>
      <w:r>
        <w:rPr>
          <w:rFonts w:hint="eastAsia"/>
          <w:b/>
          <w:color w:val="auto"/>
          <w:highlight w:val="none"/>
        </w:rPr>
        <w:t>1.4履约保证金</w:t>
      </w:r>
    </w:p>
    <w:p w14:paraId="74D47AFB">
      <w:pPr>
        <w:pStyle w:val="4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7"/>
      <w:bookmarkEnd w:id="408"/>
      <w:bookmarkEnd w:id="409"/>
      <w:r>
        <w:rPr>
          <w:rFonts w:hint="eastAsia" w:ascii="宋体" w:hAnsi="宋体" w:cs="宋体"/>
          <w:b/>
          <w:color w:val="auto"/>
          <w:sz w:val="24"/>
          <w:highlight w:val="none"/>
        </w:rPr>
        <w:t>预付款</w:t>
      </w:r>
    </w:p>
    <w:p w14:paraId="7C829B0B">
      <w:pPr>
        <w:pStyle w:val="4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4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4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4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4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0"/>
      <w:bookmarkEnd w:id="411"/>
      <w:bookmarkEnd w:id="412"/>
      <w:bookmarkEnd w:id="413"/>
      <w:bookmarkEnd w:id="414"/>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bookmarkStart w:id="415" w:name="_Toc3079"/>
      <w:bookmarkStart w:id="416" w:name="_Toc24662"/>
      <w:bookmarkStart w:id="417" w:name="_Toc5698"/>
      <w:bookmarkStart w:id="418" w:name="_Toc8586"/>
      <w:bookmarkStart w:id="419" w:name="_Toc2375"/>
      <w:r>
        <w:rPr>
          <w:rFonts w:ascii="宋体" w:hAnsi="宋体"/>
          <w:b/>
          <w:color w:val="auto"/>
          <w:sz w:val="24"/>
          <w:highlight w:val="none"/>
        </w:rPr>
        <w:t>1.</w:t>
      </w:r>
      <w:r>
        <w:rPr>
          <w:rFonts w:hint="eastAsia" w:ascii="宋体" w:hAnsi="宋体"/>
          <w:b/>
          <w:color w:val="auto"/>
          <w:sz w:val="24"/>
          <w:highlight w:val="none"/>
        </w:rPr>
        <w:t>8违约责任</w:t>
      </w:r>
      <w:bookmarkEnd w:id="415"/>
      <w:bookmarkEnd w:id="416"/>
      <w:bookmarkEnd w:id="417"/>
      <w:bookmarkEnd w:id="418"/>
      <w:bookmarkEnd w:id="419"/>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0" w:name="_Toc30329"/>
      <w:bookmarkStart w:id="421" w:name="_Toc32454"/>
      <w:bookmarkStart w:id="422" w:name="_Toc26807"/>
      <w:bookmarkStart w:id="423" w:name="_Toc18683"/>
      <w:bookmarkStart w:id="424"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0"/>
    <w:bookmarkEnd w:id="421"/>
    <w:bookmarkEnd w:id="422"/>
    <w:bookmarkEnd w:id="423"/>
    <w:bookmarkEnd w:id="424"/>
    <w:p w14:paraId="1A3040A7">
      <w:pPr>
        <w:spacing w:line="560" w:lineRule="exact"/>
        <w:ind w:firstLine="482" w:firstLineChars="200"/>
        <w:outlineLvl w:val="0"/>
        <w:rPr>
          <w:rFonts w:ascii="宋体" w:hAnsi="宋体" w:cs="宋体"/>
          <w:b/>
          <w:color w:val="auto"/>
          <w:sz w:val="24"/>
          <w:highlight w:val="none"/>
        </w:rPr>
      </w:pPr>
      <w:bookmarkStart w:id="425" w:name="_Toc28375"/>
      <w:bookmarkStart w:id="426" w:name="_Toc15583"/>
      <w:bookmarkStart w:id="427" w:name="_Toc16021"/>
      <w:r>
        <w:rPr>
          <w:rFonts w:hint="eastAsia" w:ascii="宋体" w:hAnsi="宋体" w:cs="宋体"/>
          <w:b/>
          <w:color w:val="auto"/>
          <w:sz w:val="24"/>
          <w:highlight w:val="none"/>
        </w:rPr>
        <w:t>1.9合同争议的解决</w:t>
      </w:r>
      <w:bookmarkEnd w:id="425"/>
      <w:bookmarkEnd w:id="426"/>
      <w:bookmarkEnd w:id="427"/>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r>
        <w:rPr>
          <w:rFonts w:hint="eastAsia" w:ascii="宋体" w:hAnsi="宋体"/>
          <w:sz w:val="24"/>
        </w:rPr>
        <w:t>向</w:t>
      </w:r>
      <w:r>
        <w:rPr>
          <w:rFonts w:hint="eastAsia" w:ascii="宋体" w:hAnsi="宋体"/>
          <w:sz w:val="24"/>
          <w:u w:val="single"/>
          <w:lang w:val="en-US" w:eastAsia="zh-CN"/>
        </w:rPr>
        <w:t xml:space="preserve"> </w:t>
      </w:r>
      <w:r>
        <w:rPr>
          <w:rFonts w:hint="eastAsia" w:ascii="宋体" w:hAnsi="宋体" w:cs="宋体"/>
          <w:b/>
          <w:i/>
          <w:color w:val="auto"/>
          <w:sz w:val="24"/>
          <w:highlight w:val="none"/>
          <w:u w:val="single"/>
          <w:lang w:val="en-US" w:eastAsia="zh-CN"/>
        </w:rPr>
        <w:t xml:space="preserve">桐庐县 </w:t>
      </w:r>
      <w:r>
        <w:rPr>
          <w:rFonts w:hint="eastAsia" w:ascii="宋体" w:hAnsi="宋体"/>
          <w:sz w:val="24"/>
        </w:rPr>
        <w:t>人民法院起诉</w:t>
      </w:r>
      <w:r>
        <w:rPr>
          <w:rFonts w:hint="eastAsia" w:ascii="宋体" w:hAnsi="宋体" w:cs="宋体"/>
          <w:color w:val="auto"/>
          <w:sz w:val="24"/>
          <w:highlight w:val="none"/>
        </w:rPr>
        <w:t>：</w:t>
      </w:r>
    </w:p>
    <w:p w14:paraId="08261CC6">
      <w:pPr>
        <w:spacing w:line="560" w:lineRule="exact"/>
        <w:ind w:firstLine="482" w:firstLineChars="200"/>
        <w:outlineLvl w:val="0"/>
        <w:rPr>
          <w:rFonts w:ascii="宋体" w:hAnsi="宋体" w:cs="宋体"/>
          <w:b/>
          <w:color w:val="auto"/>
          <w:sz w:val="24"/>
          <w:highlight w:val="none"/>
        </w:rPr>
      </w:pPr>
      <w:bookmarkStart w:id="428" w:name="_Toc7245"/>
      <w:bookmarkStart w:id="429" w:name="_Toc11173"/>
      <w:bookmarkStart w:id="430" w:name="_Toc15322"/>
      <w:r>
        <w:rPr>
          <w:rFonts w:hint="eastAsia" w:ascii="宋体" w:hAnsi="宋体" w:cs="宋体"/>
          <w:b/>
          <w:color w:val="auto"/>
          <w:sz w:val="24"/>
          <w:highlight w:val="none"/>
        </w:rPr>
        <w:t>2.0 合同生效</w:t>
      </w:r>
      <w:bookmarkEnd w:id="428"/>
      <w:bookmarkEnd w:id="429"/>
      <w:bookmarkEnd w:id="430"/>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7C14B678">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D2596D0">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w:t>
      </w:r>
    </w:p>
    <w:p w14:paraId="75860C7B">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F986B52">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47BC88E">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517DB3B">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2263F8">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53064A9">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8651FCB">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EB05624">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33DEFF9">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3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1" w:name="_Toc31297"/>
      <w:bookmarkStart w:id="432" w:name="_Toc14021"/>
      <w:bookmarkStart w:id="433" w:name="_Toc19680"/>
      <w:bookmarkStart w:id="434" w:name="_Toc5228"/>
      <w:bookmarkStart w:id="435" w:name="_Toc25079"/>
      <w:r>
        <w:rPr>
          <w:rFonts w:ascii="宋体" w:hAnsi="宋体"/>
          <w:b/>
          <w:color w:val="auto"/>
          <w:sz w:val="24"/>
          <w:highlight w:val="none"/>
        </w:rPr>
        <w:t>2.1 定义</w:t>
      </w:r>
      <w:bookmarkEnd w:id="431"/>
      <w:bookmarkEnd w:id="432"/>
      <w:bookmarkEnd w:id="433"/>
      <w:bookmarkEnd w:id="434"/>
      <w:bookmarkEnd w:id="435"/>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36" w:name="_Toc19539"/>
      <w:bookmarkStart w:id="437" w:name="_Toc3769"/>
      <w:bookmarkStart w:id="438" w:name="_Toc16752"/>
      <w:bookmarkStart w:id="439" w:name="_Toc31402"/>
      <w:bookmarkStart w:id="440" w:name="_Toc23289"/>
      <w:r>
        <w:rPr>
          <w:rFonts w:ascii="宋体" w:hAnsi="宋体"/>
          <w:b/>
          <w:color w:val="auto"/>
          <w:sz w:val="24"/>
          <w:highlight w:val="none"/>
        </w:rPr>
        <w:t>2.2 技术规范</w:t>
      </w:r>
      <w:bookmarkEnd w:id="436"/>
      <w:bookmarkEnd w:id="437"/>
      <w:bookmarkEnd w:id="438"/>
      <w:bookmarkEnd w:id="439"/>
      <w:bookmarkEnd w:id="440"/>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1" w:name="_Toc12412"/>
      <w:bookmarkStart w:id="442" w:name="_Toc4133"/>
      <w:bookmarkStart w:id="443" w:name="_Toc27945"/>
      <w:bookmarkStart w:id="444" w:name="_Toc9161"/>
      <w:bookmarkStart w:id="445" w:name="_Toc13673"/>
      <w:r>
        <w:rPr>
          <w:rFonts w:ascii="宋体" w:hAnsi="宋体"/>
          <w:b/>
          <w:color w:val="auto"/>
          <w:sz w:val="24"/>
          <w:highlight w:val="none"/>
        </w:rPr>
        <w:t>2.3 知识产权</w:t>
      </w:r>
      <w:bookmarkEnd w:id="441"/>
      <w:bookmarkEnd w:id="442"/>
      <w:bookmarkEnd w:id="443"/>
      <w:bookmarkEnd w:id="444"/>
      <w:bookmarkEnd w:id="445"/>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46" w:name="_Toc22011"/>
      <w:bookmarkStart w:id="447" w:name="_Toc31233"/>
      <w:bookmarkStart w:id="448" w:name="_Toc32670"/>
      <w:bookmarkStart w:id="449" w:name="_Toc26555"/>
      <w:bookmarkStart w:id="450" w:name="_Toc15447"/>
      <w:r>
        <w:rPr>
          <w:rFonts w:ascii="宋体" w:hAnsi="宋体"/>
          <w:b/>
          <w:color w:val="auto"/>
          <w:sz w:val="24"/>
          <w:highlight w:val="none"/>
        </w:rPr>
        <w:t>2.5 结算方式和付款条件</w:t>
      </w:r>
      <w:bookmarkEnd w:id="446"/>
      <w:bookmarkEnd w:id="447"/>
      <w:bookmarkEnd w:id="448"/>
      <w:bookmarkEnd w:id="449"/>
      <w:bookmarkEnd w:id="450"/>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1" w:name="_Toc18990"/>
      <w:bookmarkStart w:id="452" w:name="_Toc13154"/>
      <w:bookmarkStart w:id="453" w:name="_Toc16163"/>
      <w:bookmarkStart w:id="454" w:name="_Toc13467"/>
      <w:bookmarkStart w:id="455" w:name="_Toc30507"/>
      <w:r>
        <w:rPr>
          <w:rFonts w:ascii="宋体" w:hAnsi="宋体"/>
          <w:b/>
          <w:color w:val="auto"/>
          <w:sz w:val="24"/>
          <w:highlight w:val="none"/>
        </w:rPr>
        <w:t>2.6 技术资料和保密义务</w:t>
      </w:r>
      <w:bookmarkEnd w:id="451"/>
      <w:bookmarkEnd w:id="452"/>
      <w:bookmarkEnd w:id="453"/>
      <w:bookmarkEnd w:id="454"/>
      <w:bookmarkEnd w:id="455"/>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5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6"/>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5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7"/>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5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8"/>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59" w:name="_Toc10663"/>
      <w:bookmarkStart w:id="460" w:name="_Toc23368"/>
      <w:bookmarkStart w:id="461" w:name="_Toc42"/>
      <w:bookmarkStart w:id="462" w:name="_Toc26689"/>
      <w:bookmarkStart w:id="463" w:name="_Toc21830"/>
      <w:r>
        <w:rPr>
          <w:rFonts w:ascii="宋体" w:hAnsi="宋体"/>
          <w:b/>
          <w:color w:val="auto"/>
          <w:sz w:val="24"/>
          <w:highlight w:val="none"/>
        </w:rPr>
        <w:t>2.10 合同转让和分包</w:t>
      </w:r>
      <w:bookmarkEnd w:id="459"/>
      <w:bookmarkEnd w:id="460"/>
      <w:bookmarkEnd w:id="461"/>
      <w:bookmarkEnd w:id="462"/>
      <w:bookmarkEnd w:id="463"/>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64" w:name="_Toc25571"/>
      <w:bookmarkStart w:id="465" w:name="_Toc26633"/>
      <w:bookmarkStart w:id="466" w:name="_Toc14371"/>
      <w:bookmarkStart w:id="467" w:name="_Toc4720"/>
      <w:bookmarkStart w:id="468" w:name="_Toc32494"/>
      <w:r>
        <w:rPr>
          <w:rFonts w:ascii="宋体" w:hAnsi="宋体"/>
          <w:b/>
          <w:color w:val="auto"/>
          <w:sz w:val="24"/>
          <w:highlight w:val="none"/>
        </w:rPr>
        <w:t>2.11 不可抗力</w:t>
      </w:r>
      <w:bookmarkEnd w:id="464"/>
      <w:bookmarkEnd w:id="465"/>
      <w:bookmarkEnd w:id="466"/>
      <w:bookmarkEnd w:id="467"/>
      <w:bookmarkEnd w:id="468"/>
    </w:p>
    <w:p w14:paraId="7D17EE6D">
      <w:pPr>
        <w:spacing w:line="560" w:lineRule="exact"/>
        <w:ind w:firstLine="480" w:firstLineChars="200"/>
        <w:rPr>
          <w:rFonts w:ascii="宋体" w:hAnsi="宋体"/>
          <w:color w:val="auto"/>
          <w:sz w:val="24"/>
          <w:highlight w:val="none"/>
        </w:rPr>
      </w:pPr>
      <w:bookmarkStart w:id="469" w:name="_Toc23854"/>
      <w:bookmarkStart w:id="470" w:name="_Toc24465"/>
      <w:bookmarkStart w:id="471" w:name="_Toc25783"/>
      <w:bookmarkStart w:id="472" w:name="_Toc3638"/>
      <w:bookmarkStart w:id="473" w:name="_Toc14115"/>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32C81D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3C5E6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hint="eastAsia" w:ascii="宋体" w:hAnsi="宋体"/>
          <w:b/>
          <w:i/>
          <w:color w:val="auto"/>
          <w:sz w:val="24"/>
          <w:highlight w:val="none"/>
          <w:u w:val="single"/>
          <w:lang w:val="en-US" w:eastAsia="zh-CN"/>
        </w:rPr>
        <w:t>30天内</w:t>
      </w:r>
      <w:r>
        <w:rPr>
          <w:rFonts w:ascii="宋体" w:hAnsi="宋体"/>
          <w:color w:val="auto"/>
          <w:sz w:val="24"/>
          <w:highlight w:val="none"/>
        </w:rPr>
        <w:t>以书面形式变更合同</w:t>
      </w:r>
      <w:r>
        <w:rPr>
          <w:rFonts w:hint="eastAsia" w:ascii="宋体" w:hAnsi="宋体"/>
          <w:color w:val="auto"/>
          <w:sz w:val="24"/>
          <w:highlight w:val="none"/>
        </w:rPr>
        <w:t>；</w:t>
      </w:r>
    </w:p>
    <w:p w14:paraId="0EC6160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b/>
          <w:i/>
          <w:color w:val="auto"/>
          <w:sz w:val="24"/>
          <w:highlight w:val="none"/>
          <w:u w:val="single"/>
          <w:lang w:val="en-US" w:eastAsia="zh-CN"/>
        </w:rPr>
        <w:t>15天内</w:t>
      </w:r>
      <w:r>
        <w:rPr>
          <w:rFonts w:ascii="宋体" w:hAnsi="宋体"/>
          <w:color w:val="auto"/>
          <w:sz w:val="24"/>
          <w:highlight w:val="none"/>
        </w:rPr>
        <w:t>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b/>
          <w:i/>
          <w:color w:val="auto"/>
          <w:sz w:val="24"/>
          <w:highlight w:val="none"/>
          <w:u w:val="single"/>
          <w:lang w:val="en-US" w:eastAsia="zh-CN"/>
        </w:rPr>
        <w:t>15天内</w:t>
      </w:r>
      <w:r>
        <w:rPr>
          <w:rFonts w:ascii="宋体" w:hAnsi="宋体"/>
          <w:color w:val="auto"/>
          <w:sz w:val="24"/>
          <w:highlight w:val="none"/>
        </w:rPr>
        <w:t>，将有关部门出具的证明文件送达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bookmarkEnd w:id="469"/>
      <w:bookmarkEnd w:id="470"/>
      <w:bookmarkEnd w:id="471"/>
      <w:bookmarkEnd w:id="472"/>
      <w:bookmarkEnd w:id="473"/>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74" w:name="_Toc26883"/>
      <w:bookmarkStart w:id="475" w:name="_Toc7315"/>
      <w:bookmarkStart w:id="476" w:name="_Toc14814"/>
      <w:bookmarkStart w:id="477" w:name="_Toc30105"/>
      <w:bookmarkStart w:id="478" w:name="_Toc25525"/>
      <w:r>
        <w:rPr>
          <w:rFonts w:ascii="宋体" w:hAnsi="宋体"/>
          <w:b/>
          <w:color w:val="auto"/>
          <w:sz w:val="24"/>
          <w:highlight w:val="none"/>
        </w:rPr>
        <w:t>2.13 乙方破产</w:t>
      </w:r>
      <w:bookmarkEnd w:id="474"/>
      <w:bookmarkEnd w:id="475"/>
      <w:bookmarkEnd w:id="476"/>
      <w:bookmarkEnd w:id="477"/>
      <w:bookmarkEnd w:id="478"/>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79" w:name="_Toc1123"/>
      <w:bookmarkStart w:id="480" w:name="_Toc2016"/>
      <w:bookmarkStart w:id="481" w:name="_Toc23323"/>
      <w:r>
        <w:rPr>
          <w:rFonts w:ascii="宋体" w:hAnsi="宋体"/>
          <w:b/>
          <w:color w:val="auto"/>
          <w:sz w:val="24"/>
          <w:highlight w:val="none"/>
        </w:rPr>
        <w:t>2.14 合同中止、终止</w:t>
      </w:r>
      <w:bookmarkEnd w:id="479"/>
      <w:bookmarkEnd w:id="480"/>
      <w:bookmarkEnd w:id="481"/>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82" w:name="_Toc1969"/>
      <w:bookmarkStart w:id="483" w:name="_Toc17363"/>
      <w:bookmarkStart w:id="484" w:name="_Toc14525"/>
      <w:r>
        <w:rPr>
          <w:rFonts w:ascii="宋体" w:hAnsi="宋体"/>
          <w:b/>
          <w:color w:val="auto"/>
          <w:sz w:val="24"/>
          <w:highlight w:val="none"/>
        </w:rPr>
        <w:t>2.15 检验和验收</w:t>
      </w:r>
      <w:bookmarkEnd w:id="482"/>
      <w:bookmarkEnd w:id="483"/>
      <w:bookmarkEnd w:id="484"/>
    </w:p>
    <w:p w14:paraId="0AE914E8">
      <w:pPr>
        <w:tabs>
          <w:tab w:val="left" w:pos="360"/>
          <w:tab w:val="left" w:pos="540"/>
          <w:tab w:val="left" w:pos="1080"/>
        </w:tabs>
        <w:spacing w:line="560" w:lineRule="exact"/>
        <w:ind w:firstLine="480" w:firstLineChars="200"/>
        <w:rPr>
          <w:rFonts w:ascii="宋体" w:hAnsi="宋体"/>
          <w:color w:val="auto"/>
          <w:sz w:val="24"/>
          <w:highlight w:val="none"/>
        </w:rPr>
      </w:pPr>
      <w:bookmarkStart w:id="485" w:name="_Toc25198"/>
      <w:bookmarkStart w:id="486" w:name="_Toc9808"/>
      <w:bookmarkStart w:id="487" w:name="_Toc2308"/>
      <w:bookmarkStart w:id="488" w:name="_Toc31892"/>
      <w:bookmarkStart w:id="489" w:name="_Toc12666"/>
      <w:r>
        <w:rPr>
          <w:rFonts w:ascii="宋体" w:hAnsi="宋体"/>
          <w:color w:val="auto"/>
          <w:sz w:val="24"/>
          <w:highlight w:val="none"/>
        </w:rPr>
        <w:t xml:space="preserve">2.15.1 </w:t>
      </w:r>
      <w:r>
        <w:rPr>
          <w:rFonts w:hint="eastAsia" w:ascii="宋体" w:hAnsi="宋体"/>
          <w:color w:val="auto"/>
          <w:sz w:val="24"/>
          <w:highlight w:val="none"/>
        </w:rPr>
        <w:t>乙方按照</w:t>
      </w:r>
      <w:r>
        <w:rPr>
          <w:rFonts w:hint="eastAsia" w:ascii="宋体" w:hAnsi="宋体"/>
          <w:b/>
          <w:i/>
          <w:color w:val="auto"/>
          <w:sz w:val="24"/>
          <w:highlight w:val="none"/>
          <w:u w:val="single"/>
          <w:lang w:val="en-US" w:eastAsia="zh-CN"/>
        </w:rPr>
        <w:t>甲方的要求</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hint="eastAsia" w:ascii="宋体" w:hAnsi="宋体"/>
          <w:b/>
          <w:i/>
          <w:color w:val="auto"/>
          <w:sz w:val="24"/>
          <w:highlight w:val="none"/>
          <w:u w:val="single"/>
          <w:lang w:val="en-US" w:eastAsia="zh-CN"/>
        </w:rPr>
        <w:t>相关规定</w:t>
      </w:r>
      <w:r>
        <w:rPr>
          <w:rFonts w:ascii="宋体" w:hAnsi="宋体"/>
          <w:color w:val="auto"/>
          <w:sz w:val="24"/>
          <w:highlight w:val="none"/>
        </w:rPr>
        <w:t>进行定期验收</w:t>
      </w:r>
      <w:r>
        <w:rPr>
          <w:rFonts w:hint="eastAsia" w:ascii="宋体" w:hAnsi="宋体"/>
          <w:color w:val="auto"/>
          <w:sz w:val="24"/>
          <w:highlight w:val="none"/>
        </w:rPr>
        <w:t>；</w:t>
      </w:r>
    </w:p>
    <w:p w14:paraId="43CB7E3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11C0F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bookmarkEnd w:id="485"/>
      <w:bookmarkEnd w:id="486"/>
      <w:bookmarkEnd w:id="487"/>
      <w:bookmarkEnd w:id="488"/>
      <w:bookmarkEnd w:id="489"/>
    </w:p>
    <w:p w14:paraId="2D57AD58">
      <w:pPr>
        <w:spacing w:line="560" w:lineRule="exact"/>
        <w:ind w:firstLine="480" w:firstLineChars="200"/>
        <w:rPr>
          <w:rFonts w:ascii="宋体" w:hAnsi="宋体"/>
          <w:color w:val="auto"/>
          <w:sz w:val="24"/>
          <w:highlight w:val="none"/>
        </w:rPr>
      </w:pPr>
      <w:bookmarkStart w:id="490" w:name="_Toc27674"/>
      <w:bookmarkStart w:id="491"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0"/>
      <w:bookmarkEnd w:id="491"/>
    </w:p>
    <w:p w14:paraId="79494EF1">
      <w:pPr>
        <w:spacing w:line="560" w:lineRule="exact"/>
        <w:ind w:firstLine="482" w:firstLineChars="200"/>
        <w:outlineLvl w:val="0"/>
        <w:rPr>
          <w:rFonts w:ascii="宋体" w:hAnsi="宋体"/>
          <w:b/>
          <w:color w:val="auto"/>
          <w:sz w:val="24"/>
          <w:highlight w:val="none"/>
        </w:rPr>
      </w:pPr>
      <w:bookmarkStart w:id="492" w:name="_Toc5063"/>
      <w:bookmarkStart w:id="493" w:name="_Toc27644"/>
      <w:bookmarkStart w:id="494" w:name="_Toc28906"/>
      <w:bookmarkStart w:id="495" w:name="_Toc20808"/>
      <w:bookmarkStart w:id="496"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2"/>
      <w:bookmarkEnd w:id="493"/>
      <w:bookmarkEnd w:id="494"/>
      <w:bookmarkEnd w:id="495"/>
      <w:bookmarkEnd w:id="496"/>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497" w:name="_Toc18540"/>
      <w:bookmarkStart w:id="498" w:name="_Toc30599"/>
      <w:bookmarkStart w:id="499" w:name="_Toc4355"/>
      <w:r>
        <w:rPr>
          <w:rFonts w:hint="eastAsia" w:ascii="宋体" w:hAnsi="宋体" w:cs="宋体"/>
          <w:b/>
          <w:color w:val="auto"/>
          <w:sz w:val="24"/>
          <w:highlight w:val="none"/>
        </w:rPr>
        <w:t>2.18 计量单位</w:t>
      </w:r>
      <w:bookmarkEnd w:id="497"/>
      <w:bookmarkEnd w:id="498"/>
      <w:bookmarkEnd w:id="499"/>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0" w:name="_Toc331685784"/>
      <w:r>
        <w:rPr>
          <w:rFonts w:hint="eastAsia" w:ascii="宋体" w:hAnsi="宋体" w:cs="宋体"/>
          <w:b/>
          <w:color w:val="auto"/>
          <w:sz w:val="24"/>
          <w:highlight w:val="none"/>
        </w:rPr>
        <w:t xml:space="preserve"> </w:t>
      </w:r>
      <w:bookmarkEnd w:id="500"/>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261FC83">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sz w:val="24"/>
              </w:rPr>
              <w:t>按项目服务要求提供服务</w:t>
            </w:r>
            <w:r>
              <w:rPr>
                <w:rFonts w:hint="eastAsia" w:ascii="宋体" w:hAnsi="宋体" w:cs="宋体"/>
                <w:sz w:val="24"/>
                <w:lang w:eastAsia="zh-CN"/>
              </w:rPr>
              <w:t>。</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75F6F49">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AE3F9EA">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color w:val="auto"/>
                <w:sz w:val="24"/>
                <w:highlight w:val="none"/>
              </w:rPr>
            </w:pPr>
            <w:r>
              <w:rPr>
                <w:rFonts w:hint="eastAsia" w:ascii="宋体" w:hAnsi="宋体" w:cs="宋体"/>
                <w:sz w:val="24"/>
              </w:rPr>
              <w:t>合同涉及技术成果和收益</w:t>
            </w:r>
            <w:r>
              <w:rPr>
                <w:rFonts w:hint="eastAsia" w:ascii="宋体" w:hAnsi="宋体" w:cs="宋体"/>
                <w:sz w:val="24"/>
                <w:lang w:eastAsia="zh-CN"/>
              </w:rPr>
              <w:t>归</w:t>
            </w:r>
            <w:r>
              <w:rPr>
                <w:rFonts w:hint="eastAsia" w:ascii="宋体" w:hAnsi="宋体" w:cs="宋体"/>
                <w:sz w:val="24"/>
              </w:rPr>
              <w:t>采购人所有。</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6761C5ED">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详见</w:t>
            </w:r>
            <w:r>
              <w:rPr>
                <w:rFonts w:hint="eastAsia" w:ascii="宋体" w:hAnsi="宋体" w:cs="宋体"/>
                <w:color w:val="auto"/>
                <w:sz w:val="24"/>
                <w:highlight w:val="none"/>
                <w:lang w:val="en-US" w:eastAsia="zh-CN"/>
              </w:rPr>
              <w:t>1.6.2</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B94E58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sz w:val="24"/>
              </w:rPr>
              <w:t>按相关标准</w:t>
            </w:r>
            <w:r>
              <w:rPr>
                <w:rFonts w:hint="eastAsia" w:ascii="宋体" w:hAnsi="宋体" w:cs="宋体"/>
                <w:sz w:val="24"/>
                <w:lang w:val="en-US" w:eastAsia="zh-CN"/>
              </w:rPr>
              <w:t>执行</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43CE10F1">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sz w:val="24"/>
                <w:highlight w:val="none"/>
                <w:lang w:val="en-US" w:eastAsia="zh-CN"/>
              </w:rPr>
              <w:t>合同壹式陆份，甲方执贰份、乙方执贰份、监管及代理机构执壹份，</w:t>
            </w:r>
            <w:r>
              <w:rPr>
                <w:rFonts w:ascii="宋体" w:hAnsi="宋体"/>
                <w:color w:val="auto"/>
                <w:sz w:val="24"/>
                <w:highlight w:val="none"/>
              </w:rPr>
              <w:t>每份均具有同等法律效力</w:t>
            </w:r>
          </w:p>
        </w:tc>
      </w:tr>
    </w:tbl>
    <w:p w14:paraId="67C8C150">
      <w:pPr>
        <w:snapToGrid w:val="0"/>
        <w:spacing w:line="360" w:lineRule="auto"/>
        <w:ind w:right="23" w:rightChars="11" w:firstLine="456" w:firstLineChars="200"/>
        <w:jc w:val="right"/>
        <w:rPr>
          <w:rFonts w:ascii="宋体" w:hAnsi="宋体" w:cs="宋体"/>
          <w:spacing w:val="-6"/>
          <w:sz w:val="24"/>
        </w:rPr>
      </w:pPr>
    </w:p>
    <w:p w14:paraId="0D385D20"/>
    <w:p w14:paraId="6C8DB486">
      <w:pPr>
        <w:pStyle w:val="16"/>
      </w:pPr>
    </w:p>
    <w:p w14:paraId="63E91010">
      <w:pPr>
        <w:jc w:val="center"/>
        <w:rPr>
          <w:rFonts w:ascii="宋体" w:hAnsi="宋体"/>
          <w:b/>
          <w:sz w:val="28"/>
          <w:szCs w:val="28"/>
        </w:rPr>
      </w:pPr>
      <w:r>
        <w:rPr>
          <w:rFonts w:hint="eastAsia" w:ascii="宋体" w:hAnsi="宋体" w:cs="宋体"/>
          <w:b/>
          <w:sz w:val="36"/>
          <w:szCs w:val="20"/>
        </w:rPr>
        <w:br w:type="page"/>
      </w:r>
      <w:r>
        <w:rPr>
          <w:rFonts w:hint="eastAsia" w:ascii="宋体" w:hAnsi="宋体"/>
          <w:b/>
          <w:sz w:val="28"/>
          <w:szCs w:val="28"/>
        </w:rPr>
        <w:t>廉政责任书</w:t>
      </w:r>
    </w:p>
    <w:p w14:paraId="193916A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b/>
          <w:sz w:val="28"/>
          <w:szCs w:val="28"/>
        </w:rPr>
      </w:pPr>
    </w:p>
    <w:p w14:paraId="5D493A11">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仿宋"/>
          <w:sz w:val="24"/>
        </w:rPr>
      </w:pPr>
      <w:r>
        <w:rPr>
          <w:rFonts w:hint="eastAsia" w:ascii="宋体" w:hAnsi="宋体" w:cs="仿宋"/>
          <w:sz w:val="24"/>
        </w:rPr>
        <w:t>为进一步加强小额公共资源交易的廉政建设，特订立如下合同。</w:t>
      </w:r>
    </w:p>
    <w:p w14:paraId="7ED824D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仿宋"/>
          <w:sz w:val="24"/>
        </w:rPr>
      </w:pPr>
      <w:r>
        <w:rPr>
          <w:rFonts w:hint="eastAsia" w:ascii="宋体" w:hAnsi="宋体" w:cs="仿宋"/>
          <w:sz w:val="24"/>
        </w:rPr>
        <w:t>一、甲、乙双方的权利和义务</w:t>
      </w:r>
    </w:p>
    <w:p w14:paraId="07753BC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仿宋"/>
          <w:sz w:val="24"/>
        </w:rPr>
      </w:pPr>
      <w:r>
        <w:rPr>
          <w:rFonts w:hint="eastAsia" w:ascii="宋体" w:hAnsi="宋体" w:cs="仿宋"/>
          <w:sz w:val="24"/>
        </w:rPr>
        <w:t>1、甲乙双方应严格遵守党的政策规定和国家有关法律法规。</w:t>
      </w:r>
    </w:p>
    <w:p w14:paraId="303647C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仿宋"/>
          <w:sz w:val="24"/>
        </w:rPr>
      </w:pPr>
      <w:r>
        <w:rPr>
          <w:rFonts w:hint="eastAsia" w:ascii="宋体" w:hAnsi="宋体" w:cs="仿宋"/>
          <w:sz w:val="24"/>
        </w:rPr>
        <w:t>2、甲乙双方应严格执行项目的合同文件，自觉按合同办事。</w:t>
      </w:r>
    </w:p>
    <w:p w14:paraId="291BE128">
      <w:pPr>
        <w:keepNext w:val="0"/>
        <w:keepLines w:val="0"/>
        <w:pageBreakBefore w:val="0"/>
        <w:widowControl w:val="0"/>
        <w:kinsoku/>
        <w:wordWrap/>
        <w:overflowPunct/>
        <w:topLinePunct w:val="0"/>
        <w:autoSpaceDE/>
        <w:autoSpaceDN/>
        <w:bidi w:val="0"/>
        <w:adjustRightInd/>
        <w:spacing w:line="360" w:lineRule="auto"/>
        <w:ind w:firstLine="464" w:firstLineChars="200"/>
        <w:textAlignment w:val="auto"/>
        <w:rPr>
          <w:rFonts w:ascii="宋体" w:hAnsi="宋体" w:cs="仿宋"/>
          <w:sz w:val="24"/>
        </w:rPr>
      </w:pPr>
      <w:r>
        <w:rPr>
          <w:rFonts w:hint="eastAsia" w:ascii="宋体" w:hAnsi="宋体" w:cs="仿宋"/>
          <w:spacing w:val="-4"/>
          <w:sz w:val="24"/>
        </w:rPr>
        <w:t>3、甲乙双方的业务活动应坚持公开、公平、公正、诚信、透明的原则</w:t>
      </w:r>
      <w:r>
        <w:rPr>
          <w:rFonts w:hint="eastAsia" w:ascii="宋体" w:hAnsi="宋体" w:cs="仿宋"/>
          <w:sz w:val="24"/>
        </w:rPr>
        <w:t>。</w:t>
      </w:r>
    </w:p>
    <w:p w14:paraId="0D3A1E7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仿宋"/>
          <w:sz w:val="24"/>
        </w:rPr>
      </w:pPr>
      <w:r>
        <w:rPr>
          <w:rFonts w:hint="eastAsia" w:ascii="宋体" w:hAnsi="宋体" w:cs="仿宋"/>
          <w:sz w:val="24"/>
        </w:rPr>
        <w:t>4、甲乙双方不得以任何理由向对方工作人员行贿或馈赠礼金、有价证券、贵重礼品。不得在对方报销任何应由个人支付的费用。</w:t>
      </w:r>
    </w:p>
    <w:p w14:paraId="1E8C35B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仿宋"/>
          <w:sz w:val="24"/>
        </w:rPr>
      </w:pPr>
      <w:r>
        <w:rPr>
          <w:rFonts w:hint="eastAsia" w:ascii="宋体" w:hAnsi="宋体" w:cs="仿宋"/>
          <w:sz w:val="24"/>
        </w:rPr>
        <w:t>5、甲乙双方不得以任何理由违反廉洁自律的有关规定。</w:t>
      </w:r>
    </w:p>
    <w:p w14:paraId="455F900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仿宋"/>
          <w:sz w:val="24"/>
        </w:rPr>
      </w:pPr>
      <w:r>
        <w:rPr>
          <w:rFonts w:hint="eastAsia" w:ascii="宋体" w:hAnsi="宋体" w:cs="仿宋"/>
          <w:sz w:val="24"/>
        </w:rPr>
        <w:t>6、甲乙双方发现对方严重违反本合同条款的行为，有及时提醒对方、向其上级有关部门举报、建议给予处理并要求告知处理结果的权利。</w:t>
      </w:r>
    </w:p>
    <w:p w14:paraId="075C8C4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仿宋"/>
          <w:sz w:val="24"/>
        </w:rPr>
      </w:pPr>
      <w:r>
        <w:rPr>
          <w:rFonts w:hint="eastAsia" w:ascii="宋体" w:hAnsi="宋体" w:cs="仿宋"/>
          <w:sz w:val="24"/>
        </w:rPr>
        <w:t>二、违约责任</w:t>
      </w:r>
    </w:p>
    <w:p w14:paraId="502448A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仿宋"/>
          <w:sz w:val="24"/>
        </w:rPr>
      </w:pPr>
      <w:r>
        <w:rPr>
          <w:rFonts w:hint="eastAsia" w:ascii="宋体" w:hAnsi="宋体" w:cs="仿宋"/>
          <w:sz w:val="24"/>
        </w:rPr>
        <w:t>1、甲、乙双方及其工作人员违反本合同有关规定的，按管理权限，依据有关规定给予经济处罚或追究党纪政纪责任；涉嫌犯罪的，移交司法机关追究刑事责任；给双方单位造成经济损失的，应予以赔偿。</w:t>
      </w:r>
    </w:p>
    <w:p w14:paraId="4E4F9F3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仿宋"/>
          <w:sz w:val="24"/>
        </w:rPr>
      </w:pPr>
      <w:r>
        <w:rPr>
          <w:rFonts w:hint="eastAsia" w:ascii="宋体" w:hAnsi="宋体" w:cs="仿宋"/>
          <w:sz w:val="24"/>
        </w:rPr>
        <w:t>2、</w:t>
      </w:r>
      <w:r>
        <w:rPr>
          <w:rFonts w:hint="eastAsia" w:ascii="宋体" w:hAnsi="宋体" w:cs="宋体"/>
          <w:sz w:val="24"/>
        </w:rPr>
        <w:t>一式六份，甲、乙双方各执两份。其余由代理机构移交各部门。</w:t>
      </w:r>
    </w:p>
    <w:p w14:paraId="2A08A38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仿宋"/>
          <w:sz w:val="24"/>
        </w:rPr>
      </w:pPr>
    </w:p>
    <w:p w14:paraId="5A9A5B3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仿宋"/>
          <w:sz w:val="24"/>
        </w:rPr>
      </w:pPr>
      <w:r>
        <w:rPr>
          <w:rFonts w:hint="eastAsia" w:ascii="宋体" w:hAnsi="宋体" w:cs="仿宋"/>
          <w:sz w:val="24"/>
        </w:rPr>
        <w:t>甲方单位（盖章）：                            乙方单位（盖章）：</w:t>
      </w:r>
    </w:p>
    <w:p w14:paraId="742B435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仿宋"/>
          <w:sz w:val="24"/>
        </w:rPr>
      </w:pPr>
    </w:p>
    <w:p w14:paraId="5163E817">
      <w:pPr>
        <w:pStyle w:val="15"/>
        <w:keepNext w:val="0"/>
        <w:keepLines w:val="0"/>
        <w:pageBreakBefore w:val="0"/>
        <w:widowControl w:val="0"/>
        <w:kinsoku/>
        <w:wordWrap/>
        <w:overflowPunct/>
        <w:topLinePunct w:val="0"/>
        <w:autoSpaceDE/>
        <w:autoSpaceDN/>
        <w:bidi w:val="0"/>
        <w:adjustRightInd/>
        <w:spacing w:line="360" w:lineRule="auto"/>
        <w:textAlignment w:val="auto"/>
      </w:pPr>
    </w:p>
    <w:p w14:paraId="6407CC2E">
      <w:pPr>
        <w:pStyle w:val="15"/>
        <w:keepNext w:val="0"/>
        <w:keepLines w:val="0"/>
        <w:pageBreakBefore w:val="0"/>
        <w:widowControl w:val="0"/>
        <w:kinsoku/>
        <w:wordWrap/>
        <w:overflowPunct/>
        <w:topLinePunct w:val="0"/>
        <w:autoSpaceDE/>
        <w:autoSpaceDN/>
        <w:bidi w:val="0"/>
        <w:adjustRightInd/>
        <w:spacing w:line="360" w:lineRule="auto"/>
        <w:textAlignment w:val="auto"/>
      </w:pPr>
    </w:p>
    <w:p w14:paraId="57C64216">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snapToGrid w:val="0"/>
          <w:sz w:val="24"/>
        </w:rPr>
      </w:pPr>
      <w:r>
        <w:rPr>
          <w:rFonts w:ascii="宋体" w:hAnsi="宋体"/>
          <w:sz w:val="24"/>
        </w:rPr>
        <w:t>法定代表人或其委托代理人</w:t>
      </w:r>
      <w:r>
        <w:rPr>
          <w:rFonts w:hint="eastAsia" w:ascii="宋体" w:hAnsi="宋体"/>
          <w:sz w:val="24"/>
        </w:rPr>
        <w:t>：</w:t>
      </w:r>
      <w:r>
        <w:rPr>
          <w:rFonts w:hint="eastAsia" w:ascii="宋体" w:hAnsi="宋体"/>
          <w:sz w:val="24"/>
          <w:lang w:val="en-US" w:eastAsia="zh-CN"/>
        </w:rPr>
        <w:t xml:space="preserve">            </w:t>
      </w:r>
      <w:r>
        <w:rPr>
          <w:rFonts w:ascii="宋体" w:hAnsi="宋体"/>
          <w:sz w:val="24"/>
        </w:rPr>
        <w:t>法定代表人或其委托代理人</w:t>
      </w:r>
      <w:r>
        <w:rPr>
          <w:rFonts w:hint="eastAsia" w:ascii="宋体" w:hAnsi="宋体"/>
          <w:sz w:val="24"/>
        </w:rPr>
        <w:t>：</w:t>
      </w:r>
    </w:p>
    <w:p w14:paraId="5C192B91">
      <w:pPr>
        <w:pStyle w:val="15"/>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snapToGrid w:val="0"/>
          <w:sz w:val="24"/>
        </w:rPr>
      </w:pPr>
    </w:p>
    <w:p w14:paraId="43D4BE5B">
      <w:pPr>
        <w:keepNext w:val="0"/>
        <w:keepLines w:val="0"/>
        <w:pageBreakBefore w:val="0"/>
        <w:widowControl w:val="0"/>
        <w:kinsoku/>
        <w:wordWrap/>
        <w:overflowPunct/>
        <w:topLinePunct w:val="0"/>
        <w:autoSpaceDE/>
        <w:autoSpaceDN/>
        <w:bidi w:val="0"/>
        <w:adjustRightInd/>
        <w:spacing w:line="360" w:lineRule="auto"/>
        <w:textAlignment w:val="auto"/>
      </w:pPr>
    </w:p>
    <w:p w14:paraId="7BE5B3B4">
      <w:pPr>
        <w:keepNext w:val="0"/>
        <w:keepLines w:val="0"/>
        <w:pageBreakBefore w:val="0"/>
        <w:widowControl w:val="0"/>
        <w:tabs>
          <w:tab w:val="right" w:leader="middleDot" w:pos="7938"/>
        </w:tabs>
        <w:kinsoku/>
        <w:wordWrap/>
        <w:overflowPunct/>
        <w:topLinePunct w:val="0"/>
        <w:autoSpaceDE/>
        <w:autoSpaceDN/>
        <w:bidi w:val="0"/>
        <w:adjustRightInd/>
        <w:spacing w:line="360" w:lineRule="auto"/>
        <w:ind w:firstLine="1920" w:firstLineChars="800"/>
        <w:textAlignment w:val="auto"/>
        <w:rPr>
          <w:rFonts w:ascii="宋体" w:hAnsi="宋体"/>
          <w:snapToGrid w:val="0"/>
          <w:kern w:val="0"/>
          <w:sz w:val="24"/>
        </w:rPr>
      </w:pPr>
      <w:r>
        <w:rPr>
          <w:rFonts w:ascii="宋体" w:hAnsi="宋体"/>
          <w:snapToGrid w:val="0"/>
          <w:kern w:val="0"/>
          <w:sz w:val="24"/>
        </w:rPr>
        <w:t>年</w:t>
      </w:r>
      <w:r>
        <w:rPr>
          <w:rFonts w:hint="eastAsia" w:ascii="宋体" w:hAnsi="宋体"/>
          <w:snapToGrid w:val="0"/>
          <w:kern w:val="0"/>
          <w:sz w:val="24"/>
          <w:lang w:val="en-US" w:eastAsia="zh-CN"/>
        </w:rPr>
        <w:t xml:space="preserve">   </w:t>
      </w:r>
      <w:r>
        <w:rPr>
          <w:rFonts w:ascii="宋体" w:hAnsi="宋体"/>
          <w:snapToGrid w:val="0"/>
          <w:kern w:val="0"/>
          <w:sz w:val="24"/>
        </w:rPr>
        <w:t>月</w:t>
      </w:r>
      <w:r>
        <w:rPr>
          <w:rFonts w:hint="eastAsia" w:ascii="宋体" w:hAnsi="宋体"/>
          <w:snapToGrid w:val="0"/>
          <w:kern w:val="0"/>
          <w:sz w:val="24"/>
          <w:lang w:val="en-US" w:eastAsia="zh-CN"/>
        </w:rPr>
        <w:t xml:space="preserve">   </w:t>
      </w:r>
      <w:r>
        <w:rPr>
          <w:rFonts w:ascii="宋体" w:hAnsi="宋体"/>
          <w:snapToGrid w:val="0"/>
          <w:kern w:val="0"/>
          <w:sz w:val="24"/>
        </w:rPr>
        <w:t xml:space="preserve">日        </w:t>
      </w:r>
      <w:r>
        <w:rPr>
          <w:rFonts w:hint="eastAsia" w:ascii="宋体" w:hAnsi="宋体"/>
          <w:snapToGrid w:val="0"/>
          <w:kern w:val="0"/>
          <w:sz w:val="24"/>
          <w:lang w:val="en-US" w:eastAsia="zh-CN"/>
        </w:rPr>
        <w:t xml:space="preserve">                    </w:t>
      </w:r>
      <w:r>
        <w:rPr>
          <w:rFonts w:ascii="宋体" w:hAnsi="宋体"/>
          <w:snapToGrid w:val="0"/>
          <w:kern w:val="0"/>
          <w:sz w:val="24"/>
        </w:rPr>
        <w:t>年</w:t>
      </w:r>
      <w:r>
        <w:rPr>
          <w:rFonts w:hint="eastAsia" w:ascii="宋体" w:hAnsi="宋体"/>
          <w:snapToGrid w:val="0"/>
          <w:kern w:val="0"/>
          <w:sz w:val="24"/>
          <w:lang w:val="en-US" w:eastAsia="zh-CN"/>
        </w:rPr>
        <w:t xml:space="preserve">   </w:t>
      </w:r>
      <w:r>
        <w:rPr>
          <w:rFonts w:ascii="宋体" w:hAnsi="宋体"/>
          <w:snapToGrid w:val="0"/>
          <w:kern w:val="0"/>
          <w:sz w:val="24"/>
        </w:rPr>
        <w:t>月</w:t>
      </w:r>
      <w:r>
        <w:rPr>
          <w:rFonts w:hint="eastAsia" w:ascii="宋体" w:hAnsi="宋体"/>
          <w:snapToGrid w:val="0"/>
          <w:kern w:val="0"/>
          <w:sz w:val="24"/>
          <w:lang w:val="en-US" w:eastAsia="zh-CN"/>
        </w:rPr>
        <w:t xml:space="preserve">   </w:t>
      </w:r>
      <w:r>
        <w:rPr>
          <w:rFonts w:ascii="宋体" w:hAnsi="宋体"/>
          <w:snapToGrid w:val="0"/>
          <w:kern w:val="0"/>
          <w:sz w:val="24"/>
        </w:rPr>
        <w:t>日</w:t>
      </w:r>
    </w:p>
    <w:p w14:paraId="4AFDBA67">
      <w:pPr>
        <w:rPr>
          <w:rFonts w:hint="eastAsia" w:ascii="宋体" w:hAnsi="宋体" w:cs="宋体"/>
          <w:b/>
          <w:sz w:val="36"/>
          <w:szCs w:val="20"/>
        </w:rPr>
      </w:pPr>
    </w:p>
    <w:p w14:paraId="609B16C7">
      <w:pPr>
        <w:rPr>
          <w:rFonts w:hint="eastAsia" w:ascii="宋体" w:hAnsi="宋体" w:cs="宋体"/>
          <w:b/>
          <w:sz w:val="36"/>
          <w:szCs w:val="20"/>
        </w:rPr>
      </w:pPr>
      <w:r>
        <w:rPr>
          <w:rFonts w:hint="eastAsia" w:ascii="宋体" w:hAnsi="宋体" w:cs="宋体"/>
          <w:b/>
          <w:sz w:val="36"/>
          <w:szCs w:val="20"/>
        </w:rPr>
        <w:br w:type="page"/>
      </w:r>
    </w:p>
    <w:p w14:paraId="5A7DAAA4">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0"/>
      <w:bookmarkEnd w:id="391"/>
      <w:r>
        <w:rPr>
          <w:rFonts w:hint="eastAsia" w:ascii="宋体" w:hAnsi="宋体" w:cs="宋体"/>
          <w:b/>
          <w:sz w:val="36"/>
          <w:szCs w:val="20"/>
        </w:rPr>
        <w:t>应提交的有关格式范例</w:t>
      </w:r>
    </w:p>
    <w:p w14:paraId="6678D257">
      <w:pPr>
        <w:spacing w:line="360" w:lineRule="auto"/>
        <w:jc w:val="center"/>
        <w:outlineLvl w:val="0"/>
        <w:rPr>
          <w:rFonts w:ascii="宋体" w:hAnsi="宋体" w:cs="宋体"/>
          <w:b/>
          <w:kern w:val="0"/>
          <w:sz w:val="36"/>
          <w:szCs w:val="36"/>
        </w:rPr>
      </w:pPr>
    </w:p>
    <w:p w14:paraId="2178F0E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843DB6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B3063D5">
      <w:pPr>
        <w:spacing w:line="360" w:lineRule="auto"/>
        <w:jc w:val="center"/>
        <w:outlineLvl w:val="0"/>
        <w:rPr>
          <w:rFonts w:ascii="宋体" w:hAnsi="宋体" w:cs="宋体"/>
          <w:b/>
          <w:kern w:val="0"/>
          <w:sz w:val="36"/>
          <w:szCs w:val="36"/>
        </w:rPr>
      </w:pPr>
    </w:p>
    <w:p w14:paraId="0B9D88A8">
      <w:pPr>
        <w:snapToGrid w:val="0"/>
        <w:spacing w:line="360" w:lineRule="auto"/>
        <w:rPr>
          <w:rFonts w:ascii="宋体" w:hAnsi="宋体" w:cs="宋体"/>
          <w:sz w:val="24"/>
        </w:rPr>
      </w:pPr>
      <w:r>
        <w:rPr>
          <w:rFonts w:hint="eastAsia" w:ascii="宋体" w:hAnsi="宋体" w:cs="宋体"/>
          <w:sz w:val="24"/>
        </w:rPr>
        <w:t>（1）提供有效的营业执照副本并加盖公章（或事业单位法人登记证或其他工商等登记证明材料）……………………………………………………………………………</w:t>
      </w:r>
      <w:r>
        <w:rPr>
          <w:rFonts w:hint="eastAsia" w:ascii="宋体" w:hAnsi="宋体" w:cs="宋体"/>
          <w:sz w:val="24"/>
          <w:lang w:val="en-US" w:eastAsia="zh-CN"/>
        </w:rPr>
        <w:t xml:space="preserve"> </w:t>
      </w:r>
      <w:r>
        <w:rPr>
          <w:rFonts w:hint="eastAsia" w:ascii="宋体" w:hAnsi="宋体" w:cs="宋体"/>
          <w:sz w:val="24"/>
        </w:rPr>
        <w:t>（页码）</w:t>
      </w:r>
    </w:p>
    <w:p w14:paraId="01B78FDB">
      <w:pPr>
        <w:snapToGrid w:val="0"/>
        <w:spacing w:line="360" w:lineRule="auto"/>
        <w:rPr>
          <w:rFonts w:ascii="宋体" w:hAnsi="宋体" w:cs="宋体"/>
          <w:sz w:val="24"/>
        </w:rPr>
      </w:pPr>
      <w:r>
        <w:rPr>
          <w:rFonts w:hint="eastAsia" w:ascii="宋体" w:hAnsi="宋体" w:cs="宋体"/>
          <w:sz w:val="24"/>
        </w:rPr>
        <w:t>（2）符合参加政府采购活动应当具备的一般条件的承诺函………………………（页码）（</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联合协议（如有）</w:t>
      </w:r>
      <w:r>
        <w:rPr>
          <w:rFonts w:hint="eastAsia" w:ascii="宋体" w:hAnsi="宋体" w:cs="宋体"/>
          <w:sz w:val="24"/>
        </w:rPr>
        <w:t>………………………………………………………………（页码）</w:t>
      </w:r>
    </w:p>
    <w:p w14:paraId="2CA69C16">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40BE70E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r>
        <w:rPr>
          <w:rFonts w:hint="eastAsia" w:ascii="宋体" w:hAnsi="宋体" w:cs="宋体"/>
          <w:sz w:val="24"/>
        </w:rPr>
        <w:t>………………………………………………（页码）</w:t>
      </w:r>
    </w:p>
    <w:p w14:paraId="2498BFFB">
      <w:pPr>
        <w:spacing w:line="360" w:lineRule="auto"/>
        <w:ind w:firstLine="480" w:firstLineChars="200"/>
        <w:rPr>
          <w:rFonts w:ascii="宋体" w:hAnsi="宋体" w:cs="宋体"/>
          <w:sz w:val="24"/>
        </w:rPr>
      </w:pPr>
    </w:p>
    <w:p w14:paraId="3CF1E593">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5A32FA2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6A453BBE">
      <w:pPr>
        <w:snapToGrid w:val="0"/>
        <w:spacing w:line="360" w:lineRule="auto"/>
        <w:rPr>
          <w:rFonts w:ascii="宋体" w:hAnsi="宋体" w:cs="宋体"/>
          <w:sz w:val="24"/>
        </w:rPr>
      </w:pPr>
      <w:r>
        <w:rPr>
          <w:rFonts w:hint="eastAsia" w:ascii="宋体" w:hAnsi="宋体" w:cs="宋体"/>
          <w:sz w:val="24"/>
        </w:rPr>
        <w:t>（采购人）、（采购代理机构）：</w:t>
      </w:r>
    </w:p>
    <w:p w14:paraId="04C4D61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F8F78A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9E74EB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5D8B12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BDAD5D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385BB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E0E5B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2091C5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7FE09A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531C6E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DFCBF7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F1215A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E48504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6752402">
      <w:pPr>
        <w:snapToGrid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14:paraId="6890CC6B">
      <w:pPr>
        <w:snapToGrid w:val="0"/>
        <w:spacing w:line="360" w:lineRule="auto"/>
        <w:jc w:val="center"/>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7D9BF131">
      <w:pPr>
        <w:snapToGrid w:val="0"/>
        <w:spacing w:line="360" w:lineRule="auto"/>
        <w:ind w:right="480"/>
        <w:jc w:val="center"/>
        <w:rPr>
          <w:rFonts w:ascii="宋体" w:hAnsi="宋体" w:cs="宋体"/>
          <w:b/>
          <w:kern w:val="0"/>
          <w:sz w:val="32"/>
          <w:szCs w:val="32"/>
        </w:rPr>
      </w:pPr>
    </w:p>
    <w:p w14:paraId="58ED11B6">
      <w:pPr>
        <w:snapToGrid w:val="0"/>
        <w:spacing w:line="360" w:lineRule="auto"/>
        <w:ind w:right="480"/>
        <w:jc w:val="center"/>
        <w:rPr>
          <w:rFonts w:ascii="宋体" w:hAnsi="宋体" w:cs="宋体"/>
          <w:b/>
          <w:kern w:val="0"/>
          <w:sz w:val="32"/>
          <w:szCs w:val="32"/>
        </w:rPr>
      </w:pPr>
    </w:p>
    <w:p w14:paraId="20F80E51">
      <w:pPr>
        <w:snapToGrid w:val="0"/>
        <w:spacing w:line="360" w:lineRule="auto"/>
        <w:ind w:right="480"/>
        <w:jc w:val="center"/>
        <w:rPr>
          <w:rFonts w:ascii="宋体" w:hAnsi="宋体" w:cs="宋体"/>
          <w:b/>
          <w:kern w:val="0"/>
          <w:sz w:val="32"/>
          <w:szCs w:val="32"/>
        </w:rPr>
      </w:pPr>
    </w:p>
    <w:p w14:paraId="74DC92FA">
      <w:pPr>
        <w:rPr>
          <w:rFonts w:ascii="宋体" w:hAnsi="宋体" w:cs="宋体"/>
        </w:rPr>
      </w:pPr>
    </w:p>
    <w:p w14:paraId="4A765847">
      <w:pPr>
        <w:snapToGrid w:val="0"/>
        <w:spacing w:line="360" w:lineRule="auto"/>
        <w:ind w:right="480"/>
        <w:jc w:val="center"/>
        <w:rPr>
          <w:rFonts w:ascii="宋体" w:hAnsi="宋体" w:cs="宋体"/>
          <w:b/>
          <w:kern w:val="0"/>
          <w:sz w:val="32"/>
          <w:szCs w:val="32"/>
        </w:rPr>
      </w:pPr>
    </w:p>
    <w:p w14:paraId="1D9167BE">
      <w:pPr>
        <w:snapToGrid w:val="0"/>
        <w:spacing w:line="360" w:lineRule="auto"/>
        <w:ind w:right="480"/>
        <w:jc w:val="center"/>
        <w:rPr>
          <w:rFonts w:ascii="宋体" w:hAnsi="宋体" w:cs="宋体"/>
          <w:b/>
          <w:kern w:val="0"/>
          <w:sz w:val="32"/>
          <w:szCs w:val="32"/>
        </w:rPr>
      </w:pPr>
    </w:p>
    <w:p w14:paraId="6147EEA9">
      <w:pPr>
        <w:snapToGrid w:val="0"/>
        <w:spacing w:line="360" w:lineRule="auto"/>
        <w:ind w:right="480"/>
        <w:jc w:val="center"/>
        <w:rPr>
          <w:rFonts w:ascii="宋体" w:hAnsi="宋体" w:cs="宋体"/>
          <w:b/>
          <w:kern w:val="0"/>
          <w:sz w:val="32"/>
          <w:szCs w:val="32"/>
        </w:rPr>
      </w:pPr>
    </w:p>
    <w:p w14:paraId="0B267990">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二、联合协议</w:t>
      </w:r>
    </w:p>
    <w:p w14:paraId="6CD2A84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09F0390">
      <w:pPr>
        <w:snapToGrid w:val="0"/>
        <w:spacing w:line="360" w:lineRule="auto"/>
        <w:ind w:right="480"/>
        <w:jc w:val="center"/>
        <w:rPr>
          <w:rFonts w:ascii="宋体" w:hAnsi="宋体" w:cs="宋体"/>
          <w:b/>
          <w:kern w:val="0"/>
          <w:sz w:val="32"/>
          <w:szCs w:val="32"/>
        </w:rPr>
      </w:pPr>
    </w:p>
    <w:p w14:paraId="7AA6D66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、落实政府采购政策需满足的资格要求</w:t>
      </w:r>
    </w:p>
    <w:p w14:paraId="14559AF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218843">
      <w:pPr>
        <w:snapToGrid w:val="0"/>
        <w:spacing w:before="50" w:after="50" w:line="360" w:lineRule="auto"/>
        <w:jc w:val="center"/>
        <w:rPr>
          <w:rFonts w:ascii="宋体" w:hAnsi="宋体" w:cs="宋体"/>
          <w:b/>
          <w:sz w:val="24"/>
        </w:rPr>
      </w:pPr>
    </w:p>
    <w:p w14:paraId="33C4ACB8">
      <w:pPr>
        <w:widowControl/>
        <w:spacing w:line="360" w:lineRule="auto"/>
        <w:jc w:val="both"/>
        <w:rPr>
          <w:rFonts w:ascii="宋体" w:hAnsi="宋体" w:cs="宋体"/>
          <w:b/>
          <w:kern w:val="0"/>
          <w:sz w:val="32"/>
          <w:szCs w:val="32"/>
        </w:rPr>
      </w:pPr>
    </w:p>
    <w:p w14:paraId="39D3675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、本项目的特定资格要求</w:t>
      </w:r>
    </w:p>
    <w:p w14:paraId="4DE8F0A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CC406FE">
      <w:pPr>
        <w:rPr>
          <w:rFonts w:ascii="宋体" w:hAnsi="宋体" w:cs="宋体"/>
        </w:rPr>
      </w:pPr>
    </w:p>
    <w:p w14:paraId="582DCE0E">
      <w:pPr>
        <w:snapToGrid w:val="0"/>
        <w:spacing w:line="360" w:lineRule="auto"/>
        <w:ind w:right="480"/>
        <w:jc w:val="center"/>
        <w:rPr>
          <w:rFonts w:hint="eastAsia" w:ascii="宋体" w:hAnsi="宋体" w:cs="宋体"/>
          <w:b/>
          <w:kern w:val="0"/>
          <w:sz w:val="32"/>
          <w:szCs w:val="32"/>
          <w:lang w:eastAsia="zh-CN"/>
        </w:rPr>
        <w:sectPr>
          <w:headerReference r:id="rId12" w:type="first"/>
          <w:footerReference r:id="rId14" w:type="first"/>
          <w:headerReference r:id="rId11" w:type="default"/>
          <w:footerReference r:id="rId13"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7AAB9EAB">
      <w:pPr>
        <w:spacing w:line="360" w:lineRule="auto"/>
        <w:ind w:right="420"/>
        <w:jc w:val="center"/>
        <w:rPr>
          <w:rFonts w:hint="eastAsia" w:ascii="宋体" w:hAnsi="宋体" w:cs="宋体"/>
          <w:b/>
          <w:kern w:val="0"/>
          <w:sz w:val="36"/>
          <w:szCs w:val="36"/>
        </w:rPr>
      </w:pPr>
    </w:p>
    <w:p w14:paraId="53036091">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0AFB7C0F">
      <w:pPr>
        <w:spacing w:line="360" w:lineRule="auto"/>
        <w:jc w:val="center"/>
        <w:outlineLvl w:val="0"/>
        <w:rPr>
          <w:rFonts w:ascii="宋体" w:hAnsi="宋体" w:cs="宋体"/>
          <w:b/>
          <w:kern w:val="0"/>
          <w:sz w:val="24"/>
        </w:rPr>
      </w:pPr>
    </w:p>
    <w:p w14:paraId="299A3F8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BE298F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9C7F738">
      <w:pPr>
        <w:snapToGrid w:val="0"/>
        <w:spacing w:line="360" w:lineRule="auto"/>
        <w:ind w:left="479" w:leftChars="228" w:firstLine="0" w:firstLineChars="0"/>
        <w:rPr>
          <w:rFonts w:ascii="宋体" w:hAnsi="宋体" w:cs="宋体"/>
        </w:rPr>
      </w:pPr>
      <w:r>
        <w:rPr>
          <w:rFonts w:hint="eastAsia" w:ascii="宋体" w:hAnsi="宋体" w:cs="宋体"/>
          <w:sz w:val="24"/>
        </w:rPr>
        <w:t>（3）</w:t>
      </w:r>
      <w:r>
        <w:rPr>
          <w:rFonts w:hint="eastAsia" w:ascii="宋体" w:hAnsi="宋体" w:cs="宋体"/>
          <w:sz w:val="24"/>
          <w:lang w:eastAsia="zh-CN"/>
        </w:rPr>
        <w:t>分包意向协议（如果有）</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）符合性审查资料</w:t>
      </w:r>
      <w:r>
        <w:rPr>
          <w:rFonts w:hint="eastAsia" w:ascii="宋体" w:hAnsi="宋体" w:cs="宋体"/>
        </w:rPr>
        <w:t>………………………………………………………………………（页码）</w:t>
      </w:r>
    </w:p>
    <w:p w14:paraId="2F361BD0">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w:t>
      </w:r>
      <w:r>
        <w:rPr>
          <w:rFonts w:hint="eastAsia" w:ascii="宋体" w:hAnsi="宋体" w:cs="宋体"/>
        </w:rPr>
        <w:t>……………………………………………………（页码）</w:t>
      </w:r>
    </w:p>
    <w:p w14:paraId="40DDA62A">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47C66C1D">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3B198A5C">
      <w:pPr>
        <w:snapToGrid w:val="0"/>
        <w:spacing w:line="360" w:lineRule="auto"/>
        <w:jc w:val="center"/>
        <w:rPr>
          <w:rFonts w:ascii="宋体" w:hAnsi="宋体" w:cs="宋体"/>
          <w:b/>
          <w:kern w:val="0"/>
          <w:sz w:val="32"/>
          <w:szCs w:val="32"/>
          <w:lang w:val="zh-CN"/>
        </w:rPr>
      </w:pPr>
    </w:p>
    <w:p w14:paraId="6B628194">
      <w:pPr>
        <w:snapToGrid w:val="0"/>
        <w:spacing w:line="360" w:lineRule="auto"/>
        <w:jc w:val="center"/>
        <w:rPr>
          <w:rFonts w:ascii="宋体" w:hAnsi="宋体" w:cs="宋体"/>
          <w:b/>
          <w:kern w:val="0"/>
          <w:sz w:val="32"/>
          <w:szCs w:val="32"/>
          <w:lang w:val="zh-CN"/>
        </w:rPr>
      </w:pPr>
    </w:p>
    <w:p w14:paraId="5FA363C8">
      <w:pPr>
        <w:snapToGrid w:val="0"/>
        <w:spacing w:line="360" w:lineRule="auto"/>
        <w:jc w:val="center"/>
        <w:rPr>
          <w:rFonts w:ascii="宋体" w:hAnsi="宋体" w:cs="宋体"/>
          <w:b/>
          <w:kern w:val="0"/>
          <w:sz w:val="32"/>
          <w:szCs w:val="32"/>
          <w:lang w:val="zh-CN"/>
        </w:rPr>
      </w:pPr>
    </w:p>
    <w:p w14:paraId="6FE3A280">
      <w:pPr>
        <w:snapToGrid w:val="0"/>
        <w:spacing w:line="360" w:lineRule="auto"/>
        <w:jc w:val="center"/>
        <w:rPr>
          <w:rFonts w:ascii="宋体" w:hAnsi="宋体" w:cs="宋体"/>
          <w:b/>
          <w:kern w:val="0"/>
          <w:sz w:val="32"/>
          <w:szCs w:val="32"/>
          <w:lang w:val="zh-CN"/>
        </w:rPr>
      </w:pPr>
    </w:p>
    <w:p w14:paraId="2BEF7D5B">
      <w:pPr>
        <w:snapToGrid w:val="0"/>
        <w:spacing w:line="360" w:lineRule="auto"/>
        <w:jc w:val="center"/>
        <w:rPr>
          <w:rFonts w:ascii="宋体" w:hAnsi="宋体" w:cs="宋体"/>
          <w:b/>
          <w:kern w:val="0"/>
          <w:sz w:val="32"/>
          <w:szCs w:val="32"/>
          <w:lang w:val="zh-CN"/>
        </w:rPr>
      </w:pPr>
    </w:p>
    <w:p w14:paraId="65EF7D05">
      <w:pPr>
        <w:snapToGrid w:val="0"/>
        <w:spacing w:line="360" w:lineRule="auto"/>
        <w:jc w:val="center"/>
        <w:outlineLvl w:val="0"/>
        <w:rPr>
          <w:rFonts w:ascii="宋体" w:hAnsi="宋体" w:cs="宋体"/>
          <w:b/>
          <w:kern w:val="0"/>
          <w:sz w:val="32"/>
          <w:szCs w:val="32"/>
        </w:rPr>
      </w:pPr>
    </w:p>
    <w:p w14:paraId="3D53775F">
      <w:pPr>
        <w:snapToGrid w:val="0"/>
        <w:spacing w:line="360" w:lineRule="auto"/>
        <w:jc w:val="center"/>
        <w:outlineLvl w:val="0"/>
        <w:rPr>
          <w:rFonts w:ascii="宋体" w:hAnsi="宋体" w:cs="宋体"/>
          <w:b/>
          <w:kern w:val="0"/>
          <w:sz w:val="32"/>
          <w:szCs w:val="32"/>
        </w:rPr>
      </w:pPr>
    </w:p>
    <w:p w14:paraId="65A3E936">
      <w:pPr>
        <w:rPr>
          <w:rFonts w:ascii="宋体" w:hAnsi="宋体" w:cs="宋体"/>
        </w:rPr>
      </w:pPr>
    </w:p>
    <w:p w14:paraId="534884C5">
      <w:pPr>
        <w:snapToGrid w:val="0"/>
        <w:spacing w:line="360" w:lineRule="auto"/>
        <w:jc w:val="center"/>
        <w:outlineLvl w:val="0"/>
        <w:rPr>
          <w:rFonts w:ascii="宋体" w:hAnsi="宋体" w:cs="宋体"/>
          <w:b/>
          <w:kern w:val="0"/>
          <w:sz w:val="32"/>
          <w:szCs w:val="32"/>
        </w:rPr>
      </w:pPr>
    </w:p>
    <w:p w14:paraId="2F35622E">
      <w:pPr>
        <w:snapToGrid w:val="0"/>
        <w:spacing w:line="360" w:lineRule="auto"/>
        <w:jc w:val="center"/>
        <w:outlineLvl w:val="0"/>
        <w:rPr>
          <w:rFonts w:ascii="宋体" w:hAnsi="宋体" w:cs="宋体"/>
          <w:b/>
          <w:kern w:val="0"/>
          <w:sz w:val="32"/>
          <w:szCs w:val="32"/>
        </w:rPr>
      </w:pPr>
    </w:p>
    <w:p w14:paraId="76CC2D40">
      <w:pPr>
        <w:snapToGrid w:val="0"/>
        <w:spacing w:line="360" w:lineRule="auto"/>
        <w:jc w:val="center"/>
        <w:outlineLvl w:val="0"/>
        <w:rPr>
          <w:rFonts w:ascii="宋体" w:hAnsi="宋体" w:cs="宋体"/>
          <w:b/>
          <w:kern w:val="0"/>
          <w:sz w:val="32"/>
          <w:szCs w:val="32"/>
        </w:rPr>
      </w:pPr>
    </w:p>
    <w:p w14:paraId="032C702D">
      <w:pPr>
        <w:pStyle w:val="19"/>
        <w:rPr>
          <w:rFonts w:ascii="宋体" w:hAnsi="宋体" w:cs="宋体"/>
          <w:b/>
          <w:kern w:val="0"/>
          <w:sz w:val="32"/>
          <w:szCs w:val="32"/>
        </w:rPr>
      </w:pPr>
    </w:p>
    <w:p w14:paraId="2C729E7D">
      <w:pPr>
        <w:pStyle w:val="18"/>
        <w:rPr>
          <w:rFonts w:ascii="宋体" w:hAnsi="宋体" w:cs="宋体"/>
          <w:b/>
          <w:kern w:val="0"/>
          <w:sz w:val="32"/>
          <w:szCs w:val="32"/>
        </w:rPr>
      </w:pPr>
    </w:p>
    <w:p w14:paraId="59F98F50">
      <w:pPr>
        <w:pStyle w:val="16"/>
      </w:pPr>
    </w:p>
    <w:p w14:paraId="4DE54081">
      <w:pPr>
        <w:snapToGrid w:val="0"/>
        <w:spacing w:line="360" w:lineRule="auto"/>
        <w:jc w:val="both"/>
        <w:outlineLvl w:val="0"/>
        <w:rPr>
          <w:rFonts w:ascii="宋体" w:hAnsi="宋体" w:cs="宋体"/>
          <w:b/>
          <w:kern w:val="0"/>
          <w:sz w:val="32"/>
          <w:szCs w:val="32"/>
        </w:rPr>
      </w:pPr>
    </w:p>
    <w:p w14:paraId="337938C2">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8537F6C">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s="宋体"/>
          <w:sz w:val="24"/>
        </w:rPr>
      </w:pPr>
      <w:r>
        <w:rPr>
          <w:rFonts w:hint="eastAsia" w:ascii="宋体" w:hAnsi="宋体" w:cs="宋体"/>
          <w:sz w:val="24"/>
        </w:rPr>
        <w:t>（采购人）、（采购代理机构）：</w:t>
      </w:r>
    </w:p>
    <w:p w14:paraId="0986F6D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082A13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highlight w:val="yellow"/>
          <w:u w:val="single"/>
          <w:lang w:val="en-US" w:eastAsia="zh-CN"/>
        </w:rPr>
        <w:t xml:space="preserve">     </w:t>
      </w:r>
      <w:r>
        <w:rPr>
          <w:rFonts w:hint="eastAsia" w:ascii="宋体" w:hAnsi="宋体" w:cs="宋体"/>
          <w:sz w:val="24"/>
          <w:highlight w:val="yellow"/>
        </w:rPr>
        <w:t>天</w:t>
      </w:r>
      <w:r>
        <w:rPr>
          <w:rFonts w:hint="eastAsia" w:ascii="宋体" w:hAnsi="宋体" w:cs="宋体"/>
          <w:sz w:val="24"/>
        </w:rPr>
        <w:t>（不少于90天）</w:t>
      </w:r>
      <w:r>
        <w:rPr>
          <w:rFonts w:hint="eastAsia" w:ascii="宋体" w:hAnsi="宋体" w:cs="宋体"/>
        </w:rPr>
        <w:t>，</w:t>
      </w:r>
      <w:r>
        <w:rPr>
          <w:rFonts w:hint="eastAsia" w:ascii="宋体" w:hAnsi="宋体" w:cs="宋体"/>
          <w:sz w:val="24"/>
        </w:rPr>
        <w:t>本投标文件在投标有效期满之前均具有约束力。</w:t>
      </w:r>
    </w:p>
    <w:p w14:paraId="2F0B7C8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2、我方的投标文件包括以下内容：</w:t>
      </w:r>
    </w:p>
    <w:p w14:paraId="3A24C581">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2.1资格文件：</w:t>
      </w:r>
    </w:p>
    <w:p w14:paraId="43FD83F9">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2.1.1提供有效的营业执照副本并加盖公章（或事业单位法人登记证或其他工商等登记证明材料）；</w:t>
      </w:r>
    </w:p>
    <w:p w14:paraId="0FD6FFC1">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hint="eastAsia" w:ascii="宋体" w:hAnsi="宋体" w:cs="宋体"/>
          <w:sz w:val="24"/>
        </w:rPr>
      </w:pPr>
      <w:r>
        <w:rPr>
          <w:rFonts w:hint="eastAsia" w:ascii="宋体" w:hAnsi="宋体" w:cs="宋体"/>
          <w:sz w:val="24"/>
        </w:rPr>
        <w:t>2.1.2符合参加政府采购活动应当具备的一般条件的承诺函；</w:t>
      </w:r>
    </w:p>
    <w:p w14:paraId="4334E4D2">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z w:val="24"/>
          <w:lang w:eastAsia="zh-CN"/>
        </w:rPr>
        <w:t>联合协议（如有）</w:t>
      </w:r>
      <w:r>
        <w:rPr>
          <w:rFonts w:hint="eastAsia" w:ascii="宋体" w:hAnsi="宋体" w:cs="宋体"/>
          <w:sz w:val="24"/>
        </w:rPr>
        <w:t>；</w:t>
      </w:r>
    </w:p>
    <w:p w14:paraId="6B6C1556">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4</w:t>
      </w:r>
      <w:r>
        <w:rPr>
          <w:rFonts w:hint="eastAsia" w:ascii="宋体" w:hAnsi="宋体" w:cs="宋体"/>
          <w:sz w:val="24"/>
        </w:rPr>
        <w:t>落实政府采购政策需满足的资格要求；</w:t>
      </w:r>
    </w:p>
    <w:p w14:paraId="71ABBFD8">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hint="eastAsia" w:ascii="宋体" w:hAnsi="宋体" w:eastAsia="宋体" w:cs="宋体"/>
          <w:sz w:val="24"/>
          <w:lang w:eastAsia="zh-CN"/>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p>
    <w:p w14:paraId="6527054A">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7403E9D1">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2.2.1投标函；</w:t>
      </w:r>
    </w:p>
    <w:p w14:paraId="10A15438">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hint="eastAsia" w:ascii="宋体" w:hAnsi="宋体" w:cs="宋体"/>
          <w:sz w:val="24"/>
        </w:rPr>
      </w:pPr>
      <w:r>
        <w:rPr>
          <w:rFonts w:hint="eastAsia" w:ascii="宋体" w:hAnsi="宋体" w:cs="宋体"/>
          <w:sz w:val="24"/>
        </w:rPr>
        <w:t>2.2.2授权委托书或法定代表人（单位负责人）身份证明；</w:t>
      </w:r>
    </w:p>
    <w:p w14:paraId="256C6F62">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2.2.3分包意向协议（如果有)；</w:t>
      </w:r>
    </w:p>
    <w:p w14:paraId="27F94220">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符合性审查资料；</w:t>
      </w:r>
    </w:p>
    <w:p w14:paraId="63AEE953">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评标标准相应的商务技术资料；</w:t>
      </w:r>
    </w:p>
    <w:p w14:paraId="4931A921">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14:paraId="343177A5">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A042CC2">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91FAEC5">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2.3.1开标一览表（报价表）；</w:t>
      </w:r>
    </w:p>
    <w:p w14:paraId="70534F22">
      <w:pPr>
        <w:keepNext w:val="0"/>
        <w:keepLines w:val="0"/>
        <w:pageBreakBefore w:val="0"/>
        <w:widowControl w:val="0"/>
        <w:kinsoku/>
        <w:wordWrap/>
        <w:overflowPunct/>
        <w:topLinePunct w:val="0"/>
        <w:autoSpaceDE/>
        <w:autoSpaceDN/>
        <w:bidi w:val="0"/>
        <w:adjustRightInd w:val="0"/>
        <w:snapToGrid w:val="0"/>
        <w:spacing w:line="460" w:lineRule="exact"/>
        <w:ind w:left="420" w:leftChars="200" w:firstLine="480" w:firstLineChars="200"/>
        <w:textAlignment w:val="auto"/>
        <w:rPr>
          <w:rFonts w:ascii="宋体" w:hAnsi="宋体" w:cs="宋体"/>
          <w:sz w:val="24"/>
        </w:rPr>
      </w:pPr>
      <w:r>
        <w:rPr>
          <w:rFonts w:hint="eastAsia" w:ascii="宋体" w:hAnsi="宋体" w:cs="宋体"/>
          <w:sz w:val="24"/>
        </w:rPr>
        <w:t>2.3.2中小企业声明函（如果有）。</w:t>
      </w:r>
    </w:p>
    <w:p w14:paraId="4147501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3、我方承诺除商务技术偏离表列出的偏离外，我方响应招标文件的全部要求。</w:t>
      </w:r>
    </w:p>
    <w:p w14:paraId="44BC8EC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sz w:val="24"/>
        </w:rPr>
      </w:pPr>
      <w:r>
        <w:rPr>
          <w:rFonts w:hint="eastAsia" w:ascii="宋体" w:hAnsi="宋体" w:cs="宋体"/>
          <w:sz w:val="24"/>
        </w:rPr>
        <w:t>4、如我方中标，我方承诺：</w:t>
      </w:r>
    </w:p>
    <w:p w14:paraId="40699045">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9D2E19C">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 xml:space="preserve">4.2在签订合同时不向你方提出附加条件； </w:t>
      </w:r>
    </w:p>
    <w:p w14:paraId="68AC9071">
      <w:pPr>
        <w:keepNext w:val="0"/>
        <w:keepLines w:val="0"/>
        <w:pageBreakBefore w:val="0"/>
        <w:widowControl w:val="0"/>
        <w:kinsoku/>
        <w:wordWrap/>
        <w:overflowPunct/>
        <w:topLinePunct w:val="0"/>
        <w:autoSpaceDE/>
        <w:autoSpaceDN/>
        <w:bidi w:val="0"/>
        <w:adjustRightInd w:val="0"/>
        <w:snapToGrid w:val="0"/>
        <w:spacing w:line="460" w:lineRule="exact"/>
        <w:ind w:left="210" w:leftChars="100" w:firstLine="480" w:firstLineChars="200"/>
        <w:textAlignment w:val="auto"/>
        <w:rPr>
          <w:rFonts w:ascii="宋体" w:hAnsi="宋体" w:cs="宋体"/>
          <w:sz w:val="24"/>
        </w:rPr>
      </w:pPr>
      <w:r>
        <w:rPr>
          <w:rFonts w:hint="eastAsia" w:ascii="宋体" w:hAnsi="宋体" w:cs="宋体"/>
          <w:sz w:val="24"/>
        </w:rPr>
        <w:t xml:space="preserve">4.3在合同约定的期限内完成合同规定的全部义务。 </w:t>
      </w:r>
    </w:p>
    <w:p w14:paraId="150AA33F">
      <w:pPr>
        <w:keepNext w:val="0"/>
        <w:keepLines w:val="0"/>
        <w:pageBreakBefore w:val="0"/>
        <w:widowControl w:val="0"/>
        <w:numPr>
          <w:ilvl w:val="0"/>
          <w:numId w:val="2"/>
        </w:numPr>
        <w:kinsoku/>
        <w:wordWrap/>
        <w:overflowPunct/>
        <w:topLinePunct w:val="0"/>
        <w:autoSpaceDE/>
        <w:autoSpaceDN/>
        <w:bidi w:val="0"/>
        <w:adjustRightInd w:val="0"/>
        <w:snapToGrid w:val="0"/>
        <w:spacing w:line="460" w:lineRule="exact"/>
        <w:ind w:left="210" w:leftChars="100" w:firstLine="480" w:firstLineChars="200"/>
        <w:textAlignment w:val="auto"/>
        <w:rPr>
          <w:rFonts w:hint="eastAsia" w:ascii="宋体" w:hAnsi="宋体" w:cs="宋体"/>
          <w:sz w:val="24"/>
        </w:rPr>
      </w:pPr>
      <w:r>
        <w:rPr>
          <w:rFonts w:hint="eastAsia" w:ascii="宋体" w:hAnsi="宋体" w:cs="宋体"/>
          <w:sz w:val="24"/>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7F970FE">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3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048D0DD8">
      <w:pPr>
        <w:keepNext w:val="0"/>
        <w:keepLines w:val="0"/>
        <w:pageBreakBefore w:val="0"/>
        <w:widowControl w:val="0"/>
        <w:kinsoku/>
        <w:wordWrap/>
        <w:overflowPunct/>
        <w:topLinePunct w:val="0"/>
        <w:autoSpaceDE/>
        <w:autoSpaceDN/>
        <w:bidi w:val="0"/>
        <w:adjustRightInd w:val="0"/>
        <w:spacing w:line="460" w:lineRule="exact"/>
        <w:ind w:firstLine="3600" w:firstLineChars="1500"/>
        <w:textAlignment w:val="auto"/>
        <w:rPr>
          <w:rFonts w:ascii="宋体" w:hAnsi="宋体" w:cs="宋体"/>
          <w:sz w:val="24"/>
        </w:rPr>
      </w:pPr>
      <w:r>
        <w:rPr>
          <w:rFonts w:hint="eastAsia" w:ascii="宋体" w:hAnsi="宋体" w:cs="宋体"/>
          <w:sz w:val="24"/>
        </w:rPr>
        <w:t xml:space="preserve">投标人名称（电子签名）：                          </w:t>
      </w:r>
    </w:p>
    <w:p w14:paraId="20ED07E9">
      <w:pPr>
        <w:keepNext w:val="0"/>
        <w:keepLines w:val="0"/>
        <w:pageBreakBefore w:val="0"/>
        <w:widowControl w:val="0"/>
        <w:kinsoku/>
        <w:wordWrap/>
        <w:overflowPunct/>
        <w:topLinePunct w:val="0"/>
        <w:autoSpaceDE/>
        <w:autoSpaceDN/>
        <w:bidi w:val="0"/>
        <w:adjustRightInd w:val="0"/>
        <w:spacing w:line="460" w:lineRule="exact"/>
        <w:jc w:val="center"/>
        <w:textAlignment w:val="auto"/>
        <w:rPr>
          <w:rFonts w:ascii="宋体" w:hAnsi="宋体" w:cs="宋体"/>
          <w:sz w:val="24"/>
        </w:rPr>
      </w:pPr>
      <w:r>
        <w:rPr>
          <w:rFonts w:hint="eastAsia" w:ascii="宋体" w:hAnsi="宋体" w:cs="宋体"/>
          <w:sz w:val="24"/>
        </w:rPr>
        <w:t xml:space="preserve">     日期：  年   月   日</w:t>
      </w:r>
    </w:p>
    <w:p w14:paraId="56FE258A">
      <w:pPr>
        <w:keepNext w:val="0"/>
        <w:keepLines w:val="0"/>
        <w:pageBreakBefore w:val="0"/>
        <w:widowControl w:val="0"/>
        <w:kinsoku/>
        <w:wordWrap/>
        <w:overflowPunct/>
        <w:topLinePunct w:val="0"/>
        <w:autoSpaceDE/>
        <w:autoSpaceDN/>
        <w:bidi w:val="0"/>
        <w:adjustRightInd w:val="0"/>
        <w:spacing w:line="460" w:lineRule="exact"/>
        <w:ind w:right="420"/>
        <w:textAlignment w:val="auto"/>
        <w:rPr>
          <w:rFonts w:ascii="宋体" w:hAnsi="宋体" w:cs="宋体"/>
          <w:sz w:val="24"/>
        </w:rPr>
      </w:pPr>
      <w:r>
        <w:rPr>
          <w:rFonts w:hint="eastAsia" w:ascii="宋体" w:hAnsi="宋体" w:cs="宋体"/>
          <w:sz w:val="24"/>
        </w:rPr>
        <w:t>注：按本格式和要求提供。</w:t>
      </w:r>
    </w:p>
    <w:p w14:paraId="33BB02F2">
      <w:pPr>
        <w:jc w:val="both"/>
        <w:rPr>
          <w:rFonts w:hint="eastAsia" w:ascii="宋体" w:hAnsi="宋体" w:cs="宋体"/>
          <w:b/>
          <w:kern w:val="0"/>
          <w:sz w:val="32"/>
          <w:szCs w:val="32"/>
          <w:lang w:val="zh-CN"/>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539B88FE">
      <w:pPr>
        <w:pStyle w:val="25"/>
        <w:rPr>
          <w:rFonts w:hint="eastAsia"/>
          <w:lang w:val="zh-CN"/>
        </w:rPr>
      </w:pPr>
    </w:p>
    <w:p w14:paraId="1AB7E96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C2E7121">
      <w:pPr>
        <w:snapToGrid w:val="0"/>
        <w:spacing w:line="360" w:lineRule="auto"/>
        <w:rPr>
          <w:rFonts w:ascii="宋体" w:hAnsi="宋体" w:cs="宋体"/>
          <w:sz w:val="24"/>
        </w:rPr>
      </w:pP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3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3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32"/>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122163">
      <w:pPr>
        <w:jc w:val="both"/>
        <w:rPr>
          <w:rFonts w:hint="eastAsia" w:ascii="宋体" w:hAnsi="宋体" w:cs="宋体"/>
          <w:b/>
          <w:kern w:val="0"/>
          <w:sz w:val="32"/>
          <w:szCs w:val="32"/>
        </w:rPr>
      </w:pPr>
    </w:p>
    <w:p w14:paraId="1461AF5D">
      <w:pPr>
        <w:jc w:val="both"/>
        <w:rPr>
          <w:rFonts w:hint="eastAsia" w:ascii="宋体" w:hAnsi="宋体" w:cs="宋体"/>
          <w:b/>
          <w:kern w:val="0"/>
          <w:sz w:val="32"/>
          <w:szCs w:val="32"/>
        </w:rPr>
      </w:pPr>
    </w:p>
    <w:p w14:paraId="075875BE">
      <w:pPr>
        <w:snapToGrid w:val="0"/>
        <w:spacing w:line="360" w:lineRule="auto"/>
        <w:ind w:firstLine="3534" w:firstLineChars="1100"/>
        <w:rPr>
          <w:rFonts w:hint="eastAsia" w:ascii="宋体" w:hAnsi="宋体" w:cs="宋体"/>
          <w:b/>
          <w:color w:val="auto"/>
          <w:kern w:val="0"/>
          <w:sz w:val="32"/>
          <w:szCs w:val="32"/>
          <w:highlight w:val="none"/>
        </w:r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6D0BB23">
      <w:pPr>
        <w:jc w:val="center"/>
        <w:rPr>
          <w:rFonts w:hint="eastAsia" w:ascii="宋体" w:hAnsi="宋体" w:cs="宋体"/>
          <w:b/>
          <w:kern w:val="0"/>
          <w:sz w:val="32"/>
          <w:szCs w:val="32"/>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16E8F2B">
      <w:pPr>
        <w:jc w:val="center"/>
        <w:rPr>
          <w:rFonts w:hint="eastAsia" w:ascii="宋体" w:hAnsi="宋体" w:cs="宋体"/>
          <w:b/>
          <w:kern w:val="0"/>
          <w:sz w:val="32"/>
          <w:szCs w:val="32"/>
        </w:rPr>
      </w:pPr>
    </w:p>
    <w:p w14:paraId="15D8EB11">
      <w:pPr>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、符合性审查资料</w:t>
      </w:r>
    </w:p>
    <w:p w14:paraId="3F627C83">
      <w:pPr>
        <w:jc w:val="center"/>
        <w:rPr>
          <w:rFonts w:ascii="宋体" w:hAnsi="宋体" w:cs="宋体"/>
          <w:b/>
          <w:kern w:val="0"/>
          <w:sz w:val="32"/>
          <w:szCs w:val="32"/>
        </w:rPr>
      </w:pP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8C288FB">
      <w:pPr>
        <w:spacing w:line="360" w:lineRule="auto"/>
        <w:ind w:right="420"/>
        <w:rPr>
          <w:rFonts w:ascii="宋体" w:hAnsi="宋体" w:cs="宋体"/>
          <w:sz w:val="24"/>
        </w:rPr>
      </w:pPr>
      <w:r>
        <w:rPr>
          <w:rFonts w:hint="eastAsia" w:ascii="宋体" w:hAnsi="宋体" w:eastAsia="宋体" w:cs="宋体"/>
          <w:color w:val="auto"/>
          <w:sz w:val="24"/>
          <w:highlight w:val="none"/>
        </w:rPr>
        <w:t>2、招标文件中实质性要求必须明确响应。</w:t>
      </w:r>
    </w:p>
    <w:p w14:paraId="573A4CDE">
      <w:pPr>
        <w:jc w:val="center"/>
        <w:rPr>
          <w:rFonts w:ascii="宋体" w:hAnsi="宋体" w:cs="宋体"/>
          <w:b/>
          <w:kern w:val="0"/>
          <w:sz w:val="32"/>
          <w:szCs w:val="32"/>
        </w:rPr>
      </w:pPr>
    </w:p>
    <w:p w14:paraId="707FC2B4">
      <w:pPr>
        <w:jc w:val="center"/>
        <w:rPr>
          <w:rFonts w:ascii="宋体" w:hAnsi="宋体" w:cs="宋体"/>
          <w:b/>
          <w:kern w:val="0"/>
          <w:sz w:val="32"/>
          <w:szCs w:val="32"/>
        </w:rPr>
      </w:pPr>
    </w:p>
    <w:p w14:paraId="3B1FFA93">
      <w:pPr>
        <w:jc w:val="center"/>
        <w:rPr>
          <w:rFonts w:ascii="宋体" w:hAnsi="宋体" w:cs="宋体"/>
          <w:b/>
          <w:kern w:val="0"/>
          <w:sz w:val="32"/>
          <w:szCs w:val="32"/>
        </w:rPr>
      </w:pPr>
    </w:p>
    <w:p w14:paraId="23934160">
      <w:pPr>
        <w:jc w:val="both"/>
        <w:rPr>
          <w:rFonts w:ascii="宋体" w:hAnsi="宋体" w:cs="宋体"/>
          <w:b/>
          <w:kern w:val="0"/>
          <w:sz w:val="32"/>
          <w:szCs w:val="32"/>
        </w:rPr>
      </w:pPr>
    </w:p>
    <w:p w14:paraId="12AB4A11">
      <w:pPr>
        <w:jc w:val="center"/>
        <w:rPr>
          <w:rFonts w:hint="eastAsia" w:ascii="宋体" w:hAnsi="宋体" w:cs="宋体"/>
          <w:b/>
          <w:kern w:val="0"/>
          <w:sz w:val="32"/>
          <w:szCs w:val="32"/>
          <w:lang w:eastAsia="zh-CN"/>
        </w:rPr>
      </w:pPr>
    </w:p>
    <w:p w14:paraId="3FFB8F0C">
      <w:pPr>
        <w:jc w:val="center"/>
        <w:rPr>
          <w:rFonts w:hint="eastAsia" w:ascii="宋体" w:hAnsi="宋体" w:cs="宋体"/>
          <w:b/>
          <w:kern w:val="0"/>
          <w:sz w:val="32"/>
          <w:szCs w:val="32"/>
          <w:lang w:eastAsia="zh-CN"/>
        </w:rPr>
      </w:pPr>
    </w:p>
    <w:p w14:paraId="014855EF">
      <w:pPr>
        <w:jc w:val="center"/>
        <w:rPr>
          <w:rFonts w:hint="eastAsia" w:ascii="宋体" w:hAnsi="宋体" w:cs="宋体"/>
          <w:b/>
          <w:kern w:val="0"/>
          <w:sz w:val="32"/>
          <w:szCs w:val="32"/>
          <w:lang w:eastAsia="zh-CN"/>
        </w:rPr>
      </w:pPr>
    </w:p>
    <w:p w14:paraId="30875423">
      <w:pPr>
        <w:jc w:val="center"/>
        <w:rPr>
          <w:rFonts w:hint="eastAsia" w:ascii="宋体" w:hAnsi="宋体" w:cs="宋体"/>
          <w:b/>
          <w:kern w:val="0"/>
          <w:sz w:val="32"/>
          <w:szCs w:val="32"/>
          <w:lang w:eastAsia="zh-CN"/>
        </w:rPr>
      </w:pPr>
    </w:p>
    <w:p w14:paraId="104A5F59">
      <w:pPr>
        <w:jc w:val="center"/>
        <w:rPr>
          <w:rFonts w:hint="eastAsia" w:ascii="宋体" w:hAnsi="宋体" w:cs="宋体"/>
          <w:b/>
          <w:kern w:val="0"/>
          <w:sz w:val="32"/>
          <w:szCs w:val="32"/>
          <w:lang w:eastAsia="zh-CN"/>
        </w:rPr>
      </w:pPr>
    </w:p>
    <w:p w14:paraId="693EB69B">
      <w:pPr>
        <w:jc w:val="center"/>
        <w:rPr>
          <w:rFonts w:hint="eastAsia" w:ascii="宋体" w:hAnsi="宋体" w:cs="宋体"/>
          <w:b/>
          <w:kern w:val="0"/>
          <w:sz w:val="32"/>
          <w:szCs w:val="32"/>
          <w:lang w:eastAsia="zh-CN"/>
        </w:rPr>
      </w:pPr>
    </w:p>
    <w:p w14:paraId="18D335E2">
      <w:pPr>
        <w:jc w:val="center"/>
        <w:rPr>
          <w:rFonts w:hint="eastAsia" w:ascii="宋体" w:hAnsi="宋体" w:cs="宋体"/>
          <w:b/>
          <w:kern w:val="0"/>
          <w:sz w:val="32"/>
          <w:szCs w:val="32"/>
          <w:lang w:eastAsia="zh-CN"/>
        </w:rPr>
      </w:pPr>
    </w:p>
    <w:p w14:paraId="600DB373">
      <w:pPr>
        <w:jc w:val="center"/>
        <w:rPr>
          <w:rFonts w:hint="eastAsia" w:ascii="宋体" w:hAnsi="宋体" w:cs="宋体"/>
          <w:b/>
          <w:kern w:val="0"/>
          <w:sz w:val="32"/>
          <w:szCs w:val="32"/>
          <w:lang w:eastAsia="zh-CN"/>
        </w:rPr>
      </w:pPr>
    </w:p>
    <w:p w14:paraId="7D6C4DCE">
      <w:pPr>
        <w:jc w:val="center"/>
        <w:rPr>
          <w:rFonts w:hint="eastAsia" w:ascii="宋体" w:hAnsi="宋体" w:cs="宋体"/>
          <w:b/>
          <w:kern w:val="0"/>
          <w:sz w:val="32"/>
          <w:szCs w:val="32"/>
          <w:lang w:eastAsia="zh-CN"/>
        </w:rPr>
      </w:pPr>
    </w:p>
    <w:p w14:paraId="2BB9ED18">
      <w:pPr>
        <w:jc w:val="center"/>
        <w:rPr>
          <w:rFonts w:hint="eastAsia" w:ascii="宋体" w:hAnsi="宋体" w:cs="宋体"/>
          <w:b/>
          <w:kern w:val="0"/>
          <w:sz w:val="32"/>
          <w:szCs w:val="32"/>
          <w:lang w:eastAsia="zh-CN"/>
        </w:rPr>
      </w:pPr>
    </w:p>
    <w:p w14:paraId="42371C6F">
      <w:pPr>
        <w:jc w:val="center"/>
        <w:rPr>
          <w:rFonts w:hint="eastAsia" w:ascii="宋体" w:hAnsi="宋体" w:cs="宋体"/>
          <w:b/>
          <w:kern w:val="0"/>
          <w:sz w:val="32"/>
          <w:szCs w:val="32"/>
          <w:lang w:eastAsia="zh-CN"/>
        </w:rPr>
      </w:pPr>
    </w:p>
    <w:p w14:paraId="149CB428">
      <w:pPr>
        <w:jc w:val="center"/>
        <w:rPr>
          <w:rFonts w:hint="eastAsia" w:ascii="宋体" w:hAnsi="宋体" w:cs="宋体"/>
          <w:b/>
          <w:kern w:val="0"/>
          <w:sz w:val="32"/>
          <w:szCs w:val="32"/>
          <w:lang w:eastAsia="zh-CN"/>
        </w:rPr>
      </w:pPr>
    </w:p>
    <w:p w14:paraId="49CADDBF">
      <w:pPr>
        <w:jc w:val="center"/>
        <w:rPr>
          <w:rFonts w:ascii="宋体" w:hAnsi="宋体" w:cs="宋体"/>
        </w:rPr>
      </w:pPr>
      <w:r>
        <w:rPr>
          <w:rFonts w:hint="eastAsia" w:ascii="宋体" w:hAnsi="宋体" w:cs="宋体"/>
          <w:b/>
          <w:kern w:val="0"/>
          <w:sz w:val="32"/>
          <w:szCs w:val="32"/>
          <w:lang w:eastAsia="zh-CN"/>
        </w:rPr>
        <w:t>五</w:t>
      </w:r>
      <w:r>
        <w:rPr>
          <w:rFonts w:hint="eastAsia" w:ascii="宋体" w:hAnsi="宋体" w:cs="宋体"/>
          <w:b/>
          <w:kern w:val="0"/>
          <w:sz w:val="32"/>
          <w:szCs w:val="32"/>
        </w:rPr>
        <w:t>、评标标准相应的商务技术资料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2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41F6EB2">
      <w:pPr>
        <w:jc w:val="center"/>
        <w:rPr>
          <w:rFonts w:ascii="宋体" w:hAnsi="宋体" w:cs="宋体"/>
          <w:b/>
          <w:kern w:val="0"/>
          <w:sz w:val="32"/>
          <w:szCs w:val="32"/>
        </w:rPr>
      </w:pPr>
    </w:p>
    <w:p w14:paraId="3F1E881C">
      <w:pPr>
        <w:jc w:val="center"/>
        <w:rPr>
          <w:rFonts w:ascii="宋体" w:hAnsi="宋体" w:cs="宋体"/>
          <w:b/>
          <w:kern w:val="0"/>
          <w:sz w:val="32"/>
          <w:szCs w:val="32"/>
        </w:rPr>
      </w:pPr>
    </w:p>
    <w:p w14:paraId="6E5B3ACB">
      <w:pPr>
        <w:jc w:val="center"/>
        <w:rPr>
          <w:rFonts w:ascii="宋体" w:hAnsi="宋体" w:cs="宋体"/>
          <w:b/>
          <w:kern w:val="0"/>
          <w:sz w:val="32"/>
          <w:szCs w:val="32"/>
        </w:rPr>
      </w:pPr>
    </w:p>
    <w:p w14:paraId="1F5B6E22">
      <w:pPr>
        <w:jc w:val="both"/>
        <w:rPr>
          <w:rFonts w:ascii="宋体" w:hAnsi="宋体" w:cs="宋体"/>
          <w:b/>
          <w:kern w:val="0"/>
          <w:sz w:val="32"/>
          <w:szCs w:val="32"/>
        </w:rPr>
      </w:pPr>
    </w:p>
    <w:p w14:paraId="12BE29E3">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60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BF1F05">
            <w:pPr>
              <w:jc w:val="center"/>
              <w:rPr>
                <w:rFonts w:ascii="宋体" w:hAnsi="宋体" w:cs="宋体"/>
                <w:b/>
                <w:bCs/>
                <w:sz w:val="24"/>
              </w:rPr>
            </w:pPr>
            <w:r>
              <w:rPr>
                <w:rFonts w:hint="eastAsia" w:ascii="宋体" w:hAnsi="宋体" w:cs="宋体"/>
                <w:b/>
                <w:bCs/>
                <w:sz w:val="24"/>
              </w:rPr>
              <w:t>序号</w:t>
            </w:r>
          </w:p>
        </w:tc>
        <w:tc>
          <w:tcPr>
            <w:tcW w:w="3683" w:type="dxa"/>
          </w:tcPr>
          <w:p w14:paraId="2FB31CC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F764EF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8FC1FF2">
            <w:pPr>
              <w:jc w:val="center"/>
              <w:rPr>
                <w:rFonts w:ascii="宋体" w:hAnsi="宋体" w:cs="宋体"/>
                <w:b/>
                <w:bCs/>
                <w:sz w:val="24"/>
              </w:rPr>
            </w:pPr>
            <w:r>
              <w:rPr>
                <w:rFonts w:hint="eastAsia" w:ascii="宋体" w:hAnsi="宋体" w:cs="宋体"/>
                <w:b/>
                <w:bCs/>
                <w:sz w:val="24"/>
              </w:rPr>
              <w:t>偏离说明</w:t>
            </w:r>
          </w:p>
        </w:tc>
      </w:tr>
      <w:tr w14:paraId="6819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B6B2D8">
            <w:pPr>
              <w:jc w:val="center"/>
              <w:rPr>
                <w:rFonts w:ascii="宋体" w:hAnsi="宋体" w:cs="宋体"/>
                <w:kern w:val="0"/>
                <w:sz w:val="24"/>
              </w:rPr>
            </w:pPr>
            <w:r>
              <w:rPr>
                <w:rFonts w:hint="eastAsia" w:ascii="宋体" w:hAnsi="宋体" w:cs="宋体"/>
                <w:kern w:val="0"/>
                <w:sz w:val="24"/>
              </w:rPr>
              <w:t>1</w:t>
            </w:r>
          </w:p>
        </w:tc>
        <w:tc>
          <w:tcPr>
            <w:tcW w:w="3683" w:type="dxa"/>
          </w:tcPr>
          <w:p w14:paraId="5C65C9AD">
            <w:pPr>
              <w:jc w:val="center"/>
              <w:rPr>
                <w:rFonts w:ascii="宋体" w:hAnsi="宋体" w:cs="宋体"/>
                <w:b/>
                <w:kern w:val="0"/>
                <w:sz w:val="32"/>
                <w:szCs w:val="32"/>
              </w:rPr>
            </w:pPr>
          </w:p>
        </w:tc>
        <w:tc>
          <w:tcPr>
            <w:tcW w:w="3546" w:type="dxa"/>
          </w:tcPr>
          <w:p w14:paraId="2A28477C">
            <w:pPr>
              <w:jc w:val="center"/>
              <w:rPr>
                <w:rFonts w:ascii="宋体" w:hAnsi="宋体" w:cs="宋体"/>
                <w:b/>
                <w:kern w:val="0"/>
                <w:sz w:val="32"/>
                <w:szCs w:val="32"/>
              </w:rPr>
            </w:pPr>
          </w:p>
        </w:tc>
        <w:tc>
          <w:tcPr>
            <w:tcW w:w="1276" w:type="dxa"/>
          </w:tcPr>
          <w:p w14:paraId="03BC798A">
            <w:pPr>
              <w:jc w:val="center"/>
              <w:rPr>
                <w:rFonts w:ascii="宋体" w:hAnsi="宋体" w:cs="宋体"/>
                <w:b/>
                <w:kern w:val="0"/>
                <w:sz w:val="32"/>
                <w:szCs w:val="32"/>
              </w:rPr>
            </w:pPr>
          </w:p>
        </w:tc>
      </w:tr>
      <w:tr w14:paraId="4C49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9D2B97">
            <w:pPr>
              <w:jc w:val="center"/>
              <w:rPr>
                <w:rFonts w:ascii="宋体" w:hAnsi="宋体" w:cs="宋体"/>
                <w:kern w:val="0"/>
                <w:sz w:val="24"/>
              </w:rPr>
            </w:pPr>
            <w:r>
              <w:rPr>
                <w:rFonts w:hint="eastAsia" w:ascii="宋体" w:hAnsi="宋体" w:cs="宋体"/>
                <w:kern w:val="0"/>
                <w:sz w:val="24"/>
              </w:rPr>
              <w:t>2</w:t>
            </w:r>
          </w:p>
        </w:tc>
        <w:tc>
          <w:tcPr>
            <w:tcW w:w="3683" w:type="dxa"/>
          </w:tcPr>
          <w:p w14:paraId="0ED2E0B6">
            <w:pPr>
              <w:jc w:val="center"/>
              <w:rPr>
                <w:rFonts w:ascii="宋体" w:hAnsi="宋体" w:cs="宋体"/>
                <w:b/>
                <w:kern w:val="0"/>
                <w:sz w:val="32"/>
                <w:szCs w:val="32"/>
              </w:rPr>
            </w:pPr>
          </w:p>
        </w:tc>
        <w:tc>
          <w:tcPr>
            <w:tcW w:w="3546" w:type="dxa"/>
          </w:tcPr>
          <w:p w14:paraId="6014F5BE">
            <w:pPr>
              <w:jc w:val="center"/>
              <w:rPr>
                <w:rFonts w:ascii="宋体" w:hAnsi="宋体" w:cs="宋体"/>
                <w:b/>
                <w:kern w:val="0"/>
                <w:sz w:val="32"/>
                <w:szCs w:val="32"/>
              </w:rPr>
            </w:pPr>
          </w:p>
        </w:tc>
        <w:tc>
          <w:tcPr>
            <w:tcW w:w="1276" w:type="dxa"/>
          </w:tcPr>
          <w:p w14:paraId="633B32C0">
            <w:pPr>
              <w:jc w:val="center"/>
              <w:rPr>
                <w:rFonts w:ascii="宋体" w:hAnsi="宋体" w:cs="宋体"/>
                <w:b/>
                <w:kern w:val="0"/>
                <w:sz w:val="32"/>
                <w:szCs w:val="32"/>
              </w:rPr>
            </w:pPr>
          </w:p>
        </w:tc>
      </w:tr>
      <w:tr w14:paraId="7D58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2EA823">
            <w:pPr>
              <w:jc w:val="center"/>
              <w:rPr>
                <w:rFonts w:ascii="宋体" w:hAnsi="宋体" w:cs="宋体"/>
                <w:kern w:val="0"/>
                <w:sz w:val="24"/>
              </w:rPr>
            </w:pPr>
            <w:r>
              <w:rPr>
                <w:rFonts w:hint="eastAsia" w:ascii="宋体" w:hAnsi="宋体" w:cs="宋体"/>
                <w:kern w:val="0"/>
                <w:sz w:val="24"/>
              </w:rPr>
              <w:t>……</w:t>
            </w:r>
          </w:p>
        </w:tc>
        <w:tc>
          <w:tcPr>
            <w:tcW w:w="3683" w:type="dxa"/>
          </w:tcPr>
          <w:p w14:paraId="1FAA9DCA">
            <w:pPr>
              <w:jc w:val="center"/>
              <w:rPr>
                <w:rFonts w:ascii="宋体" w:hAnsi="宋体" w:cs="宋体"/>
                <w:b/>
                <w:kern w:val="0"/>
                <w:sz w:val="32"/>
                <w:szCs w:val="32"/>
              </w:rPr>
            </w:pPr>
          </w:p>
        </w:tc>
        <w:tc>
          <w:tcPr>
            <w:tcW w:w="3546" w:type="dxa"/>
          </w:tcPr>
          <w:p w14:paraId="1093670C">
            <w:pPr>
              <w:jc w:val="center"/>
              <w:rPr>
                <w:rFonts w:ascii="宋体" w:hAnsi="宋体" w:cs="宋体"/>
                <w:b/>
                <w:kern w:val="0"/>
                <w:sz w:val="32"/>
                <w:szCs w:val="32"/>
              </w:rPr>
            </w:pPr>
          </w:p>
        </w:tc>
        <w:tc>
          <w:tcPr>
            <w:tcW w:w="1276" w:type="dxa"/>
          </w:tcPr>
          <w:p w14:paraId="44084F9A">
            <w:pPr>
              <w:jc w:val="center"/>
              <w:rPr>
                <w:rFonts w:ascii="宋体" w:hAnsi="宋体" w:cs="宋体"/>
                <w:b/>
                <w:kern w:val="0"/>
                <w:sz w:val="32"/>
                <w:szCs w:val="32"/>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注：1.按本格式和要求提供。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EE8047B">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C85CD20">
      <w:pPr>
        <w:jc w:val="center"/>
        <w:rPr>
          <w:rFonts w:ascii="宋体" w:hAnsi="宋体" w:cs="宋体"/>
          <w:b/>
          <w:kern w:val="0"/>
          <w:sz w:val="32"/>
          <w:szCs w:val="32"/>
        </w:rPr>
      </w:pPr>
    </w:p>
    <w:p w14:paraId="2CA3BD12">
      <w:pPr>
        <w:jc w:val="center"/>
        <w:rPr>
          <w:rFonts w:ascii="宋体" w:hAnsi="宋体" w:cs="宋体"/>
          <w:b/>
          <w:kern w:val="0"/>
          <w:sz w:val="32"/>
          <w:szCs w:val="32"/>
        </w:rPr>
      </w:pPr>
    </w:p>
    <w:p w14:paraId="5BB80071">
      <w:pPr>
        <w:jc w:val="center"/>
        <w:rPr>
          <w:rFonts w:ascii="宋体" w:hAnsi="宋体" w:cs="宋体"/>
          <w:b/>
          <w:kern w:val="0"/>
          <w:sz w:val="32"/>
          <w:szCs w:val="32"/>
        </w:rPr>
      </w:pPr>
    </w:p>
    <w:p w14:paraId="3F164A6C">
      <w:pPr>
        <w:jc w:val="center"/>
        <w:rPr>
          <w:rFonts w:ascii="宋体" w:hAnsi="宋体" w:cs="宋体"/>
          <w:b/>
          <w:kern w:val="0"/>
          <w:sz w:val="32"/>
          <w:szCs w:val="32"/>
        </w:rPr>
      </w:pPr>
    </w:p>
    <w:p w14:paraId="470DF944">
      <w:pPr>
        <w:jc w:val="center"/>
        <w:rPr>
          <w:rFonts w:ascii="宋体" w:hAnsi="宋体" w:cs="宋体"/>
          <w:b/>
          <w:kern w:val="0"/>
          <w:sz w:val="32"/>
          <w:szCs w:val="32"/>
        </w:rPr>
      </w:pPr>
    </w:p>
    <w:p w14:paraId="36ED71B6">
      <w:pPr>
        <w:jc w:val="center"/>
        <w:rPr>
          <w:rFonts w:ascii="宋体" w:hAnsi="宋体" w:cs="宋体"/>
          <w:b/>
          <w:kern w:val="0"/>
          <w:sz w:val="32"/>
          <w:szCs w:val="32"/>
        </w:rPr>
      </w:pPr>
    </w:p>
    <w:p w14:paraId="1AA9373D">
      <w:pPr>
        <w:jc w:val="center"/>
        <w:rPr>
          <w:rFonts w:ascii="宋体" w:hAnsi="宋体" w:cs="宋体"/>
          <w:b/>
          <w:kern w:val="0"/>
          <w:sz w:val="32"/>
          <w:szCs w:val="32"/>
        </w:rPr>
      </w:pPr>
    </w:p>
    <w:p w14:paraId="683EE430">
      <w:pPr>
        <w:jc w:val="center"/>
        <w:rPr>
          <w:rFonts w:ascii="宋体" w:hAnsi="宋体" w:cs="宋体"/>
          <w:b/>
          <w:kern w:val="0"/>
          <w:sz w:val="32"/>
          <w:szCs w:val="32"/>
        </w:rPr>
      </w:pPr>
    </w:p>
    <w:p w14:paraId="7EC47C5B">
      <w:pPr>
        <w:rPr>
          <w:rFonts w:hint="eastAsia" w:ascii="宋体" w:hAnsi="宋体" w:cs="宋体"/>
          <w:b/>
          <w:kern w:val="0"/>
          <w:sz w:val="32"/>
          <w:szCs w:val="32"/>
        </w:rPr>
      </w:pPr>
    </w:p>
    <w:p w14:paraId="6F7AE151">
      <w:pPr>
        <w:ind w:firstLine="1911" w:firstLineChars="595"/>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DC7EFBC">
      <w:pPr>
        <w:snapToGrid w:val="0"/>
        <w:spacing w:line="360" w:lineRule="auto"/>
        <w:rPr>
          <w:rFonts w:ascii="宋体" w:hAnsi="宋体" w:cs="宋体"/>
          <w:sz w:val="24"/>
        </w:rPr>
      </w:pPr>
    </w:p>
    <w:p w14:paraId="1D9F971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84823D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3C971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FF3B6A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5A6FB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F7611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ECF921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1B8518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ADD7DD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政府采购法》《中华人民共和国招标投标法》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1A0324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进行项目建设或其他经营活动，并通报监管部门。由此引起的相应损失均由我单位承担。</w:t>
      </w:r>
    </w:p>
    <w:p w14:paraId="77AF54E6">
      <w:pPr>
        <w:autoSpaceDE w:val="0"/>
        <w:autoSpaceDN w:val="0"/>
        <w:spacing w:line="360" w:lineRule="auto"/>
        <w:ind w:left="2"/>
        <w:jc w:val="left"/>
        <w:rPr>
          <w:rFonts w:ascii="宋体" w:hAnsi="宋体" w:cs="宋体"/>
          <w:kern w:val="0"/>
          <w:sz w:val="24"/>
          <w:lang w:val="zh-CN"/>
        </w:rPr>
      </w:pPr>
    </w:p>
    <w:p w14:paraId="5EDA1593">
      <w:pPr>
        <w:autoSpaceDE w:val="0"/>
        <w:autoSpaceDN w:val="0"/>
        <w:spacing w:line="360" w:lineRule="auto"/>
        <w:ind w:left="2"/>
        <w:jc w:val="left"/>
        <w:rPr>
          <w:rFonts w:ascii="宋体" w:hAnsi="宋体" w:cs="宋体"/>
          <w:kern w:val="0"/>
          <w:sz w:val="24"/>
          <w:lang w:val="zh-CN"/>
        </w:rPr>
      </w:pPr>
    </w:p>
    <w:p w14:paraId="4CC3E0BA">
      <w:pPr>
        <w:autoSpaceDE w:val="0"/>
        <w:autoSpaceDN w:val="0"/>
        <w:spacing w:line="360" w:lineRule="auto"/>
        <w:ind w:left="2"/>
        <w:jc w:val="left"/>
        <w:rPr>
          <w:rFonts w:ascii="宋体" w:hAnsi="宋体" w:cs="宋体"/>
          <w:kern w:val="0"/>
          <w:sz w:val="24"/>
          <w:lang w:val="zh-CN"/>
        </w:rPr>
      </w:pPr>
    </w:p>
    <w:p w14:paraId="7135D57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435FD4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54D503C">
      <w:pPr>
        <w:spacing w:line="360" w:lineRule="auto"/>
        <w:ind w:right="420"/>
        <w:rPr>
          <w:rFonts w:ascii="宋体" w:hAnsi="宋体" w:cs="宋体"/>
          <w:sz w:val="24"/>
        </w:rPr>
      </w:pPr>
      <w:r>
        <w:rPr>
          <w:rFonts w:hint="eastAsia" w:ascii="宋体" w:hAnsi="宋体" w:cs="宋体"/>
          <w:sz w:val="24"/>
        </w:rPr>
        <w:t>注：按本格式和要求提供。</w:t>
      </w:r>
    </w:p>
    <w:p w14:paraId="1F21EC7F">
      <w:pPr>
        <w:spacing w:line="360" w:lineRule="auto"/>
        <w:jc w:val="center"/>
        <w:rPr>
          <w:rFonts w:ascii="宋体" w:hAnsi="宋体" w:cs="宋体"/>
          <w:b/>
          <w:bCs/>
          <w:sz w:val="24"/>
        </w:rPr>
      </w:pPr>
    </w:p>
    <w:p w14:paraId="21147D05">
      <w:pPr>
        <w:spacing w:line="360" w:lineRule="auto"/>
        <w:jc w:val="center"/>
        <w:rPr>
          <w:rFonts w:ascii="宋体" w:hAnsi="宋体" w:cs="宋体"/>
          <w:b/>
          <w:bCs/>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57D141BA">
      <w:pPr>
        <w:spacing w:line="360" w:lineRule="auto"/>
        <w:jc w:val="center"/>
        <w:outlineLvl w:val="0"/>
        <w:rPr>
          <w:rFonts w:hint="eastAsia" w:ascii="宋体" w:hAnsi="宋体" w:cs="宋体"/>
          <w:b/>
          <w:kern w:val="0"/>
          <w:sz w:val="36"/>
          <w:szCs w:val="36"/>
        </w:rPr>
      </w:pPr>
    </w:p>
    <w:p w14:paraId="55BC141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F27B31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BA094EC">
      <w:pPr>
        <w:spacing w:line="360" w:lineRule="auto"/>
        <w:jc w:val="center"/>
        <w:outlineLvl w:val="0"/>
        <w:rPr>
          <w:rFonts w:ascii="宋体" w:hAnsi="宋体" w:cs="宋体"/>
          <w:b/>
          <w:kern w:val="0"/>
          <w:sz w:val="36"/>
          <w:szCs w:val="36"/>
        </w:rPr>
      </w:pPr>
    </w:p>
    <w:p w14:paraId="43714EBB">
      <w:pPr>
        <w:snapToGrid w:val="0"/>
        <w:spacing w:line="360" w:lineRule="auto"/>
        <w:rPr>
          <w:rFonts w:ascii="宋体" w:hAnsi="宋体" w:cs="宋体"/>
          <w:sz w:val="24"/>
        </w:rPr>
      </w:pPr>
      <w:r>
        <w:rPr>
          <w:rFonts w:hint="eastAsia" w:ascii="宋体" w:hAnsi="宋体" w:cs="宋体"/>
          <w:sz w:val="24"/>
        </w:rPr>
        <w:t>（1）开标一览表（报价表）………………………………………………………（页码）</w:t>
      </w:r>
    </w:p>
    <w:p w14:paraId="5BD6E6FC">
      <w:pPr>
        <w:snapToGrid w:val="0"/>
        <w:spacing w:line="360" w:lineRule="auto"/>
        <w:rPr>
          <w:rFonts w:ascii="宋体" w:hAnsi="宋体" w:cs="宋体"/>
          <w:sz w:val="24"/>
        </w:rPr>
      </w:pPr>
      <w:r>
        <w:rPr>
          <w:rFonts w:hint="eastAsia" w:ascii="宋体" w:hAnsi="宋体" w:cs="宋体"/>
          <w:sz w:val="24"/>
        </w:rPr>
        <w:t>（2）中小企业声明函………………………………………………………………（页码）</w:t>
      </w:r>
    </w:p>
    <w:p w14:paraId="350B460E">
      <w:pPr>
        <w:snapToGrid w:val="0"/>
        <w:spacing w:line="360" w:lineRule="auto"/>
        <w:ind w:right="480"/>
        <w:jc w:val="center"/>
        <w:rPr>
          <w:rFonts w:ascii="宋体" w:hAnsi="宋体" w:cs="宋体"/>
          <w:b/>
          <w:kern w:val="0"/>
          <w:sz w:val="32"/>
          <w:szCs w:val="32"/>
        </w:rPr>
      </w:pPr>
    </w:p>
    <w:p w14:paraId="2B9455D4">
      <w:pPr>
        <w:snapToGrid w:val="0"/>
        <w:spacing w:line="360" w:lineRule="auto"/>
        <w:ind w:right="480"/>
        <w:jc w:val="center"/>
        <w:rPr>
          <w:rFonts w:ascii="宋体" w:hAnsi="宋体" w:cs="宋体"/>
          <w:b/>
          <w:kern w:val="0"/>
          <w:sz w:val="32"/>
          <w:szCs w:val="32"/>
        </w:rPr>
      </w:pPr>
    </w:p>
    <w:p w14:paraId="2C99B3F5">
      <w:pPr>
        <w:snapToGrid w:val="0"/>
        <w:spacing w:line="360" w:lineRule="auto"/>
        <w:ind w:right="480"/>
        <w:jc w:val="center"/>
        <w:rPr>
          <w:rFonts w:ascii="宋体" w:hAnsi="宋体" w:cs="宋体"/>
          <w:b/>
          <w:kern w:val="0"/>
          <w:sz w:val="32"/>
          <w:szCs w:val="32"/>
        </w:rPr>
      </w:pPr>
    </w:p>
    <w:p w14:paraId="2BE8825A">
      <w:pPr>
        <w:snapToGrid w:val="0"/>
        <w:spacing w:line="360" w:lineRule="auto"/>
        <w:ind w:right="480"/>
        <w:jc w:val="center"/>
        <w:rPr>
          <w:rFonts w:ascii="宋体" w:hAnsi="宋体" w:cs="宋体"/>
          <w:b/>
          <w:kern w:val="0"/>
          <w:sz w:val="32"/>
          <w:szCs w:val="32"/>
        </w:rPr>
      </w:pPr>
    </w:p>
    <w:p w14:paraId="727D24C7">
      <w:pPr>
        <w:snapToGrid w:val="0"/>
        <w:spacing w:line="360" w:lineRule="auto"/>
        <w:ind w:right="480"/>
        <w:jc w:val="center"/>
        <w:rPr>
          <w:rFonts w:ascii="宋体" w:hAnsi="宋体" w:cs="宋体"/>
          <w:b/>
          <w:kern w:val="0"/>
          <w:sz w:val="32"/>
          <w:szCs w:val="32"/>
        </w:rPr>
      </w:pPr>
    </w:p>
    <w:p w14:paraId="25375BEA">
      <w:pPr>
        <w:snapToGrid w:val="0"/>
        <w:spacing w:line="360" w:lineRule="auto"/>
        <w:ind w:right="480"/>
        <w:jc w:val="center"/>
        <w:rPr>
          <w:rFonts w:ascii="宋体" w:hAnsi="宋体" w:cs="宋体"/>
          <w:b/>
          <w:kern w:val="0"/>
          <w:sz w:val="32"/>
          <w:szCs w:val="32"/>
        </w:rPr>
      </w:pPr>
    </w:p>
    <w:p w14:paraId="3E6FBAC6">
      <w:pPr>
        <w:snapToGrid w:val="0"/>
        <w:spacing w:line="360" w:lineRule="auto"/>
        <w:ind w:right="480"/>
        <w:jc w:val="center"/>
        <w:rPr>
          <w:rFonts w:ascii="宋体" w:hAnsi="宋体" w:cs="宋体"/>
          <w:b/>
          <w:kern w:val="0"/>
          <w:sz w:val="32"/>
          <w:szCs w:val="32"/>
        </w:rPr>
      </w:pPr>
    </w:p>
    <w:p w14:paraId="37D9189D">
      <w:pPr>
        <w:snapToGrid w:val="0"/>
        <w:spacing w:line="360" w:lineRule="auto"/>
        <w:ind w:right="480"/>
        <w:jc w:val="center"/>
        <w:rPr>
          <w:rFonts w:ascii="宋体" w:hAnsi="宋体" w:cs="宋体"/>
          <w:b/>
          <w:kern w:val="0"/>
          <w:sz w:val="32"/>
          <w:szCs w:val="32"/>
        </w:rPr>
      </w:pPr>
    </w:p>
    <w:p w14:paraId="5EECCA07">
      <w:pPr>
        <w:snapToGrid w:val="0"/>
        <w:spacing w:line="360" w:lineRule="auto"/>
        <w:ind w:right="480"/>
        <w:jc w:val="center"/>
        <w:rPr>
          <w:rFonts w:ascii="宋体" w:hAnsi="宋体" w:cs="宋体"/>
          <w:b/>
          <w:kern w:val="0"/>
          <w:sz w:val="32"/>
          <w:szCs w:val="32"/>
        </w:rPr>
      </w:pPr>
    </w:p>
    <w:p w14:paraId="024A5AB1">
      <w:pPr>
        <w:snapToGrid w:val="0"/>
        <w:spacing w:line="360" w:lineRule="auto"/>
        <w:ind w:right="480"/>
        <w:jc w:val="center"/>
        <w:rPr>
          <w:rFonts w:ascii="宋体" w:hAnsi="宋体" w:cs="宋体"/>
          <w:b/>
          <w:kern w:val="0"/>
          <w:sz w:val="32"/>
          <w:szCs w:val="32"/>
        </w:rPr>
      </w:pPr>
    </w:p>
    <w:p w14:paraId="16B55407">
      <w:pPr>
        <w:snapToGrid w:val="0"/>
        <w:spacing w:line="360" w:lineRule="auto"/>
        <w:ind w:right="480"/>
        <w:jc w:val="center"/>
        <w:rPr>
          <w:rFonts w:ascii="宋体" w:hAnsi="宋体" w:cs="宋体"/>
          <w:b/>
          <w:kern w:val="0"/>
          <w:sz w:val="32"/>
          <w:szCs w:val="32"/>
        </w:rPr>
      </w:pPr>
    </w:p>
    <w:p w14:paraId="2B72F4F6">
      <w:pPr>
        <w:snapToGrid w:val="0"/>
        <w:spacing w:line="360" w:lineRule="auto"/>
        <w:ind w:right="480"/>
        <w:jc w:val="center"/>
        <w:rPr>
          <w:rFonts w:ascii="宋体" w:hAnsi="宋体" w:cs="宋体"/>
          <w:b/>
          <w:kern w:val="0"/>
          <w:sz w:val="32"/>
          <w:szCs w:val="32"/>
        </w:rPr>
      </w:pPr>
    </w:p>
    <w:p w14:paraId="3A964BA2">
      <w:pPr>
        <w:snapToGrid w:val="0"/>
        <w:spacing w:line="360" w:lineRule="auto"/>
        <w:ind w:right="480"/>
        <w:jc w:val="center"/>
        <w:rPr>
          <w:rFonts w:ascii="宋体" w:hAnsi="宋体" w:cs="宋体"/>
          <w:b/>
          <w:kern w:val="0"/>
          <w:sz w:val="32"/>
          <w:szCs w:val="32"/>
        </w:rPr>
      </w:pPr>
    </w:p>
    <w:p w14:paraId="4109AD82">
      <w:pPr>
        <w:snapToGrid w:val="0"/>
        <w:spacing w:line="360" w:lineRule="auto"/>
        <w:ind w:right="480"/>
        <w:jc w:val="center"/>
        <w:rPr>
          <w:rFonts w:ascii="宋体" w:hAnsi="宋体" w:cs="宋体"/>
          <w:b/>
          <w:kern w:val="0"/>
          <w:sz w:val="32"/>
          <w:szCs w:val="32"/>
        </w:rPr>
      </w:pPr>
    </w:p>
    <w:p w14:paraId="4A977881">
      <w:pPr>
        <w:snapToGrid w:val="0"/>
        <w:spacing w:line="360" w:lineRule="auto"/>
        <w:ind w:right="480"/>
        <w:jc w:val="center"/>
        <w:rPr>
          <w:rFonts w:ascii="宋体" w:hAnsi="宋体" w:cs="宋体"/>
          <w:b/>
          <w:kern w:val="0"/>
          <w:sz w:val="32"/>
          <w:szCs w:val="32"/>
        </w:rPr>
      </w:pPr>
    </w:p>
    <w:p w14:paraId="02692DFA">
      <w:pPr>
        <w:pStyle w:val="3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8C5F3AA">
      <w:pPr>
        <w:pStyle w:val="3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86184B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8A9FE5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C34F25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2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2"/>
        <w:gridCol w:w="4556"/>
        <w:gridCol w:w="1264"/>
        <w:gridCol w:w="2653"/>
        <w:gridCol w:w="2583"/>
        <w:gridCol w:w="1889"/>
      </w:tblGrid>
      <w:tr w14:paraId="6F2A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95B9F4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372" w:type="dxa"/>
            <w:vAlign w:val="center"/>
          </w:tcPr>
          <w:p w14:paraId="4C5DC6C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4556" w:type="dxa"/>
            <w:vAlign w:val="center"/>
          </w:tcPr>
          <w:p w14:paraId="11E854A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规格型号</w:t>
            </w:r>
          </w:p>
          <w:p w14:paraId="6B4E2C6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（或具体服务）</w:t>
            </w:r>
          </w:p>
        </w:tc>
        <w:tc>
          <w:tcPr>
            <w:tcW w:w="1264" w:type="dxa"/>
            <w:vAlign w:val="center"/>
          </w:tcPr>
          <w:p w14:paraId="3C71E0D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2653" w:type="dxa"/>
            <w:vAlign w:val="center"/>
          </w:tcPr>
          <w:p w14:paraId="397EAA9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单价</w:t>
            </w:r>
          </w:p>
        </w:tc>
        <w:tc>
          <w:tcPr>
            <w:tcW w:w="2583" w:type="dxa"/>
            <w:vAlign w:val="center"/>
          </w:tcPr>
          <w:p w14:paraId="227520F7">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总价</w:t>
            </w:r>
          </w:p>
        </w:tc>
        <w:tc>
          <w:tcPr>
            <w:tcW w:w="1889" w:type="dxa"/>
            <w:vAlign w:val="center"/>
          </w:tcPr>
          <w:p w14:paraId="1DDDE7FB">
            <w:pPr>
              <w:spacing w:line="360" w:lineRule="auto"/>
              <w:jc w:val="center"/>
              <w:rPr>
                <w:rFonts w:hint="eastAsia" w:ascii="宋体" w:hAnsi="宋体" w:eastAsia="宋体" w:cs="宋体"/>
                <w:b/>
                <w:sz w:val="24"/>
                <w:szCs w:val="24"/>
              </w:rPr>
            </w:pPr>
          </w:p>
          <w:p w14:paraId="69DF541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备注（如果有）</w:t>
            </w:r>
          </w:p>
          <w:p w14:paraId="3287F01C">
            <w:pPr>
              <w:spacing w:line="360" w:lineRule="auto"/>
              <w:jc w:val="center"/>
              <w:rPr>
                <w:rFonts w:hint="eastAsia" w:ascii="宋体" w:hAnsi="宋体" w:eastAsia="宋体" w:cs="宋体"/>
                <w:b/>
                <w:sz w:val="24"/>
                <w:szCs w:val="24"/>
              </w:rPr>
            </w:pPr>
          </w:p>
        </w:tc>
      </w:tr>
      <w:tr w14:paraId="5276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0F8595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72" w:type="dxa"/>
            <w:vMerge w:val="restart"/>
            <w:vAlign w:val="center"/>
          </w:tcPr>
          <w:p w14:paraId="28000A01">
            <w:pPr>
              <w:adjustRightIn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富春江镇2025年度安全生产和消防安全社会化服务项目</w:t>
            </w:r>
          </w:p>
          <w:p w14:paraId="1E410970">
            <w:pPr>
              <w:snapToGrid w:val="0"/>
              <w:spacing w:line="360" w:lineRule="auto"/>
              <w:jc w:val="center"/>
              <w:rPr>
                <w:rFonts w:hint="eastAsia" w:ascii="宋体" w:hAnsi="宋体" w:eastAsia="宋体" w:cs="宋体"/>
                <w:sz w:val="24"/>
                <w:szCs w:val="24"/>
              </w:rPr>
            </w:pPr>
          </w:p>
        </w:tc>
        <w:tc>
          <w:tcPr>
            <w:tcW w:w="4556" w:type="dxa"/>
            <w:vAlign w:val="center"/>
          </w:tcPr>
          <w:p w14:paraId="02B79B9E">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sz w:val="24"/>
                <w:szCs w:val="24"/>
              </w:rPr>
            </w:pPr>
            <w:r>
              <w:rPr>
                <w:rFonts w:hint="eastAsia" w:ascii="宋体" w:hAnsi="宋体" w:eastAsia="宋体" w:cs="宋体"/>
                <w:color w:val="auto"/>
                <w:kern w:val="0"/>
                <w:sz w:val="24"/>
                <w:szCs w:val="24"/>
                <w:lang w:val="en-US" w:eastAsia="zh-CN"/>
              </w:rPr>
              <w:t>全镇所有</w:t>
            </w:r>
            <w:r>
              <w:rPr>
                <w:rFonts w:hint="eastAsia" w:ascii="宋体" w:hAnsi="宋体" w:eastAsia="宋体" w:cs="宋体"/>
                <w:color w:val="auto"/>
                <w:kern w:val="0"/>
                <w:sz w:val="24"/>
                <w:szCs w:val="24"/>
              </w:rPr>
              <w:t>企业约2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0家，每年检查服务1次，结算按实际</w:t>
            </w:r>
            <w:r>
              <w:rPr>
                <w:rFonts w:hint="eastAsia" w:ascii="宋体" w:hAnsi="宋体" w:eastAsia="宋体" w:cs="宋体"/>
                <w:color w:val="auto"/>
                <w:kern w:val="0"/>
                <w:sz w:val="24"/>
                <w:szCs w:val="24"/>
                <w:lang w:val="en-US" w:eastAsia="zh-CN"/>
              </w:rPr>
              <w:t>整改闭环</w:t>
            </w:r>
            <w:r>
              <w:rPr>
                <w:rFonts w:hint="eastAsia" w:ascii="宋体" w:hAnsi="宋体" w:eastAsia="宋体" w:cs="宋体"/>
                <w:color w:val="auto"/>
                <w:kern w:val="0"/>
                <w:sz w:val="24"/>
                <w:szCs w:val="24"/>
              </w:rPr>
              <w:t>企业家·次数量计算。</w:t>
            </w:r>
          </w:p>
        </w:tc>
        <w:tc>
          <w:tcPr>
            <w:tcW w:w="1264" w:type="dxa"/>
            <w:vAlign w:val="center"/>
          </w:tcPr>
          <w:p w14:paraId="1C66B1C5">
            <w:pPr>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210次</w:t>
            </w:r>
          </w:p>
        </w:tc>
        <w:tc>
          <w:tcPr>
            <w:tcW w:w="2653" w:type="dxa"/>
            <w:vAlign w:val="center"/>
          </w:tcPr>
          <w:p w14:paraId="646554DC">
            <w:pPr>
              <w:snapToGrid w:val="0"/>
              <w:spacing w:line="360" w:lineRule="auto"/>
              <w:jc w:val="center"/>
              <w:rPr>
                <w:rFonts w:hint="eastAsia" w:ascii="宋体" w:hAnsi="宋体" w:eastAsia="宋体" w:cs="宋体"/>
                <w:sz w:val="24"/>
                <w:szCs w:val="24"/>
              </w:rPr>
            </w:pPr>
          </w:p>
        </w:tc>
        <w:tc>
          <w:tcPr>
            <w:tcW w:w="2583" w:type="dxa"/>
            <w:vAlign w:val="center"/>
          </w:tcPr>
          <w:p w14:paraId="49477B81">
            <w:pPr>
              <w:spacing w:line="360" w:lineRule="auto"/>
              <w:jc w:val="center"/>
              <w:rPr>
                <w:rFonts w:hint="eastAsia" w:ascii="宋体" w:hAnsi="宋体" w:eastAsia="宋体" w:cs="宋体"/>
                <w:sz w:val="24"/>
                <w:szCs w:val="24"/>
              </w:rPr>
            </w:pPr>
          </w:p>
        </w:tc>
        <w:tc>
          <w:tcPr>
            <w:tcW w:w="1889" w:type="dxa"/>
            <w:vAlign w:val="center"/>
          </w:tcPr>
          <w:p w14:paraId="106120C3">
            <w:pPr>
              <w:spacing w:line="360" w:lineRule="auto"/>
              <w:jc w:val="center"/>
              <w:rPr>
                <w:rFonts w:hint="eastAsia" w:ascii="宋体" w:hAnsi="宋体" w:eastAsia="宋体" w:cs="宋体"/>
                <w:sz w:val="24"/>
                <w:szCs w:val="24"/>
              </w:rPr>
            </w:pPr>
          </w:p>
        </w:tc>
      </w:tr>
      <w:tr w14:paraId="6FB8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DDBF5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72" w:type="dxa"/>
            <w:vMerge w:val="continue"/>
            <w:vAlign w:val="center"/>
          </w:tcPr>
          <w:p w14:paraId="15A22536">
            <w:pPr>
              <w:snapToGrid w:val="0"/>
              <w:spacing w:line="360" w:lineRule="auto"/>
              <w:jc w:val="center"/>
              <w:rPr>
                <w:rFonts w:hint="eastAsia" w:ascii="宋体" w:hAnsi="宋体" w:eastAsia="宋体" w:cs="宋体"/>
                <w:sz w:val="24"/>
                <w:szCs w:val="24"/>
              </w:rPr>
            </w:pPr>
          </w:p>
        </w:tc>
        <w:tc>
          <w:tcPr>
            <w:tcW w:w="4556" w:type="dxa"/>
            <w:vAlign w:val="center"/>
          </w:tcPr>
          <w:p w14:paraId="194D53F1">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sz w:val="24"/>
                <w:szCs w:val="24"/>
              </w:rPr>
            </w:pPr>
            <w:r>
              <w:rPr>
                <w:rFonts w:hint="eastAsia" w:ascii="宋体" w:hAnsi="宋体" w:eastAsia="宋体" w:cs="宋体"/>
                <w:color w:val="auto"/>
                <w:kern w:val="0"/>
                <w:sz w:val="24"/>
                <w:szCs w:val="24"/>
              </w:rPr>
              <w:t>根据风险评估结果列入较高风险的企业每季实施检查跟踪服务（工业企业30家；大型建筑工地、加油站、煤气站共10个），结算按实际</w:t>
            </w:r>
            <w:r>
              <w:rPr>
                <w:rFonts w:hint="eastAsia" w:ascii="宋体" w:hAnsi="宋体" w:eastAsia="宋体" w:cs="宋体"/>
                <w:color w:val="auto"/>
                <w:kern w:val="0"/>
                <w:sz w:val="24"/>
                <w:szCs w:val="24"/>
                <w:lang w:val="en-US" w:eastAsia="zh-CN"/>
              </w:rPr>
              <w:t>整改闭环</w:t>
            </w:r>
            <w:r>
              <w:rPr>
                <w:rFonts w:hint="eastAsia" w:ascii="宋体" w:hAnsi="宋体" w:eastAsia="宋体" w:cs="宋体"/>
                <w:color w:val="auto"/>
                <w:kern w:val="0"/>
                <w:sz w:val="24"/>
                <w:szCs w:val="24"/>
              </w:rPr>
              <w:t>企业家·次数量计算。</w:t>
            </w:r>
          </w:p>
        </w:tc>
        <w:tc>
          <w:tcPr>
            <w:tcW w:w="1264" w:type="dxa"/>
            <w:vAlign w:val="center"/>
          </w:tcPr>
          <w:p w14:paraId="75304219">
            <w:pPr>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40*3次</w:t>
            </w:r>
          </w:p>
        </w:tc>
        <w:tc>
          <w:tcPr>
            <w:tcW w:w="2653" w:type="dxa"/>
            <w:vAlign w:val="center"/>
          </w:tcPr>
          <w:p w14:paraId="019E64CE">
            <w:pPr>
              <w:snapToGrid w:val="0"/>
              <w:spacing w:line="360" w:lineRule="auto"/>
              <w:jc w:val="center"/>
              <w:rPr>
                <w:rFonts w:hint="eastAsia" w:ascii="宋体" w:hAnsi="宋体" w:eastAsia="宋体" w:cs="宋体"/>
                <w:sz w:val="24"/>
                <w:szCs w:val="24"/>
              </w:rPr>
            </w:pPr>
          </w:p>
        </w:tc>
        <w:tc>
          <w:tcPr>
            <w:tcW w:w="2583" w:type="dxa"/>
            <w:vAlign w:val="center"/>
          </w:tcPr>
          <w:p w14:paraId="515B8281">
            <w:pPr>
              <w:spacing w:line="360" w:lineRule="auto"/>
              <w:jc w:val="center"/>
              <w:rPr>
                <w:rFonts w:hint="eastAsia" w:ascii="宋体" w:hAnsi="宋体" w:eastAsia="宋体" w:cs="宋体"/>
                <w:sz w:val="24"/>
                <w:szCs w:val="24"/>
              </w:rPr>
            </w:pPr>
          </w:p>
        </w:tc>
        <w:tc>
          <w:tcPr>
            <w:tcW w:w="1889" w:type="dxa"/>
            <w:vAlign w:val="center"/>
          </w:tcPr>
          <w:p w14:paraId="0E513F89">
            <w:pPr>
              <w:spacing w:line="360" w:lineRule="auto"/>
              <w:jc w:val="center"/>
              <w:rPr>
                <w:rFonts w:hint="eastAsia" w:ascii="宋体" w:hAnsi="宋体" w:eastAsia="宋体" w:cs="宋体"/>
                <w:sz w:val="24"/>
                <w:szCs w:val="24"/>
              </w:rPr>
            </w:pPr>
          </w:p>
        </w:tc>
      </w:tr>
      <w:tr w14:paraId="7CC3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18166EE">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372" w:type="dxa"/>
            <w:vMerge w:val="continue"/>
            <w:vAlign w:val="center"/>
          </w:tcPr>
          <w:p w14:paraId="05A78C2D">
            <w:pPr>
              <w:snapToGrid w:val="0"/>
              <w:spacing w:line="360" w:lineRule="auto"/>
              <w:jc w:val="center"/>
              <w:rPr>
                <w:rFonts w:hint="eastAsia" w:ascii="宋体" w:hAnsi="宋体" w:eastAsia="宋体" w:cs="宋体"/>
                <w:sz w:val="24"/>
                <w:szCs w:val="24"/>
              </w:rPr>
            </w:pPr>
          </w:p>
        </w:tc>
        <w:tc>
          <w:tcPr>
            <w:tcW w:w="4556" w:type="dxa"/>
            <w:vAlign w:val="center"/>
          </w:tcPr>
          <w:p w14:paraId="57DBEBC4">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sz w:val="24"/>
                <w:szCs w:val="24"/>
              </w:rPr>
            </w:pPr>
            <w:r>
              <w:rPr>
                <w:rFonts w:hint="eastAsia" w:ascii="宋体" w:hAnsi="宋体" w:eastAsia="宋体" w:cs="宋体"/>
                <w:color w:val="auto"/>
                <w:kern w:val="0"/>
                <w:sz w:val="24"/>
                <w:szCs w:val="24"/>
                <w:lang w:val="en-US" w:eastAsia="zh-CN"/>
              </w:rPr>
              <w:t>全镇所有经营性民宿约300家，开展消防安全、食品安全、周边辅助设施等安全检查，每年检查服务1次，</w:t>
            </w:r>
            <w:r>
              <w:rPr>
                <w:rFonts w:hint="eastAsia" w:ascii="宋体" w:hAnsi="宋体" w:eastAsia="宋体" w:cs="宋体"/>
                <w:color w:val="auto"/>
                <w:kern w:val="0"/>
                <w:sz w:val="24"/>
                <w:szCs w:val="24"/>
              </w:rPr>
              <w:t>结算按实际</w:t>
            </w:r>
            <w:r>
              <w:rPr>
                <w:rFonts w:hint="eastAsia" w:ascii="宋体" w:hAnsi="宋体" w:eastAsia="宋体" w:cs="宋体"/>
                <w:color w:val="auto"/>
                <w:kern w:val="0"/>
                <w:sz w:val="24"/>
                <w:szCs w:val="24"/>
                <w:lang w:val="en-US" w:eastAsia="zh-CN"/>
              </w:rPr>
              <w:t>整改闭环</w:t>
            </w:r>
            <w:r>
              <w:rPr>
                <w:rFonts w:hint="eastAsia" w:ascii="宋体" w:hAnsi="宋体" w:eastAsia="宋体" w:cs="宋体"/>
                <w:color w:val="auto"/>
                <w:kern w:val="0"/>
                <w:sz w:val="24"/>
                <w:szCs w:val="24"/>
              </w:rPr>
              <w:t>企业家·次数量计算。</w:t>
            </w:r>
          </w:p>
        </w:tc>
        <w:tc>
          <w:tcPr>
            <w:tcW w:w="1264" w:type="dxa"/>
            <w:vAlign w:val="center"/>
          </w:tcPr>
          <w:p w14:paraId="6BDB05ED">
            <w:pPr>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300次</w:t>
            </w:r>
          </w:p>
        </w:tc>
        <w:tc>
          <w:tcPr>
            <w:tcW w:w="2653" w:type="dxa"/>
            <w:vAlign w:val="center"/>
          </w:tcPr>
          <w:p w14:paraId="0376232D">
            <w:pPr>
              <w:snapToGrid w:val="0"/>
              <w:spacing w:line="360" w:lineRule="auto"/>
              <w:jc w:val="center"/>
              <w:rPr>
                <w:rFonts w:hint="eastAsia" w:ascii="宋体" w:hAnsi="宋体" w:eastAsia="宋体" w:cs="宋体"/>
                <w:sz w:val="24"/>
                <w:szCs w:val="24"/>
              </w:rPr>
            </w:pPr>
          </w:p>
        </w:tc>
        <w:tc>
          <w:tcPr>
            <w:tcW w:w="2583" w:type="dxa"/>
            <w:vAlign w:val="center"/>
          </w:tcPr>
          <w:p w14:paraId="43CED380">
            <w:pPr>
              <w:spacing w:line="360" w:lineRule="auto"/>
              <w:jc w:val="center"/>
              <w:rPr>
                <w:rFonts w:hint="eastAsia" w:ascii="宋体" w:hAnsi="宋体" w:eastAsia="宋体" w:cs="宋体"/>
                <w:sz w:val="24"/>
                <w:szCs w:val="24"/>
              </w:rPr>
            </w:pPr>
          </w:p>
        </w:tc>
        <w:tc>
          <w:tcPr>
            <w:tcW w:w="1889" w:type="dxa"/>
            <w:vAlign w:val="center"/>
          </w:tcPr>
          <w:p w14:paraId="5082B820">
            <w:pPr>
              <w:spacing w:line="360" w:lineRule="auto"/>
              <w:jc w:val="center"/>
              <w:rPr>
                <w:rFonts w:hint="eastAsia" w:ascii="宋体" w:hAnsi="宋体" w:eastAsia="宋体" w:cs="宋体"/>
                <w:sz w:val="24"/>
                <w:szCs w:val="24"/>
              </w:rPr>
            </w:pPr>
          </w:p>
        </w:tc>
      </w:tr>
      <w:tr w14:paraId="47C8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6A990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72" w:type="dxa"/>
            <w:vMerge w:val="continue"/>
            <w:vAlign w:val="center"/>
          </w:tcPr>
          <w:p w14:paraId="76C2913E">
            <w:pPr>
              <w:snapToGrid w:val="0"/>
              <w:spacing w:line="360" w:lineRule="auto"/>
              <w:jc w:val="center"/>
              <w:rPr>
                <w:rFonts w:hint="eastAsia" w:ascii="宋体" w:hAnsi="宋体" w:eastAsia="宋体" w:cs="宋体"/>
                <w:sz w:val="24"/>
                <w:szCs w:val="24"/>
              </w:rPr>
            </w:pPr>
          </w:p>
        </w:tc>
        <w:tc>
          <w:tcPr>
            <w:tcW w:w="4556" w:type="dxa"/>
            <w:vAlign w:val="center"/>
          </w:tcPr>
          <w:p w14:paraId="0C0B7F76">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sz w:val="24"/>
                <w:szCs w:val="24"/>
              </w:rPr>
            </w:pPr>
            <w:r>
              <w:rPr>
                <w:rFonts w:hint="eastAsia" w:ascii="宋体" w:hAnsi="宋体" w:eastAsia="宋体" w:cs="宋体"/>
                <w:color w:val="auto"/>
                <w:kern w:val="0"/>
                <w:sz w:val="24"/>
                <w:szCs w:val="24"/>
                <w:lang w:val="en-US" w:eastAsia="zh-CN"/>
              </w:rPr>
              <w:t>全镇所有九小场所约600家，开展消防安全、周边辅助设施等安全检查，每年检查服务1次，</w:t>
            </w:r>
            <w:r>
              <w:rPr>
                <w:rFonts w:hint="eastAsia" w:ascii="宋体" w:hAnsi="宋体" w:eastAsia="宋体" w:cs="宋体"/>
                <w:color w:val="auto"/>
                <w:kern w:val="0"/>
                <w:sz w:val="24"/>
                <w:szCs w:val="24"/>
              </w:rPr>
              <w:t>结算按实际</w:t>
            </w:r>
            <w:r>
              <w:rPr>
                <w:rFonts w:hint="eastAsia" w:ascii="宋体" w:hAnsi="宋体" w:eastAsia="宋体" w:cs="宋体"/>
                <w:color w:val="auto"/>
                <w:kern w:val="0"/>
                <w:sz w:val="24"/>
                <w:szCs w:val="24"/>
                <w:lang w:val="en-US" w:eastAsia="zh-CN"/>
              </w:rPr>
              <w:t>整改闭环</w:t>
            </w:r>
            <w:r>
              <w:rPr>
                <w:rFonts w:hint="eastAsia" w:ascii="宋体" w:hAnsi="宋体" w:eastAsia="宋体" w:cs="宋体"/>
                <w:color w:val="auto"/>
                <w:kern w:val="0"/>
                <w:sz w:val="24"/>
                <w:szCs w:val="24"/>
              </w:rPr>
              <w:t>企业家·次数量计算。</w:t>
            </w:r>
          </w:p>
        </w:tc>
        <w:tc>
          <w:tcPr>
            <w:tcW w:w="1264" w:type="dxa"/>
            <w:vAlign w:val="center"/>
          </w:tcPr>
          <w:p w14:paraId="64658A73">
            <w:pPr>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600次</w:t>
            </w:r>
          </w:p>
        </w:tc>
        <w:tc>
          <w:tcPr>
            <w:tcW w:w="2653" w:type="dxa"/>
            <w:vAlign w:val="center"/>
          </w:tcPr>
          <w:p w14:paraId="3E549506">
            <w:pPr>
              <w:snapToGrid w:val="0"/>
              <w:spacing w:line="360" w:lineRule="auto"/>
              <w:jc w:val="center"/>
              <w:rPr>
                <w:rFonts w:hint="eastAsia" w:ascii="宋体" w:hAnsi="宋体" w:eastAsia="宋体" w:cs="宋体"/>
                <w:sz w:val="24"/>
                <w:szCs w:val="24"/>
              </w:rPr>
            </w:pPr>
          </w:p>
        </w:tc>
        <w:tc>
          <w:tcPr>
            <w:tcW w:w="2583" w:type="dxa"/>
            <w:vAlign w:val="center"/>
          </w:tcPr>
          <w:p w14:paraId="0AB15E67">
            <w:pPr>
              <w:spacing w:line="360" w:lineRule="auto"/>
              <w:jc w:val="center"/>
              <w:rPr>
                <w:rFonts w:hint="eastAsia" w:ascii="宋体" w:hAnsi="宋体" w:eastAsia="宋体" w:cs="宋体"/>
                <w:sz w:val="24"/>
                <w:szCs w:val="24"/>
              </w:rPr>
            </w:pPr>
          </w:p>
        </w:tc>
        <w:tc>
          <w:tcPr>
            <w:tcW w:w="1889" w:type="dxa"/>
            <w:vAlign w:val="center"/>
          </w:tcPr>
          <w:p w14:paraId="19C20908">
            <w:pPr>
              <w:spacing w:line="360" w:lineRule="auto"/>
              <w:jc w:val="center"/>
              <w:rPr>
                <w:rFonts w:hint="eastAsia" w:ascii="宋体" w:hAnsi="宋体" w:eastAsia="宋体" w:cs="宋体"/>
                <w:sz w:val="24"/>
                <w:szCs w:val="24"/>
              </w:rPr>
            </w:pPr>
          </w:p>
        </w:tc>
      </w:tr>
      <w:tr w14:paraId="4FF2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AD42A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72" w:type="dxa"/>
            <w:vMerge w:val="continue"/>
            <w:vAlign w:val="center"/>
          </w:tcPr>
          <w:p w14:paraId="22852621">
            <w:pPr>
              <w:snapToGrid w:val="0"/>
              <w:spacing w:line="360" w:lineRule="auto"/>
              <w:jc w:val="center"/>
              <w:rPr>
                <w:rFonts w:hint="eastAsia" w:ascii="宋体" w:hAnsi="宋体" w:eastAsia="宋体" w:cs="宋体"/>
                <w:sz w:val="24"/>
                <w:szCs w:val="24"/>
              </w:rPr>
            </w:pPr>
          </w:p>
        </w:tc>
        <w:tc>
          <w:tcPr>
            <w:tcW w:w="4556" w:type="dxa"/>
            <w:vAlign w:val="center"/>
          </w:tcPr>
          <w:p w14:paraId="5EDB0AD8">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sz w:val="24"/>
                <w:szCs w:val="24"/>
              </w:rPr>
            </w:pPr>
            <w:r>
              <w:rPr>
                <w:rFonts w:hint="eastAsia" w:ascii="宋体" w:hAnsi="宋体" w:eastAsia="宋体" w:cs="宋体"/>
                <w:color w:val="auto"/>
                <w:sz w:val="24"/>
                <w:szCs w:val="24"/>
              </w:rPr>
              <w:t>对特别需求企业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在建工地</w:t>
            </w:r>
            <w:r>
              <w:rPr>
                <w:rFonts w:hint="eastAsia" w:ascii="宋体" w:hAnsi="宋体" w:eastAsia="宋体" w:cs="宋体"/>
                <w:color w:val="auto"/>
                <w:sz w:val="24"/>
                <w:szCs w:val="24"/>
              </w:rPr>
              <w:t>提供安全生产知识培训或应急演练活动（约</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民宿安全培训2场。</w:t>
            </w:r>
          </w:p>
        </w:tc>
        <w:tc>
          <w:tcPr>
            <w:tcW w:w="1264" w:type="dxa"/>
            <w:vAlign w:val="center"/>
          </w:tcPr>
          <w:p w14:paraId="05E58388">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8场</w:t>
            </w:r>
          </w:p>
        </w:tc>
        <w:tc>
          <w:tcPr>
            <w:tcW w:w="2653" w:type="dxa"/>
            <w:vAlign w:val="center"/>
          </w:tcPr>
          <w:p w14:paraId="1260DA77">
            <w:pPr>
              <w:snapToGrid w:val="0"/>
              <w:spacing w:line="360" w:lineRule="auto"/>
              <w:jc w:val="center"/>
              <w:rPr>
                <w:rFonts w:hint="eastAsia" w:ascii="宋体" w:hAnsi="宋体" w:eastAsia="宋体" w:cs="宋体"/>
                <w:sz w:val="24"/>
                <w:szCs w:val="24"/>
              </w:rPr>
            </w:pPr>
          </w:p>
        </w:tc>
        <w:tc>
          <w:tcPr>
            <w:tcW w:w="2583" w:type="dxa"/>
            <w:vAlign w:val="center"/>
          </w:tcPr>
          <w:p w14:paraId="691A473C">
            <w:pPr>
              <w:spacing w:line="360" w:lineRule="auto"/>
              <w:jc w:val="center"/>
              <w:rPr>
                <w:rFonts w:hint="eastAsia" w:ascii="宋体" w:hAnsi="宋体" w:eastAsia="宋体" w:cs="宋体"/>
                <w:sz w:val="24"/>
                <w:szCs w:val="24"/>
              </w:rPr>
            </w:pPr>
          </w:p>
        </w:tc>
        <w:tc>
          <w:tcPr>
            <w:tcW w:w="1889" w:type="dxa"/>
            <w:vAlign w:val="center"/>
          </w:tcPr>
          <w:p w14:paraId="423AEFBE">
            <w:pPr>
              <w:spacing w:line="360" w:lineRule="auto"/>
              <w:jc w:val="center"/>
              <w:rPr>
                <w:rFonts w:hint="eastAsia" w:ascii="宋体" w:hAnsi="宋体" w:eastAsia="宋体" w:cs="宋体"/>
                <w:sz w:val="24"/>
                <w:szCs w:val="24"/>
              </w:rPr>
            </w:pPr>
          </w:p>
        </w:tc>
      </w:tr>
      <w:tr w14:paraId="3CFC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61986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72" w:type="dxa"/>
            <w:vMerge w:val="continue"/>
            <w:vAlign w:val="center"/>
          </w:tcPr>
          <w:p w14:paraId="6D39BB72">
            <w:pPr>
              <w:snapToGrid w:val="0"/>
              <w:spacing w:line="360" w:lineRule="auto"/>
              <w:jc w:val="center"/>
              <w:rPr>
                <w:rFonts w:hint="eastAsia" w:ascii="宋体" w:hAnsi="宋体" w:eastAsia="宋体" w:cs="宋体"/>
                <w:sz w:val="24"/>
                <w:szCs w:val="24"/>
              </w:rPr>
            </w:pPr>
          </w:p>
        </w:tc>
        <w:tc>
          <w:tcPr>
            <w:tcW w:w="4556" w:type="dxa"/>
            <w:vAlign w:val="center"/>
          </w:tcPr>
          <w:p w14:paraId="1FB0A1B0">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color w:val="auto"/>
                <w:sz w:val="24"/>
                <w:szCs w:val="24"/>
              </w:rPr>
            </w:pPr>
            <w:r>
              <w:rPr>
                <w:rFonts w:hint="eastAsia" w:ascii="宋体" w:hAnsi="宋体" w:eastAsia="宋体" w:cs="宋体"/>
                <w:color w:val="auto"/>
                <w:kern w:val="0"/>
                <w:sz w:val="24"/>
                <w:szCs w:val="24"/>
              </w:rPr>
              <w:t>每月</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天提供固定日驻镇开展其它临时安全生产专项检查等咨询服务，结算按实际服务签到服务日计算。</w:t>
            </w:r>
          </w:p>
        </w:tc>
        <w:tc>
          <w:tcPr>
            <w:tcW w:w="1264" w:type="dxa"/>
            <w:vAlign w:val="center"/>
          </w:tcPr>
          <w:p w14:paraId="7F4A1B6A">
            <w:pPr>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60天</w:t>
            </w:r>
          </w:p>
        </w:tc>
        <w:tc>
          <w:tcPr>
            <w:tcW w:w="2653" w:type="dxa"/>
            <w:vAlign w:val="center"/>
          </w:tcPr>
          <w:p w14:paraId="5C34093C">
            <w:pPr>
              <w:snapToGrid w:val="0"/>
              <w:spacing w:line="360" w:lineRule="auto"/>
              <w:jc w:val="center"/>
              <w:rPr>
                <w:rFonts w:hint="eastAsia" w:ascii="宋体" w:hAnsi="宋体" w:eastAsia="宋体" w:cs="宋体"/>
                <w:sz w:val="24"/>
                <w:szCs w:val="24"/>
                <w:lang w:eastAsia="zh-CN"/>
              </w:rPr>
            </w:pPr>
          </w:p>
        </w:tc>
        <w:tc>
          <w:tcPr>
            <w:tcW w:w="2583" w:type="dxa"/>
            <w:vAlign w:val="center"/>
          </w:tcPr>
          <w:p w14:paraId="4B751866">
            <w:pPr>
              <w:spacing w:line="360" w:lineRule="auto"/>
              <w:jc w:val="center"/>
              <w:rPr>
                <w:rFonts w:hint="eastAsia" w:ascii="宋体" w:hAnsi="宋体" w:eastAsia="宋体" w:cs="宋体"/>
                <w:sz w:val="24"/>
                <w:szCs w:val="24"/>
              </w:rPr>
            </w:pPr>
          </w:p>
        </w:tc>
        <w:tc>
          <w:tcPr>
            <w:tcW w:w="1889" w:type="dxa"/>
            <w:vAlign w:val="center"/>
          </w:tcPr>
          <w:p w14:paraId="6B2A80F9">
            <w:pPr>
              <w:spacing w:line="360" w:lineRule="auto"/>
              <w:jc w:val="center"/>
              <w:rPr>
                <w:rFonts w:hint="eastAsia" w:ascii="宋体" w:hAnsi="宋体" w:eastAsia="宋体" w:cs="宋体"/>
                <w:sz w:val="24"/>
                <w:szCs w:val="24"/>
              </w:rPr>
            </w:pPr>
          </w:p>
        </w:tc>
      </w:tr>
      <w:tr w14:paraId="51A4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E39D6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372" w:type="dxa"/>
            <w:vMerge w:val="continue"/>
            <w:vAlign w:val="center"/>
          </w:tcPr>
          <w:p w14:paraId="2CD44D68">
            <w:pPr>
              <w:snapToGrid w:val="0"/>
              <w:spacing w:line="360" w:lineRule="auto"/>
              <w:jc w:val="center"/>
              <w:rPr>
                <w:rFonts w:hint="eastAsia" w:ascii="宋体" w:hAnsi="宋体" w:eastAsia="宋体" w:cs="宋体"/>
                <w:sz w:val="24"/>
                <w:szCs w:val="24"/>
              </w:rPr>
            </w:pPr>
          </w:p>
        </w:tc>
        <w:tc>
          <w:tcPr>
            <w:tcW w:w="4556" w:type="dxa"/>
            <w:vAlign w:val="center"/>
          </w:tcPr>
          <w:p w14:paraId="0000D22B">
            <w:pPr>
              <w:keepNext w:val="0"/>
              <w:keepLines w:val="0"/>
              <w:pageBreakBefore w:val="0"/>
              <w:widowControl/>
              <w:kinsoku/>
              <w:wordWrap/>
              <w:overflowPunct/>
              <w:topLinePunct w:val="0"/>
              <w:autoSpaceDE/>
              <w:autoSpaceDN/>
              <w:bidi w:val="0"/>
              <w:adjustRightInd/>
              <w:snapToGrid/>
              <w:spacing w:beforeLines="0" w:line="360" w:lineRule="auto"/>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企业风险普查核验及政企“工业在线”</w:t>
            </w:r>
            <w:r>
              <w:rPr>
                <w:rFonts w:hint="eastAsia" w:ascii="宋体" w:hAnsi="宋体" w:eastAsia="宋体" w:cs="宋体"/>
                <w:color w:val="auto"/>
                <w:kern w:val="0"/>
                <w:sz w:val="24"/>
                <w:szCs w:val="24"/>
                <w:lang w:val="en-US" w:eastAsia="zh-CN"/>
              </w:rPr>
              <w:t>等</w:t>
            </w:r>
            <w:r>
              <w:rPr>
                <w:rFonts w:hint="eastAsia" w:ascii="宋体" w:hAnsi="宋体" w:eastAsia="宋体" w:cs="宋体"/>
                <w:color w:val="auto"/>
                <w:kern w:val="0"/>
                <w:sz w:val="24"/>
                <w:szCs w:val="24"/>
              </w:rPr>
              <w:t>各类网上</w:t>
            </w:r>
            <w:r>
              <w:rPr>
                <w:rFonts w:hint="eastAsia" w:ascii="宋体" w:hAnsi="宋体" w:eastAsia="宋体" w:cs="宋体"/>
                <w:color w:val="auto"/>
                <w:kern w:val="0"/>
                <w:sz w:val="24"/>
                <w:szCs w:val="24"/>
                <w:lang w:eastAsia="zh-CN"/>
              </w:rPr>
              <w:t>平台</w:t>
            </w:r>
            <w:r>
              <w:rPr>
                <w:rFonts w:hint="eastAsia" w:ascii="宋体" w:hAnsi="宋体" w:eastAsia="宋体" w:cs="宋体"/>
                <w:color w:val="auto"/>
                <w:kern w:val="0"/>
                <w:sz w:val="24"/>
                <w:szCs w:val="24"/>
                <w:lang w:val="en-US" w:eastAsia="zh-CN"/>
              </w:rPr>
              <w:t>协助</w:t>
            </w:r>
            <w:r>
              <w:rPr>
                <w:rFonts w:hint="eastAsia" w:ascii="宋体" w:hAnsi="宋体" w:eastAsia="宋体" w:cs="宋体"/>
                <w:color w:val="auto"/>
                <w:kern w:val="0"/>
                <w:sz w:val="24"/>
                <w:szCs w:val="24"/>
              </w:rPr>
              <w:t>数据</w:t>
            </w:r>
            <w:r>
              <w:rPr>
                <w:rFonts w:hint="eastAsia" w:ascii="宋体" w:hAnsi="宋体" w:eastAsia="宋体" w:cs="宋体"/>
                <w:color w:val="auto"/>
                <w:kern w:val="0"/>
                <w:sz w:val="24"/>
                <w:szCs w:val="24"/>
                <w:lang w:eastAsia="zh-CN"/>
              </w:rPr>
              <w:t>维护和</w:t>
            </w:r>
            <w:r>
              <w:rPr>
                <w:rFonts w:hint="eastAsia" w:ascii="宋体" w:hAnsi="宋体" w:eastAsia="宋体" w:cs="宋体"/>
                <w:color w:val="auto"/>
                <w:kern w:val="0"/>
                <w:sz w:val="24"/>
                <w:szCs w:val="24"/>
              </w:rPr>
              <w:t>操作</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各项专业报表报送</w:t>
            </w:r>
            <w:r>
              <w:rPr>
                <w:rFonts w:hint="eastAsia" w:ascii="宋体" w:hAnsi="宋体" w:eastAsia="宋体" w:cs="宋体"/>
                <w:color w:val="auto"/>
                <w:kern w:val="0"/>
                <w:sz w:val="24"/>
                <w:szCs w:val="24"/>
              </w:rPr>
              <w:t>。</w:t>
            </w:r>
          </w:p>
        </w:tc>
        <w:tc>
          <w:tcPr>
            <w:tcW w:w="1264" w:type="dxa"/>
            <w:vAlign w:val="center"/>
          </w:tcPr>
          <w:p w14:paraId="4CA983FD">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w:t>
            </w:r>
          </w:p>
        </w:tc>
        <w:tc>
          <w:tcPr>
            <w:tcW w:w="2653" w:type="dxa"/>
            <w:vAlign w:val="center"/>
          </w:tcPr>
          <w:p w14:paraId="54525A0A">
            <w:pPr>
              <w:snapToGrid w:val="0"/>
              <w:spacing w:line="360" w:lineRule="auto"/>
              <w:jc w:val="center"/>
              <w:rPr>
                <w:rFonts w:hint="eastAsia" w:ascii="宋体" w:hAnsi="宋体" w:eastAsia="宋体" w:cs="宋体"/>
                <w:sz w:val="24"/>
                <w:szCs w:val="24"/>
              </w:rPr>
            </w:pPr>
          </w:p>
        </w:tc>
        <w:tc>
          <w:tcPr>
            <w:tcW w:w="2583" w:type="dxa"/>
            <w:vAlign w:val="center"/>
          </w:tcPr>
          <w:p w14:paraId="77A8155A">
            <w:pPr>
              <w:spacing w:line="360" w:lineRule="auto"/>
              <w:jc w:val="center"/>
              <w:rPr>
                <w:rFonts w:hint="eastAsia" w:ascii="宋体" w:hAnsi="宋体" w:eastAsia="宋体" w:cs="宋体"/>
                <w:sz w:val="24"/>
                <w:szCs w:val="24"/>
              </w:rPr>
            </w:pPr>
          </w:p>
        </w:tc>
        <w:tc>
          <w:tcPr>
            <w:tcW w:w="1889" w:type="dxa"/>
            <w:vAlign w:val="center"/>
          </w:tcPr>
          <w:p w14:paraId="57B8D37D">
            <w:pPr>
              <w:spacing w:line="360" w:lineRule="auto"/>
              <w:jc w:val="center"/>
              <w:rPr>
                <w:rFonts w:hint="eastAsia" w:ascii="宋体" w:hAnsi="宋体" w:eastAsia="宋体" w:cs="宋体"/>
                <w:sz w:val="24"/>
                <w:szCs w:val="24"/>
              </w:rPr>
            </w:pPr>
            <w:r>
              <w:rPr>
                <w:rFonts w:hint="eastAsia" w:ascii="宋体" w:hAnsi="宋体" w:eastAsia="宋体" w:cs="宋体"/>
                <w:color w:val="auto"/>
                <w:kern w:val="0"/>
                <w:sz w:val="24"/>
                <w:szCs w:val="24"/>
              </w:rPr>
              <w:t>按应急局要求</w:t>
            </w:r>
          </w:p>
        </w:tc>
      </w:tr>
      <w:tr w14:paraId="104D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009" w:type="dxa"/>
            <w:gridSpan w:val="4"/>
            <w:vAlign w:val="center"/>
          </w:tcPr>
          <w:p w14:paraId="4782788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投标报价（小写）</w:t>
            </w:r>
          </w:p>
        </w:tc>
        <w:tc>
          <w:tcPr>
            <w:tcW w:w="7125" w:type="dxa"/>
            <w:gridSpan w:val="3"/>
          </w:tcPr>
          <w:p w14:paraId="5AFADF5C">
            <w:pPr>
              <w:spacing w:line="360" w:lineRule="auto"/>
              <w:jc w:val="center"/>
              <w:rPr>
                <w:rFonts w:hint="eastAsia" w:ascii="宋体" w:hAnsi="宋体" w:eastAsia="宋体" w:cs="宋体"/>
                <w:sz w:val="24"/>
                <w:szCs w:val="24"/>
              </w:rPr>
            </w:pPr>
          </w:p>
        </w:tc>
      </w:tr>
      <w:tr w14:paraId="7172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09" w:type="dxa"/>
            <w:gridSpan w:val="4"/>
            <w:vAlign w:val="center"/>
          </w:tcPr>
          <w:p w14:paraId="43F7FA7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投标报价（大写）</w:t>
            </w:r>
          </w:p>
        </w:tc>
        <w:tc>
          <w:tcPr>
            <w:tcW w:w="7125" w:type="dxa"/>
            <w:gridSpan w:val="3"/>
          </w:tcPr>
          <w:p w14:paraId="74607E13">
            <w:pPr>
              <w:spacing w:line="360" w:lineRule="auto"/>
              <w:jc w:val="center"/>
              <w:rPr>
                <w:rFonts w:hint="eastAsia" w:ascii="宋体" w:hAnsi="宋体" w:eastAsia="宋体" w:cs="宋体"/>
                <w:sz w:val="24"/>
                <w:szCs w:val="24"/>
              </w:rPr>
            </w:pPr>
          </w:p>
        </w:tc>
      </w:tr>
    </w:tbl>
    <w:p w14:paraId="6DA83538">
      <w:pPr>
        <w:spacing w:line="360" w:lineRule="auto"/>
        <w:jc w:val="left"/>
        <w:rPr>
          <w:rFonts w:ascii="宋体" w:hAnsi="宋体" w:cs="宋体"/>
          <w:b/>
          <w:kern w:val="0"/>
          <w:sz w:val="24"/>
          <w:lang w:val="zh-CN"/>
        </w:rPr>
      </w:pPr>
      <w:r>
        <w:rPr>
          <w:rFonts w:hint="eastAsia" w:ascii="宋体" w:hAnsi="宋体" w:cs="宋体"/>
          <w:b/>
          <w:kern w:val="0"/>
          <w:sz w:val="24"/>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24C0BA5">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eastAsia="zh-CN"/>
        </w:rPr>
        <w:t>3、特别提示：采购代理机构将对项目名称和项目编号，中标供应商名称、地址和中标金额，主要中标标的名称、服务范围、服务要求、服务时间、服务标准等予以公示。</w:t>
      </w:r>
    </w:p>
    <w:p w14:paraId="770E4AB2">
      <w:pPr>
        <w:spacing w:line="360" w:lineRule="auto"/>
        <w:ind w:left="4620" w:leftChars="2200"/>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投标人全称（电子签章）：</w:t>
      </w:r>
    </w:p>
    <w:p w14:paraId="17DFBE46">
      <w:pPr>
        <w:spacing w:line="360" w:lineRule="auto"/>
        <w:ind w:left="4620" w:leftChars="2200"/>
        <w:jc w:val="center"/>
        <w:rPr>
          <w:rFonts w:hint="eastAsia" w:ascii="宋体" w:hAnsi="宋体" w:cs="宋体"/>
          <w:kern w:val="0"/>
          <w:sz w:val="24"/>
          <w:lang w:val="zh-CN"/>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EAE9FDB"/>
    <w:p w14:paraId="508AF8B0">
      <w:pPr>
        <w:pStyle w:val="3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29B95D6">
      <w:pPr>
        <w:widowControl/>
        <w:spacing w:line="360" w:lineRule="auto"/>
        <w:ind w:firstLine="120" w:firstLineChars="50"/>
        <w:jc w:val="left"/>
        <w:rPr>
          <w:rFonts w:ascii="宋体" w:hAnsi="宋体" w:cs="宋体"/>
          <w:b/>
          <w:sz w:val="24"/>
        </w:rPr>
      </w:pPr>
      <w:r>
        <w:rPr>
          <w:rFonts w:hint="eastAsia" w:ascii="宋体" w:hAnsi="宋体" w:cs="宋体"/>
          <w:b/>
          <w:sz w:val="24"/>
        </w:rPr>
        <w:t>]</w:t>
      </w:r>
    </w:p>
    <w:p w14:paraId="6B0BAF06">
      <w:pPr>
        <w:pStyle w:val="3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FB8E620">
      <w:pPr>
        <w:spacing w:line="360" w:lineRule="auto"/>
        <w:ind w:right="420" w:firstLine="3614" w:firstLineChars="1000"/>
        <w:rPr>
          <w:rFonts w:ascii="宋体" w:hAnsi="宋体" w:cs="宋体"/>
          <w:b/>
          <w:kern w:val="0"/>
          <w:sz w:val="36"/>
          <w:szCs w:val="36"/>
        </w:rPr>
      </w:pPr>
    </w:p>
    <w:p w14:paraId="73327E69">
      <w:pPr>
        <w:spacing w:line="360" w:lineRule="auto"/>
        <w:ind w:right="420" w:firstLine="3614" w:firstLineChars="1000"/>
        <w:rPr>
          <w:rFonts w:ascii="宋体" w:hAnsi="宋体" w:cs="宋体"/>
          <w:b/>
          <w:kern w:val="0"/>
          <w:sz w:val="36"/>
          <w:szCs w:val="36"/>
        </w:rPr>
      </w:pPr>
    </w:p>
    <w:p w14:paraId="4757F0BD">
      <w:pPr>
        <w:spacing w:line="360" w:lineRule="auto"/>
        <w:ind w:right="420" w:firstLine="3614" w:firstLineChars="1000"/>
        <w:rPr>
          <w:rFonts w:ascii="宋体" w:hAnsi="宋体" w:cs="宋体"/>
          <w:b/>
          <w:kern w:val="0"/>
          <w:sz w:val="36"/>
          <w:szCs w:val="36"/>
        </w:rPr>
      </w:pPr>
    </w:p>
    <w:p w14:paraId="66837217">
      <w:pPr>
        <w:spacing w:line="360" w:lineRule="auto"/>
        <w:ind w:right="420" w:firstLine="3614" w:firstLineChars="1000"/>
        <w:rPr>
          <w:rFonts w:ascii="宋体" w:hAnsi="宋体" w:cs="宋体"/>
          <w:b/>
          <w:kern w:val="0"/>
          <w:sz w:val="36"/>
          <w:szCs w:val="36"/>
        </w:rPr>
      </w:pPr>
    </w:p>
    <w:p w14:paraId="18636B6D">
      <w:pPr>
        <w:spacing w:line="360" w:lineRule="auto"/>
        <w:ind w:right="420" w:firstLine="3614" w:firstLineChars="1000"/>
        <w:rPr>
          <w:rFonts w:ascii="宋体" w:hAnsi="宋体" w:cs="宋体"/>
          <w:b/>
          <w:kern w:val="0"/>
          <w:sz w:val="36"/>
          <w:szCs w:val="36"/>
        </w:rPr>
      </w:pPr>
    </w:p>
    <w:p w14:paraId="2E23B7B1">
      <w:pPr>
        <w:spacing w:line="360" w:lineRule="auto"/>
        <w:ind w:right="420" w:firstLine="3614" w:firstLineChars="1000"/>
        <w:rPr>
          <w:rFonts w:ascii="宋体" w:hAnsi="宋体" w:cs="宋体"/>
          <w:b/>
          <w:kern w:val="0"/>
          <w:sz w:val="36"/>
          <w:szCs w:val="36"/>
        </w:rPr>
      </w:pPr>
    </w:p>
    <w:p w14:paraId="37163BA3">
      <w:pPr>
        <w:spacing w:line="360" w:lineRule="auto"/>
        <w:ind w:right="420" w:firstLine="3614" w:firstLineChars="1000"/>
        <w:rPr>
          <w:rFonts w:ascii="宋体" w:hAnsi="宋体" w:cs="宋体"/>
          <w:b/>
          <w:kern w:val="0"/>
          <w:sz w:val="36"/>
          <w:szCs w:val="36"/>
        </w:rPr>
      </w:pPr>
    </w:p>
    <w:p w14:paraId="27A816EB">
      <w:pPr>
        <w:spacing w:line="360" w:lineRule="auto"/>
        <w:ind w:right="420" w:firstLine="3614" w:firstLineChars="1000"/>
        <w:rPr>
          <w:rFonts w:ascii="宋体" w:hAnsi="宋体" w:cs="宋体"/>
          <w:b/>
          <w:kern w:val="0"/>
          <w:sz w:val="36"/>
          <w:szCs w:val="36"/>
        </w:rPr>
      </w:pPr>
    </w:p>
    <w:p w14:paraId="3B0B011A">
      <w:pPr>
        <w:spacing w:line="360" w:lineRule="auto"/>
        <w:ind w:right="420" w:firstLine="3614" w:firstLineChars="1000"/>
        <w:rPr>
          <w:rFonts w:ascii="宋体" w:hAnsi="宋体" w:cs="宋体"/>
          <w:b/>
          <w:kern w:val="0"/>
          <w:sz w:val="36"/>
          <w:szCs w:val="36"/>
        </w:rPr>
      </w:pPr>
    </w:p>
    <w:p w14:paraId="4CD5A80F">
      <w:pPr>
        <w:spacing w:line="360" w:lineRule="auto"/>
        <w:ind w:right="420" w:firstLine="3614" w:firstLineChars="1000"/>
        <w:rPr>
          <w:rFonts w:ascii="宋体" w:hAnsi="宋体" w:cs="宋体"/>
          <w:b/>
          <w:kern w:val="0"/>
          <w:sz w:val="36"/>
          <w:szCs w:val="36"/>
        </w:rPr>
      </w:pPr>
    </w:p>
    <w:p w14:paraId="6AE323E1">
      <w:pPr>
        <w:spacing w:line="360" w:lineRule="auto"/>
        <w:ind w:right="420" w:firstLine="3614" w:firstLineChars="1000"/>
        <w:rPr>
          <w:rFonts w:ascii="宋体" w:hAnsi="宋体" w:cs="宋体"/>
          <w:b/>
          <w:kern w:val="0"/>
          <w:sz w:val="36"/>
          <w:szCs w:val="36"/>
        </w:rPr>
      </w:pPr>
    </w:p>
    <w:p w14:paraId="720DCF6F">
      <w:pPr>
        <w:spacing w:line="360" w:lineRule="auto"/>
        <w:ind w:right="420" w:firstLine="3614" w:firstLineChars="1000"/>
        <w:rPr>
          <w:rFonts w:ascii="宋体" w:hAnsi="宋体" w:cs="宋体"/>
          <w:b/>
          <w:kern w:val="0"/>
          <w:sz w:val="36"/>
          <w:szCs w:val="36"/>
        </w:rPr>
      </w:pPr>
    </w:p>
    <w:p w14:paraId="7A8DB141">
      <w:pPr>
        <w:spacing w:line="360" w:lineRule="auto"/>
        <w:ind w:right="420" w:firstLine="3614" w:firstLineChars="1000"/>
        <w:rPr>
          <w:rFonts w:ascii="宋体" w:hAnsi="宋体" w:cs="宋体"/>
          <w:b/>
          <w:kern w:val="0"/>
          <w:sz w:val="36"/>
          <w:szCs w:val="36"/>
        </w:rPr>
      </w:pPr>
    </w:p>
    <w:p w14:paraId="1E2FA3D7">
      <w:pPr>
        <w:spacing w:line="360" w:lineRule="auto"/>
        <w:ind w:right="420" w:firstLine="3614" w:firstLineChars="1000"/>
        <w:rPr>
          <w:rFonts w:ascii="宋体" w:hAnsi="宋体" w:cs="宋体"/>
          <w:b/>
          <w:kern w:val="0"/>
          <w:sz w:val="36"/>
          <w:szCs w:val="36"/>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01" w:name="OLE_LINK14"/>
      <w:bookmarkStart w:id="502" w:name="OLE_LINK13"/>
      <w:r>
        <w:rPr>
          <w:rFonts w:hint="eastAsia" w:ascii="宋体" w:hAnsi="宋体" w:cs="宋体"/>
          <w:b/>
          <w:color w:val="auto"/>
          <w:spacing w:val="6"/>
          <w:sz w:val="32"/>
          <w:szCs w:val="32"/>
          <w:highlight w:val="none"/>
        </w:rPr>
        <w:t>残疾人福利性单位声明函</w:t>
      </w:r>
    </w:p>
    <w:bookmarkEnd w:id="501"/>
    <w:bookmarkEnd w:id="50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56A4DF02">
      <w:pPr>
        <w:spacing w:line="360" w:lineRule="auto"/>
        <w:jc w:val="left"/>
        <w:rPr>
          <w:rFonts w:hint="eastAsia" w:ascii="宋体" w:hAnsi="宋体" w:cs="宋体"/>
          <w:b/>
          <w:color w:val="auto"/>
          <w:spacing w:val="6"/>
          <w:sz w:val="32"/>
          <w:szCs w:val="32"/>
          <w:highlight w:val="none"/>
        </w:rPr>
      </w:pPr>
    </w:p>
    <w:p w14:paraId="5F60C2BC">
      <w:pPr>
        <w:spacing w:line="360" w:lineRule="auto"/>
        <w:jc w:val="left"/>
        <w:rPr>
          <w:rFonts w:hint="eastAsia" w:ascii="宋体" w:hAnsi="宋体" w:cs="宋体"/>
          <w:b/>
          <w:color w:val="auto"/>
          <w:spacing w:val="6"/>
          <w:sz w:val="32"/>
          <w:szCs w:val="32"/>
          <w:highlight w:val="none"/>
        </w:rPr>
      </w:pPr>
    </w:p>
    <w:p w14:paraId="17C488ED">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71AE2F0">
      <w:pPr>
        <w:spacing w:line="360" w:lineRule="auto"/>
        <w:jc w:val="left"/>
        <w:rPr>
          <w:rFonts w:hint="eastAsia" w:ascii="宋体" w:hAnsi="宋体" w:cs="宋体"/>
          <w:b/>
          <w:color w:val="auto"/>
          <w:spacing w:val="6"/>
          <w:sz w:val="32"/>
          <w:szCs w:val="32"/>
          <w:highlight w:val="none"/>
        </w:rPr>
      </w:pPr>
    </w:p>
    <w:p w14:paraId="215691F5">
      <w:pPr>
        <w:spacing w:line="360" w:lineRule="auto"/>
        <w:jc w:val="left"/>
        <w:rPr>
          <w:rFonts w:hint="eastAsia" w:ascii="宋体" w:hAnsi="宋体" w:cs="宋体"/>
          <w:b/>
          <w:color w:val="auto"/>
          <w:spacing w:val="6"/>
          <w:sz w:val="32"/>
          <w:szCs w:val="32"/>
          <w:highlight w:val="none"/>
        </w:rPr>
      </w:pPr>
    </w:p>
    <w:p w14:paraId="7E447C8D">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FACFCFF">
      <w:pPr>
        <w:autoSpaceDE w:val="0"/>
        <w:autoSpaceDN w:val="0"/>
        <w:jc w:val="center"/>
        <w:rPr>
          <w:rFonts w:hint="eastAsia" w:ascii="宋体" w:hAnsi="宋体" w:cs="宋体"/>
          <w:b/>
          <w:color w:val="auto"/>
          <w:spacing w:val="6"/>
          <w:sz w:val="32"/>
          <w:szCs w:val="32"/>
          <w:highlight w:val="none"/>
        </w:rPr>
      </w:pPr>
    </w:p>
    <w:p w14:paraId="73DDD40D">
      <w:pPr>
        <w:autoSpaceDE w:val="0"/>
        <w:autoSpaceDN w:val="0"/>
        <w:jc w:val="center"/>
        <w:rPr>
          <w:rFonts w:hint="eastAsia" w:ascii="宋体" w:hAnsi="宋体" w:cs="宋体"/>
          <w:b/>
          <w:color w:val="auto"/>
          <w:spacing w:val="6"/>
          <w:sz w:val="32"/>
          <w:szCs w:val="32"/>
          <w:highlight w:val="none"/>
        </w:rPr>
      </w:pPr>
    </w:p>
    <w:p w14:paraId="0EEE9281">
      <w:pPr>
        <w:autoSpaceDE w:val="0"/>
        <w:autoSpaceDN w:val="0"/>
        <w:jc w:val="center"/>
        <w:rPr>
          <w:rFonts w:hint="eastAsia" w:ascii="宋体" w:hAnsi="宋体" w:cs="宋体"/>
          <w:b/>
          <w:color w:val="auto"/>
          <w:spacing w:val="6"/>
          <w:sz w:val="32"/>
          <w:szCs w:val="32"/>
          <w:highlight w:val="none"/>
        </w:rPr>
      </w:pPr>
    </w:p>
    <w:p w14:paraId="638E37CF">
      <w:pPr>
        <w:autoSpaceDE w:val="0"/>
        <w:autoSpaceDN w:val="0"/>
        <w:jc w:val="center"/>
        <w:rPr>
          <w:rFonts w:hint="eastAsia" w:ascii="宋体" w:hAnsi="宋体" w:cs="宋体"/>
          <w:b/>
          <w:color w:val="auto"/>
          <w:spacing w:val="6"/>
          <w:sz w:val="32"/>
          <w:szCs w:val="32"/>
          <w:highlight w:val="none"/>
        </w:rPr>
      </w:pPr>
    </w:p>
    <w:p w14:paraId="63AD62F8">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36C9394C">
      <w:pPr>
        <w:autoSpaceDE w:val="0"/>
        <w:autoSpaceDN w:val="0"/>
        <w:jc w:val="center"/>
        <w:rPr>
          <w:rFonts w:hint="eastAsia" w:ascii="宋体" w:hAnsi="宋体" w:cs="宋体"/>
          <w:b/>
          <w:color w:val="auto"/>
          <w:spacing w:val="6"/>
          <w:sz w:val="32"/>
          <w:szCs w:val="32"/>
          <w:highlight w:val="none"/>
        </w:rPr>
      </w:pPr>
    </w:p>
    <w:p w14:paraId="1006538C">
      <w:pPr>
        <w:autoSpaceDE w:val="0"/>
        <w:autoSpaceDN w:val="0"/>
        <w:jc w:val="center"/>
        <w:rPr>
          <w:rFonts w:hint="eastAsia" w:ascii="宋体" w:hAnsi="宋体" w:cs="宋体"/>
          <w:b/>
          <w:color w:val="auto"/>
          <w:spacing w:val="6"/>
          <w:sz w:val="32"/>
          <w:szCs w:val="32"/>
          <w:highlight w:val="none"/>
        </w:rPr>
      </w:pPr>
    </w:p>
    <w:p w14:paraId="75AE9ED6">
      <w:pPr>
        <w:autoSpaceDE w:val="0"/>
        <w:autoSpaceDN w:val="0"/>
        <w:jc w:val="center"/>
        <w:rPr>
          <w:rFonts w:hint="eastAsia" w:ascii="宋体" w:hAnsi="宋体" w:cs="宋体"/>
          <w:b/>
          <w:color w:val="auto"/>
          <w:spacing w:val="6"/>
          <w:sz w:val="32"/>
          <w:szCs w:val="32"/>
          <w:highlight w:val="none"/>
        </w:rPr>
      </w:pPr>
    </w:p>
    <w:p w14:paraId="2C70625C">
      <w:pPr>
        <w:autoSpaceDE w:val="0"/>
        <w:autoSpaceDN w:val="0"/>
        <w:jc w:val="center"/>
        <w:rPr>
          <w:rFonts w:hint="eastAsia" w:ascii="宋体" w:hAnsi="宋体" w:cs="宋体"/>
          <w:b/>
          <w:color w:val="auto"/>
          <w:spacing w:val="6"/>
          <w:sz w:val="32"/>
          <w:szCs w:val="32"/>
          <w:highlight w:val="none"/>
        </w:rPr>
      </w:pPr>
    </w:p>
    <w:p w14:paraId="3AFE216C">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sectPr>
          <w:headerReference r:id="rId20" w:type="first"/>
          <w:footerReference r:id="rId22" w:type="first"/>
          <w:headerReference r:id="rId19" w:type="default"/>
          <w:footerReference r:id="rId21"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652F0947">
      <w:pPr>
        <w:pStyle w:val="25"/>
      </w:pPr>
    </w:p>
    <w:p w14:paraId="73B76741">
      <w:pPr>
        <w:autoSpaceDE w:val="0"/>
        <w:autoSpaceDN w:val="0"/>
        <w:jc w:val="both"/>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23DF8C47">
      <w:pPr>
        <w:spacing w:line="360" w:lineRule="auto"/>
        <w:jc w:val="left"/>
        <w:outlineLvl w:val="0"/>
        <w:rPr>
          <w:rFonts w:hint="eastAsia" w:ascii="宋体" w:hAnsi="宋体" w:cs="宋体"/>
          <w:b/>
          <w:color w:val="auto"/>
          <w:sz w:val="36"/>
          <w:szCs w:val="20"/>
          <w:highlight w:val="none"/>
        </w:rPr>
      </w:pPr>
    </w:p>
    <w:p w14:paraId="06661D54">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5E4684BC">
      <w:pPr>
        <w:spacing w:line="360" w:lineRule="auto"/>
        <w:ind w:right="420"/>
        <w:rPr>
          <w:rFonts w:ascii="宋体" w:hAnsi="宋体" w:cs="宋体"/>
          <w:b/>
          <w:kern w:val="0"/>
          <w:sz w:val="36"/>
          <w:szCs w:val="36"/>
        </w:rPr>
      </w:pPr>
    </w:p>
    <w:p w14:paraId="29E6751D">
      <w:pPr>
        <w:pStyle w:val="18"/>
        <w:keepNext w:val="0"/>
        <w:keepLines w:val="0"/>
        <w:pageBreakBefore w:val="0"/>
        <w:widowControl w:val="0"/>
        <w:kinsoku/>
        <w:wordWrap/>
        <w:overflowPunct/>
        <w:topLinePunct w:val="0"/>
        <w:bidi w:val="0"/>
        <w:adjustRightInd w:val="0"/>
        <w:snapToGrid/>
        <w:spacing w:line="430" w:lineRule="exact"/>
        <w:ind w:left="0" w:leftChars="0" w:firstLine="0" w:firstLineChars="0"/>
        <w:textAlignment w:val="auto"/>
        <w:rPr>
          <w:rFonts w:hint="eastAsia"/>
          <w:lang w:eastAsia="zh-CN"/>
        </w:rPr>
      </w:pPr>
    </w:p>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002039"/>
      <w:docPartObj>
        <w:docPartGallery w:val="autotext"/>
      </w:docPartObj>
    </w:sdtPr>
    <w:sdtContent>
      <w:p w14:paraId="1BD10E55">
        <w:pPr>
          <w:pStyle w:val="2"/>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29</w:t>
        </w:r>
        <w:r>
          <w:rPr>
            <w:sz w:val="21"/>
            <w:szCs w:val="21"/>
          </w:rPr>
          <w:fldChar w:fldCharType="end"/>
        </w:r>
      </w:p>
    </w:sdtContent>
  </w:sdt>
  <w:p w14:paraId="6CA9BC87">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DFBA">
    <w:pPr>
      <w:rPr>
        <w:rFonts w:ascii="FangSong_GB2312" w:eastAsia="FangSong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9CAA1">
                          <w:pPr>
                            <w:pStyle w:val="2"/>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E69CAA1">
                    <w:pPr>
                      <w:pStyle w:val="2"/>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5284F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75284F0"/>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1573">
    <w:pPr>
      <w:pStyle w:val="2"/>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4750A">
                          <w:pPr>
                            <w:pStyle w:val="2"/>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4D4750A">
                    <w:pPr>
                      <w:pStyle w:val="2"/>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5A0C0B9C">
    <w:pPr>
      <w:pStyle w:val="2"/>
      <w:rPr>
        <w:rFonts w:ascii="FangSong_GB2312" w:eastAsia="FangSong_GB2312"/>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4AA04">
    <w:pPr>
      <w:pStyle w:val="2"/>
      <w:rPr>
        <w:rFonts w:ascii="FangSong_GB2312" w:eastAsia="FangSong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46A4D">
                          <w:pPr>
                            <w:pStyle w:val="2"/>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1946A4D">
                    <w:pPr>
                      <w:pStyle w:val="2"/>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79D4D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5079D4D4">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370D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74C293">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774C293">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979"/>
      <w:docPartObj>
        <w:docPartGallery w:val="autotext"/>
      </w:docPartObj>
    </w:sdtPr>
    <w:sdtContent>
      <w:p w14:paraId="45E180B3">
        <w:pPr>
          <w:pStyle w:val="2"/>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29</w:t>
        </w:r>
        <w:r>
          <w:rPr>
            <w:sz w:val="21"/>
            <w:szCs w:val="21"/>
          </w:rPr>
          <w:fldChar w:fldCharType="end"/>
        </w:r>
      </w:p>
    </w:sdtContent>
  </w:sdt>
  <w:p w14:paraId="4B96587C">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DBB3">
    <w:pPr>
      <w:pStyle w:val="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E1F9CE">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EE1F9CE">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57E70">
    <w:pPr>
      <w:pStyle w:val="2"/>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02BC7">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002BC7">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1278BB44">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6DCAE">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E80D1">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6E80D1">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B3F8AA">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FB3F8AA">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7776">
    <w:pPr>
      <w:rPr>
        <w:rFonts w:ascii="FangSong_GB2312" w:eastAsia="FangSong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C3509">
                          <w:pPr>
                            <w:pStyle w:val="2"/>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8C3509">
                    <w:pPr>
                      <w:pStyle w:val="2"/>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ED812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6ED8127"/>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D2EE">
    <w:pPr>
      <w:rPr>
        <w:rFonts w:ascii="FangSong_GB2312" w:eastAsia="FangSong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86010">
                          <w:pPr>
                            <w:pStyle w:val="2"/>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A686010">
                    <w:pPr>
                      <w:pStyle w:val="2"/>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CFDC7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CCFDC75">
                    <w:pPr>
                      <w:pStyle w:val="2"/>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8A5F">
    <w:pPr>
      <w:rPr>
        <w:rFonts w:ascii="FangSong_GB2312" w:eastAsia="FangSong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6F832">
                          <w:pPr>
                            <w:pStyle w:val="2"/>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1C6F832">
                    <w:pPr>
                      <w:pStyle w:val="2"/>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007C5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9007C56"/>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1AD5">
    <w:pPr>
      <w:pStyle w:val="17"/>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5E6F">
    <w:pPr>
      <w:pStyle w:val="14"/>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8A35">
    <w:pPr>
      <w:pStyle w:val="14"/>
      <w:pBdr>
        <w:bottom w:val="none" w:color="auto" w:sz="0" w:space="1"/>
      </w:pBdr>
      <w:jc w:val="both"/>
      <w:rPr>
        <w:rFonts w:ascii="FangSong_GB2312" w:eastAsia="FangSong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49F2A">
    <w:pPr>
      <w:pStyle w:val="14"/>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4B53B">
    <w:pPr>
      <w:pStyle w:val="14"/>
      <w:pBdr>
        <w:bottom w:val="none" w:color="auto" w:sz="0" w:space="1"/>
      </w:pBdr>
      <w:jc w:val="right"/>
      <w:rPr>
        <w:rFonts w:ascii="FangSong_GB2312" w:eastAsia="FangSong_GB2312"/>
        <w:b/>
        <w:i/>
        <w:u w:val="single"/>
      </w:rPr>
    </w:pPr>
  </w:p>
  <w:p w14:paraId="7566335B">
    <w:pPr>
      <w:pBdr>
        <w:bottom w:val="none" w:color="auto" w:sz="0" w:space="0"/>
      </w:pBd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05E2">
    <w:pPr>
      <w:pStyle w:val="14"/>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5FC4">
    <w:pPr>
      <w:pStyle w:val="14"/>
      <w:pBdr>
        <w:bottom w:val="none" w:color="auto" w:sz="0" w:space="1"/>
      </w:pBdr>
      <w:jc w:val="both"/>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6891">
    <w:pPr>
      <w:pStyle w:val="14"/>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C1CB4"/>
    <w:multiLevelType w:val="singleLevel"/>
    <w:tmpl w:val="476C1CB4"/>
    <w:lvl w:ilvl="0" w:tentative="0">
      <w:start w:val="5"/>
      <w:numFmt w:val="decimal"/>
      <w:suff w:val="nothing"/>
      <w:lvlText w:val="%1、"/>
      <w:lvlJc w:val="left"/>
    </w:lvl>
  </w:abstractNum>
  <w:abstractNum w:abstractNumId="1">
    <w:nsid w:val="7541FFA2"/>
    <w:multiLevelType w:val="singleLevel"/>
    <w:tmpl w:val="7541FFA2"/>
    <w:lvl w:ilvl="0" w:tentative="0">
      <w:start w:val="1"/>
      <w:numFmt w:val="decimal"/>
      <w:pStyle w:val="6"/>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zNlZjU4MDc3ZDUxMmFiOTU0ZDE3Njc1YTdkMjEifQ=="/>
    <w:docVar w:name="KSO_WPS_MARK_KEY" w:val="6393bf61-39e5-4445-ad96-7f519ccff1dd"/>
  </w:docVars>
  <w:rsids>
    <w:rsidRoot w:val="00000000"/>
    <w:rsid w:val="0041082A"/>
    <w:rsid w:val="009A150A"/>
    <w:rsid w:val="02145195"/>
    <w:rsid w:val="028077D7"/>
    <w:rsid w:val="028440C8"/>
    <w:rsid w:val="031B3B28"/>
    <w:rsid w:val="03415FA4"/>
    <w:rsid w:val="038B1487"/>
    <w:rsid w:val="0414147C"/>
    <w:rsid w:val="041E22FB"/>
    <w:rsid w:val="04294F27"/>
    <w:rsid w:val="0449381C"/>
    <w:rsid w:val="04934A97"/>
    <w:rsid w:val="04A7575A"/>
    <w:rsid w:val="052027CE"/>
    <w:rsid w:val="0532138B"/>
    <w:rsid w:val="05575AC4"/>
    <w:rsid w:val="061B2F96"/>
    <w:rsid w:val="06456265"/>
    <w:rsid w:val="064E336B"/>
    <w:rsid w:val="0708176C"/>
    <w:rsid w:val="07342561"/>
    <w:rsid w:val="07F65A68"/>
    <w:rsid w:val="081C4DA3"/>
    <w:rsid w:val="0828199A"/>
    <w:rsid w:val="088928C1"/>
    <w:rsid w:val="08E27D9B"/>
    <w:rsid w:val="09173EE8"/>
    <w:rsid w:val="098552F6"/>
    <w:rsid w:val="09B15709"/>
    <w:rsid w:val="09DF42DA"/>
    <w:rsid w:val="0A9B6453"/>
    <w:rsid w:val="0AD11063"/>
    <w:rsid w:val="0AF142C5"/>
    <w:rsid w:val="0B902D69"/>
    <w:rsid w:val="0BC83278"/>
    <w:rsid w:val="0C1E10EA"/>
    <w:rsid w:val="0C7B320A"/>
    <w:rsid w:val="0D954907"/>
    <w:rsid w:val="0D984ECC"/>
    <w:rsid w:val="0DAF1561"/>
    <w:rsid w:val="0DE87C01"/>
    <w:rsid w:val="0DFA7A09"/>
    <w:rsid w:val="0E012A71"/>
    <w:rsid w:val="0EC50F67"/>
    <w:rsid w:val="0F1D7D7F"/>
    <w:rsid w:val="0F7554C5"/>
    <w:rsid w:val="0FA72B37"/>
    <w:rsid w:val="0FC226D4"/>
    <w:rsid w:val="101822F4"/>
    <w:rsid w:val="102173FB"/>
    <w:rsid w:val="102979E9"/>
    <w:rsid w:val="107A6B0B"/>
    <w:rsid w:val="10ED35FA"/>
    <w:rsid w:val="1108127B"/>
    <w:rsid w:val="111927C8"/>
    <w:rsid w:val="1122167C"/>
    <w:rsid w:val="1154735C"/>
    <w:rsid w:val="11AA510E"/>
    <w:rsid w:val="11AE4CBE"/>
    <w:rsid w:val="11BD13A5"/>
    <w:rsid w:val="11DC5CCF"/>
    <w:rsid w:val="11F058CE"/>
    <w:rsid w:val="122C79B9"/>
    <w:rsid w:val="12951598"/>
    <w:rsid w:val="12E36BE9"/>
    <w:rsid w:val="13054DB2"/>
    <w:rsid w:val="13A7782B"/>
    <w:rsid w:val="13ED41C3"/>
    <w:rsid w:val="13FE35A6"/>
    <w:rsid w:val="14504752"/>
    <w:rsid w:val="14A405FA"/>
    <w:rsid w:val="16733D65"/>
    <w:rsid w:val="16E7773C"/>
    <w:rsid w:val="17D631C0"/>
    <w:rsid w:val="180A2E6A"/>
    <w:rsid w:val="18B74DA0"/>
    <w:rsid w:val="18D25736"/>
    <w:rsid w:val="18DF1DBE"/>
    <w:rsid w:val="192B765F"/>
    <w:rsid w:val="194530B9"/>
    <w:rsid w:val="19AA220F"/>
    <w:rsid w:val="1AB772D9"/>
    <w:rsid w:val="1B1464DA"/>
    <w:rsid w:val="1B1C538E"/>
    <w:rsid w:val="1BA17641"/>
    <w:rsid w:val="1BBF325C"/>
    <w:rsid w:val="1BF139C8"/>
    <w:rsid w:val="1CAB69CA"/>
    <w:rsid w:val="1CF2284B"/>
    <w:rsid w:val="1D4E37F9"/>
    <w:rsid w:val="1D644DCB"/>
    <w:rsid w:val="1D6D1ED1"/>
    <w:rsid w:val="1DAE415E"/>
    <w:rsid w:val="1E332BE6"/>
    <w:rsid w:val="1E9E642F"/>
    <w:rsid w:val="1E9F11B1"/>
    <w:rsid w:val="1EB96A28"/>
    <w:rsid w:val="1EBA1146"/>
    <w:rsid w:val="1F2111C5"/>
    <w:rsid w:val="1F90634B"/>
    <w:rsid w:val="20AE4CDA"/>
    <w:rsid w:val="21026DD4"/>
    <w:rsid w:val="213276BA"/>
    <w:rsid w:val="21A63C04"/>
    <w:rsid w:val="21B55BF5"/>
    <w:rsid w:val="21BF0821"/>
    <w:rsid w:val="21F77FBB"/>
    <w:rsid w:val="22721D38"/>
    <w:rsid w:val="22FB7F7F"/>
    <w:rsid w:val="23A351B6"/>
    <w:rsid w:val="24743B45"/>
    <w:rsid w:val="253A3A22"/>
    <w:rsid w:val="26413EFB"/>
    <w:rsid w:val="26667E05"/>
    <w:rsid w:val="2677791D"/>
    <w:rsid w:val="269E134D"/>
    <w:rsid w:val="26AB75C6"/>
    <w:rsid w:val="26CD44A1"/>
    <w:rsid w:val="27B0758A"/>
    <w:rsid w:val="284952E9"/>
    <w:rsid w:val="28CD1810"/>
    <w:rsid w:val="291D29FD"/>
    <w:rsid w:val="2972614A"/>
    <w:rsid w:val="2A222295"/>
    <w:rsid w:val="2B0E1984"/>
    <w:rsid w:val="2B2A31B0"/>
    <w:rsid w:val="2B656AA6"/>
    <w:rsid w:val="2CC17B44"/>
    <w:rsid w:val="2CF75313"/>
    <w:rsid w:val="2D3D22C5"/>
    <w:rsid w:val="2D4A5D8B"/>
    <w:rsid w:val="2D7828F8"/>
    <w:rsid w:val="2DE312CD"/>
    <w:rsid w:val="2E0A72C8"/>
    <w:rsid w:val="2E0B376C"/>
    <w:rsid w:val="2E0C3D03"/>
    <w:rsid w:val="2E0E0B66"/>
    <w:rsid w:val="2E7C0A3B"/>
    <w:rsid w:val="2EA9088F"/>
    <w:rsid w:val="2ED718A0"/>
    <w:rsid w:val="2F083808"/>
    <w:rsid w:val="31426E89"/>
    <w:rsid w:val="31AD0696"/>
    <w:rsid w:val="320329AC"/>
    <w:rsid w:val="3325409E"/>
    <w:rsid w:val="33370B5F"/>
    <w:rsid w:val="334C63C2"/>
    <w:rsid w:val="33C512BF"/>
    <w:rsid w:val="33CA5530"/>
    <w:rsid w:val="33E52369"/>
    <w:rsid w:val="342A06C4"/>
    <w:rsid w:val="343926B5"/>
    <w:rsid w:val="34607C42"/>
    <w:rsid w:val="34AE4E51"/>
    <w:rsid w:val="358D0F0B"/>
    <w:rsid w:val="359978AF"/>
    <w:rsid w:val="368F480F"/>
    <w:rsid w:val="36A2696C"/>
    <w:rsid w:val="36DD1A1E"/>
    <w:rsid w:val="36DD37CC"/>
    <w:rsid w:val="372E4027"/>
    <w:rsid w:val="37691B50"/>
    <w:rsid w:val="376D0FF4"/>
    <w:rsid w:val="378325C5"/>
    <w:rsid w:val="37C156A2"/>
    <w:rsid w:val="38351008"/>
    <w:rsid w:val="389820A0"/>
    <w:rsid w:val="3A3A2CE3"/>
    <w:rsid w:val="3A817F59"/>
    <w:rsid w:val="3ADE5D64"/>
    <w:rsid w:val="3AEA64B7"/>
    <w:rsid w:val="3B082DE1"/>
    <w:rsid w:val="3BC92571"/>
    <w:rsid w:val="3C447E49"/>
    <w:rsid w:val="3C5502A8"/>
    <w:rsid w:val="3C682428"/>
    <w:rsid w:val="3CDB07AE"/>
    <w:rsid w:val="3D0A35BE"/>
    <w:rsid w:val="3D164601"/>
    <w:rsid w:val="3D1B607F"/>
    <w:rsid w:val="3E353EED"/>
    <w:rsid w:val="3E611186"/>
    <w:rsid w:val="3E816A37"/>
    <w:rsid w:val="3EC7548D"/>
    <w:rsid w:val="40FA0340"/>
    <w:rsid w:val="410D73A4"/>
    <w:rsid w:val="411C3143"/>
    <w:rsid w:val="414C3A28"/>
    <w:rsid w:val="41931657"/>
    <w:rsid w:val="41D72026"/>
    <w:rsid w:val="41E53E7C"/>
    <w:rsid w:val="424741EF"/>
    <w:rsid w:val="4280659A"/>
    <w:rsid w:val="432033BE"/>
    <w:rsid w:val="43F565F9"/>
    <w:rsid w:val="441B5933"/>
    <w:rsid w:val="44410319"/>
    <w:rsid w:val="4585575A"/>
    <w:rsid w:val="4622468B"/>
    <w:rsid w:val="466510E8"/>
    <w:rsid w:val="46BB2063"/>
    <w:rsid w:val="46D87B0C"/>
    <w:rsid w:val="47083327"/>
    <w:rsid w:val="48484C47"/>
    <w:rsid w:val="484C6A03"/>
    <w:rsid w:val="48741AB6"/>
    <w:rsid w:val="49557B3A"/>
    <w:rsid w:val="4A113A61"/>
    <w:rsid w:val="4A6B78A3"/>
    <w:rsid w:val="4B166E55"/>
    <w:rsid w:val="4BB70638"/>
    <w:rsid w:val="4C207F8B"/>
    <w:rsid w:val="4CA23096"/>
    <w:rsid w:val="4D5B4FF3"/>
    <w:rsid w:val="4D975A19"/>
    <w:rsid w:val="4E30022D"/>
    <w:rsid w:val="4E611F81"/>
    <w:rsid w:val="4F870321"/>
    <w:rsid w:val="4F871FB3"/>
    <w:rsid w:val="4F895E47"/>
    <w:rsid w:val="50131BB5"/>
    <w:rsid w:val="50792360"/>
    <w:rsid w:val="50B67110"/>
    <w:rsid w:val="511856D5"/>
    <w:rsid w:val="5146423C"/>
    <w:rsid w:val="51472584"/>
    <w:rsid w:val="52AD4542"/>
    <w:rsid w:val="52D240DA"/>
    <w:rsid w:val="53185E60"/>
    <w:rsid w:val="5322283B"/>
    <w:rsid w:val="533802B0"/>
    <w:rsid w:val="537B019D"/>
    <w:rsid w:val="539D0113"/>
    <w:rsid w:val="548C09CC"/>
    <w:rsid w:val="54AF2D33"/>
    <w:rsid w:val="55000C8A"/>
    <w:rsid w:val="550C7E08"/>
    <w:rsid w:val="557D0FD7"/>
    <w:rsid w:val="55B856D8"/>
    <w:rsid w:val="55C0633B"/>
    <w:rsid w:val="56436C26"/>
    <w:rsid w:val="5644044F"/>
    <w:rsid w:val="56671875"/>
    <w:rsid w:val="567424FA"/>
    <w:rsid w:val="56C0469B"/>
    <w:rsid w:val="571526B6"/>
    <w:rsid w:val="575136EE"/>
    <w:rsid w:val="576A0C54"/>
    <w:rsid w:val="57D57184"/>
    <w:rsid w:val="57E5108F"/>
    <w:rsid w:val="5838665C"/>
    <w:rsid w:val="585A4825"/>
    <w:rsid w:val="58FB3120"/>
    <w:rsid w:val="59B3653F"/>
    <w:rsid w:val="59E20F76"/>
    <w:rsid w:val="5B61411C"/>
    <w:rsid w:val="5B6360E6"/>
    <w:rsid w:val="5B812223"/>
    <w:rsid w:val="5BD859BB"/>
    <w:rsid w:val="5BED3C02"/>
    <w:rsid w:val="5C182A2D"/>
    <w:rsid w:val="5C292E8C"/>
    <w:rsid w:val="5C312638"/>
    <w:rsid w:val="5C3E7FB9"/>
    <w:rsid w:val="5CD03307"/>
    <w:rsid w:val="5CD728E8"/>
    <w:rsid w:val="5D5F6439"/>
    <w:rsid w:val="5DB1138B"/>
    <w:rsid w:val="5DDD2180"/>
    <w:rsid w:val="5E08087F"/>
    <w:rsid w:val="5E385608"/>
    <w:rsid w:val="5E6A153A"/>
    <w:rsid w:val="5E767205"/>
    <w:rsid w:val="601B2AEB"/>
    <w:rsid w:val="60E455D3"/>
    <w:rsid w:val="61B07526"/>
    <w:rsid w:val="61C7294C"/>
    <w:rsid w:val="61D1349A"/>
    <w:rsid w:val="61D45648"/>
    <w:rsid w:val="61FF0033"/>
    <w:rsid w:val="621D48D8"/>
    <w:rsid w:val="62AC3ECF"/>
    <w:rsid w:val="632223E3"/>
    <w:rsid w:val="63535997"/>
    <w:rsid w:val="63DD5227"/>
    <w:rsid w:val="63E37E16"/>
    <w:rsid w:val="63FE69AC"/>
    <w:rsid w:val="640D6230"/>
    <w:rsid w:val="642B176B"/>
    <w:rsid w:val="64E33DF4"/>
    <w:rsid w:val="663C37BC"/>
    <w:rsid w:val="66E14363"/>
    <w:rsid w:val="66F83B86"/>
    <w:rsid w:val="672E75A8"/>
    <w:rsid w:val="67472418"/>
    <w:rsid w:val="678F5EF4"/>
    <w:rsid w:val="67D6379C"/>
    <w:rsid w:val="67E934CF"/>
    <w:rsid w:val="68536CFD"/>
    <w:rsid w:val="68844ECD"/>
    <w:rsid w:val="69561038"/>
    <w:rsid w:val="69731BEA"/>
    <w:rsid w:val="69E91EAC"/>
    <w:rsid w:val="6A9C6F1F"/>
    <w:rsid w:val="6C042FCD"/>
    <w:rsid w:val="6C111246"/>
    <w:rsid w:val="6CAD71C1"/>
    <w:rsid w:val="6CE17758"/>
    <w:rsid w:val="6CE40709"/>
    <w:rsid w:val="6D401191"/>
    <w:rsid w:val="6D561607"/>
    <w:rsid w:val="6DAE1443"/>
    <w:rsid w:val="6DBB3A8B"/>
    <w:rsid w:val="6DFF1C9E"/>
    <w:rsid w:val="6EA63EC8"/>
    <w:rsid w:val="6F3F3691"/>
    <w:rsid w:val="6F6F075E"/>
    <w:rsid w:val="6F8C7562"/>
    <w:rsid w:val="70512559"/>
    <w:rsid w:val="70654B19"/>
    <w:rsid w:val="70814BED"/>
    <w:rsid w:val="715A1838"/>
    <w:rsid w:val="71922E29"/>
    <w:rsid w:val="719A3A8C"/>
    <w:rsid w:val="719B1CDE"/>
    <w:rsid w:val="7214383E"/>
    <w:rsid w:val="727270AB"/>
    <w:rsid w:val="729329B5"/>
    <w:rsid w:val="730833A3"/>
    <w:rsid w:val="7309711B"/>
    <w:rsid w:val="73185FA3"/>
    <w:rsid w:val="735C36EF"/>
    <w:rsid w:val="735C3DAB"/>
    <w:rsid w:val="73610D05"/>
    <w:rsid w:val="73905147"/>
    <w:rsid w:val="74583EB6"/>
    <w:rsid w:val="74640AAD"/>
    <w:rsid w:val="74BC2D03"/>
    <w:rsid w:val="74C07CAE"/>
    <w:rsid w:val="74D75448"/>
    <w:rsid w:val="752E2E69"/>
    <w:rsid w:val="75610B49"/>
    <w:rsid w:val="75873FED"/>
    <w:rsid w:val="758D4761"/>
    <w:rsid w:val="75DB4D9F"/>
    <w:rsid w:val="763224E5"/>
    <w:rsid w:val="766F3739"/>
    <w:rsid w:val="77846D70"/>
    <w:rsid w:val="778D677C"/>
    <w:rsid w:val="78A6284A"/>
    <w:rsid w:val="79246A5D"/>
    <w:rsid w:val="79537342"/>
    <w:rsid w:val="79703A50"/>
    <w:rsid w:val="797352EE"/>
    <w:rsid w:val="79B17BC5"/>
    <w:rsid w:val="7A2465E9"/>
    <w:rsid w:val="7A580462"/>
    <w:rsid w:val="7A6A4943"/>
    <w:rsid w:val="7AA5772A"/>
    <w:rsid w:val="7B2A5E81"/>
    <w:rsid w:val="7B931C78"/>
    <w:rsid w:val="7BE81FC4"/>
    <w:rsid w:val="7C29438A"/>
    <w:rsid w:val="7C861DC8"/>
    <w:rsid w:val="7CFB1883"/>
    <w:rsid w:val="7D9B444F"/>
    <w:rsid w:val="7E292420"/>
    <w:rsid w:val="7E413C0D"/>
    <w:rsid w:val="7E933D3D"/>
    <w:rsid w:val="7EC14D4E"/>
    <w:rsid w:val="7ECA59B1"/>
    <w:rsid w:val="7F7A1508"/>
    <w:rsid w:val="7FC45FDB"/>
    <w:rsid w:val="7FF6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6">
    <w:name w:val="List Number"/>
    <w:basedOn w:val="1"/>
    <w:next w:val="7"/>
    <w:qFormat/>
    <w:uiPriority w:val="0"/>
    <w:pPr>
      <w:numPr>
        <w:ilvl w:val="0"/>
        <w:numId w:val="1"/>
      </w:numPr>
    </w:pPr>
  </w:style>
  <w:style w:type="paragraph" w:styleId="7">
    <w:name w:val="Balloon Text"/>
    <w:basedOn w:val="1"/>
    <w:next w:val="8"/>
    <w:semiHidden/>
    <w:qFormat/>
    <w:uiPriority w:val="0"/>
    <w:rPr>
      <w:sz w:val="18"/>
      <w:szCs w:val="18"/>
    </w:rPr>
  </w:style>
  <w:style w:type="paragraph" w:styleId="8">
    <w:name w:val="toc 8"/>
    <w:basedOn w:val="1"/>
    <w:next w:val="1"/>
    <w:semiHidden/>
    <w:qFormat/>
    <w:uiPriority w:val="0"/>
    <w:pPr>
      <w:ind w:left="1470"/>
      <w:jc w:val="left"/>
    </w:pPr>
    <w:rPr>
      <w:sz w:val="18"/>
      <w:szCs w:val="18"/>
    </w:rPr>
  </w:style>
  <w:style w:type="paragraph" w:styleId="9">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10">
    <w:name w:val="Body Text"/>
    <w:basedOn w:val="1"/>
    <w:next w:val="11"/>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Subtitle"/>
    <w:basedOn w:val="1"/>
    <w:next w:val="1"/>
    <w:qFormat/>
    <w:uiPriority w:val="0"/>
    <w:pPr>
      <w:spacing w:beforeLines="0" w:after="60" w:line="312" w:lineRule="auto"/>
      <w:jc w:val="center"/>
      <w:outlineLvl w:val="1"/>
    </w:pPr>
    <w:rPr>
      <w:rFonts w:ascii="Cambria" w:hAnsi="Cambria"/>
      <w:b/>
      <w:bCs/>
      <w:kern w:val="28"/>
      <w:sz w:val="32"/>
      <w:szCs w:val="32"/>
    </w:rPr>
  </w:style>
  <w:style w:type="paragraph" w:styleId="12">
    <w:name w:val="Body Text Indent"/>
    <w:basedOn w:val="1"/>
    <w:next w:val="6"/>
    <w:qFormat/>
    <w:uiPriority w:val="0"/>
    <w:pPr>
      <w:spacing w:line="480" w:lineRule="exact"/>
      <w:ind w:firstLine="480" w:firstLineChars="200"/>
    </w:pPr>
    <w:rPr>
      <w:rFonts w:ascii="宋体" w:hAnsi="宋体"/>
      <w:sz w:val="24"/>
    </w:rPr>
  </w:style>
  <w:style w:type="paragraph" w:styleId="13">
    <w:name w:val="Plain Text"/>
    <w:basedOn w:val="1"/>
    <w:autoRedefine/>
    <w:qFormat/>
    <w:uiPriority w:val="0"/>
    <w:rPr>
      <w:rFonts w:ascii="宋体" w:hAnsi="Courier New" w:cs="Arial"/>
      <w:snapToGrid w:val="0"/>
      <w:szCs w:val="21"/>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6"/>
    <w:basedOn w:val="1"/>
    <w:next w:val="1"/>
    <w:autoRedefine/>
    <w:qFormat/>
    <w:uiPriority w:val="0"/>
    <w:pPr>
      <w:ind w:left="2100" w:leftChars="1000"/>
    </w:pPr>
  </w:style>
  <w:style w:type="paragraph" w:styleId="17">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8">
    <w:name w:val="Body Text First Indent"/>
    <w:basedOn w:val="10"/>
    <w:next w:val="16"/>
    <w:autoRedefine/>
    <w:qFormat/>
    <w:uiPriority w:val="0"/>
    <w:pPr>
      <w:ind w:firstLine="420"/>
    </w:pPr>
    <w:rPr>
      <w:rFonts w:hAnsi="Calibri" w:cs="Times New Roman"/>
      <w:snapToGrid/>
      <w:szCs w:val="20"/>
    </w:rPr>
  </w:style>
  <w:style w:type="paragraph" w:styleId="19">
    <w:name w:val="Body Text First Indent 2"/>
    <w:basedOn w:val="12"/>
    <w:autoRedefine/>
    <w:qFormat/>
    <w:uiPriority w:val="0"/>
    <w:pPr>
      <w:adjustRightInd/>
      <w:spacing w:after="120" w:line="240" w:lineRule="auto"/>
      <w:ind w:left="420" w:leftChars="200" w:firstLine="210"/>
    </w:pPr>
    <w:rPr>
      <w:sz w:val="21"/>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rPr>
      <w:rFonts w:ascii="Arial" w:hAnsi="Arial" w:eastAsia="黑体" w:cs="Arial"/>
      <w:snapToGrid w:val="0"/>
      <w:kern w:val="0"/>
      <w:szCs w:val="21"/>
    </w:rPr>
  </w:style>
  <w:style w:type="character" w:styleId="24">
    <w:name w:val="Hyperlink"/>
    <w:autoRedefine/>
    <w:qFormat/>
    <w:uiPriority w:val="99"/>
    <w:rPr>
      <w:rFonts w:ascii="Arial" w:hAnsi="Arial" w:eastAsia="黑体" w:cs="Arial"/>
      <w:snapToGrid w:val="0"/>
      <w:color w:val="000000"/>
      <w:kern w:val="0"/>
      <w:sz w:val="18"/>
      <w:szCs w:val="18"/>
      <w:u w:val="none"/>
    </w:rPr>
  </w:style>
  <w:style w:type="paragraph" w:customStyle="1" w:styleId="2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2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正文2"/>
    <w:basedOn w:val="1"/>
    <w:autoRedefine/>
    <w:qFormat/>
    <w:uiPriority w:val="0"/>
    <w:pPr>
      <w:spacing w:before="156" w:line="360" w:lineRule="auto"/>
      <w:ind w:firstLine="510" w:firstLineChars="200"/>
    </w:pPr>
    <w:rPr>
      <w:sz w:val="24"/>
      <w:szCs w:val="20"/>
    </w:rPr>
  </w:style>
  <w:style w:type="paragraph" w:customStyle="1" w:styleId="2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
    <w:name w:val="正文缩进1"/>
    <w:basedOn w:val="1"/>
    <w:next w:val="1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32">
    <w:name w:val="纯文本_0_0"/>
    <w:basedOn w:val="33"/>
    <w:autoRedefine/>
    <w:qFormat/>
    <w:uiPriority w:val="0"/>
    <w:rPr>
      <w:rFonts w:ascii="宋体" w:hAnsi="Courier New"/>
      <w:szCs w:val="21"/>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5">
    <w:name w:val="NormalCharacter"/>
    <w:link w:val="36"/>
    <w:autoRedefine/>
    <w:qFormat/>
    <w:uiPriority w:val="0"/>
    <w:rPr>
      <w:rFonts w:ascii="Calibri"/>
      <w:szCs w:val="22"/>
    </w:rPr>
  </w:style>
  <w:style w:type="paragraph" w:customStyle="1" w:styleId="36">
    <w:name w:val="UserStyle_127"/>
    <w:basedOn w:val="1"/>
    <w:link w:val="35"/>
    <w:autoRedefine/>
    <w:qFormat/>
    <w:uiPriority w:val="0"/>
    <w:pPr>
      <w:spacing w:after="160" w:line="240" w:lineRule="exact"/>
      <w:jc w:val="left"/>
    </w:pPr>
    <w:rPr>
      <w:rFonts w:ascii="Calibri"/>
      <w:szCs w:val="22"/>
    </w:rPr>
  </w:style>
  <w:style w:type="paragraph" w:customStyle="1" w:styleId="37">
    <w:name w:val="UserStyle_126"/>
    <w:basedOn w:val="1"/>
    <w:link w:val="35"/>
    <w:autoRedefine/>
    <w:qFormat/>
    <w:uiPriority w:val="0"/>
    <w:pPr>
      <w:ind w:right="0" w:rightChars="0"/>
      <w:textAlignment w:val="baseline"/>
    </w:pPr>
    <w:rPr>
      <w:rFonts w:ascii="仿宋_GB2312" w:hAnsi="Calibri" w:eastAsia="仿宋_GB2312"/>
      <w:b/>
      <w:sz w:val="32"/>
      <w:szCs w:val="32"/>
    </w:rPr>
  </w:style>
  <w:style w:type="paragraph" w:customStyle="1" w:styleId="38">
    <w:name w:val="招标-标题1"/>
    <w:basedOn w:val="1"/>
    <w:qFormat/>
    <w:uiPriority w:val="0"/>
    <w:pPr>
      <w:spacing w:line="300" w:lineRule="auto"/>
      <w:ind w:left="560"/>
    </w:pPr>
    <w:rPr>
      <w:rFonts w:ascii="宋体" w:hAnsi="宋体" w:eastAsia="宋体"/>
      <w:b/>
      <w:bCs/>
      <w:szCs w:val="21"/>
    </w:rPr>
  </w:style>
  <w:style w:type="paragraph" w:customStyle="1" w:styleId="39">
    <w:name w:val="列表段落1"/>
    <w:basedOn w:val="1"/>
    <w:qFormat/>
    <w:uiPriority w:val="34"/>
    <w:pPr>
      <w:adjustRightInd/>
      <w:ind w:right="238" w:firstLine="420"/>
    </w:pPr>
    <w:rPr>
      <w:rFonts w:ascii="Calibri" w:hAnsi="Calibri"/>
      <w:sz w:val="24"/>
    </w:rPr>
  </w:style>
  <w:style w:type="paragraph" w:customStyle="1" w:styleId="4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4452</Words>
  <Characters>4908</Characters>
  <Lines>0</Lines>
  <Paragraphs>0</Paragraphs>
  <TotalTime>3</TotalTime>
  <ScaleCrop>false</ScaleCrop>
  <LinksUpToDate>false</LinksUpToDate>
  <CharactersWithSpaces>5215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2024-02-21T08:07:00Z</dcterms:created>
  <dc:creator>Administrator</dc:creator>
  <cp:lastModifiedBy>王超</cp:lastModifiedBy>
  <cp:lastPrinted>2024-02-22T01:55:00Z</cp:lastPrinted>
  <dcterms:modified xsi:type="dcterms:W3CDTF">2025-03-19T02:16:32Z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1D1B1685E47A4782AF13350198133F64_13</vt:lpwstr>
  </property>
  <property fmtid="{D5CDD505-2E9C-101B-9397-08002B2CF9AE}" pid="4" name="KSOTemplateDocerSaveRecord">
    <vt:lpwstr>eyJoZGlkIjoiOWI3YzNlZjU4MDc3ZDUxMmFiOTU0ZDE3Njc1YTdkMjEifQ==</vt:lpwstr>
  </property>
</Properties>
</file>