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cs="宋体" w:asciiTheme="minorEastAsia" w:hAnsiTheme="minorEastAsia" w:eastAsiaTheme="minorEastAsia"/>
          <w:sz w:val="44"/>
          <w:szCs w:val="44"/>
          <w:lang w:eastAsia="zh-CN"/>
        </w:rPr>
      </w:pPr>
      <w:r>
        <w:rPr>
          <w:rFonts w:hint="eastAsia" w:cs="宋体" w:asciiTheme="minorEastAsia" w:hAnsiTheme="minorEastAsia" w:eastAsiaTheme="minorEastAsia"/>
          <w:sz w:val="44"/>
          <w:szCs w:val="44"/>
          <w:lang w:eastAsia="zh-CN"/>
        </w:rPr>
        <w:t>2024年度桐庐县瑶琳镇智慧河道监测系统服务采购项目</w:t>
      </w:r>
    </w:p>
    <w:p>
      <w:pPr>
        <w:spacing w:line="360" w:lineRule="auto"/>
      </w:pPr>
    </w:p>
    <w:p>
      <w:pPr>
        <w:adjustRightInd/>
        <w:spacing w:line="360" w:lineRule="auto"/>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招标文件</w:t>
      </w:r>
    </w:p>
    <w:p/>
    <w:p>
      <w:pPr>
        <w:adjustRightInd/>
        <w:spacing w:line="36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 xml:space="preserve"> （电子招投标）</w:t>
      </w:r>
    </w:p>
    <w:p>
      <w:pPr>
        <w:snapToGrid w:val="0"/>
        <w:spacing w:line="360" w:lineRule="auto"/>
        <w:jc w:val="center"/>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采购编号:</w:t>
      </w:r>
      <w:r>
        <w:rPr>
          <w:rFonts w:hint="eastAsia" w:cs="宋体" w:asciiTheme="minorEastAsia" w:hAnsiTheme="minorEastAsia" w:eastAsiaTheme="minorEastAsia"/>
          <w:color w:val="auto"/>
          <w:sz w:val="30"/>
          <w:szCs w:val="30"/>
        </w:rPr>
        <w:t>（</w:t>
      </w:r>
      <w:r>
        <w:rPr>
          <w:rFonts w:hint="eastAsia" w:cs="宋体" w:asciiTheme="minorEastAsia" w:hAnsiTheme="minorEastAsia" w:eastAsiaTheme="minorEastAsia"/>
          <w:color w:val="auto"/>
          <w:sz w:val="30"/>
          <w:szCs w:val="30"/>
          <w:lang w:eastAsia="zh-CN"/>
        </w:rPr>
        <w:t>TLHT-CG-2024-012</w:t>
      </w:r>
      <w:r>
        <w:rPr>
          <w:rFonts w:hint="eastAsia" w:cs="宋体" w:asciiTheme="minorEastAsia" w:hAnsiTheme="minorEastAsia" w:eastAsiaTheme="minorEastAsia"/>
          <w:color w:val="auto"/>
          <w:sz w:val="30"/>
          <w:szCs w:val="30"/>
        </w:rPr>
        <w:t>）</w:t>
      </w:r>
    </w:p>
    <w:p>
      <w:pPr>
        <w:adjustRightInd/>
        <w:spacing w:line="360" w:lineRule="auto"/>
        <w:rPr>
          <w:rFonts w:cs="宋体" w:asciiTheme="minorEastAsia" w:hAnsiTheme="minorEastAsia" w:eastAsiaTheme="minorEastAsia"/>
          <w:sz w:val="28"/>
          <w:szCs w:val="20"/>
        </w:rPr>
      </w:pPr>
    </w:p>
    <w:p>
      <w:pPr>
        <w:spacing w:line="360" w:lineRule="auto"/>
        <w:jc w:val="center"/>
        <w:rPr>
          <w:rFonts w:cs="宋体" w:asciiTheme="minorEastAsia" w:hAnsiTheme="minorEastAsia" w:eastAsiaTheme="minorEastAsia"/>
          <w:b/>
          <w:sz w:val="44"/>
          <w:szCs w:val="44"/>
        </w:rPr>
      </w:pPr>
    </w:p>
    <w:p>
      <w:pPr>
        <w:spacing w:line="360" w:lineRule="auto"/>
        <w:jc w:val="center"/>
        <w:rPr>
          <w:rFonts w:cs="宋体" w:asciiTheme="minorEastAsia" w:hAnsiTheme="minorEastAsia" w:eastAsiaTheme="minorEastAsia"/>
          <w:b/>
          <w:sz w:val="44"/>
          <w:szCs w:val="44"/>
        </w:rPr>
      </w:pPr>
    </w:p>
    <w:p>
      <w:pPr>
        <w:spacing w:line="360" w:lineRule="auto"/>
        <w:jc w:val="center"/>
        <w:rPr>
          <w:rFonts w:cs="宋体" w:asciiTheme="minorEastAsia" w:hAnsiTheme="minorEastAsia" w:eastAsiaTheme="minorEastAsia"/>
          <w:sz w:val="24"/>
        </w:rPr>
      </w:pPr>
    </w:p>
    <w:p>
      <w:pPr>
        <w:spacing w:line="360" w:lineRule="auto"/>
        <w:jc w:val="center"/>
        <w:rPr>
          <w:rFonts w:cs="宋体" w:asciiTheme="minorEastAsia" w:hAnsiTheme="minorEastAsia" w:eastAsiaTheme="minorEastAsia"/>
          <w:sz w:val="24"/>
        </w:rPr>
      </w:pPr>
    </w:p>
    <w:p>
      <w:pPr>
        <w:spacing w:line="360" w:lineRule="auto"/>
        <w:rPr>
          <w:rFonts w:cs="宋体" w:asciiTheme="minorEastAsia" w:hAnsiTheme="minorEastAsia" w:eastAsiaTheme="minorEastAsia"/>
          <w:sz w:val="32"/>
          <w:szCs w:val="32"/>
        </w:rPr>
      </w:pPr>
    </w:p>
    <w:p>
      <w:pPr>
        <w:spacing w:line="360" w:lineRule="auto"/>
        <w:jc w:val="center"/>
        <w:rPr>
          <w:rFonts w:hint="eastAsia" w:cs="宋体" w:asciiTheme="minorEastAsia" w:hAnsiTheme="minorEastAsia" w:eastAsiaTheme="minorEastAsia"/>
          <w:sz w:val="32"/>
          <w:szCs w:val="32"/>
          <w:lang w:eastAsia="zh-CN"/>
        </w:rPr>
      </w:pPr>
      <w:r>
        <w:rPr>
          <w:rFonts w:hint="eastAsia" w:cs="宋体" w:asciiTheme="minorEastAsia" w:hAnsiTheme="minorEastAsia" w:eastAsiaTheme="minorEastAsia"/>
          <w:sz w:val="32"/>
          <w:szCs w:val="32"/>
        </w:rPr>
        <w:t>采购人：</w:t>
      </w:r>
      <w:r>
        <w:rPr>
          <w:rFonts w:hint="eastAsia" w:cs="宋体" w:asciiTheme="minorEastAsia" w:hAnsiTheme="minorEastAsia" w:eastAsiaTheme="minorEastAsia"/>
          <w:sz w:val="32"/>
          <w:szCs w:val="32"/>
          <w:lang w:eastAsia="zh-CN"/>
        </w:rPr>
        <w:t>桐庐县瑶琳镇人民政府</w:t>
      </w:r>
    </w:p>
    <w:p>
      <w:pPr>
        <w:spacing w:line="360" w:lineRule="auto"/>
        <w:jc w:val="center"/>
        <w:rPr>
          <w:rFonts w:hint="eastAsia" w:cs="宋体" w:asciiTheme="minorEastAsia" w:hAnsiTheme="minorEastAsia" w:eastAsiaTheme="minorEastAsia"/>
          <w:bCs/>
          <w:sz w:val="32"/>
          <w:szCs w:val="32"/>
          <w:lang w:eastAsia="zh-CN"/>
        </w:rPr>
      </w:pPr>
      <w:r>
        <w:rPr>
          <w:rFonts w:hint="eastAsia" w:cs="宋体" w:asciiTheme="minorEastAsia" w:hAnsiTheme="minorEastAsia" w:eastAsiaTheme="minorEastAsia"/>
          <w:bCs/>
          <w:sz w:val="32"/>
          <w:szCs w:val="32"/>
        </w:rPr>
        <w:t>采购代理机构：</w:t>
      </w:r>
      <w:r>
        <w:rPr>
          <w:rFonts w:hint="eastAsia" w:cs="宋体" w:asciiTheme="minorEastAsia" w:hAnsiTheme="minorEastAsia" w:eastAsiaTheme="minorEastAsia"/>
          <w:bCs/>
          <w:sz w:val="32"/>
          <w:szCs w:val="32"/>
          <w:lang w:eastAsia="zh-CN"/>
        </w:rPr>
        <w:t>桐庐鸿泰工程咨询有限公司</w:t>
      </w:r>
    </w:p>
    <w:p>
      <w:pPr>
        <w:snapToGrid w:val="0"/>
        <w:spacing w:line="360" w:lineRule="auto"/>
        <w:jc w:val="center"/>
        <w:rPr>
          <w:rFonts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202</w:t>
      </w:r>
      <w:r>
        <w:rPr>
          <w:rFonts w:hint="eastAsia" w:cs="宋体" w:asciiTheme="minorEastAsia" w:hAnsiTheme="minorEastAsia" w:eastAsiaTheme="minorEastAsia"/>
          <w:bCs/>
          <w:sz w:val="32"/>
          <w:szCs w:val="32"/>
          <w:lang w:val="en-US" w:eastAsia="zh-CN"/>
        </w:rPr>
        <w:t>4</w:t>
      </w:r>
      <w:r>
        <w:rPr>
          <w:rFonts w:hint="eastAsia" w:cs="宋体" w:asciiTheme="minorEastAsia" w:hAnsiTheme="minorEastAsia" w:eastAsiaTheme="minorEastAsia"/>
          <w:bCs/>
          <w:sz w:val="32"/>
          <w:szCs w:val="32"/>
        </w:rPr>
        <w:t>年</w:t>
      </w:r>
      <w:r>
        <w:rPr>
          <w:rFonts w:hint="eastAsia" w:cs="宋体" w:asciiTheme="minorEastAsia" w:hAnsiTheme="minorEastAsia" w:eastAsiaTheme="minorEastAsia"/>
          <w:bCs/>
          <w:sz w:val="32"/>
          <w:szCs w:val="32"/>
          <w:lang w:val="en-US" w:eastAsia="zh-CN"/>
        </w:rPr>
        <w:t>06</w:t>
      </w:r>
      <w:r>
        <w:rPr>
          <w:rFonts w:hint="eastAsia" w:cs="宋体" w:asciiTheme="minorEastAsia" w:hAnsiTheme="minorEastAsia" w:eastAsiaTheme="minorEastAsia"/>
          <w:bCs/>
          <w:sz w:val="32"/>
          <w:szCs w:val="32"/>
        </w:rPr>
        <w:t>月</w:t>
      </w:r>
    </w:p>
    <w:p>
      <w:pPr>
        <w:spacing w:line="360" w:lineRule="auto"/>
        <w:jc w:val="center"/>
        <w:rPr>
          <w:rFonts w:cs="宋体" w:asciiTheme="minorEastAsia" w:hAnsiTheme="minorEastAsia" w:eastAsiaTheme="minorEastAsia"/>
          <w:b/>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pgNumType w:start="1"/>
          <w:cols w:space="0" w:num="1"/>
          <w:titlePg/>
          <w:docGrid w:linePitch="312" w:charSpace="0"/>
        </w:sectPr>
      </w:pPr>
    </w:p>
    <w:p>
      <w:pPr>
        <w:spacing w:line="360" w:lineRule="auto"/>
        <w:jc w:val="center"/>
        <w:rPr>
          <w:rFonts w:cs="宋体" w:asciiTheme="minorEastAsia" w:hAnsiTheme="minorEastAsia" w:eastAsiaTheme="minorEastAsia"/>
          <w:b/>
          <w:sz w:val="48"/>
          <w:szCs w:val="48"/>
        </w:rPr>
      </w:pPr>
      <w:r>
        <w:rPr>
          <w:rFonts w:hint="eastAsia" w:cs="宋体" w:asciiTheme="minorEastAsia" w:hAnsiTheme="minorEastAsia" w:eastAsiaTheme="minorEastAsia"/>
          <w:b/>
          <w:sz w:val="48"/>
          <w:szCs w:val="48"/>
        </w:rPr>
        <w:t>目  录</w:t>
      </w:r>
    </w:p>
    <w:p>
      <w:pPr>
        <w:spacing w:line="360" w:lineRule="auto"/>
        <w:rPr>
          <w:rFonts w:cs="宋体" w:asciiTheme="minorEastAsia" w:hAnsiTheme="minorEastAsia" w:eastAsiaTheme="minorEastAsia"/>
          <w:sz w:val="32"/>
          <w:szCs w:val="32"/>
        </w:rPr>
      </w:pPr>
    </w:p>
    <w:p>
      <w:pPr>
        <w:spacing w:line="360" w:lineRule="auto"/>
        <w:rPr>
          <w:rFonts w:cs="宋体" w:asciiTheme="minorEastAsia" w:hAnsiTheme="minorEastAsia" w:eastAsiaTheme="minorEastAsia"/>
          <w:sz w:val="32"/>
          <w:szCs w:val="32"/>
        </w:rPr>
      </w:pP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第一部分      招标公告</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第二部分      投标人须知</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第三部分      采购需求</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第四部分      评标办法</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第五部分      拟签订的合同文本</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第六部分      应提交的有关格式范例</w:t>
      </w:r>
    </w:p>
    <w:p>
      <w:pPr>
        <w:adjustRightInd/>
        <w:spacing w:line="360" w:lineRule="auto"/>
        <w:jc w:val="center"/>
        <w:outlineLvl w:val="0"/>
        <w:rPr>
          <w:rFonts w:cs="宋体" w:asciiTheme="minorEastAsia" w:hAnsiTheme="minorEastAsia" w:eastAsiaTheme="minorEastAsia"/>
          <w:b/>
          <w:sz w:val="36"/>
          <w:szCs w:val="20"/>
        </w:rPr>
        <w:sectPr>
          <w:pgSz w:w="11906" w:h="16838"/>
          <w:pgMar w:top="1440" w:right="1418" w:bottom="1440" w:left="1418" w:header="851" w:footer="992" w:gutter="0"/>
          <w:cols w:space="0" w:num="1"/>
          <w:titlePg/>
          <w:docGrid w:linePitch="312" w:charSpace="0"/>
        </w:sectPr>
      </w:pPr>
      <w:bookmarkStart w:id="0" w:name="_Hlt91233176"/>
      <w:bookmarkEnd w:id="0"/>
      <w:bookmarkStart w:id="1" w:name="第二部分"/>
      <w:bookmarkStart w:id="2" w:name="_Toc91899870"/>
      <w:bookmarkStart w:id="3" w:name="_Toc91899871"/>
    </w:p>
    <w:p>
      <w:pPr>
        <w:adjustRightInd/>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lang w:eastAsia="zh-CN"/>
        </w:rPr>
        <w:t>2024年度桐庐县瑶琳镇智慧河道监测系统服务采购项目</w:t>
      </w:r>
      <w:r>
        <w:rPr>
          <w:rFonts w:hint="eastAsia" w:cs="宋体" w:asciiTheme="minorEastAsia" w:hAnsiTheme="minorEastAsia" w:eastAsiaTheme="minorEastAsia"/>
          <w:sz w:val="24"/>
        </w:rPr>
        <w:t>的潜在投标人应在政采云平台（</w:t>
      </w:r>
      <w:r>
        <w:fldChar w:fldCharType="begin"/>
      </w:r>
      <w:r>
        <w:instrText xml:space="preserve"> HYPERLINK "https://www.zcygov.cn/）获取（下载）招标文件，并于2021年" </w:instrText>
      </w:r>
      <w:r>
        <w:fldChar w:fldCharType="separate"/>
      </w:r>
      <w:r>
        <w:rPr>
          <w:rStyle w:val="86"/>
          <w:rFonts w:hint="eastAsia" w:cs="宋体" w:asciiTheme="minorEastAsia" w:hAnsiTheme="minorEastAsia" w:eastAsiaTheme="minorEastAsia"/>
          <w:snapToGrid/>
          <w:color w:val="auto"/>
          <w:kern w:val="2"/>
          <w:sz w:val="24"/>
          <w:szCs w:val="24"/>
        </w:rPr>
        <w:t>https://www.zcygov.cn/）获取（下载）招标文件，并于</w:t>
      </w:r>
      <w:r>
        <w:rPr>
          <w:rFonts w:hint="eastAsia" w:cs="宋体" w:asciiTheme="minorEastAsia" w:hAnsiTheme="minorEastAsia" w:eastAsiaTheme="minorEastAsia"/>
          <w:sz w:val="24"/>
          <w:highlight w:val="yellow"/>
          <w:u w:val="single"/>
          <w:lang w:eastAsia="zh-CN"/>
        </w:rPr>
        <w:t>2024年07月01日10点00分</w:t>
      </w:r>
      <w:r>
        <w:rPr>
          <w:rFonts w:hint="eastAsia" w:cs="宋体" w:asciiTheme="minorEastAsia" w:hAnsiTheme="minorEastAsia" w:eastAsiaTheme="minorEastAsia"/>
          <w:sz w:val="24"/>
          <w:highlight w:val="yellow"/>
          <w:u w:val="single"/>
        </w:rPr>
        <w:fldChar w:fldCharType="end"/>
      </w:r>
      <w:r>
        <w:rPr>
          <w:rFonts w:hint="eastAsia" w:cs="宋体" w:asciiTheme="minorEastAsia" w:hAnsiTheme="minorEastAsia" w:eastAsiaTheme="minorEastAsia"/>
          <w:bCs/>
          <w:sz w:val="24"/>
        </w:rPr>
        <w:t>（北京时间）前</w:t>
      </w:r>
      <w:r>
        <w:rPr>
          <w:rFonts w:hint="eastAsia" w:cs="宋体" w:asciiTheme="minorEastAsia" w:hAnsiTheme="minorEastAsia" w:eastAsiaTheme="minorEastAsia"/>
          <w:sz w:val="24"/>
        </w:rPr>
        <w:t>递交（上传）投标文件。</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一、项目基本情况                                            </w:t>
      </w:r>
    </w:p>
    <w:p>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b/>
          <w:sz w:val="24"/>
        </w:rPr>
        <w:t>项目编号：</w:t>
      </w:r>
      <w:r>
        <w:rPr>
          <w:rFonts w:hint="eastAsia" w:cs="宋体" w:asciiTheme="minorEastAsia" w:hAnsiTheme="minorEastAsia" w:eastAsiaTheme="minorEastAsia"/>
          <w:sz w:val="24"/>
          <w:lang w:eastAsia="zh-CN"/>
        </w:rPr>
        <w:t>TLHT-CG-2024-012</w:t>
      </w:r>
    </w:p>
    <w:p>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b/>
          <w:sz w:val="24"/>
        </w:rPr>
        <w:t>项目名称：</w:t>
      </w:r>
      <w:r>
        <w:rPr>
          <w:rFonts w:hint="eastAsia" w:cs="宋体" w:asciiTheme="minorEastAsia" w:hAnsiTheme="minorEastAsia" w:eastAsiaTheme="minorEastAsia"/>
          <w:sz w:val="24"/>
          <w:lang w:eastAsia="zh-CN"/>
        </w:rPr>
        <w:t>2024年度桐庐县瑶琳镇智慧河道监测系统服务采购项目</w:t>
      </w:r>
    </w:p>
    <w:p>
      <w:pPr>
        <w:spacing w:line="360" w:lineRule="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b/>
          <w:sz w:val="24"/>
          <w:lang w:val="en-US" w:eastAsia="zh-CN"/>
        </w:rPr>
        <w:t>最高限价</w:t>
      </w:r>
      <w:r>
        <w:rPr>
          <w:rFonts w:hint="eastAsia" w:cs="宋体" w:asciiTheme="minorEastAsia" w:hAnsiTheme="minorEastAsia" w:eastAsiaTheme="minorEastAsia"/>
          <w:b/>
          <w:sz w:val="24"/>
        </w:rPr>
        <w:t>（元）：</w:t>
      </w:r>
      <w:r>
        <w:rPr>
          <w:rFonts w:hint="eastAsia" w:cs="宋体" w:asciiTheme="minorEastAsia" w:hAnsiTheme="minorEastAsia" w:eastAsiaTheme="minorEastAsia"/>
          <w:bCs/>
          <w:sz w:val="24"/>
          <w:lang w:val="en-US" w:eastAsia="zh-CN"/>
        </w:rPr>
        <w:t>440000</w:t>
      </w:r>
    </w:p>
    <w:p>
      <w:pPr>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
          <w:sz w:val="24"/>
        </w:rPr>
        <w:t>采购需求：</w:t>
      </w:r>
      <w:r>
        <w:rPr>
          <w:rFonts w:hint="eastAsia" w:cs="宋体" w:asciiTheme="minorEastAsia" w:hAnsiTheme="minorEastAsia" w:eastAsiaTheme="minorEastAsia"/>
          <w:bCs/>
          <w:sz w:val="24"/>
        </w:rPr>
        <w:t>详见招标文件第三部分采购需求。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合同履约期限</w:t>
      </w:r>
      <w:r>
        <w:rPr>
          <w:rFonts w:hint="eastAsia" w:cs="宋体" w:asciiTheme="minorEastAsia" w:hAnsiTheme="minorEastAsia" w:eastAsiaTheme="minorEastAsia"/>
          <w:bCs/>
          <w:sz w:val="24"/>
        </w:rPr>
        <w:t>：详见招标文件第三部分采购需求。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本项目接受联合体投标：</w:t>
      </w:r>
      <w:sdt>
        <w:sdtPr>
          <w:rPr>
            <w:rFonts w:hint="eastAsia" w:cs="宋体" w:asciiTheme="minorEastAsia" w:hAnsiTheme="minorEastAsia" w:eastAsiaTheme="minorEastAsia"/>
            <w:kern w:val="0"/>
            <w:sz w:val="24"/>
          </w:rPr>
          <w:id w:val="2035453831"/>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786974422"/>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snapToGrid w:val="0"/>
                  <w:kern w:val="0"/>
                  <w:sz w:val="24"/>
                  <w:szCs w:val="20"/>
                </w:rPr>
                <w:t>☐</w:t>
              </w:r>
            </w:sdtContent>
          </w:sdt>
        </w:sdtContent>
      </w:sdt>
      <w:r>
        <w:rPr>
          <w:rFonts w:hint="eastAsia" w:cs="宋体" w:asciiTheme="minorEastAsia" w:hAnsiTheme="minorEastAsia" w:eastAsiaTheme="minorEastAsia"/>
          <w:b/>
          <w:sz w:val="24"/>
        </w:rPr>
        <w:t>是，</w:t>
      </w:r>
      <w:sdt>
        <w:sdtPr>
          <w:rPr>
            <w:rFonts w:hint="eastAsia" w:cs="宋体" w:asciiTheme="minorEastAsia" w:hAnsiTheme="minorEastAsia" w:eastAsiaTheme="minorEastAsia"/>
            <w:kern w:val="0"/>
            <w:sz w:val="24"/>
          </w:rPr>
          <w:id w:val="-1765526721"/>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8868422"/>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523964096"/>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00FE"/>
                  </w:r>
                </w:sdtContent>
              </w:sdt>
            </w:sdtContent>
          </w:sdt>
        </w:sdtContent>
      </w:sdt>
      <w:r>
        <w:rPr>
          <w:rFonts w:hint="eastAsia" w:cs="宋体" w:asciiTheme="minorEastAsia" w:hAnsiTheme="minorEastAsia" w:eastAsiaTheme="minorEastAsia"/>
          <w:b/>
          <w:sz w:val="24"/>
        </w:rPr>
        <w:t>否</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二、申请人的资格要求：</w:t>
      </w:r>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2.落实政府采购政策需满足的资格要求：</w:t>
      </w:r>
    </w:p>
    <w:p>
      <w:pPr>
        <w:spacing w:line="360" w:lineRule="auto"/>
        <w:ind w:firstLine="960" w:firstLineChars="4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82928714"/>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00FE"/>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82928715"/>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sz w:val="24"/>
        </w:rPr>
        <w:t>服务全部由符合政策要求的中小企业承接，提供中小企业声明函；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14102535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9968547"/>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r>
        <w:rPr>
          <w:rFonts w:hint="eastAsia" w:cs="宋体" w:asciiTheme="minorEastAsia" w:hAnsiTheme="minorEastAsia" w:eastAsiaTheme="minorEastAsia"/>
          <w:sz w:val="24"/>
        </w:rPr>
        <w:t>服务全部由符合政策要求的小微企业承接，提供中小企业声明函；</w:t>
      </w:r>
    </w:p>
    <w:p>
      <w:pPr>
        <w:spacing w:line="360" w:lineRule="auto"/>
        <w:ind w:firstLine="960" w:firstLineChars="4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85607795"/>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63410824"/>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sdtContent>
      </w:sdt>
      <w:r>
        <w:rPr>
          <w:rFonts w:hint="eastAsia" w:cs="宋体" w:asciiTheme="minorEastAsia" w:hAnsiTheme="minorEastAsia" w:eastAsiaTheme="minorEastAsia"/>
          <w:sz w:val="24"/>
        </w:rPr>
        <w:t>要求以联合体形式参加，提供联合协议和中小企业声明函，联合协议中中小企业合同金额应当达到%，小微企业合同金额应当达到%;</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cs="宋体"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sdt>
        <w:sdtPr>
          <w:rPr>
            <w:rFonts w:hint="eastAsia" w:cs="宋体" w:asciiTheme="minorEastAsia" w:hAnsiTheme="minorEastAsia" w:eastAsiaTheme="minorEastAsia"/>
            <w:kern w:val="0"/>
            <w:sz w:val="24"/>
          </w:rPr>
          <w:id w:val="34630645"/>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要求合同分包，提供分包意向协议和中小企业声明函，分包意向协议中中小企业合同金额应当达到达到% ，小微企业合同金额应当达到% ;</w:t>
      </w:r>
      <w:r>
        <w:rPr>
          <w:rFonts w:hint="eastAsia" w:cs="宋体" w:asciiTheme="minorEastAsia" w:hAnsiTheme="minorEastAsia" w:eastAsiaTheme="minorEastAsia"/>
          <w:spacing w:val="8"/>
          <w:kern w:val="0"/>
          <w:sz w:val="24"/>
        </w:rPr>
        <w:t>如果供应商本身提供所有标的均由中小企业制造、承建或承接，视同符合了资格条件，无需再向中小企业分包，无需提供分包意向协议</w:t>
      </w:r>
      <w:r>
        <w:rPr>
          <w:rFonts w:hint="eastAsia" w:cs="宋体" w:asciiTheme="minorEastAsia" w:hAnsiTheme="minorEastAsia" w:eastAsiaTheme="minorEastAsia"/>
          <w:sz w:val="24"/>
        </w:rPr>
        <w:t>；</w:t>
      </w:r>
    </w:p>
    <w:p>
      <w:pPr>
        <w:spacing w:line="360" w:lineRule="auto"/>
        <w:ind w:firstLine="480"/>
        <w:rPr>
          <w:rFonts w:cs="宋体" w:asciiTheme="minorEastAsia" w:hAnsiTheme="minorEastAsia" w:eastAsiaTheme="minorEastAsia"/>
          <w:spacing w:val="8"/>
          <w:kern w:val="0"/>
          <w:sz w:val="24"/>
        </w:rPr>
      </w:pPr>
      <w:r>
        <w:rPr>
          <w:rFonts w:hint="eastAsia" w:cs="宋体" w:asciiTheme="minorEastAsia" w:hAnsiTheme="minorEastAsia" w:eastAsiaTheme="minorEastAsia"/>
          <w:sz w:val="24"/>
        </w:rPr>
        <w:t>3.本项目的特定资格要</w:t>
      </w:r>
      <w:r>
        <w:rPr>
          <w:rFonts w:hint="eastAsia" w:cs="宋体" w:asciiTheme="minorEastAsia" w:hAnsiTheme="minorEastAsia" w:eastAsiaTheme="minorEastAsia"/>
          <w:spacing w:val="8"/>
          <w:kern w:val="0"/>
          <w:sz w:val="24"/>
        </w:rPr>
        <w:t>求：无</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三、获取招标文件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cs="宋体" w:asciiTheme="minorEastAsia" w:hAnsiTheme="minorEastAsia" w:eastAsiaTheme="minorEastAsia"/>
          <w:sz w:val="24"/>
          <w:highlight w:val="yellow"/>
        </w:rPr>
        <w:t>至</w:t>
      </w:r>
      <w:r>
        <w:rPr>
          <w:rFonts w:hint="eastAsia" w:cs="宋体" w:asciiTheme="minorEastAsia" w:hAnsiTheme="minorEastAsia" w:eastAsiaTheme="minorEastAsia"/>
          <w:sz w:val="24"/>
          <w:highlight w:val="yellow"/>
          <w:u w:val="single"/>
          <w:lang w:eastAsia="zh-CN"/>
        </w:rPr>
        <w:t>2024年07月01日</w:t>
      </w:r>
      <w:r>
        <w:rPr>
          <w:rFonts w:hint="eastAsia" w:cs="宋体" w:asciiTheme="minorEastAsia" w:hAnsiTheme="minorEastAsia" w:eastAsiaTheme="minorEastAsia"/>
          <w:sz w:val="24"/>
        </w:rPr>
        <w:t>，每天上午00:00至12:00 ，下午12:00至23:59（北京时间，线上获取法定节假日均可，线下获取文件法定节假日除外）</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地点（网址）：</w:t>
      </w:r>
      <w:r>
        <w:rPr>
          <w:rFonts w:hint="eastAsia" w:cs="宋体" w:asciiTheme="minorEastAsia" w:hAnsiTheme="minorEastAsia" w:eastAsiaTheme="minorEastAsia"/>
          <w:sz w:val="24"/>
        </w:rPr>
        <w:t xml:space="preserve">政采云平台（https://www.zcygov.cn/）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售价（元）：</w:t>
      </w:r>
      <w:r>
        <w:rPr>
          <w:rFonts w:hint="eastAsia" w:cs="宋体" w:asciiTheme="minorEastAsia" w:hAnsiTheme="minorEastAsia" w:eastAsiaTheme="minorEastAsia"/>
          <w:sz w:val="24"/>
        </w:rPr>
        <w:t xml:space="preserve">0 </w:t>
      </w:r>
      <w:r>
        <w:rPr>
          <w:rFonts w:hint="eastAsia" w:cs="宋体" w:asciiTheme="minorEastAsia" w:hAnsiTheme="minorEastAsia" w:eastAsiaTheme="minorEastAsia"/>
          <w:sz w:val="24"/>
        </w:rPr>
        <w:tab/>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四、提交投标文件截止时间、开标时间和地点</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提交投标文件截止时间：</w:t>
      </w:r>
      <w:r>
        <w:rPr>
          <w:rFonts w:hint="eastAsia" w:cs="宋体" w:asciiTheme="minorEastAsia" w:hAnsiTheme="minorEastAsia" w:eastAsiaTheme="minorEastAsia"/>
          <w:sz w:val="24"/>
          <w:highlight w:val="yellow"/>
          <w:u w:val="single"/>
          <w:lang w:eastAsia="zh-CN"/>
        </w:rPr>
        <w:t>2024年07月01日10点00分</w:t>
      </w:r>
      <w:r>
        <w:rPr>
          <w:rFonts w:hint="eastAsia" w:cs="宋体" w:asciiTheme="minorEastAsia" w:hAnsiTheme="minorEastAsia" w:eastAsiaTheme="minorEastAsia"/>
          <w:sz w:val="24"/>
        </w:rPr>
        <w:t>（北京时间）</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投标地点（网址）：</w:t>
      </w:r>
      <w:r>
        <w:rPr>
          <w:rFonts w:hint="eastAsia" w:cs="宋体" w:asciiTheme="minorEastAsia" w:hAnsiTheme="minorEastAsia" w:eastAsiaTheme="minorEastAsia"/>
          <w:sz w:val="24"/>
        </w:rPr>
        <w:t xml:space="preserve">政采云平台（https://www.zcygov.cn/） </w:t>
      </w:r>
    </w:p>
    <w:p>
      <w:pPr>
        <w:spacing w:line="360" w:lineRule="auto"/>
        <w:ind w:firstLine="482" w:firstLineChars="200"/>
        <w:rPr>
          <w:rFonts w:hint="eastAsia" w:cs="宋体" w:asciiTheme="minorEastAsia" w:hAnsiTheme="minorEastAsia" w:eastAsiaTheme="minorEastAsia"/>
          <w:bCs/>
          <w:sz w:val="24"/>
          <w:u w:val="single"/>
          <w:lang w:eastAsia="zh-CN"/>
        </w:rPr>
      </w:pPr>
      <w:r>
        <w:rPr>
          <w:rFonts w:hint="eastAsia" w:cs="宋体" w:asciiTheme="minorEastAsia" w:hAnsiTheme="minorEastAsia" w:eastAsiaTheme="minorEastAsia"/>
          <w:b/>
          <w:sz w:val="24"/>
        </w:rPr>
        <w:t>开标时间：</w:t>
      </w:r>
      <w:r>
        <w:rPr>
          <w:rFonts w:hint="eastAsia" w:cs="宋体" w:asciiTheme="minorEastAsia" w:hAnsiTheme="minorEastAsia" w:eastAsiaTheme="minorEastAsia"/>
          <w:sz w:val="24"/>
          <w:highlight w:val="yellow"/>
          <w:u w:val="single"/>
          <w:lang w:eastAsia="zh-CN"/>
        </w:rPr>
        <w:t>2024年07月01日10点00分</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开标地点（网址）：</w:t>
      </w:r>
      <w:r>
        <w:rPr>
          <w:rFonts w:hint="eastAsia" w:cs="宋体" w:asciiTheme="minorEastAsia" w:hAnsiTheme="minorEastAsia" w:eastAsiaTheme="minorEastAsia"/>
          <w:sz w:val="24"/>
        </w:rPr>
        <w:t>政采云平台（https://www.zcygov.cn/）</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 xml:space="preserve">五、公告期限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自本公告发布之日起5个工作日。</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六、其他补充事宜</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七、对本次采购提出询问、质疑、投诉，请按以下方式联系</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1.采购人信息</w:t>
      </w:r>
    </w:p>
    <w:p>
      <w:pPr>
        <w:spacing w:line="360" w:lineRule="auto"/>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FF0000"/>
          <w:sz w:val="24"/>
        </w:rPr>
        <w:t xml:space="preserve"> </w:t>
      </w:r>
      <w:r>
        <w:rPr>
          <w:rFonts w:hint="eastAsia" w:cs="宋体" w:asciiTheme="minorEastAsia" w:hAnsiTheme="minorEastAsia" w:eastAsiaTheme="minorEastAsia"/>
          <w:color w:val="auto"/>
          <w:sz w:val="24"/>
        </w:rPr>
        <w:t xml:space="preserve">   名    称：</w:t>
      </w:r>
      <w:r>
        <w:rPr>
          <w:rFonts w:hint="eastAsia" w:cs="宋体" w:asciiTheme="minorEastAsia" w:hAnsiTheme="minorEastAsia" w:eastAsiaTheme="minorEastAsia"/>
          <w:color w:val="auto"/>
          <w:sz w:val="24"/>
          <w:lang w:eastAsia="zh-CN"/>
        </w:rPr>
        <w:t>桐庐县瑶琳镇人民政府</w:t>
      </w:r>
    </w:p>
    <w:p>
      <w:pPr>
        <w:spacing w:line="360" w:lineRule="auto"/>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地    址：浙江省杭州市桐庐县</w:t>
      </w:r>
    </w:p>
    <w:p>
      <w:pPr>
        <w:spacing w:line="360" w:lineRule="auto"/>
        <w:ind w:firstLine="480" w:firstLineChars="200"/>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项目联系人（询问）：</w:t>
      </w:r>
      <w:r>
        <w:rPr>
          <w:rFonts w:hint="eastAsia" w:cs="宋体" w:asciiTheme="minorEastAsia" w:hAnsiTheme="minorEastAsia" w:eastAsiaTheme="minorEastAsia"/>
          <w:color w:val="auto"/>
          <w:sz w:val="24"/>
          <w:lang w:eastAsia="zh-CN"/>
        </w:rPr>
        <w:t>邵文弘</w:t>
      </w:r>
      <w:r>
        <w:rPr>
          <w:rFonts w:hint="eastAsia" w:cs="宋体" w:asciiTheme="minorEastAsia" w:hAnsiTheme="minorEastAsia" w:eastAsiaTheme="minorEastAsia"/>
          <w:color w:val="auto"/>
          <w:sz w:val="24"/>
          <w:lang w:val="en-US" w:eastAsia="zh-CN"/>
        </w:rPr>
        <w:tab/>
      </w:r>
    </w:p>
    <w:p>
      <w:pPr>
        <w:spacing w:line="360" w:lineRule="auto"/>
        <w:ind w:firstLine="480" w:firstLineChars="200"/>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rPr>
        <w:t>项目联系方式（询问）：</w:t>
      </w:r>
      <w:r>
        <w:rPr>
          <w:rFonts w:hint="eastAsia" w:cs="宋体" w:asciiTheme="minorEastAsia" w:hAnsiTheme="minorEastAsia" w:eastAsiaTheme="minorEastAsia"/>
          <w:color w:val="auto"/>
          <w:sz w:val="24"/>
          <w:lang w:val="en-US" w:eastAsia="zh-CN"/>
        </w:rPr>
        <w:t>13989836130</w:t>
      </w:r>
    </w:p>
    <w:p>
      <w:pPr>
        <w:spacing w:line="360" w:lineRule="auto"/>
        <w:ind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质疑联系人：陆琪</w:t>
      </w:r>
    </w:p>
    <w:p>
      <w:pPr>
        <w:spacing w:line="360" w:lineRule="auto"/>
        <w:ind w:firstLine="480" w:firstLineChars="200"/>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质疑联系方式：18358162571</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2.采购代理机构信息 </w:t>
      </w:r>
    </w:p>
    <w:p>
      <w:pPr>
        <w:spacing w:line="360" w:lineRule="auto"/>
        <w:ind w:firstLine="480"/>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名    称：</w:t>
      </w:r>
      <w:r>
        <w:rPr>
          <w:rFonts w:hint="eastAsia" w:cs="宋体" w:asciiTheme="minorEastAsia" w:hAnsiTheme="minorEastAsia" w:eastAsiaTheme="minorEastAsia"/>
          <w:sz w:val="24"/>
          <w:lang w:eastAsia="zh-CN"/>
        </w:rPr>
        <w:t>桐庐鸿泰工程咨询有限公司</w:t>
      </w:r>
    </w:p>
    <w:p>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 xml:space="preserve">地    址：桐庐县迎春南路88号桦桐大厦20楼 </w:t>
      </w:r>
    </w:p>
    <w:p>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 xml:space="preserve">    项目联系人（询问）：</w:t>
      </w:r>
      <w:r>
        <w:rPr>
          <w:rFonts w:hint="eastAsia" w:cs="宋体" w:asciiTheme="minorEastAsia" w:hAnsiTheme="minorEastAsia" w:eastAsiaTheme="minorEastAsia"/>
          <w:sz w:val="24"/>
          <w:lang w:eastAsia="zh-CN"/>
        </w:rPr>
        <w:t>孙鸣</w:t>
      </w:r>
    </w:p>
    <w:p>
      <w:pPr>
        <w:spacing w:line="360" w:lineRule="auto"/>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 xml:space="preserve">    项目联系方式（询问）：</w:t>
      </w:r>
      <w:r>
        <w:rPr>
          <w:rFonts w:hint="eastAsia" w:cs="宋体" w:asciiTheme="minorEastAsia" w:hAnsiTheme="minorEastAsia" w:eastAsiaTheme="minorEastAsia"/>
          <w:sz w:val="24"/>
          <w:lang w:eastAsia="zh-CN"/>
        </w:rPr>
        <w:t>15168292397</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质疑联系人：</w:t>
      </w:r>
      <w:r>
        <w:rPr>
          <w:rFonts w:hint="eastAsia" w:cs="宋体" w:asciiTheme="minorEastAsia" w:hAnsiTheme="minorEastAsia" w:eastAsiaTheme="minorEastAsia"/>
          <w:sz w:val="24"/>
          <w:lang w:eastAsia="zh-CN"/>
        </w:rPr>
        <w:t>张昀</w:t>
      </w:r>
    </w:p>
    <w:p>
      <w:pPr>
        <w:spacing w:line="360" w:lineRule="auto"/>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rPr>
        <w:t xml:space="preserve">    质疑联系方式：</w:t>
      </w:r>
      <w:r>
        <w:rPr>
          <w:rFonts w:hint="eastAsia" w:cs="宋体" w:asciiTheme="minorEastAsia" w:hAnsiTheme="minorEastAsia" w:eastAsiaTheme="minorEastAsia"/>
          <w:sz w:val="24"/>
          <w:lang w:val="en-US" w:eastAsia="zh-CN"/>
        </w:rPr>
        <w:t>18268142293</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3.同级政府采购监督管理部门 </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名    称：</w:t>
      </w:r>
      <w:r>
        <w:rPr>
          <w:rFonts w:hint="eastAsia" w:ascii="宋体" w:hAnsi="宋体" w:eastAsia="宋体" w:cs="宋体"/>
          <w:sz w:val="24"/>
        </w:rPr>
        <w:t>桐庐县财政局、浙江省政府采购行政裁决服务中心（杭州）</w:t>
      </w:r>
    </w:p>
    <w:p>
      <w:p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    地    址：</w:t>
      </w:r>
      <w:r>
        <w:rPr>
          <w:rFonts w:hint="eastAsia" w:ascii="宋体" w:hAnsi="宋体" w:eastAsia="宋体" w:cs="宋体"/>
          <w:sz w:val="24"/>
        </w:rPr>
        <w:t>杭州市上城区四季青街道新业路市民之家G03办公室（快递仅限ems或顺丰）</w:t>
      </w:r>
    </w:p>
    <w:p>
      <w:pPr>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联系人 ：</w:t>
      </w:r>
      <w:r>
        <w:rPr>
          <w:rFonts w:hint="eastAsia" w:ascii="宋体" w:hAnsi="宋体" w:eastAsia="宋体" w:cs="宋体"/>
          <w:sz w:val="24"/>
          <w:lang w:val="en-US" w:eastAsia="zh-CN"/>
        </w:rPr>
        <w:t>朱女士、王女士</w:t>
      </w:r>
    </w:p>
    <w:p>
      <w:pPr>
        <w:spacing w:line="360" w:lineRule="auto"/>
        <w:ind w:firstLine="480"/>
        <w:rPr>
          <w:rFonts w:hint="eastAsia" w:cs="宋体" w:asciiTheme="minorEastAsia" w:hAnsiTheme="minorEastAsia" w:eastAsiaTheme="minorEastAsia"/>
          <w:sz w:val="24"/>
        </w:rPr>
      </w:pPr>
      <w:r>
        <w:rPr>
          <w:rFonts w:hint="eastAsia" w:cs="宋体" w:asciiTheme="minorEastAsia" w:hAnsiTheme="minorEastAsia" w:eastAsiaTheme="minorEastAsia"/>
          <w:sz w:val="24"/>
        </w:rPr>
        <w:t>监督投诉电话：</w:t>
      </w:r>
      <w:r>
        <w:rPr>
          <w:rFonts w:hint="eastAsia" w:ascii="宋体" w:hAnsi="宋体" w:eastAsia="宋体" w:cs="宋体"/>
          <w:sz w:val="24"/>
        </w:rPr>
        <w:t>0571-85252453</w:t>
      </w:r>
    </w:p>
    <w:p>
      <w:pPr>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CA问题联系电话（人工）：汇信CA 400-888-4636；天谷CA 400-087-8198。</w:t>
      </w:r>
    </w:p>
    <w:p>
      <w:pPr>
        <w:pStyle w:val="24"/>
        <w:spacing w:line="360" w:lineRule="auto"/>
        <w:ind w:firstLine="480" w:firstLineChars="200"/>
        <w:rPr>
          <w:rFonts w:cs="宋体" w:asciiTheme="minorEastAsia" w:hAnsiTheme="minorEastAsia" w:eastAsiaTheme="minorEastAsia"/>
          <w:sz w:val="24"/>
          <w:szCs w:val="24"/>
        </w:rPr>
      </w:pPr>
    </w:p>
    <w:p>
      <w:pPr>
        <w:adjustRightInd/>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br w:type="page"/>
      </w:r>
      <w:r>
        <w:rPr>
          <w:rFonts w:hint="eastAsia" w:cs="宋体" w:asciiTheme="minorEastAsia" w:hAnsiTheme="minorEastAsia" w:eastAsiaTheme="minorEastAsia"/>
          <w:b/>
          <w:sz w:val="36"/>
          <w:szCs w:val="20"/>
        </w:rPr>
        <w:t>第二部分</w:t>
      </w:r>
      <w:bookmarkEnd w:id="1"/>
      <w:r>
        <w:rPr>
          <w:rFonts w:hint="eastAsia" w:cs="宋体" w:asciiTheme="minorEastAsia" w:hAnsiTheme="minorEastAsia" w:eastAsiaTheme="minorEastAsia"/>
          <w:b/>
          <w:sz w:val="36"/>
          <w:szCs w:val="20"/>
        </w:rPr>
        <w:t xml:space="preserve"> 投标人须知</w:t>
      </w:r>
      <w:bookmarkEnd w:id="2"/>
    </w:p>
    <w:p>
      <w:pPr>
        <w:snapToGrid w:val="0"/>
        <w:spacing w:line="360" w:lineRule="auto"/>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前附表</w:t>
      </w:r>
    </w:p>
    <w:tbl>
      <w:tblPr>
        <w:tblStyle w:val="7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报价要求</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sz w:val="24"/>
              </w:rPr>
              <w:t>开标一览表（报价表）是报价的唯一载体</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p>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7286927"/>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同意将非主体、非关键性的工作分包。</w:t>
            </w:r>
          </w:p>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276331357"/>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8868423"/>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投标人应当提供的资格、资信证明文件</w:t>
            </w:r>
          </w:p>
        </w:tc>
        <w:tc>
          <w:tcPr>
            <w:tcW w:w="650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50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212966419"/>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b/>
                <w:sz w:val="24"/>
              </w:rPr>
            </w:pPr>
            <w:sdt>
              <w:sdtPr>
                <w:rPr>
                  <w:rFonts w:hint="eastAsia" w:cs="宋体" w:asciiTheme="minorEastAsia" w:hAnsiTheme="minorEastAsia" w:eastAsiaTheme="minorEastAsia"/>
                  <w:kern w:val="0"/>
                  <w:sz w:val="24"/>
                </w:rPr>
                <w:id w:val="-1639946486"/>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b/>
                <w:kern w:val="0"/>
                <w:sz w:val="24"/>
                <w:lang w:val="zh-CN"/>
              </w:rPr>
            </w:pPr>
            <w:sdt>
              <w:sdtPr>
                <w:rPr>
                  <w:rFonts w:hint="eastAsia" w:cs="宋体" w:asciiTheme="minorEastAsia" w:hAnsiTheme="minorEastAsia" w:eastAsiaTheme="minorEastAsia"/>
                  <w:kern w:val="0"/>
                  <w:sz w:val="24"/>
                </w:rPr>
                <w:id w:val="-1859348549"/>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1828425707"/>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项目属性与核心产品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1872786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6233861"/>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货物类，单一产品或</w:t>
            </w:r>
            <w:r>
              <w:rPr>
                <w:rFonts w:hint="eastAsia" w:cs="宋体" w:asciiTheme="minorEastAsia" w:hAnsiTheme="minorEastAsia" w:eastAsiaTheme="minorEastAsia"/>
                <w:kern w:val="0"/>
                <w:sz w:val="24"/>
              </w:rPr>
              <w:t>核心产品为：</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474885559"/>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349968548"/>
                  </w:sdtPr>
                  <w:sdtEndPr>
                    <w:rPr>
                      <w:rFonts w:hint="eastAsia" w:cs="宋体" w:asciiTheme="minorEastAsia" w:hAnsiTheme="minorEastAsia" w:eastAsiaTheme="minorEastAsia"/>
                      <w:kern w:val="0"/>
                      <w:sz w:val="24"/>
                    </w:rPr>
                  </w:sdtEndPr>
                  <w:sdtContent>
                    <w:sdt>
                      <w:sdtPr>
                        <w:rPr>
                          <w:rFonts w:hint="eastAsia" w:cs="宋体" w:asciiTheme="minorEastAsia" w:hAnsiTheme="minorEastAsia" w:eastAsiaTheme="minorEastAsia"/>
                          <w:kern w:val="0"/>
                          <w:sz w:val="24"/>
                        </w:rPr>
                        <w:id w:val="198505959"/>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sdtContent>
                </w:sdt>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采购标的对应的中小企业划分标准所属行业</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（1）标的：</w:t>
            </w:r>
            <w:r>
              <w:rPr>
                <w:rFonts w:hint="eastAsia" w:cs="宋体" w:asciiTheme="minorEastAsia" w:hAnsiTheme="minorEastAsia" w:eastAsiaTheme="minorEastAsia"/>
                <w:sz w:val="24"/>
                <w:u w:val="single"/>
                <w:lang w:eastAsia="zh-CN"/>
              </w:rPr>
              <w:t>2024年度桐庐县瑶琳镇智慧河道监测系统服务采购项目</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其他未列明行业</w:t>
            </w:r>
            <w:r>
              <w:rPr>
                <w:rFonts w:hint="eastAsia" w:cs="宋体" w:asciiTheme="minorEastAsia" w:hAnsiTheme="minorEastAsia" w:eastAsiaTheme="minorEastAsia"/>
                <w:kern w:val="0"/>
                <w:sz w:val="24"/>
              </w:rPr>
              <w:t>；</w:t>
            </w:r>
          </w:p>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sz w:val="24"/>
              </w:rPr>
              <w:t>中小企业划型标准详见：工信部联企业〔2011〕300号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cs="宋体" w:asciiTheme="minorEastAsia" w:hAnsiTheme="minorEastAsia" w:eastAsiaTheme="minorEastAsia"/>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jc w:val="center"/>
              <w:rPr>
                <w:rFonts w:cs="宋体" w:asciiTheme="minorEastAsia" w:hAnsiTheme="minorEastAsia" w:eastAsiaTheme="minorEastAsia"/>
              </w:rPr>
            </w:pP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备份投标文件送达地点和签收人员</w:t>
            </w:r>
          </w:p>
        </w:tc>
        <w:tc>
          <w:tcPr>
            <w:tcW w:w="6506" w:type="dxa"/>
            <w:tcBorders>
              <w:top w:val="single" w:color="000000" w:sz="8" w:space="0"/>
              <w:left w:val="single" w:color="000000" w:sz="2" w:space="0"/>
              <w:bottom w:val="single" w:color="000000" w:sz="8" w:space="0"/>
              <w:right w:val="single" w:color="000000" w:sz="8" w:space="0"/>
            </w:tcBorders>
            <w:vAlign w:val="center"/>
          </w:tcPr>
          <w:p>
            <w:pPr>
              <w:pStyle w:val="24"/>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备份投标文件送达地点：</w:t>
            </w:r>
            <w:r>
              <w:rPr>
                <w:rFonts w:hint="eastAsia" w:cs="宋体" w:asciiTheme="minorEastAsia" w:hAnsiTheme="minorEastAsia" w:eastAsiaTheme="minorEastAsia"/>
                <w:sz w:val="24"/>
                <w:u w:val="single"/>
              </w:rPr>
              <w:t>桐庐县迎春南路88号桦桐大厦20楼</w:t>
            </w:r>
            <w:r>
              <w:rPr>
                <w:rFonts w:hint="eastAsia" w:cs="宋体" w:asciiTheme="minorEastAsia" w:hAnsiTheme="minorEastAsia" w:eastAsiaTheme="minorEastAsia"/>
                <w:kern w:val="28"/>
                <w:sz w:val="24"/>
                <w:szCs w:val="24"/>
              </w:rPr>
              <w:t>；备份投标文件签收人员：</w:t>
            </w:r>
            <w:r>
              <w:rPr>
                <w:rFonts w:hint="eastAsia" w:cs="宋体" w:asciiTheme="minorEastAsia" w:hAnsiTheme="minorEastAsia" w:eastAsiaTheme="minorEastAsia"/>
                <w:kern w:val="28"/>
                <w:sz w:val="24"/>
                <w:szCs w:val="24"/>
                <w:u w:val="single"/>
                <w:lang w:eastAsia="zh-CN"/>
              </w:rPr>
              <w:t>孙鸣</w:t>
            </w:r>
            <w:r>
              <w:rPr>
                <w:rFonts w:hint="eastAsia" w:cs="宋体" w:asciiTheme="minorEastAsia" w:hAnsiTheme="minorEastAsia" w:eastAsiaTheme="minorEastAsia"/>
                <w:kern w:val="28"/>
                <w:sz w:val="24"/>
                <w:szCs w:val="24"/>
              </w:rPr>
              <w:t>，联系电话：</w:t>
            </w:r>
            <w:r>
              <w:rPr>
                <w:rFonts w:hint="eastAsia" w:cs="宋体" w:asciiTheme="minorEastAsia" w:hAnsiTheme="minorEastAsia" w:eastAsiaTheme="minorEastAsia"/>
                <w:sz w:val="24"/>
                <w:u w:val="single"/>
                <w:lang w:eastAsia="zh-CN"/>
              </w:rPr>
              <w:t>15168292397</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bCs/>
                <w:sz w:val="24"/>
              </w:rPr>
              <w:t>代理服务费</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olor w:val="auto"/>
                <w:sz w:val="24"/>
                <w:highlight w:val="none"/>
              </w:rPr>
            </w:pPr>
            <w:r>
              <w:rPr>
                <w:rFonts w:hint="eastAsia" w:asciiTheme="minorEastAsia" w:hAnsiTheme="minorEastAsia" w:eastAsiaTheme="minorEastAsia" w:cstheme="minorEastAsia"/>
                <w:color w:val="auto"/>
                <w:sz w:val="24"/>
                <w:highlight w:val="none"/>
              </w:rPr>
              <w:t>本项目招标</w:t>
            </w:r>
            <w:r>
              <w:rPr>
                <w:rFonts w:hint="eastAsia" w:ascii="宋体" w:hAnsi="宋体"/>
                <w:color w:val="auto"/>
                <w:sz w:val="24"/>
                <w:highlight w:val="none"/>
              </w:rPr>
              <w:t>代理费：</w:t>
            </w:r>
            <w:r>
              <w:rPr>
                <w:rFonts w:hint="eastAsia" w:ascii="宋体" w:hAnsi="宋体"/>
                <w:color w:val="auto"/>
                <w:sz w:val="24"/>
                <w:highlight w:val="none"/>
                <w:lang w:val="en-US" w:eastAsia="zh-CN"/>
              </w:rPr>
              <w:t>6500元</w:t>
            </w:r>
            <w:r>
              <w:rPr>
                <w:rFonts w:hint="eastAsia" w:ascii="宋体" w:hAnsi="宋体"/>
                <w:color w:val="auto"/>
                <w:sz w:val="24"/>
                <w:highlight w:val="none"/>
              </w:rPr>
              <w:t>；</w:t>
            </w:r>
          </w:p>
          <w:p>
            <w:pPr>
              <w:snapToGrid w:val="0"/>
              <w:spacing w:line="360" w:lineRule="auto"/>
              <w:rPr>
                <w:rFonts w:cs="宋体" w:asciiTheme="minorEastAsia" w:hAnsiTheme="minorEastAsia" w:eastAsiaTheme="minorEastAsia"/>
                <w:b/>
                <w:bCs/>
                <w:sz w:val="24"/>
              </w:rPr>
            </w:pPr>
            <w:r>
              <w:rPr>
                <w:rFonts w:hint="eastAsia" w:asciiTheme="minorEastAsia" w:hAnsiTheme="minorEastAsia" w:eastAsiaTheme="minorEastAsia" w:cstheme="minorEastAsia"/>
                <w:color w:val="auto"/>
                <w:sz w:val="24"/>
                <w:highlight w:val="none"/>
              </w:rPr>
              <w:t>以上费用由中标单位在领取中标通知书时，一次性支付给代理公司，上述费用应含在投标报价中（不得单独列项），投标人在投标报价让利中考虑上述费用。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无</w:t>
            </w:r>
          </w:p>
        </w:tc>
      </w:tr>
      <w:bookmarkEnd w:id="3"/>
    </w:tbl>
    <w:p>
      <w:pPr>
        <w:adjustRightInd/>
        <w:spacing w:line="360" w:lineRule="auto"/>
        <w:ind w:firstLine="3845" w:firstLineChars="1197"/>
        <w:outlineLvl w:val="0"/>
        <w:rPr>
          <w:rFonts w:cs="宋体" w:asciiTheme="minorEastAsia" w:hAnsiTheme="minorEastAsia" w:eastAsiaTheme="minorEastAsia"/>
          <w:b/>
          <w:sz w:val="32"/>
          <w:szCs w:val="20"/>
        </w:rPr>
        <w:sectPr>
          <w:pgSz w:w="11906" w:h="16838"/>
          <w:pgMar w:top="1440" w:right="1418" w:bottom="1440" w:left="1418" w:header="851" w:footer="992" w:gutter="0"/>
          <w:cols w:space="0" w:num="1"/>
          <w:titlePg/>
          <w:docGrid w:linePitch="312" w:charSpace="0"/>
        </w:sectPr>
      </w:pPr>
      <w:bookmarkStart w:id="4" w:name="第三部分"/>
      <w:bookmarkStart w:id="5" w:name="_Toc164416483"/>
    </w:p>
    <w:p>
      <w:pPr>
        <w:adjustRightInd/>
        <w:spacing w:line="360" w:lineRule="auto"/>
        <w:ind w:firstLine="3845" w:firstLineChars="1197"/>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一、总则</w:t>
      </w:r>
    </w:p>
    <w:p>
      <w:pPr>
        <w:snapToGrid w:val="0"/>
        <w:spacing w:line="360" w:lineRule="auto"/>
        <w:ind w:firstLine="361" w:firstLineChars="150"/>
        <w:jc w:val="left"/>
        <w:outlineLvl w:val="1"/>
        <w:rPr>
          <w:rFonts w:cs="宋体" w:asciiTheme="minorEastAsia" w:hAnsiTheme="minorEastAsia" w:eastAsiaTheme="minorEastAsia"/>
          <w:b/>
          <w:sz w:val="24"/>
        </w:rPr>
      </w:pPr>
      <w:r>
        <w:rPr>
          <w:rFonts w:hint="eastAsia" w:cs="宋体" w:asciiTheme="minorEastAsia" w:hAnsiTheme="minorEastAsia" w:eastAsiaTheme="minorEastAsia"/>
          <w:b/>
          <w:sz w:val="24"/>
        </w:rPr>
        <w:t>1. 适用范围</w:t>
      </w:r>
    </w:p>
    <w:p>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本招标文件适用于该项目的招标、投标、开标、资格审查及信用信息查询、评标、定标、合同、验收等行为（法律、法规另有规定的，从其规定）。</w:t>
      </w:r>
    </w:p>
    <w:p>
      <w:pPr>
        <w:adjustRightInd/>
        <w:spacing w:line="360" w:lineRule="auto"/>
        <w:outlineLvl w:val="0"/>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2.定义</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 “采购人”系指招标公告中载明的本项目的采购人。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 “采购机构”系指招标公告中载明的本项目的采购机构。</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 “投标人”系指是指响应招标、参加投标竞争的法人、其他组织或者自然人。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2.6“电子交易平台”是指本项目政府采购活动所依托的政府采购云平台（https://www.zcygov.cn/）。</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2.7 “▲” 系指实质性要求条款，“★”系产品采购项目中单一产品或核心产品</w:t>
      </w:r>
      <w:r>
        <w:rPr>
          <w:rFonts w:hint="eastAsia" w:cs="宋体" w:asciiTheme="minorEastAsia" w:hAnsiTheme="minorEastAsia" w:eastAsiaTheme="minorEastAsia"/>
          <w:sz w:val="24"/>
          <w:lang w:val="en-US" w:eastAsia="zh-CN"/>
        </w:rPr>
        <w:t>的重要指标</w:t>
      </w:r>
      <w:r>
        <w:rPr>
          <w:rFonts w:hint="eastAsia" w:cs="宋体" w:asciiTheme="minorEastAsia" w:hAnsiTheme="minorEastAsia" w:eastAsiaTheme="minorEastAsia"/>
          <w:sz w:val="24"/>
        </w:rPr>
        <w:t>，</w:t>
      </w:r>
      <w:r>
        <w:rPr>
          <w:rFonts w:hint="eastAsia" w:asciiTheme="minorEastAsia" w:hAnsiTheme="minorEastAsia" w:eastAsiaTheme="minorEastAsia" w:cstheme="minorEastAsia"/>
          <w:sz w:val="24"/>
        </w:rPr>
        <w:t>“</w:t>
      </w:r>
      <w:sdt>
        <w:sdtPr>
          <w:rPr>
            <w:rFonts w:hint="eastAsia" w:asciiTheme="minorEastAsia" w:hAnsiTheme="minorEastAsia" w:eastAsiaTheme="minorEastAsia" w:cstheme="minorEastAsia"/>
            <w:kern w:val="0"/>
            <w:sz w:val="24"/>
          </w:rPr>
          <w:id w:val="512970236"/>
        </w:sdtPr>
        <w:sdtEndPr>
          <w:rPr>
            <w:rFonts w:hint="eastAsia" w:asciiTheme="minorEastAsia" w:hAnsiTheme="minorEastAsia" w:eastAsiaTheme="minorEastAsia" w:cstheme="minorEastAsia"/>
            <w:kern w:val="0"/>
            <w:sz w:val="24"/>
          </w:rPr>
        </w:sdtEndPr>
        <w:sdtContent>
          <w:sdt>
            <w:sdtPr>
              <w:rPr>
                <w:rFonts w:hint="eastAsia" w:ascii="宋体" w:hAnsi="宋体" w:cs="宋体"/>
                <w:kern w:val="0"/>
                <w:sz w:val="24"/>
              </w:rPr>
              <w:id w:val="526049235"/>
            </w:sdtPr>
            <w:sdtEndPr>
              <w:rPr>
                <w:rFonts w:hint="eastAsia" w:ascii="宋体" w:hAnsi="宋体" w:cs="宋体"/>
                <w:kern w:val="0"/>
                <w:sz w:val="24"/>
              </w:rPr>
            </w:sdtEndPr>
            <w:sdtContent>
              <w:r>
                <w:rPr>
                  <w:rFonts w:ascii="Wingdings" w:hAnsi="Wingdings" w:cs="宋体"/>
                  <w:kern w:val="0"/>
                  <w:sz w:val="24"/>
                </w:rPr>
                <w:t></w:t>
              </w:r>
            </w:sdtContent>
          </w:sdt>
        </w:sdtContent>
      </w:sdt>
      <w:r>
        <w:rPr>
          <w:rFonts w:hint="eastAsia" w:asciiTheme="minorEastAsia" w:hAnsiTheme="minorEastAsia" w:eastAsiaTheme="minorEastAsia" w:cstheme="minorEastAsia"/>
          <w:sz w:val="24"/>
        </w:rPr>
        <w:t>”</w:t>
      </w:r>
      <w:r>
        <w:rPr>
          <w:rFonts w:hint="eastAsia" w:cs="宋体" w:asciiTheme="minorEastAsia" w:hAnsiTheme="minorEastAsia" w:eastAsiaTheme="minorEastAsia"/>
          <w:sz w:val="24"/>
        </w:rPr>
        <w:t xml:space="preserve"> 系指适用本项目的要求，“</w:t>
      </w:r>
      <w:sdt>
        <w:sdtPr>
          <w:rPr>
            <w:rFonts w:hint="eastAsia" w:cs="宋体" w:asciiTheme="minorEastAsia" w:hAnsiTheme="minorEastAsia" w:eastAsiaTheme="minorEastAsia"/>
            <w:kern w:val="0"/>
            <w:sz w:val="24"/>
          </w:rPr>
          <w:id w:val="404888855"/>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 系指不适用本项目的要求。</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3.采购项目需要落实的政府采购政策</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3.2 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3.2.2 修缮、装修类项目采购建材的，采购人应将绿色建筑和绿色建材性能、指标等作为实质性条件纳入招标文件和合同。</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3.3.2.2在工程采购项目中，工程由中小企业承建，即工程施工单位为中小企业；</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3.3.7中小企业享受扶持政策获得政府采购合同的，小微企业不得将合同分包给大中型企业，中型企业不得将合同分包给大型企业。</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3.4</w:t>
      </w:r>
      <w:r>
        <w:rPr>
          <w:rFonts w:hint="eastAsia" w:cs="宋体" w:asciiTheme="minorEastAsia" w:hAnsiTheme="minorEastAsia" w:eastAsiaTheme="minorEastAsia"/>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cs="宋体" w:asciiTheme="minorEastAsia" w:hAnsiTheme="minorEastAsia" w:eastAsiaTheme="minorEastAsia"/>
          <w:sz w:val="24"/>
        </w:rPr>
        <w:cr/>
      </w:r>
      <w:r>
        <w:rPr>
          <w:rFonts w:hint="eastAsia" w:cs="宋体" w:asciiTheme="minorEastAsia" w:hAnsiTheme="minorEastAsia" w:eastAsiaTheme="minorEastAsia"/>
          <w:b/>
          <w:sz w:val="24"/>
        </w:rPr>
        <w:t>4. 询问、质疑、投诉</w:t>
      </w:r>
    </w:p>
    <w:p>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4.1供应商询问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4.2供应商质疑</w:t>
      </w:r>
    </w:p>
    <w:p>
      <w:pPr>
        <w:pStyle w:val="2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.1提出质疑的供应商应当是参与所质疑项目采购活动的供应商。潜在供应商已依法获取其可质疑的招标文件的，可以对该文件提出质疑。</w:t>
      </w:r>
    </w:p>
    <w:p>
      <w:pPr>
        <w:pStyle w:val="24"/>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4.2</w:t>
      </w:r>
      <w:r>
        <w:rPr>
          <w:rFonts w:hint="eastAsia" w:cs="宋体"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cs="宋体" w:asciiTheme="minorEastAsia" w:hAnsiTheme="minorEastAsia" w:eastAsiaTheme="minorEastAsia"/>
          <w:snapToGrid/>
          <w:color w:val="auto"/>
          <w:kern w:val="2"/>
          <w:sz w:val="24"/>
        </w:rPr>
      </w:pPr>
      <w:r>
        <w:rPr>
          <w:rFonts w:hint="eastAsia" w:cs="宋体" w:asciiTheme="minorEastAsia" w:hAnsiTheme="minorEastAsia" w:eastAsiaTheme="minorEastAsia"/>
          <w:snapToGrid/>
          <w:color w:val="auto"/>
          <w:kern w:val="2"/>
          <w:sz w:val="24"/>
        </w:rPr>
        <w:t>4.2.2.1对招标文件提出质疑的，质疑期限为供应商获得招标文件之日或者招标文件公告期限届满之日起计算。</w:t>
      </w:r>
    </w:p>
    <w:p>
      <w:pPr>
        <w:pStyle w:val="2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4.2.2.2对采购过程提出质疑的，质疑期限为各采购程序环节结束之日起计算。对同一采购程序环节的质疑，供应商须一次性提出。</w:t>
      </w:r>
    </w:p>
    <w:p>
      <w:pPr>
        <w:pStyle w:val="2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4.2.2.3对采购结果提出质疑的，质疑期限自采购结果公告期限届满之日起计算。</w:t>
      </w:r>
    </w:p>
    <w:p>
      <w:pPr>
        <w:pStyle w:val="2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4.2.3供应商提出质疑应当提交质疑函和必要的证明材料。质疑函应当包括下列内容：</w:t>
      </w:r>
    </w:p>
    <w:p>
      <w:pPr>
        <w:pStyle w:val="2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4.2.3.1供应商的姓名或者名称、地址、邮编、联系人及联系电话；</w:t>
      </w:r>
    </w:p>
    <w:p>
      <w:pPr>
        <w:pStyle w:val="2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4.2.3.2质疑项目的名称、编号；</w:t>
      </w:r>
    </w:p>
    <w:p>
      <w:pPr>
        <w:pStyle w:val="2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4.2.3.3具体、明确的质疑事项和与质疑事项相关的请求；</w:t>
      </w:r>
    </w:p>
    <w:p>
      <w:pPr>
        <w:pStyle w:val="2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4.2.3.4事实依据；</w:t>
      </w:r>
    </w:p>
    <w:p>
      <w:pPr>
        <w:pStyle w:val="2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4.2.3.5必要的法律依据；</w:t>
      </w:r>
    </w:p>
    <w:p>
      <w:pPr>
        <w:pStyle w:val="24"/>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4.2.3.6提出质疑的日期。</w:t>
      </w:r>
    </w:p>
    <w:p>
      <w:pPr>
        <w:pStyle w:val="24"/>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质疑函范本及制作说明详见附件2。</w:t>
      </w:r>
    </w:p>
    <w:p>
      <w:pPr>
        <w:pStyle w:val="889"/>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4.2</w:t>
      </w:r>
      <w:r>
        <w:rPr>
          <w:rFonts w:hint="eastAsia" w:asciiTheme="minorEastAsia" w:hAnsiTheme="minorEastAsia" w:eastAsiaTheme="minorEastAsia"/>
        </w:rPr>
        <w:t>.5询问或者质疑事项可能影响采购结果的，采购人应当暂停签订合同，已经签订合同的，应当中止履行合同。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rFonts w:asciiTheme="minorEastAsia" w:hAnsiTheme="minorEastAsia" w:eastAsiaTheme="minorEastAsia"/>
          <w:lang w:val="zh-CN"/>
        </w:rPr>
      </w:pPr>
      <w:r>
        <w:rPr>
          <w:rFonts w:hint="eastAsia" w:asciiTheme="minorEastAsia" w:hAnsiTheme="minorEastAsia" w:eastAsiaTheme="minorEastAsia"/>
          <w:lang w:val="zh-CN"/>
        </w:rPr>
        <w:t>4.3供应商投诉</w:t>
      </w:r>
    </w:p>
    <w:p>
      <w:pPr>
        <w:pStyle w:val="889"/>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w:t>
      </w:r>
      <w:r>
        <w:rPr>
          <w:rFonts w:hint="eastAsia"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4.3.3供应商投诉应当有明确的请求和必要的证明材料。</w:t>
      </w:r>
    </w:p>
    <w:p>
      <w:pPr>
        <w:pStyle w:val="889"/>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4.3.5 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投诉书范本及制作说明详见附件3</w:t>
      </w:r>
    </w:p>
    <w:p>
      <w:pPr>
        <w:adjustRightInd/>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 xml:space="preserve">      二、招标文件的构成、澄清、修改</w:t>
      </w:r>
    </w:p>
    <w:p>
      <w:pPr>
        <w:pStyle w:val="2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5．招标文件的构成</w:t>
      </w:r>
    </w:p>
    <w:p>
      <w:pPr>
        <w:pStyle w:val="2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 招标文件包括下列文件及附件：</w:t>
      </w:r>
    </w:p>
    <w:p>
      <w:pPr>
        <w:pStyle w:val="2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5.1.1招标公告；</w:t>
      </w:r>
    </w:p>
    <w:p>
      <w:pPr>
        <w:pStyle w:val="2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5.1.2投标人须知；</w:t>
      </w:r>
    </w:p>
    <w:p>
      <w:pPr>
        <w:pStyle w:val="2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5.1.3采购需求；</w:t>
      </w:r>
    </w:p>
    <w:p>
      <w:pPr>
        <w:pStyle w:val="2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5.1.4评标办法；</w:t>
      </w:r>
    </w:p>
    <w:p>
      <w:pPr>
        <w:pStyle w:val="2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5.1.5拟签订的合同文本；</w:t>
      </w:r>
    </w:p>
    <w:p>
      <w:pPr>
        <w:pStyle w:val="24"/>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rPr>
        <w:t>5.1.6</w:t>
      </w:r>
      <w:r>
        <w:rPr>
          <w:rFonts w:hint="eastAsia" w:cs="宋体" w:asciiTheme="minorEastAsia" w:hAnsiTheme="minorEastAsia" w:eastAsiaTheme="minorEastAsia"/>
          <w:sz w:val="24"/>
          <w:szCs w:val="24"/>
        </w:rPr>
        <w:t>应提交的有关格式范例。</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5.2与本项目有关的</w:t>
      </w:r>
      <w:r>
        <w:rPr>
          <w:rFonts w:hint="eastAsia" w:cs="宋体" w:asciiTheme="minorEastAsia" w:hAnsiTheme="minorEastAsia" w:eastAsiaTheme="minorEastAsia"/>
          <w:bCs/>
          <w:sz w:val="24"/>
        </w:rPr>
        <w:t>澄清或者修改的内容为招标文件的组成部分</w:t>
      </w:r>
      <w:r>
        <w:rPr>
          <w:rFonts w:hint="eastAsia" w:cs="宋体" w:asciiTheme="minorEastAsia" w:hAnsiTheme="minorEastAsia" w:eastAsiaTheme="minorEastAsia"/>
          <w:sz w:val="24"/>
        </w:rPr>
        <w:t>。</w:t>
      </w:r>
    </w:p>
    <w:p>
      <w:pPr>
        <w:pStyle w:val="2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 招标文件的澄清、修改</w:t>
      </w:r>
    </w:p>
    <w:p>
      <w:pPr>
        <w:pStyle w:val="67"/>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6.1已获取招标文件的潜在投标人，若有问题需要澄清，应于投标截止时间前，以书面形式向采购机构提出。</w:t>
      </w:r>
    </w:p>
    <w:p>
      <w:pPr>
        <w:pStyle w:val="67"/>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cs="宋体" w:asciiTheme="minorEastAsia" w:hAnsiTheme="minorEastAsia" w:eastAsiaTheme="minorEastAsia"/>
          <w:b/>
          <w:sz w:val="30"/>
          <w:szCs w:val="20"/>
        </w:rPr>
      </w:pPr>
      <w:r>
        <w:rPr>
          <w:rFonts w:hint="eastAsia" w:cs="宋体" w:asciiTheme="minorEastAsia" w:hAnsiTheme="minorEastAsia" w:eastAsiaTheme="minorEastAsia"/>
          <w:b/>
          <w:sz w:val="30"/>
          <w:szCs w:val="20"/>
        </w:rPr>
        <w:t>三、投标</w:t>
      </w:r>
    </w:p>
    <w:p>
      <w:pPr>
        <w:pStyle w:val="2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7. 招标文件的获取</w:t>
      </w:r>
    </w:p>
    <w:p>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详见招标公告中获取招标文件的时间期限、地点、方式及招标文件售价。</w:t>
      </w:r>
    </w:p>
    <w:p>
      <w:pPr>
        <w:pStyle w:val="2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8.开标前答疑会或现场考察</w:t>
      </w:r>
    </w:p>
    <w:p>
      <w:pPr>
        <w:pStyle w:val="2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pPr>
        <w:pStyle w:val="24"/>
        <w:spacing w:line="360" w:lineRule="auto"/>
        <w:rPr>
          <w:rFonts w:cs="宋体" w:asciiTheme="minorEastAsia" w:hAnsiTheme="minorEastAsia" w:eastAsiaTheme="minorEastAsia"/>
          <w:b/>
          <w:szCs w:val="24"/>
        </w:rPr>
      </w:pPr>
      <w:r>
        <w:rPr>
          <w:rFonts w:hint="eastAsia" w:cs="宋体" w:asciiTheme="minorEastAsia" w:hAnsiTheme="minorEastAsia" w:eastAsiaTheme="minorEastAsia"/>
          <w:b/>
          <w:kern w:val="28"/>
          <w:sz w:val="24"/>
          <w:szCs w:val="24"/>
        </w:rPr>
        <w:t>9.投标保证金</w:t>
      </w:r>
    </w:p>
    <w:p>
      <w:pPr>
        <w:pStyle w:val="18"/>
        <w:spacing w:line="360" w:lineRule="auto"/>
        <w:ind w:firstLine="470"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本项目不需缴纳投标保证金。</w:t>
      </w:r>
    </w:p>
    <w:p>
      <w:pPr>
        <w:pStyle w:val="2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 投标文件的语言</w:t>
      </w:r>
    </w:p>
    <w:p>
      <w:pPr>
        <w:autoSpaceDE w:val="0"/>
        <w:autoSpaceDN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投标文件及投标人与采购有关的来往通知、函件和文件均应使用中文。</w:t>
      </w:r>
    </w:p>
    <w:p>
      <w:pPr>
        <w:pStyle w:val="2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投标文件的组成</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hint="eastAsia" w:cs="宋体" w:asciiTheme="minorEastAsia" w:hAnsiTheme="minorEastAsia" w:eastAsiaTheme="minorEastAsia"/>
          <w:b/>
          <w:sz w:val="24"/>
        </w:rPr>
        <w:t>资格文件</w:t>
      </w:r>
      <w:r>
        <w:rPr>
          <w:rFonts w:hint="eastAsia" w:cs="宋体" w:asciiTheme="minorEastAsia" w:hAnsiTheme="minorEastAsia" w:eastAsiaTheme="minorEastAsia"/>
          <w:sz w:val="24"/>
        </w:rPr>
        <w:t>：</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w:t>
      </w:r>
      <w:bookmarkStart w:id="6" w:name="_Hlk101259339"/>
      <w:r>
        <w:rPr>
          <w:rFonts w:hint="eastAsia" w:cs="宋体" w:asciiTheme="minorEastAsia" w:hAnsiTheme="minorEastAsia" w:eastAsiaTheme="minorEastAsia"/>
          <w:snapToGrid w:val="0"/>
          <w:kern w:val="28"/>
          <w:sz w:val="24"/>
          <w:szCs w:val="20"/>
        </w:rPr>
        <w:t>联合协议（如果有)</w:t>
      </w:r>
      <w:bookmarkEnd w:id="6"/>
      <w:r>
        <w:rPr>
          <w:rFonts w:hint="eastAsia" w:cs="宋体" w:asciiTheme="minorEastAsia" w:hAnsiTheme="minorEastAsia" w:eastAsiaTheme="minorEastAsia"/>
          <w:snapToGrid w:val="0"/>
          <w:kern w:val="28"/>
          <w:sz w:val="24"/>
          <w:szCs w:val="20"/>
        </w:rPr>
        <w:t>；</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11.1.3落实政府采购政策需满足的资格要求</w:t>
      </w:r>
      <w:r>
        <w:rPr>
          <w:rFonts w:hint="eastAsia" w:asciiTheme="minorEastAsia" w:hAnsiTheme="minorEastAsia" w:eastAsiaTheme="minorEastAsia" w:cstheme="minorEastAsia"/>
          <w:snapToGrid w:val="0"/>
          <w:kern w:val="28"/>
          <w:sz w:val="24"/>
          <w:szCs w:val="20"/>
        </w:rPr>
        <w:t>（中小企业声明函)</w:t>
      </w:r>
      <w:r>
        <w:rPr>
          <w:rFonts w:hint="eastAsia" w:asciiTheme="minorEastAsia" w:hAnsiTheme="minorEastAsia" w:eastAsiaTheme="minorEastAsia" w:cstheme="minorEastAsia"/>
          <w:sz w:val="24"/>
        </w:rPr>
        <w:t>；</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11.1.4本项目的特定资格要求</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pPr>
        <w:snapToGrid w:val="0"/>
        <w:spacing w:line="360" w:lineRule="auto"/>
        <w:ind w:firstLine="482" w:firstLineChars="200"/>
        <w:rPr>
          <w:rFonts w:cs="宋体" w:asciiTheme="minorEastAsia" w:hAnsiTheme="minorEastAsia" w:eastAsiaTheme="minorEastAsia"/>
          <w:b/>
          <w:bCs/>
          <w:sz w:val="24"/>
          <w:lang w:val="zh-CN"/>
        </w:rPr>
      </w:pPr>
      <w:r>
        <w:rPr>
          <w:rFonts w:hint="eastAsia" w:cs="宋体" w:asciiTheme="minorEastAsia" w:hAnsiTheme="minorEastAsia" w:eastAsiaTheme="minorEastAsia"/>
          <w:b/>
          <w:bCs/>
          <w:sz w:val="24"/>
          <w:lang w:val="zh-CN"/>
        </w:rPr>
        <w:t>11.</w:t>
      </w:r>
      <w:r>
        <w:rPr>
          <w:rFonts w:hint="eastAsia" w:cs="宋体" w:asciiTheme="minorEastAsia" w:hAnsiTheme="minorEastAsia" w:eastAsiaTheme="minorEastAsia"/>
          <w:b/>
          <w:bCs/>
          <w:sz w:val="24"/>
        </w:rPr>
        <w:t>2商务技术</w:t>
      </w:r>
      <w:r>
        <w:rPr>
          <w:rFonts w:hint="eastAsia" w:cs="宋体" w:asciiTheme="minorEastAsia" w:hAnsiTheme="minorEastAsia" w:eastAsiaTheme="minorEastAsia"/>
          <w:b/>
          <w:bCs/>
          <w:sz w:val="24"/>
          <w:lang w:val="zh-CN"/>
        </w:rPr>
        <w:t>文件：</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11.2.3分包意向协议</w:t>
      </w:r>
      <w:r>
        <w:rPr>
          <w:rFonts w:hint="eastAsia" w:cs="宋体" w:asciiTheme="minorEastAsia" w:hAnsiTheme="minorEastAsia" w:eastAsiaTheme="minorEastAsia"/>
          <w:snapToGrid w:val="0"/>
          <w:kern w:val="28"/>
          <w:sz w:val="24"/>
          <w:szCs w:val="20"/>
        </w:rPr>
        <w:t>（如果有)</w:t>
      </w:r>
      <w:r>
        <w:rPr>
          <w:rFonts w:hint="eastAsia" w:cs="宋体" w:asciiTheme="minorEastAsia" w:hAnsiTheme="minorEastAsia" w:eastAsiaTheme="minorEastAsia"/>
          <w:sz w:val="24"/>
        </w:rPr>
        <w:t>；</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11.2.3符合性审查资料；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11.2.4评标标准相应的商务技术资料；</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11.2.5商务技术偏离表；</w:t>
      </w:r>
    </w:p>
    <w:p>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6</w:t>
      </w:r>
      <w:r>
        <w:rPr>
          <w:rFonts w:hint="eastAsia" w:cs="宋体" w:asciiTheme="minorEastAsia" w:hAnsiTheme="minorEastAsia" w:eastAsiaTheme="minorEastAsia"/>
          <w:sz w:val="24"/>
          <w:lang w:val="zh-CN"/>
        </w:rPr>
        <w:t>政府采购供应商廉洁自律承诺书；</w:t>
      </w:r>
    </w:p>
    <w:p>
      <w:pPr>
        <w:snapToGrid w:val="0"/>
        <w:spacing w:line="360" w:lineRule="auto"/>
        <w:ind w:firstLine="480" w:firstLineChars="200"/>
        <w:rPr>
          <w:rFonts w:cs="宋体"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11.</w:t>
      </w:r>
      <w:r>
        <w:rPr>
          <w:rFonts w:hint="eastAsia" w:cs="宋体" w:asciiTheme="minorEastAsia" w:hAnsiTheme="minorEastAsia" w:eastAsiaTheme="minorEastAsia"/>
          <w:kern w:val="0"/>
          <w:sz w:val="24"/>
        </w:rPr>
        <w:t>3</w:t>
      </w:r>
      <w:r>
        <w:rPr>
          <w:rFonts w:hint="eastAsia" w:cs="宋体" w:asciiTheme="minorEastAsia" w:hAnsiTheme="minorEastAsia" w:eastAsiaTheme="minorEastAsia"/>
          <w:b/>
          <w:sz w:val="24"/>
        </w:rPr>
        <w:t>报价文件：</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11.3.1开标一览表（报价表）；</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11.3.2中小企业声明函。</w:t>
      </w:r>
    </w:p>
    <w:p>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投标文件含有采购人不能接受的附加条件的，投标无效；</w:t>
      </w:r>
    </w:p>
    <w:p>
      <w:pPr>
        <w:spacing w:line="360" w:lineRule="auto"/>
        <w:ind w:firstLine="723" w:firstLineChars="300"/>
        <w:rPr>
          <w:rFonts w:cs="宋体" w:asciiTheme="minorEastAsia" w:hAnsiTheme="minorEastAsia" w:eastAsiaTheme="minorEastAsia"/>
          <w:b/>
          <w:sz w:val="24"/>
          <w:szCs w:val="21"/>
        </w:rPr>
      </w:pPr>
      <w:r>
        <w:rPr>
          <w:rFonts w:hint="eastAsia" w:cs="宋体" w:asciiTheme="minorEastAsia" w:hAnsiTheme="minorEastAsia" w:eastAsiaTheme="minorEastAsia"/>
          <w:b/>
          <w:sz w:val="24"/>
        </w:rPr>
        <w:t>投标人提供虚假材料投标的，投标无效。</w:t>
      </w:r>
    </w:p>
    <w:p>
      <w:pPr>
        <w:pStyle w:val="67"/>
        <w:snapToGrid w:val="0"/>
        <w:spacing w:before="0"/>
        <w:ind w:firstLine="0" w:firstLineChars="0"/>
        <w:outlineLvl w:val="0"/>
        <w:rPr>
          <w:rFonts w:cs="宋体" w:asciiTheme="minorEastAsia" w:hAnsiTheme="minorEastAsia" w:eastAsiaTheme="minorEastAsia"/>
          <w:b/>
          <w:szCs w:val="24"/>
        </w:rPr>
      </w:pPr>
      <w:r>
        <w:rPr>
          <w:rFonts w:hint="eastAsia" w:cs="宋体" w:asciiTheme="minorEastAsia" w:hAnsiTheme="minorEastAsia" w:eastAsiaTheme="minorEastAsia"/>
          <w:b/>
          <w:szCs w:val="24"/>
        </w:rPr>
        <w:t>12</w:t>
      </w:r>
      <w:r>
        <w:rPr>
          <w:rFonts w:hint="eastAsia" w:cs="宋体" w:asciiTheme="minorEastAsia" w:hAnsiTheme="minorEastAsia" w:eastAsiaTheme="minorEastAsia"/>
          <w:b/>
          <w:kern w:val="0"/>
          <w:szCs w:val="24"/>
          <w:lang w:val="zh-CN"/>
        </w:rPr>
        <w:t xml:space="preserve">. </w:t>
      </w:r>
      <w:r>
        <w:rPr>
          <w:rFonts w:hint="eastAsia" w:cs="宋体" w:asciiTheme="minorEastAsia" w:hAnsiTheme="minorEastAsia" w:eastAsiaTheme="minorEastAsia"/>
          <w:b/>
          <w:szCs w:val="24"/>
        </w:rPr>
        <w:t>投标文件的编制</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cs="宋体" w:asciiTheme="minorEastAsia" w:hAnsiTheme="minorEastAsia" w:eastAsiaTheme="minorEastAsia"/>
          <w:b/>
        </w:rPr>
        <w:t>▲</w:t>
      </w:r>
      <w:r>
        <w:rPr>
          <w:rFonts w:hint="eastAsia" w:cs="宋体" w:asciiTheme="minorEastAsia" w:hAnsiTheme="minorEastAsia" w:eastAsiaTheme="minorEastAsia"/>
          <w:b/>
          <w:sz w:val="24"/>
          <w:szCs w:val="20"/>
        </w:rPr>
        <w:t>投标文件未按规定的格式编制的，投标无效；</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13.投标文件的签署、盖章</w:t>
      </w:r>
    </w:p>
    <w:p>
      <w:pPr>
        <w:pStyle w:val="67"/>
        <w:snapToGrid w:val="0"/>
        <w:spacing w:before="0"/>
        <w:ind w:firstLine="480"/>
        <w:rPr>
          <w:rFonts w:cs="宋体" w:asciiTheme="minorEastAsia" w:hAnsiTheme="minorEastAsia" w:eastAsiaTheme="minorEastAsia"/>
          <w:b/>
        </w:rPr>
      </w:pPr>
      <w:r>
        <w:rPr>
          <w:rFonts w:hint="eastAsia" w:cs="宋体" w:asciiTheme="minorEastAsia" w:hAnsiTheme="minorEastAsia" w:eastAsiaTheme="minorEastAsia"/>
          <w:szCs w:val="24"/>
        </w:rPr>
        <w:t>13.1投标文件按照招标文件第六部分格式要</w:t>
      </w:r>
      <w:r>
        <w:rPr>
          <w:rFonts w:hint="eastAsia" w:cs="宋体" w:asciiTheme="minorEastAsia" w:hAnsiTheme="minorEastAsia" w:eastAsiaTheme="minorEastAsia"/>
        </w:rPr>
        <w:t>求进行签署、盖章。</w:t>
      </w:r>
      <w:r>
        <w:rPr>
          <w:rFonts w:hint="eastAsia" w:cs="宋体" w:asciiTheme="minorEastAsia" w:hAnsiTheme="minorEastAsia" w:eastAsiaTheme="minorEastAsia"/>
          <w:b/>
        </w:rPr>
        <w:t>▲投标人的投标文件未按照招标文件要求签署、盖章的，其投标无效</w:t>
      </w:r>
      <w:r>
        <w:rPr>
          <w:rFonts w:hint="eastAsia" w:cs="宋体" w:asciiTheme="minorEastAsia" w:hAnsiTheme="minorEastAsia" w:eastAsiaTheme="minorEastAsia"/>
          <w:szCs w:val="24"/>
        </w:rPr>
        <w:t>。</w:t>
      </w:r>
    </w:p>
    <w:p>
      <w:pPr>
        <w:pStyle w:val="67"/>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pPr>
        <w:pStyle w:val="67"/>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13.3招标文件对投标文件签署、盖章的要求适用于电子签名。</w:t>
      </w:r>
    </w:p>
    <w:p>
      <w:pPr>
        <w:pStyle w:val="67"/>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highlight w:val="yellow"/>
        </w:rPr>
        <w:t>中标单位在中标公示结束后3天内向采购机构提供纸质投标文件一式</w:t>
      </w:r>
      <w:r>
        <w:rPr>
          <w:rFonts w:hint="eastAsia" w:cs="宋体" w:asciiTheme="minorEastAsia" w:hAnsiTheme="minorEastAsia" w:eastAsiaTheme="minorEastAsia"/>
          <w:highlight w:val="yellow"/>
          <w:lang w:val="en-US" w:eastAsia="zh-CN"/>
        </w:rPr>
        <w:t>三</w:t>
      </w:r>
      <w:r>
        <w:rPr>
          <w:rFonts w:hint="eastAsia" w:cs="宋体" w:asciiTheme="minorEastAsia" w:hAnsiTheme="minorEastAsia" w:eastAsiaTheme="minorEastAsia"/>
          <w:highlight w:val="yellow"/>
        </w:rPr>
        <w:t>份，一正</w:t>
      </w:r>
      <w:r>
        <w:rPr>
          <w:rFonts w:hint="eastAsia" w:cs="宋体" w:asciiTheme="minorEastAsia" w:hAnsiTheme="minorEastAsia" w:eastAsiaTheme="minorEastAsia"/>
          <w:highlight w:val="yellow"/>
          <w:lang w:val="en-US" w:eastAsia="zh-CN"/>
        </w:rPr>
        <w:t>二</w:t>
      </w:r>
      <w:r>
        <w:rPr>
          <w:rFonts w:hint="eastAsia" w:cs="宋体" w:asciiTheme="minorEastAsia" w:hAnsiTheme="minorEastAsia" w:eastAsiaTheme="minorEastAsia"/>
          <w:highlight w:val="yellow"/>
        </w:rPr>
        <w:t>副，正本每页加盖公章，副本可以是正本的复印件，但封面需加盖公章。</w:t>
      </w:r>
    </w:p>
    <w:p>
      <w:pPr>
        <w:pStyle w:val="67"/>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14. 投标文件的提交、补充、修改、撤回</w:t>
      </w:r>
    </w:p>
    <w:p>
      <w:pPr>
        <w:pStyle w:val="67"/>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67"/>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67"/>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14.3采购人、采购机构可以视情况延长投标文件提交的截止时间。在上述情况下，采购机构与投标人以前在投标截止期方面的全部权利、责任和义务，将适用于延长至新的投标截止期。</w:t>
      </w:r>
    </w:p>
    <w:p>
      <w:pPr>
        <w:pStyle w:val="24"/>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15.备份投标文件</w:t>
      </w:r>
    </w:p>
    <w:p>
      <w:pPr>
        <w:pStyle w:val="24"/>
        <w:spacing w:line="360" w:lineRule="auto"/>
        <w:ind w:firstLine="360" w:firstLineChars="15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rPr>
        <w:t>但采购人、采购机构不强制或变相强制投标人提交备份投标文件。</w:t>
      </w:r>
    </w:p>
    <w:p>
      <w:pPr>
        <w:pStyle w:val="24"/>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15.2备份投标文件须在“政采云投标客户端”制作生成，并储存在</w:t>
      </w:r>
      <w:r>
        <w:rPr>
          <w:rFonts w:hint="eastAsia" w:cs="宋体" w:asciiTheme="minorEastAsia" w:hAnsiTheme="minorEastAsia" w:eastAsiaTheme="minorEastAsia"/>
          <w:sz w:val="24"/>
        </w:rPr>
        <w:t>DVD光盘或U盘</w:t>
      </w:r>
      <w:r>
        <w:rPr>
          <w:rFonts w:hint="eastAsia" w:cs="宋体" w:asciiTheme="minorEastAsia" w:hAnsiTheme="minorEastAsia"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rPr>
        <w:t>不符合上述制作、</w:t>
      </w:r>
      <w:r>
        <w:rPr>
          <w:rFonts w:hint="eastAsia" w:cs="宋体" w:asciiTheme="minorEastAsia" w:hAnsiTheme="minorEastAsia" w:eastAsiaTheme="minorEastAsia"/>
          <w:b/>
          <w:sz w:val="24"/>
          <w:szCs w:val="24"/>
        </w:rPr>
        <w:t>存储、密封规定的备份投标文件将被视为无效或者被拒绝接收。</w:t>
      </w:r>
    </w:p>
    <w:p>
      <w:pPr>
        <w:pStyle w:val="2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15.3直接提交备份投标文件的，投标人应于投标截止时间前在招标公告中载明的开标地点将备份投标文件提交给采购机构，采购机构将拒绝接受逾期送达的备份投标文件。</w:t>
      </w:r>
    </w:p>
    <w:p>
      <w:pPr>
        <w:pStyle w:val="24"/>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rPr>
        <w:t>招标文件第二部分投标人须知前附表规定的备份投标文件送达地点；</w:t>
      </w:r>
      <w:r>
        <w:rPr>
          <w:rFonts w:hint="eastAsia" w:cs="宋体" w:asciiTheme="minorEastAsia" w:hAnsiTheme="minorEastAsia" w:eastAsiaTheme="minorEastAsia"/>
          <w:sz w:val="24"/>
          <w:szCs w:val="24"/>
        </w:rPr>
        <w:t>送达时间以签收人签收时间为准。采购机构将拒绝接受逾期送达的备份投标文件。邮寄过程中，电子备份投标文件发生泄露、遗失、损坏或延期送达等情况的，由投标人自行负责。</w:t>
      </w:r>
    </w:p>
    <w:p>
      <w:pPr>
        <w:pStyle w:val="24"/>
        <w:spacing w:line="360" w:lineRule="auto"/>
        <w:ind w:firstLine="479" w:firstLineChars="199"/>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15.5投标人仅提交备份投标文件，没有在电子交易平台传输递交投标文件的，投标无效。</w:t>
      </w:r>
    </w:p>
    <w:p>
      <w:pPr>
        <w:pStyle w:val="67"/>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16.投标文件的无效处理</w:t>
      </w:r>
    </w:p>
    <w:p>
      <w:pPr>
        <w:pStyle w:val="35"/>
        <w:spacing w:line="360" w:lineRule="auto"/>
        <w:ind w:firstLine="360"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有招标文件第四部分</w:t>
      </w:r>
      <w:r>
        <w:rPr>
          <w:rFonts w:hint="eastAsia" w:cs="宋体" w:asciiTheme="minorEastAsia" w:hAnsiTheme="minorEastAsia" w:eastAsiaTheme="minorEastAsia"/>
        </w:rPr>
        <w:t>第13项规定</w:t>
      </w:r>
      <w:r>
        <w:rPr>
          <w:rFonts w:hint="eastAsia" w:cs="宋体" w:asciiTheme="minorEastAsia" w:hAnsiTheme="minorEastAsia" w:eastAsiaTheme="minorEastAsia"/>
          <w:szCs w:val="21"/>
        </w:rPr>
        <w:t>的情形之一的，投标无效：</w:t>
      </w:r>
    </w:p>
    <w:p>
      <w:pPr>
        <w:pStyle w:val="67"/>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17.投标有效期</w:t>
      </w:r>
    </w:p>
    <w:p>
      <w:pPr>
        <w:spacing w:line="360" w:lineRule="auto"/>
        <w:ind w:firstLine="480" w:firstLineChars="200"/>
        <w:rPr>
          <w:rFonts w:cs="宋体" w:asciiTheme="minorEastAsia" w:hAnsiTheme="minorEastAsia" w:eastAsiaTheme="minorEastAsia"/>
          <w:b/>
          <w:sz w:val="24"/>
          <w:szCs w:val="21"/>
        </w:rPr>
      </w:pPr>
      <w:r>
        <w:rPr>
          <w:rFonts w:hint="eastAsia" w:cs="宋体" w:asciiTheme="minorEastAsia" w:hAnsiTheme="minorEastAsia" w:eastAsiaTheme="minorEastAsia"/>
          <w:sz w:val="24"/>
          <w:szCs w:val="20"/>
        </w:rPr>
        <w:t>17.1投标有效期为从提交投标文件的截止之日起90天。▲</w:t>
      </w:r>
      <w:r>
        <w:rPr>
          <w:rFonts w:hint="eastAsia" w:cs="宋体" w:asciiTheme="minorEastAsia" w:hAnsiTheme="minorEastAsia" w:eastAsiaTheme="minorEastAsia"/>
          <w:b/>
          <w:sz w:val="24"/>
          <w:szCs w:val="20"/>
        </w:rPr>
        <w:t>投标人的投标文件中承</w:t>
      </w:r>
      <w:r>
        <w:rPr>
          <w:rFonts w:hint="eastAsia" w:cs="宋体" w:asciiTheme="minorEastAsia" w:hAnsiTheme="minorEastAsia" w:eastAsiaTheme="minorEastAsia"/>
          <w:b/>
          <w:sz w:val="24"/>
          <w:szCs w:val="21"/>
        </w:rPr>
        <w:t>诺的投标有效期少于招标文件中载明的投标有效期的，投标无效。</w:t>
      </w:r>
    </w:p>
    <w:p>
      <w:pPr>
        <w:pStyle w:val="67"/>
        <w:spacing w:before="0"/>
        <w:ind w:firstLine="480"/>
        <w:rPr>
          <w:rFonts w:cs="宋体" w:asciiTheme="minorEastAsia" w:hAnsiTheme="minorEastAsia" w:eastAsiaTheme="minorEastAsia"/>
        </w:rPr>
      </w:pPr>
      <w:r>
        <w:rPr>
          <w:rFonts w:hint="eastAsia" w:cs="宋体" w:asciiTheme="minorEastAsia" w:hAnsiTheme="minorEastAsia" w:eastAsiaTheme="minorEastAsia"/>
        </w:rPr>
        <w:t>17.2投标文件合格投递后，自投标截止日期起，在投标有效期内有效。</w:t>
      </w:r>
    </w:p>
    <w:p>
      <w:pPr>
        <w:pStyle w:val="67"/>
        <w:spacing w:before="0"/>
        <w:ind w:firstLine="480"/>
        <w:rPr>
          <w:rFonts w:cs="宋体" w:asciiTheme="minorEastAsia" w:hAnsiTheme="minorEastAsia" w:eastAsiaTheme="minorEastAsia"/>
        </w:rPr>
      </w:pPr>
      <w:r>
        <w:rPr>
          <w:rFonts w:hint="eastAsia" w:cs="宋体" w:asciiTheme="minorEastAsia" w:hAnsiTheme="minorEastAsia" w:eastAsiaTheme="minorEastAsia"/>
        </w:rPr>
        <w:t>17.3在原定投标有效期满之前，如果出现特殊情况，采购机构可以以书面形式通知投标人延长投标有效期。投标人同意延长的，不得要求或被允许修改其投标文件，投标人拒绝延长的，其投标无效。</w:t>
      </w:r>
    </w:p>
    <w:p>
      <w:pPr>
        <w:pStyle w:val="67"/>
        <w:spacing w:before="0"/>
        <w:ind w:firstLine="1928" w:firstLineChars="600"/>
        <w:rPr>
          <w:rFonts w:cs="宋体" w:asciiTheme="minorEastAsia" w:hAnsiTheme="minorEastAsia" w:eastAsiaTheme="minorEastAsia"/>
          <w:b/>
          <w:sz w:val="32"/>
        </w:rPr>
      </w:pPr>
      <w:r>
        <w:rPr>
          <w:rFonts w:hint="eastAsia" w:cs="宋体" w:asciiTheme="minorEastAsia" w:hAnsiTheme="minorEastAsia" w:eastAsiaTheme="minorEastAsia"/>
          <w:b/>
          <w:sz w:val="32"/>
        </w:rPr>
        <w:t>四、开标、资格审查与信用信息查询</w:t>
      </w:r>
    </w:p>
    <w:p>
      <w:pPr>
        <w:pStyle w:val="561"/>
        <w:spacing w:before="0" w:line="360" w:lineRule="auto"/>
        <w:ind w:left="0" w:firstLine="241"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b/>
          <w:sz w:val="24"/>
          <w:szCs w:val="24"/>
        </w:rPr>
        <w:t>18.开标</w:t>
      </w:r>
    </w:p>
    <w:p>
      <w:pPr>
        <w:pStyle w:val="561"/>
        <w:spacing w:before="0" w:line="360" w:lineRule="auto"/>
        <w:ind w:left="0"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18.1采购机构按照招标文件规定的时间通过电子交易平台组织开标，所有投标人均应当准时在线参加。投标人不足3家的，不得开标。</w:t>
      </w:r>
    </w:p>
    <w:p>
      <w:pPr>
        <w:pStyle w:val="561"/>
        <w:spacing w:before="0" w:line="360" w:lineRule="auto"/>
        <w:ind w:left="0" w:firstLine="240"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　18.2开标时，电子交易平台按开标时间自动提取所有投标文件。采购机构依托电子交易平台发起开始解密指令，投标人按照平台提示和招标文件的规定在半小时内完成在线解密。</w:t>
      </w:r>
    </w:p>
    <w:p>
      <w:pPr>
        <w:pStyle w:val="561"/>
        <w:spacing w:before="0" w:line="360" w:lineRule="auto"/>
        <w:ind w:left="0" w:firstLine="240" w:firstLineChars="100"/>
        <w:contextualSpacing/>
        <w:rPr>
          <w:rFonts w:cs="宋体" w:asciiTheme="minorEastAsia" w:hAnsiTheme="minorEastAsia" w:eastAsiaTheme="minorEastAsia"/>
          <w:b/>
          <w:sz w:val="24"/>
        </w:rPr>
      </w:pPr>
      <w:r>
        <w:rPr>
          <w:rFonts w:hint="eastAsia" w:cs="宋体" w:asciiTheme="minorEastAsia" w:hAnsiTheme="minorEastAsia" w:eastAsiaTheme="minorEastAsia"/>
          <w:sz w:val="24"/>
        </w:rPr>
        <w:t>　18.3</w:t>
      </w:r>
      <w:r>
        <w:rPr>
          <w:rFonts w:hint="eastAsia" w:cs="宋体"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pPr>
        <w:pStyle w:val="561"/>
        <w:spacing w:before="0" w:line="360" w:lineRule="auto"/>
        <w:ind w:left="0" w:firstLine="0"/>
        <w:contextualSpacing/>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19、资格审查</w:t>
      </w:r>
    </w:p>
    <w:p>
      <w:pPr>
        <w:pStyle w:val="67"/>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19.1开标后，采购人或采购机构将依法对投标人的资格进行审查。</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rPr>
        <w:t>19.2</w:t>
      </w:r>
      <w:r>
        <w:rPr>
          <w:rFonts w:hint="eastAsia" w:cs="宋体" w:asciiTheme="minorEastAsia" w:hAnsiTheme="minorEastAsia" w:eastAsiaTheme="minorEastAsia"/>
          <w:sz w:val="24"/>
        </w:rPr>
        <w:t>采购人或采购机构依据法律法规和招标文件的规定，对投标人的基本资格条件、特定资格条件进行审查。</w:t>
      </w:r>
    </w:p>
    <w:p>
      <w:pPr>
        <w:pStyle w:val="67"/>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19.3投标人未按照招标文件要求提供与</w:t>
      </w:r>
      <w:r>
        <w:rPr>
          <w:rFonts w:hint="eastAsia" w:cs="宋体" w:asciiTheme="minorEastAsia" w:hAnsiTheme="minorEastAsia" w:eastAsiaTheme="minorEastAsia"/>
        </w:rPr>
        <w:t>基本资格条件、特定资格条件相应的</w:t>
      </w:r>
      <w:r>
        <w:rPr>
          <w:rFonts w:hint="eastAsia" w:cs="宋体" w:asciiTheme="minorEastAsia" w:hAnsiTheme="minorEastAsia" w:eastAsiaTheme="minorEastAsia"/>
          <w:kern w:val="0"/>
          <w:szCs w:val="24"/>
        </w:rPr>
        <w:t>有效资格证明材料的，视为</w:t>
      </w:r>
      <w:r>
        <w:rPr>
          <w:rFonts w:hint="eastAsia" w:cs="宋体" w:asciiTheme="minorEastAsia" w:hAnsiTheme="minorEastAsia" w:eastAsiaTheme="minorEastAsia"/>
        </w:rPr>
        <w:t>投标人不具备招标文件中规定的资格要求，其投标无效。</w:t>
      </w:r>
    </w:p>
    <w:p>
      <w:pPr>
        <w:pStyle w:val="67"/>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4对未通过资格审查的投标人，采购人或采购机构告知其未通过的原因。</w:t>
      </w:r>
    </w:p>
    <w:p>
      <w:pPr>
        <w:pStyle w:val="67"/>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5合格投标人不足3家的，不再评标。</w:t>
      </w:r>
    </w:p>
    <w:p>
      <w:pPr>
        <w:pStyle w:val="67"/>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20、信用信息查询</w:t>
      </w:r>
    </w:p>
    <w:p>
      <w:pPr>
        <w:pStyle w:val="67"/>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20.1信用信息查询渠道及截止时间：采购机构将通过“信用中国”网站(www.creditchina.gov.cn)、中国政府采购网(www.ccgp.gov.cn)渠道查询投标人投标截止时间当天的信用记录。</w:t>
      </w:r>
    </w:p>
    <w:p>
      <w:pPr>
        <w:pStyle w:val="67"/>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20.2信用信息查询记录和证据留存的具体方式：现场查询的投标人的信用记录、查询结果经确认后将与采购文件一起存档。</w:t>
      </w:r>
    </w:p>
    <w:p>
      <w:pPr>
        <w:pStyle w:val="67"/>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pPr>
        <w:pStyle w:val="67"/>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rPr>
        <w:t>。</w:t>
      </w:r>
    </w:p>
    <w:p>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五、评标</w:t>
      </w:r>
    </w:p>
    <w:p>
      <w:pPr>
        <w:spacing w:line="360" w:lineRule="auto"/>
        <w:rPr>
          <w:rFonts w:cs="宋体" w:asciiTheme="minorEastAsia" w:hAnsiTheme="minorEastAsia" w:eastAsiaTheme="minorEastAsia"/>
          <w:b/>
          <w:sz w:val="24"/>
        </w:rPr>
      </w:pPr>
      <w:bookmarkStart w:id="7" w:name="_Toc91899903"/>
      <w:r>
        <w:rPr>
          <w:rFonts w:hint="eastAsia" w:cs="宋体" w:asciiTheme="minorEastAsia" w:hAnsiTheme="minorEastAsia" w:eastAsiaTheme="minorEastAsia"/>
          <w:b/>
          <w:sz w:val="24"/>
        </w:rPr>
        <w:t>21.</w:t>
      </w:r>
      <w:r>
        <w:rPr>
          <w:rFonts w:hint="eastAsia" w:cs="宋体"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rPr>
        <w:t>详见招标文件第四部分评标办法。</w:t>
      </w:r>
    </w:p>
    <w:p>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六、定 标</w:t>
      </w:r>
    </w:p>
    <w:p>
      <w:pPr>
        <w:pStyle w:val="35"/>
        <w:spacing w:line="360" w:lineRule="auto"/>
        <w:ind w:left="479" w:hanging="479" w:hangingChars="199"/>
        <w:rPr>
          <w:rFonts w:cs="宋体"/>
          <w:b/>
        </w:rPr>
      </w:pPr>
      <w:r>
        <w:rPr>
          <w:rFonts w:hint="eastAsia" w:cs="宋体"/>
          <w:b/>
        </w:rPr>
        <w:t>22. 确定中标供应商</w:t>
      </w:r>
    </w:p>
    <w:p>
      <w:pPr>
        <w:pStyle w:val="67"/>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67"/>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276"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276"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3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3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6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67"/>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67"/>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67"/>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67"/>
        <w:snapToGrid w:val="0"/>
        <w:spacing w:before="0" w:after="120" w:line="276" w:lineRule="auto"/>
        <w:ind w:firstLine="482"/>
        <w:rPr>
          <w:rFonts w:ascii="宋体" w:hAnsi="宋体" w:cs="宋体"/>
          <w:b/>
        </w:rPr>
      </w:pPr>
      <w:r>
        <w:rPr>
          <w:rFonts w:hint="eastAsia" w:ascii="宋体" w:hAnsi="宋体" w:cs="宋体"/>
          <w:b/>
        </w:rPr>
        <w:t>26. 履约保证金：</w:t>
      </w:r>
    </w:p>
    <w:p>
      <w:pPr>
        <w:tabs>
          <w:tab w:val="left" w:pos="0"/>
        </w:tabs>
        <w:spacing w:line="276" w:lineRule="auto"/>
        <w:ind w:firstLine="482"/>
        <w:rPr>
          <w:rFonts w:ascii="宋体" w:hAnsi="宋体" w:cstheme="minorEastAsia"/>
          <w:color w:val="000000" w:themeColor="text1"/>
          <w:sz w:val="24"/>
          <w14:textFill>
            <w14:solidFill>
              <w14:schemeClr w14:val="tx1"/>
            </w14:solidFill>
          </w14:textFill>
        </w:rPr>
      </w:pPr>
      <w:r>
        <w:rPr>
          <w:rFonts w:hint="eastAsia" w:ascii="宋体" w:hAnsi="宋体" w:cstheme="minorEastAsia"/>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theme="minorEastAsia"/>
          <w:color w:val="000000" w:themeColor="text1"/>
          <w:sz w:val="24"/>
          <w14:textFill>
            <w14:solidFill>
              <w14:schemeClr w14:val="tx1"/>
            </w14:solidFill>
          </w14:textFill>
        </w:rPr>
        <w:t>。履约保证金的数额不得超过政府采购合同金额的0.1%。鼓励和支持供应商以银行、保险公司出具的保函形式提供履约保证金。采购人不得拒收履约保函，项目验收结束后应及时退还，延迟退还的，应当按照合同约定和法律规定承担相应的赔偿责任。</w:t>
      </w:r>
    </w:p>
    <w:p>
      <w:pPr>
        <w:snapToGrid w:val="0"/>
        <w:spacing w:line="360" w:lineRule="auto"/>
        <w:ind w:firstLine="3357" w:firstLineChars="1045"/>
        <w:rPr>
          <w:rFonts w:ascii="宋体" w:hAnsi="宋体" w:cs="宋体"/>
          <w:b/>
          <w:sz w:val="32"/>
        </w:rPr>
        <w:sectPr>
          <w:pgSz w:w="11906" w:h="16838"/>
          <w:pgMar w:top="1440" w:right="1418" w:bottom="1440" w:left="1418" w:header="851" w:footer="992" w:gutter="0"/>
          <w:cols w:space="0" w:num="1"/>
          <w:titlePg/>
          <w:docGrid w:linePitch="312" w:charSpace="0"/>
        </w:sect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67"/>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67"/>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67"/>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67"/>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67"/>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67"/>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67"/>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35"/>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p>
      <w:pPr>
        <w:tabs>
          <w:tab w:val="left" w:pos="0"/>
        </w:tabs>
        <w:spacing w:line="360" w:lineRule="auto"/>
        <w:ind w:firstLine="480"/>
        <w:rPr>
          <w:rFonts w:cs="宋体" w:asciiTheme="minorEastAsia" w:hAnsiTheme="minorEastAsia" w:eastAsiaTheme="minorEastAsia"/>
          <w:kern w:val="0"/>
          <w:sz w:val="24"/>
        </w:rPr>
        <w:sectPr>
          <w:pgSz w:w="11906" w:h="16838"/>
          <w:pgMar w:top="1440" w:right="1418" w:bottom="1440" w:left="1418" w:header="851" w:footer="992" w:gutter="0"/>
          <w:cols w:space="0" w:num="1"/>
          <w:titlePg/>
          <w:docGrid w:linePitch="312" w:charSpace="0"/>
        </w:sectPr>
      </w:pPr>
      <w:bookmarkStart w:id="8" w:name="_Hlt75236290"/>
      <w:bookmarkEnd w:id="8"/>
      <w:bookmarkStart w:id="9" w:name="_Hlt74707468"/>
      <w:bookmarkEnd w:id="9"/>
      <w:bookmarkStart w:id="10" w:name="_Hlt68403820"/>
      <w:bookmarkEnd w:id="10"/>
      <w:bookmarkStart w:id="11" w:name="_Hlt74730295"/>
      <w:bookmarkEnd w:id="11"/>
      <w:bookmarkStart w:id="12" w:name="_Hlt68072998"/>
      <w:bookmarkEnd w:id="12"/>
      <w:bookmarkStart w:id="13" w:name="_Hlt75236011"/>
      <w:bookmarkEnd w:id="13"/>
      <w:bookmarkStart w:id="14" w:name="_Hlt68072990"/>
      <w:bookmarkEnd w:id="14"/>
      <w:bookmarkStart w:id="15" w:name="_Hlt68057669"/>
      <w:bookmarkEnd w:id="15"/>
      <w:bookmarkStart w:id="16" w:name="_Hlt74729768"/>
      <w:bookmarkEnd w:id="16"/>
      <w:bookmarkStart w:id="17" w:name="_Hlt68073093"/>
      <w:bookmarkEnd w:id="17"/>
      <w:bookmarkStart w:id="18" w:name="_Hlt74714665"/>
      <w:bookmarkEnd w:id="18"/>
      <w:bookmarkStart w:id="19" w:name="_Hlt75236101"/>
      <w:bookmarkEnd w:id="19"/>
    </w:p>
    <w:bookmarkEnd w:id="4"/>
    <w:bookmarkEnd w:id="5"/>
    <w:p>
      <w:pPr>
        <w:spacing w:line="360" w:lineRule="auto"/>
        <w:jc w:val="center"/>
        <w:outlineLvl w:val="0"/>
        <w:rPr>
          <w:rFonts w:hint="eastAsia" w:ascii="宋体" w:hAnsi="宋体" w:cs="宋体"/>
          <w:b/>
          <w:color w:val="000000" w:themeColor="text1"/>
          <w:sz w:val="36"/>
          <w:szCs w:val="36"/>
          <w14:textFill>
            <w14:solidFill>
              <w14:schemeClr w14:val="tx1"/>
            </w14:solidFill>
          </w14:textFill>
        </w:rPr>
      </w:pPr>
      <w:bookmarkStart w:id="20" w:name="第四部分"/>
      <w:r>
        <w:rPr>
          <w:rFonts w:hint="eastAsia" w:cs="宋体" w:asciiTheme="minorEastAsia" w:hAnsiTheme="minorEastAsia" w:eastAsiaTheme="minorEastAsia"/>
          <w:b/>
          <w:sz w:val="36"/>
          <w:szCs w:val="36"/>
        </w:rPr>
        <w:t>第三部分   采购需求</w:t>
      </w:r>
    </w:p>
    <w:p>
      <w:pPr>
        <w:pStyle w:val="30"/>
        <w:spacing w:line="360" w:lineRule="auto"/>
        <w:rPr>
          <w:rFonts w:ascii="宋体" w:hAnsi="宋体"/>
          <w:b/>
          <w:bCs/>
          <w:color w:val="000000"/>
          <w:sz w:val="24"/>
          <w:szCs w:val="24"/>
        </w:rPr>
      </w:pPr>
      <w:r>
        <w:rPr>
          <w:rFonts w:hint="eastAsia" w:ascii="宋体" w:hAnsi="宋体"/>
          <w:b/>
          <w:bCs/>
          <w:color w:val="000000"/>
          <w:sz w:val="24"/>
          <w:szCs w:val="24"/>
        </w:rPr>
        <w:t>一、服务要求</w:t>
      </w:r>
    </w:p>
    <w:tbl>
      <w:tblPr>
        <w:tblStyle w:val="7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1"/>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5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内容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服务期</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5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在采购人指定地点安装相关监测设备，对水质、水位、流速等进行自动实时监测，并上传有关数据至县五水共治监督管理平台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1年</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lang w:eastAsia="zh-CN"/>
              </w:rPr>
              <w:t>44万元</w:t>
            </w:r>
          </w:p>
        </w:tc>
      </w:tr>
    </w:tbl>
    <w:p>
      <w:pPr>
        <w:pStyle w:val="30"/>
        <w:spacing w:line="360" w:lineRule="auto"/>
        <w:rPr>
          <w:rFonts w:ascii="宋体" w:hAnsi="宋体"/>
          <w:b/>
          <w:bCs/>
          <w:color w:val="000000"/>
          <w:sz w:val="24"/>
          <w:szCs w:val="24"/>
        </w:rPr>
      </w:pPr>
      <w:r>
        <w:rPr>
          <w:rFonts w:hint="eastAsia" w:ascii="宋体" w:hAnsi="宋体"/>
          <w:b/>
          <w:bCs/>
          <w:color w:val="000000"/>
          <w:sz w:val="24"/>
          <w:szCs w:val="24"/>
        </w:rPr>
        <w:t>二、服务</w:t>
      </w:r>
      <w:r>
        <w:rPr>
          <w:rFonts w:ascii="宋体" w:hAnsi="宋体"/>
          <w:b/>
          <w:bCs/>
          <w:color w:val="000000"/>
          <w:sz w:val="24"/>
          <w:szCs w:val="24"/>
        </w:rPr>
        <w:t>内容</w:t>
      </w:r>
    </w:p>
    <w:p>
      <w:pPr>
        <w:pStyle w:val="65"/>
        <w:shd w:val="clear" w:color="auto" w:fill="FFFFFF"/>
        <w:spacing w:before="0" w:beforeAutospacing="0" w:after="0" w:afterAutospacing="0" w:line="360" w:lineRule="auto"/>
        <w:ind w:right="335" w:firstLine="360" w:firstLineChars="150"/>
        <w:jc w:val="both"/>
      </w:pPr>
      <w:r>
        <w:rPr>
          <w:rFonts w:hint="eastAsia"/>
        </w:rPr>
        <w:t>（1）采购人向中标供应商租赁相关监测设备，由供应商在指定地点安装并运维整套监测设备，能够对水位、流速及6项指标（PH值、溶解氧、浊度、氨氮、总磷、高锰酸盐指数）自动实时监测，并上传有关数据到县“智慧治水”平台，监测数据上传间隔不大于4小时。</w:t>
      </w:r>
    </w:p>
    <w:p>
      <w:pPr>
        <w:pStyle w:val="65"/>
        <w:shd w:val="clear" w:color="auto" w:fill="FFFFFF"/>
        <w:spacing w:before="0" w:beforeAutospacing="0" w:after="0" w:afterAutospacing="0" w:line="360" w:lineRule="auto"/>
        <w:ind w:right="335" w:firstLine="360" w:firstLineChars="150"/>
        <w:jc w:val="both"/>
      </w:pPr>
      <w:r>
        <w:rPr>
          <w:rFonts w:hint="eastAsia"/>
        </w:rPr>
        <w:t>（2）设备</w:t>
      </w:r>
      <w:r>
        <w:rPr>
          <w:rFonts w:hint="eastAsia"/>
          <w:bCs/>
        </w:rPr>
        <w:t>技术指标要求</w:t>
      </w:r>
      <w:r>
        <w:rPr>
          <w:rFonts w:hint="eastAsia"/>
        </w:rPr>
        <w:t>：</w:t>
      </w:r>
    </w:p>
    <w:p>
      <w:pPr>
        <w:spacing w:line="360" w:lineRule="auto"/>
        <w:jc w:val="center"/>
        <w:rPr>
          <w:rFonts w:ascii="宋体" w:hAnsi="宋体"/>
          <w:b/>
          <w:sz w:val="24"/>
        </w:rPr>
      </w:pPr>
      <w:r>
        <w:rPr>
          <w:rFonts w:hint="eastAsia" w:ascii="宋体" w:hAnsi="宋体"/>
          <w:b/>
          <w:sz w:val="24"/>
        </w:rPr>
        <w:t>1、pH自动分析仪技术要求</w:t>
      </w:r>
    </w:p>
    <w:tbl>
      <w:tblPr>
        <w:tblStyle w:val="72"/>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2"/>
        <w:gridCol w:w="5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项目</w:t>
            </w:r>
          </w:p>
        </w:tc>
        <w:tc>
          <w:tcPr>
            <w:tcW w:w="5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80" w:firstLineChars="450"/>
            </w:pPr>
            <w:r>
              <w:rPr>
                <w:rFonts w:hint="eastAsia" w:ascii="宋体" w:hAnsi="宋体" w:cs="宋体"/>
                <w:sz w:val="24"/>
              </w:rPr>
              <w:t>★</w:t>
            </w:r>
            <w:r>
              <w:rPr>
                <w:rFonts w:ascii="宋体" w:hAnsi="宋体"/>
                <w:sz w:val="24"/>
              </w:rPr>
              <w:t>测定原理</w:t>
            </w:r>
          </w:p>
        </w:tc>
        <w:tc>
          <w:tcPr>
            <w:tcW w:w="5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玻璃电极法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量程</w:t>
            </w:r>
          </w:p>
        </w:tc>
        <w:tc>
          <w:tcPr>
            <w:tcW w:w="5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pH 0</w:t>
            </w:r>
            <w:r>
              <w:rPr>
                <w:rFonts w:ascii="宋体" w:hAnsi="宋体"/>
                <w:sz w:val="24"/>
              </w:rPr>
              <w:t>～</w:t>
            </w:r>
            <w:r>
              <w:rPr>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cs="宋体"/>
                <w:sz w:val="24"/>
              </w:rPr>
              <w:t>★</w:t>
            </w:r>
            <w:r>
              <w:rPr>
                <w:rFonts w:ascii="宋体" w:hAnsi="宋体"/>
                <w:sz w:val="24"/>
              </w:rPr>
              <w:t>漂移</w:t>
            </w:r>
          </w:p>
        </w:tc>
        <w:tc>
          <w:tcPr>
            <w:tcW w:w="5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采用发酵行业无漂移设计pH电极极泡，日产免维护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重复性</w:t>
            </w:r>
          </w:p>
        </w:tc>
        <w:tc>
          <w:tcPr>
            <w:tcW w:w="5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响应时间</w:t>
            </w:r>
          </w:p>
        </w:tc>
        <w:tc>
          <w:tcPr>
            <w:tcW w:w="5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w:t>
            </w:r>
            <w:r>
              <w:rPr>
                <w:rFonts w:hint="eastAsia"/>
                <w:sz w:val="24"/>
              </w:rPr>
              <w:t>15</w:t>
            </w:r>
            <w:r>
              <w:rPr>
                <w:sz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温度补偿精度</w:t>
            </w:r>
          </w:p>
        </w:tc>
        <w:tc>
          <w:tcPr>
            <w:tcW w:w="5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cs="宋体"/>
                <w:sz w:val="24"/>
              </w:rPr>
              <w:t>★</w:t>
            </w:r>
            <w:r>
              <w:rPr>
                <w:rFonts w:hint="eastAsia" w:ascii="宋体" w:hAnsi="宋体"/>
                <w:sz w:val="24"/>
              </w:rPr>
              <w:t>平均无故障连续运行时间</w:t>
            </w:r>
          </w:p>
        </w:tc>
        <w:tc>
          <w:tcPr>
            <w:tcW w:w="5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≥720h/</w:t>
            </w:r>
            <w:r>
              <w:rPr>
                <w:rFonts w:ascii="宋体" w:hAnsi="宋体"/>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其他要求</w:t>
            </w:r>
          </w:p>
        </w:tc>
        <w:tc>
          <w:tcPr>
            <w:tcW w:w="570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Times New Roman"/>
                <w:kern w:val="0"/>
                <w:sz w:val="24"/>
                <w:szCs w:val="24"/>
                <w:lang w:val="en-US" w:eastAsia="zh-CN" w:bidi="ar-SA"/>
              </w:rPr>
            </w:pPr>
            <w:r>
              <w:rPr>
                <w:rFonts w:hint="eastAsia" w:ascii="宋体" w:hAnsi="宋体" w:cs="宋体"/>
                <w:sz w:val="24"/>
              </w:rPr>
              <w:t>★</w:t>
            </w:r>
            <w:r>
              <w:rPr>
                <w:rFonts w:hint="eastAsia" w:ascii="宋体" w:hAnsi="宋体" w:eastAsia="宋体" w:cs="Times New Roman"/>
                <w:kern w:val="0"/>
                <w:sz w:val="24"/>
                <w:szCs w:val="24"/>
                <w:lang w:val="en-US" w:eastAsia="zh-CN" w:bidi="ar-SA"/>
              </w:rPr>
              <w:t>三陶瓷孔参比渗出界面，适合低电导水体pH测量的同时延长使用寿命</w:t>
            </w:r>
          </w:p>
          <w:p>
            <w:pPr>
              <w:spacing w:line="360" w:lineRule="auto"/>
              <w:jc w:val="left"/>
              <w:rPr>
                <w:rFonts w:hint="eastAsia" w:ascii="宋体" w:hAnsi="宋体" w:eastAsia="宋体" w:cs="Times New Roman"/>
                <w:kern w:val="0"/>
                <w:sz w:val="24"/>
                <w:szCs w:val="24"/>
                <w:lang w:val="en-US" w:eastAsia="zh-CN" w:bidi="ar-SA"/>
              </w:rPr>
            </w:pPr>
            <w:r>
              <w:rPr>
                <w:rFonts w:hint="eastAsia" w:ascii="宋体" w:hAnsi="宋体" w:cs="宋体"/>
                <w:sz w:val="24"/>
              </w:rPr>
              <w:t>★</w:t>
            </w:r>
            <w:r>
              <w:rPr>
                <w:rFonts w:hint="eastAsia" w:ascii="宋体" w:hAnsi="宋体" w:eastAsia="宋体" w:cs="Times New Roman"/>
                <w:kern w:val="0"/>
                <w:sz w:val="24"/>
                <w:szCs w:val="24"/>
                <w:lang w:val="en-US" w:eastAsia="zh-CN" w:bidi="ar-SA"/>
              </w:rPr>
              <w:t>过饱和LCl晶体，延长参比液渗出寿命</w:t>
            </w:r>
          </w:p>
          <w:p>
            <w:pPr>
              <w:spacing w:line="360" w:lineRule="auto"/>
              <w:jc w:val="left"/>
            </w:pPr>
            <w:r>
              <w:rPr>
                <w:rFonts w:hint="eastAsia" w:ascii="宋体" w:hAnsi="宋体" w:cs="宋体"/>
                <w:sz w:val="24"/>
              </w:rPr>
              <w:t>★</w:t>
            </w:r>
            <w:r>
              <w:rPr>
                <w:rFonts w:hint="eastAsia" w:ascii="宋体" w:hAnsi="宋体" w:eastAsia="宋体" w:cs="Times New Roman"/>
                <w:kern w:val="0"/>
                <w:sz w:val="24"/>
                <w:szCs w:val="24"/>
                <w:lang w:val="en-US" w:eastAsia="zh-CN" w:bidi="ar-SA"/>
              </w:rPr>
              <w:t>电极线路板采用屏蔽可封装，不受环境电磁干扰</w:t>
            </w:r>
          </w:p>
        </w:tc>
      </w:tr>
    </w:tbl>
    <w:p>
      <w:pPr>
        <w:spacing w:line="360" w:lineRule="auto"/>
        <w:jc w:val="center"/>
        <w:rPr>
          <w:rFonts w:ascii="宋体" w:hAnsi="宋体"/>
          <w:b/>
          <w:sz w:val="24"/>
        </w:rPr>
      </w:pPr>
      <w:r>
        <w:rPr>
          <w:rFonts w:hint="eastAsia" w:ascii="宋体" w:hAnsi="宋体"/>
          <w:b/>
          <w:sz w:val="24"/>
        </w:rPr>
        <w:t>2、溶解氧水质自动分析仪技术要求</w:t>
      </w:r>
    </w:p>
    <w:tbl>
      <w:tblPr>
        <w:tblStyle w:val="72"/>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5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项目</w:t>
            </w:r>
          </w:p>
        </w:tc>
        <w:tc>
          <w:tcPr>
            <w:tcW w:w="5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cs="宋体"/>
                <w:sz w:val="24"/>
              </w:rPr>
              <w:t>★</w:t>
            </w:r>
            <w:r>
              <w:rPr>
                <w:rFonts w:ascii="宋体" w:hAnsi="宋体"/>
                <w:sz w:val="24"/>
              </w:rPr>
              <w:t>测定原理</w:t>
            </w:r>
          </w:p>
        </w:tc>
        <w:tc>
          <w:tcPr>
            <w:tcW w:w="5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荧光法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量程</w:t>
            </w:r>
          </w:p>
        </w:tc>
        <w:tc>
          <w:tcPr>
            <w:tcW w:w="5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0～20mg/L，可调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零点漂移</w:t>
            </w:r>
          </w:p>
        </w:tc>
        <w:tc>
          <w:tcPr>
            <w:tcW w:w="5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±0.</w:t>
            </w:r>
            <w:r>
              <w:rPr>
                <w:rFonts w:hint="eastAsia"/>
                <w:sz w:val="24"/>
              </w:rPr>
              <w:t>1</w:t>
            </w:r>
            <w:r>
              <w:rPr>
                <w:sz w:val="24"/>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量程漂移</w:t>
            </w:r>
          </w:p>
        </w:tc>
        <w:tc>
          <w:tcPr>
            <w:tcW w:w="5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±0.</w:t>
            </w:r>
            <w:r>
              <w:rPr>
                <w:rFonts w:hint="eastAsia"/>
                <w:sz w:val="24"/>
              </w:rPr>
              <w:t>1</w:t>
            </w:r>
            <w:r>
              <w:rPr>
                <w:sz w:val="24"/>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重复性</w:t>
            </w:r>
          </w:p>
        </w:tc>
        <w:tc>
          <w:tcPr>
            <w:tcW w:w="5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±0.</w:t>
            </w:r>
            <w:r>
              <w:rPr>
                <w:rFonts w:hint="eastAsia"/>
                <w:sz w:val="24"/>
              </w:rPr>
              <w:t>1</w:t>
            </w:r>
            <w:r>
              <w:rPr>
                <w:sz w:val="24"/>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响应时间（</w:t>
            </w:r>
            <w:r>
              <w:rPr>
                <w:sz w:val="24"/>
              </w:rPr>
              <w:t>T90</w:t>
            </w:r>
            <w:r>
              <w:rPr>
                <w:rFonts w:ascii="宋体" w:hAnsi="宋体"/>
                <w:sz w:val="24"/>
              </w:rPr>
              <w:t>）</w:t>
            </w:r>
          </w:p>
        </w:tc>
        <w:tc>
          <w:tcPr>
            <w:tcW w:w="5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w:t>
            </w:r>
            <w:r>
              <w:rPr>
                <w:rFonts w:hint="eastAsia"/>
                <w:sz w:val="24"/>
              </w:rPr>
              <w:t>45</w:t>
            </w:r>
            <w:r>
              <w:rPr>
                <w:sz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其他要求</w:t>
            </w:r>
          </w:p>
        </w:tc>
        <w:tc>
          <w:tcPr>
            <w:tcW w:w="576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★膜头一致性高，更换后无需进行多点校正</w:t>
            </w:r>
          </w:p>
          <w:p>
            <w:pPr>
              <w:spacing w:line="360" w:lineRule="auto"/>
              <w:jc w:val="left"/>
            </w:pPr>
            <w:r>
              <w:rPr>
                <w:rFonts w:hint="eastAsia" w:ascii="宋体" w:hAnsi="宋体" w:eastAsia="宋体" w:cs="Times New Roman"/>
                <w:kern w:val="0"/>
                <w:sz w:val="24"/>
                <w:szCs w:val="24"/>
                <w:lang w:val="en-US" w:eastAsia="zh-CN" w:bidi="ar-SA"/>
              </w:rPr>
              <w:t>★内建盐度、压力、温度三参数自动补偿曲线，保障精确度</w:t>
            </w:r>
          </w:p>
        </w:tc>
      </w:tr>
    </w:tbl>
    <w:p>
      <w:pPr>
        <w:spacing w:line="360" w:lineRule="auto"/>
        <w:jc w:val="center"/>
        <w:rPr>
          <w:rFonts w:ascii="宋体" w:hAnsi="宋体"/>
          <w:b/>
          <w:sz w:val="24"/>
        </w:rPr>
      </w:pPr>
      <w:r>
        <w:rPr>
          <w:rFonts w:hint="eastAsia" w:ascii="宋体" w:hAnsi="宋体"/>
          <w:b/>
          <w:sz w:val="24"/>
        </w:rPr>
        <w:t>3、浊度水质自动分析仪技术要求</w:t>
      </w:r>
    </w:p>
    <w:tbl>
      <w:tblPr>
        <w:tblStyle w:val="7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4"/>
        <w:gridCol w:w="5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项目</w:t>
            </w:r>
          </w:p>
        </w:tc>
        <w:tc>
          <w:tcPr>
            <w:tcW w:w="5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cs="宋体"/>
                <w:sz w:val="24"/>
              </w:rPr>
              <w:t>★</w:t>
            </w:r>
            <w:r>
              <w:rPr>
                <w:rFonts w:ascii="宋体" w:hAnsi="宋体"/>
                <w:sz w:val="24"/>
              </w:rPr>
              <w:t>测定原理</w:t>
            </w:r>
          </w:p>
        </w:tc>
        <w:tc>
          <w:tcPr>
            <w:tcW w:w="5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光散射法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量程</w:t>
            </w:r>
          </w:p>
        </w:tc>
        <w:tc>
          <w:tcPr>
            <w:tcW w:w="5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0</w:t>
            </w:r>
            <w:r>
              <w:rPr>
                <w:rFonts w:ascii="宋体" w:hAnsi="宋体"/>
                <w:sz w:val="24"/>
              </w:rPr>
              <w:t>～</w:t>
            </w:r>
            <w:r>
              <w:rPr>
                <w:rFonts w:hint="eastAsia"/>
                <w:sz w:val="24"/>
              </w:rPr>
              <w:t>4000</w:t>
            </w:r>
            <w:r>
              <w:rPr>
                <w:sz w:val="24"/>
              </w:rPr>
              <w:t>NTU</w:t>
            </w:r>
            <w:r>
              <w:rPr>
                <w:rFonts w:ascii="宋体" w:hAnsi="宋体"/>
                <w:sz w:val="24"/>
              </w:rPr>
              <w:t>，可调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cs="宋体"/>
                <w:sz w:val="24"/>
              </w:rPr>
              <w:t>★</w:t>
            </w:r>
            <w:r>
              <w:rPr>
                <w:rFonts w:ascii="宋体" w:hAnsi="宋体"/>
                <w:sz w:val="24"/>
              </w:rPr>
              <w:t>重复性</w:t>
            </w:r>
          </w:p>
        </w:tc>
        <w:tc>
          <w:tcPr>
            <w:tcW w:w="5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线性误差</w:t>
            </w:r>
          </w:p>
        </w:tc>
        <w:tc>
          <w:tcPr>
            <w:tcW w:w="5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sz w:val="24"/>
              </w:rPr>
              <w:t>相应时间</w:t>
            </w:r>
          </w:p>
        </w:tc>
        <w:tc>
          <w:tcPr>
            <w:tcW w:w="5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w:t>
            </w:r>
            <w:r>
              <w:rPr>
                <w:rFonts w:hint="eastAsia"/>
                <w:sz w:val="24"/>
              </w:rPr>
              <w:t>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cs="宋体"/>
                <w:sz w:val="24"/>
              </w:rPr>
              <w:t>★</w:t>
            </w:r>
            <w:r>
              <w:rPr>
                <w:rFonts w:hint="eastAsia" w:ascii="宋体" w:hAnsi="宋体"/>
                <w:sz w:val="24"/>
              </w:rPr>
              <w:t>平均无故障连续运行时间</w:t>
            </w:r>
          </w:p>
        </w:tc>
        <w:tc>
          <w:tcPr>
            <w:tcW w:w="5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≥720h/</w:t>
            </w:r>
            <w:r>
              <w:rPr>
                <w:rFonts w:ascii="宋体" w:hAnsi="宋体"/>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其他要求</w:t>
            </w:r>
          </w:p>
        </w:tc>
        <w:tc>
          <w:tcPr>
            <w:tcW w:w="564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rPr>
            </w:pPr>
            <w:r>
              <w:rPr>
                <w:rFonts w:hint="eastAsia" w:ascii="宋体" w:hAnsi="宋体" w:eastAsia="宋体" w:cs="Times New Roman"/>
                <w:kern w:val="0"/>
                <w:sz w:val="24"/>
                <w:szCs w:val="24"/>
                <w:lang w:val="en-US" w:eastAsia="zh-CN" w:bidi="ar-SA"/>
              </w:rPr>
              <w:t>★光强补偿系统，避免光源衰减导致的测值误差，永久无需校正</w:t>
            </w:r>
          </w:p>
        </w:tc>
      </w:tr>
    </w:tbl>
    <w:p>
      <w:pPr>
        <w:spacing w:line="360" w:lineRule="auto"/>
        <w:jc w:val="center"/>
        <w:rPr>
          <w:rFonts w:ascii="宋体" w:hAnsi="宋体" w:cs="Cambria"/>
          <w:b/>
          <w:bCs/>
          <w:sz w:val="24"/>
        </w:rPr>
      </w:pPr>
      <w:r>
        <w:rPr>
          <w:rFonts w:hint="eastAsia" w:ascii="宋体" w:hAnsi="宋体"/>
          <w:b/>
          <w:sz w:val="24"/>
        </w:rPr>
        <w:t>4、氨氮水质自动分析仪技术要求</w:t>
      </w:r>
    </w:p>
    <w:tbl>
      <w:tblPr>
        <w:tblStyle w:val="72"/>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6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项目</w:t>
            </w:r>
          </w:p>
        </w:tc>
        <w:tc>
          <w:tcPr>
            <w:tcW w:w="62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测定原理</w:t>
            </w:r>
          </w:p>
        </w:tc>
        <w:tc>
          <w:tcPr>
            <w:tcW w:w="62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sz w:val="24"/>
              </w:rPr>
              <w:t>离子</w:t>
            </w:r>
            <w:r>
              <w:rPr>
                <w:rFonts w:ascii="宋体" w:hAnsi="宋体"/>
                <w:sz w:val="24"/>
              </w:rPr>
              <w:t>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量程</w:t>
            </w:r>
          </w:p>
        </w:tc>
        <w:tc>
          <w:tcPr>
            <w:tcW w:w="62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0</w:t>
            </w:r>
            <w:r>
              <w:rPr>
                <w:rFonts w:ascii="宋体" w:hAnsi="宋体"/>
                <w:sz w:val="24"/>
              </w:rPr>
              <w:t>～</w:t>
            </w:r>
            <w:r>
              <w:rPr>
                <w:sz w:val="24"/>
              </w:rPr>
              <w:t>10</w:t>
            </w:r>
            <w:r>
              <w:rPr>
                <w:rFonts w:hint="eastAsia"/>
                <w:sz w:val="24"/>
              </w:rPr>
              <w:t>/100/1000</w:t>
            </w:r>
            <w:r>
              <w:rPr>
                <w:sz w:val="24"/>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零点漂移</w:t>
            </w:r>
          </w:p>
        </w:tc>
        <w:tc>
          <w:tcPr>
            <w:tcW w:w="62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≤0.02mg/L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准确度</w:t>
            </w:r>
          </w:p>
        </w:tc>
        <w:tc>
          <w:tcPr>
            <w:tcW w:w="62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w:t>
            </w:r>
            <w:r>
              <w:rPr>
                <w:rFonts w:hint="eastAsia"/>
                <w:sz w:val="24"/>
              </w:rPr>
              <w:t>7</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响应时间</w:t>
            </w:r>
          </w:p>
        </w:tc>
        <w:tc>
          <w:tcPr>
            <w:tcW w:w="62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w:t>
            </w:r>
            <w:r>
              <w:rPr>
                <w:rFonts w:hint="eastAsia"/>
                <w:sz w:val="24"/>
              </w:rPr>
              <w:t>15S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cs="宋体"/>
                <w:sz w:val="24"/>
              </w:rPr>
              <w:t>★</w:t>
            </w:r>
            <w:r>
              <w:rPr>
                <w:rFonts w:ascii="宋体" w:hAnsi="宋体"/>
                <w:sz w:val="24"/>
              </w:rPr>
              <w:t>最小维护周期</w:t>
            </w:r>
          </w:p>
        </w:tc>
        <w:tc>
          <w:tcPr>
            <w:tcW w:w="62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≥168h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其他要求</w:t>
            </w:r>
          </w:p>
        </w:tc>
        <w:tc>
          <w:tcPr>
            <w:tcW w:w="622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★测量电极可更换膜头设计，延长传感器整体使用寿命</w:t>
            </w:r>
          </w:p>
          <w:p>
            <w:pPr>
              <w:spacing w:line="360" w:lineRule="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★中心电极无需填充液，免维护</w:t>
            </w:r>
          </w:p>
          <w:p>
            <w:pPr>
              <w:spacing w:line="360" w:lineRule="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★钾离子干扰＜3%，无需钾离子补偿</w:t>
            </w:r>
          </w:p>
          <w:p>
            <w:pPr>
              <w:spacing w:line="360" w:lineRule="auto"/>
            </w:pPr>
            <w:r>
              <w:rPr>
                <w:rFonts w:hint="eastAsia" w:ascii="宋体" w:hAnsi="宋体" w:eastAsia="宋体" w:cs="Times New Roman"/>
                <w:kern w:val="0"/>
                <w:sz w:val="24"/>
                <w:szCs w:val="24"/>
                <w:lang w:val="en-US" w:eastAsia="zh-CN" w:bidi="ar-SA"/>
              </w:rPr>
              <w:t>★电极线路板采用屏蔽可封装，不受环境电磁干扰</w:t>
            </w:r>
          </w:p>
        </w:tc>
      </w:tr>
    </w:tbl>
    <w:p>
      <w:pPr>
        <w:spacing w:line="360" w:lineRule="auto"/>
        <w:jc w:val="center"/>
        <w:rPr>
          <w:rFonts w:ascii="宋体" w:hAnsi="宋体"/>
          <w:b/>
          <w:sz w:val="24"/>
        </w:rPr>
      </w:pPr>
      <w:r>
        <w:rPr>
          <w:rFonts w:hint="eastAsia" w:ascii="宋体" w:hAnsi="宋体"/>
          <w:b/>
          <w:sz w:val="24"/>
        </w:rPr>
        <w:t>5、高锰酸盐指数水质自动分析仪技术要求</w:t>
      </w:r>
    </w:p>
    <w:tbl>
      <w:tblPr>
        <w:tblStyle w:val="72"/>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6"/>
        <w:gridCol w:w="5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项目</w:t>
            </w:r>
          </w:p>
        </w:tc>
        <w:tc>
          <w:tcPr>
            <w:tcW w:w="55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cs="宋体"/>
                <w:sz w:val="24"/>
              </w:rPr>
              <w:t>★</w:t>
            </w:r>
            <w:r>
              <w:rPr>
                <w:rFonts w:ascii="宋体" w:hAnsi="宋体"/>
                <w:sz w:val="24"/>
              </w:rPr>
              <w:t>测定原理</w:t>
            </w:r>
          </w:p>
        </w:tc>
        <w:tc>
          <w:tcPr>
            <w:tcW w:w="55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sz w:val="24"/>
              </w:rPr>
              <w:t>紫外吸收法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量程</w:t>
            </w:r>
          </w:p>
        </w:tc>
        <w:tc>
          <w:tcPr>
            <w:tcW w:w="55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0</w:t>
            </w:r>
            <w:r>
              <w:rPr>
                <w:rFonts w:ascii="宋体" w:hAnsi="宋体"/>
                <w:sz w:val="24"/>
              </w:rPr>
              <w:t>～</w:t>
            </w:r>
            <w:r>
              <w:rPr>
                <w:rFonts w:hint="eastAsia"/>
                <w:sz w:val="24"/>
              </w:rPr>
              <w:t>500</w:t>
            </w:r>
            <w:r>
              <w:rPr>
                <w:sz w:val="24"/>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准确度</w:t>
            </w:r>
          </w:p>
        </w:tc>
        <w:tc>
          <w:tcPr>
            <w:tcW w:w="55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w:t>
            </w:r>
            <w:r>
              <w:rPr>
                <w:rFonts w:hint="eastAsia"/>
                <w:sz w:val="24"/>
              </w:rPr>
              <w:t>7</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ascii="宋体" w:hAnsi="宋体"/>
                <w:sz w:val="24"/>
              </w:rPr>
              <w:t>检出限</w:t>
            </w:r>
          </w:p>
        </w:tc>
        <w:tc>
          <w:tcPr>
            <w:tcW w:w="55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cs="宋体"/>
                <w:sz w:val="24"/>
              </w:rPr>
              <w:t>★</w:t>
            </w:r>
            <w:r>
              <w:rPr>
                <w:rFonts w:hint="eastAsia" w:ascii="宋体" w:hAnsi="宋体"/>
                <w:sz w:val="24"/>
              </w:rPr>
              <w:t>平均无故障连续运行时间</w:t>
            </w:r>
          </w:p>
        </w:tc>
        <w:tc>
          <w:tcPr>
            <w:tcW w:w="55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≥720h/</w:t>
            </w:r>
            <w:r>
              <w:rPr>
                <w:rFonts w:ascii="宋体" w:hAnsi="宋体"/>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32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rPr>
              <w:t>其他要求</w:t>
            </w:r>
          </w:p>
        </w:tc>
        <w:tc>
          <w:tcPr>
            <w:tcW w:w="5511"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ascii="宋体" w:hAnsi="宋体" w:cs="宋体"/>
                <w:sz w:val="24"/>
              </w:rPr>
              <w:t>★</w:t>
            </w:r>
            <w:r>
              <w:rPr>
                <w:rFonts w:hint="eastAsia"/>
              </w:rPr>
              <w:t>刮片防锁死设计</w:t>
            </w:r>
          </w:p>
          <w:p>
            <w:pPr>
              <w:spacing w:line="360" w:lineRule="auto"/>
              <w:jc w:val="left"/>
            </w:pPr>
            <w:r>
              <w:rPr>
                <w:rFonts w:hint="eastAsia" w:ascii="宋体" w:hAnsi="宋体" w:cs="宋体"/>
                <w:sz w:val="24"/>
              </w:rPr>
              <w:t>★</w:t>
            </w:r>
            <w:r>
              <w:rPr>
                <w:rFonts w:hint="eastAsia"/>
              </w:rPr>
              <w:t>光源补偿系统，避免光源衰减导致的测值误差，基本实现永久无需维护</w:t>
            </w:r>
          </w:p>
        </w:tc>
      </w:tr>
    </w:tbl>
    <w:p>
      <w:pPr>
        <w:spacing w:line="360" w:lineRule="auto"/>
        <w:jc w:val="center"/>
        <w:rPr>
          <w:rFonts w:ascii="宋体" w:hAnsi="宋体"/>
          <w:b/>
          <w:sz w:val="24"/>
        </w:rPr>
      </w:pPr>
      <w:r>
        <w:rPr>
          <w:rFonts w:hint="eastAsia" w:ascii="宋体" w:hAnsi="宋体"/>
          <w:b/>
          <w:sz w:val="24"/>
        </w:rPr>
        <w:t>6、总磷水质自动分析仪技术要求</w:t>
      </w:r>
    </w:p>
    <w:tbl>
      <w:tblPr>
        <w:tblStyle w:val="72"/>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项目</w:t>
            </w:r>
          </w:p>
        </w:tc>
        <w:tc>
          <w:tcPr>
            <w:tcW w:w="5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宋体"/>
                <w:sz w:val="24"/>
              </w:rPr>
              <w:t>★</w:t>
            </w:r>
            <w:r>
              <w:rPr>
                <w:rFonts w:hint="eastAsia" w:ascii="宋体" w:hAnsi="宋体"/>
                <w:sz w:val="24"/>
              </w:rPr>
              <w:t>测定原理</w:t>
            </w:r>
          </w:p>
        </w:tc>
        <w:tc>
          <w:tcPr>
            <w:tcW w:w="5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钼酸铵分光光度法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量程</w:t>
            </w:r>
          </w:p>
        </w:tc>
        <w:tc>
          <w:tcPr>
            <w:tcW w:w="5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0～24mg/L，可调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零点漂移</w:t>
            </w:r>
          </w:p>
        </w:tc>
        <w:tc>
          <w:tcPr>
            <w:tcW w:w="5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量程漂移</w:t>
            </w:r>
          </w:p>
        </w:tc>
        <w:tc>
          <w:tcPr>
            <w:tcW w:w="5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直线性</w:t>
            </w:r>
          </w:p>
        </w:tc>
        <w:tc>
          <w:tcPr>
            <w:tcW w:w="5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宋体"/>
                <w:sz w:val="24"/>
              </w:rPr>
              <w:t>★</w:t>
            </w:r>
            <w:r>
              <w:rPr>
                <w:rFonts w:hint="eastAsia" w:ascii="宋体" w:hAnsi="宋体"/>
                <w:sz w:val="24"/>
              </w:rPr>
              <w:t>重复性</w:t>
            </w:r>
          </w:p>
        </w:tc>
        <w:tc>
          <w:tcPr>
            <w:tcW w:w="5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检出限</w:t>
            </w:r>
          </w:p>
        </w:tc>
        <w:tc>
          <w:tcPr>
            <w:tcW w:w="5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宋体"/>
                <w:kern w:val="0"/>
                <w:sz w:val="24"/>
              </w:rPr>
              <w:t>消解温度</w:t>
            </w:r>
          </w:p>
        </w:tc>
        <w:tc>
          <w:tcPr>
            <w:tcW w:w="5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宋体"/>
                <w:kern w:val="0"/>
                <w:sz w:val="24"/>
              </w:rPr>
              <w:t>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平均无故障连续运行时间</w:t>
            </w:r>
          </w:p>
        </w:tc>
        <w:tc>
          <w:tcPr>
            <w:tcW w:w="5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≥720h/次</w:t>
            </w:r>
          </w:p>
        </w:tc>
      </w:tr>
    </w:tbl>
    <w:p>
      <w:pPr>
        <w:spacing w:line="360" w:lineRule="auto"/>
        <w:jc w:val="center"/>
        <w:rPr>
          <w:rFonts w:ascii="宋体" w:hAnsi="宋体"/>
          <w:b/>
          <w:sz w:val="24"/>
        </w:rPr>
      </w:pPr>
      <w:r>
        <w:rPr>
          <w:rFonts w:hint="eastAsia" w:ascii="宋体" w:hAnsi="宋体"/>
          <w:b/>
          <w:sz w:val="24"/>
        </w:rPr>
        <w:t>7、低功耗水位水速检测仪技术要求</w:t>
      </w:r>
    </w:p>
    <w:tbl>
      <w:tblPr>
        <w:tblStyle w:val="72"/>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项目</w:t>
            </w:r>
          </w:p>
        </w:tc>
        <w:tc>
          <w:tcPr>
            <w:tcW w:w="5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s="宋体"/>
                <w:sz w:val="24"/>
              </w:rPr>
              <w:t>★</w:t>
            </w:r>
            <w:r>
              <w:rPr>
                <w:rFonts w:hint="eastAsia" w:ascii="宋体" w:hAnsi="宋体"/>
                <w:sz w:val="24"/>
              </w:rPr>
              <w:t>测定原理</w:t>
            </w:r>
          </w:p>
        </w:tc>
        <w:tc>
          <w:tcPr>
            <w:tcW w:w="5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电磁法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量程</w:t>
            </w:r>
          </w:p>
        </w:tc>
        <w:tc>
          <w:tcPr>
            <w:tcW w:w="5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水位：0-10m</w:t>
            </w:r>
          </w:p>
          <w:p>
            <w:pPr>
              <w:spacing w:line="360" w:lineRule="auto"/>
              <w:jc w:val="cente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水速：0.01-5.00m/s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精度</w:t>
            </w:r>
          </w:p>
        </w:tc>
        <w:tc>
          <w:tcPr>
            <w:tcW w:w="5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超声波： ±0.1%FS，静压：± 0.5%FS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其他要求</w:t>
            </w:r>
          </w:p>
        </w:tc>
        <w:tc>
          <w:tcPr>
            <w:tcW w:w="580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★鉴于施工无法保证传感器100%垂直安装，传感器须能够自动侦测安装倾角，自动校准测量数据，并能及时预警安装事故。</w:t>
            </w:r>
          </w:p>
          <w:p>
            <w:pPr>
              <w:spacing w:line="360" w:lineRule="auto"/>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★设备可根据实际现场需要，远程设定液位告警（如低液位、高液位、超高液位、溢流等）阈值，当超过阈值时实时上发告警信息。</w:t>
            </w:r>
          </w:p>
          <w:p>
            <w:pPr>
              <w:spacing w:line="360" w:lineRule="auto"/>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★支持数据发送失败自动存储，当通信恢复后自动补传历史数据，确保数据的完整性。在标准工作模式下，离线数据最大存储时间大于3年，最大存储不少于80000条。</w:t>
            </w:r>
          </w:p>
          <w:p>
            <w:pPr>
              <w:spacing w:line="360" w:lineRule="auto"/>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★终端需自带温湿度、姿态、照度传感器，可实现设备状态异常的监测</w:t>
            </w:r>
          </w:p>
          <w:p>
            <w:pPr>
              <w:spacing w:line="360" w:lineRule="auto"/>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★内置高性能锂电池，保障液位测量，设备自身状态监测，设备防盗监测，数据处理与无线通信；电池续航时间须不少于3年。</w:t>
            </w:r>
          </w:p>
          <w:p>
            <w:pPr>
              <w:spacing w:line="360" w:lineRule="auto"/>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★设备需支持低电量告警，当电池供电电量不足时，会实时发送低电量告警。</w:t>
            </w:r>
          </w:p>
          <w:p>
            <w:pPr>
              <w:spacing w:line="360" w:lineRule="auto"/>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★设备应内置Lora无线通信模块，与部署在站点现场的物联网网关双向通信，可保障平台能够不间断收到微功耗无线液位测控终端测量的数据。</w:t>
            </w:r>
          </w:p>
          <w:p>
            <w:pPr>
              <w:spacing w:line="360" w:lineRule="auto"/>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★整机防护等级为IP68，在设备整体被淹等异常情况下仍能正常工作。投标时提供加IP68证书或检测报告复印件。</w:t>
            </w:r>
          </w:p>
          <w:p>
            <w:pPr>
              <w:spacing w:line="360" w:lineRule="auto"/>
              <w:jc w:val="left"/>
            </w:pPr>
            <w:r>
              <w:rPr>
                <w:rFonts w:hint="eastAsia" w:ascii="宋体" w:hAnsi="宋体" w:eastAsia="宋体" w:cs="Times New Roman"/>
                <w:kern w:val="0"/>
                <w:sz w:val="24"/>
                <w:szCs w:val="24"/>
                <w:lang w:val="en-US" w:eastAsia="zh-CN" w:bidi="ar-SA"/>
              </w:rPr>
              <w:t>★所选设备应为国产自主知识产权的成熟产品，应经过省级及以上电子信息产品检验部门权威部门的测评。投标时提供软件著作权证书和检测报告复印件。</w:t>
            </w:r>
          </w:p>
        </w:tc>
      </w:tr>
    </w:tbl>
    <w:p>
      <w:pPr>
        <w:pStyle w:val="65"/>
        <w:shd w:val="clear" w:color="auto" w:fill="FFFFFF"/>
        <w:spacing w:before="0" w:beforeAutospacing="0" w:after="0" w:afterAutospacing="0" w:line="360" w:lineRule="auto"/>
        <w:ind w:right="335" w:firstLine="540"/>
        <w:jc w:val="both"/>
      </w:pPr>
      <w:r>
        <w:rPr>
          <w:rFonts w:hint="eastAsia" w:ascii="宋体" w:hAnsi="宋体" w:cs="宋体"/>
          <w:sz w:val="24"/>
        </w:rPr>
        <w:t>★</w:t>
      </w:r>
      <w:r>
        <w:rPr>
          <w:rFonts w:hint="eastAsia"/>
        </w:rPr>
        <w:t>水质多参数在线监测仪：可同时显示多个测量参数，数据存储、历史数据、校正功能、RS485输出。</w:t>
      </w:r>
    </w:p>
    <w:p>
      <w:pPr>
        <w:pStyle w:val="65"/>
        <w:shd w:val="clear" w:color="auto" w:fill="FFFFFF"/>
        <w:spacing w:before="0" w:beforeAutospacing="0" w:after="0" w:afterAutospacing="0" w:line="360" w:lineRule="auto"/>
        <w:ind w:right="335" w:firstLine="540"/>
        <w:jc w:val="both"/>
      </w:pPr>
      <w:r>
        <w:rPr>
          <w:rFonts w:hint="eastAsia"/>
        </w:rPr>
        <w:t>（3）设备基本要求：</w:t>
      </w:r>
    </w:p>
    <w:p>
      <w:pPr>
        <w:spacing w:line="360" w:lineRule="auto"/>
        <w:ind w:firstLine="480" w:firstLineChars="200"/>
        <w:rPr>
          <w:rFonts w:ascii="宋体" w:hAnsi="宋体"/>
          <w:bCs/>
          <w:sz w:val="24"/>
        </w:rPr>
      </w:pPr>
      <w:r>
        <w:rPr>
          <w:rFonts w:hint="eastAsia" w:ascii="宋体" w:hAnsi="宋体"/>
          <w:bCs/>
          <w:sz w:val="24"/>
        </w:rPr>
        <w:t>①具有仪器及系统运行周期（连续或间歇）设置功能；</w:t>
      </w:r>
    </w:p>
    <w:p>
      <w:pPr>
        <w:spacing w:line="360" w:lineRule="auto"/>
        <w:ind w:firstLine="480" w:firstLineChars="200"/>
        <w:rPr>
          <w:rFonts w:ascii="宋体" w:hAnsi="宋体"/>
          <w:bCs/>
          <w:sz w:val="24"/>
        </w:rPr>
      </w:pPr>
      <w:r>
        <w:rPr>
          <w:rFonts w:hint="eastAsia" w:ascii="宋体" w:hAnsi="宋体"/>
          <w:bCs/>
          <w:sz w:val="24"/>
        </w:rPr>
        <w:t>②具有异常信息记录、上传功能，如采水故障、部件故障、超量程报警、超标报警、缺试剂报警等信息；</w:t>
      </w:r>
    </w:p>
    <w:p>
      <w:pPr>
        <w:spacing w:line="360" w:lineRule="auto"/>
        <w:ind w:firstLine="480" w:firstLineChars="200"/>
        <w:rPr>
          <w:rFonts w:ascii="宋体" w:hAnsi="宋体"/>
          <w:bCs/>
          <w:sz w:val="24"/>
        </w:rPr>
      </w:pPr>
      <w:r>
        <w:rPr>
          <w:rFonts w:hint="eastAsia" w:ascii="宋体" w:hAnsi="宋体"/>
          <w:bCs/>
          <w:sz w:val="24"/>
        </w:rPr>
        <w:t>③具有仪器关键参数上传、远程设置功能，能接受远程控制指令；</w:t>
      </w:r>
    </w:p>
    <w:p>
      <w:pPr>
        <w:spacing w:line="360" w:lineRule="auto"/>
        <w:ind w:firstLine="480" w:firstLineChars="200"/>
        <w:rPr>
          <w:rFonts w:ascii="宋体" w:hAnsi="宋体"/>
          <w:bCs/>
          <w:sz w:val="24"/>
        </w:rPr>
      </w:pPr>
      <w:r>
        <w:rPr>
          <w:rFonts w:hint="eastAsia" w:ascii="宋体" w:hAnsi="宋体"/>
          <w:bCs/>
          <w:sz w:val="24"/>
        </w:rPr>
        <w:t>④确保仪器、系统运行的监测数据和状态信息等稳定传输；</w:t>
      </w:r>
    </w:p>
    <w:p>
      <w:pPr>
        <w:spacing w:line="360" w:lineRule="auto"/>
        <w:ind w:firstLine="480" w:firstLineChars="200"/>
        <w:rPr>
          <w:rFonts w:ascii="宋体" w:hAnsi="宋体"/>
          <w:bCs/>
          <w:sz w:val="24"/>
        </w:rPr>
      </w:pPr>
      <w:r>
        <w:rPr>
          <w:rFonts w:hint="eastAsia" w:ascii="宋体" w:hAnsi="宋体"/>
          <w:bCs/>
          <w:sz w:val="24"/>
        </w:rPr>
        <w:t>⑤具备断电再度通电后自动排空分析流路、自动清洗管路、自动复位到待机状态的功能；</w:t>
      </w:r>
    </w:p>
    <w:p>
      <w:pPr>
        <w:spacing w:line="360" w:lineRule="auto"/>
        <w:ind w:firstLine="480" w:firstLineChars="200"/>
        <w:rPr>
          <w:rFonts w:ascii="宋体" w:hAnsi="宋体"/>
          <w:bCs/>
          <w:sz w:val="24"/>
        </w:rPr>
      </w:pPr>
      <w:r>
        <w:rPr>
          <w:rFonts w:hint="eastAsia" w:ascii="宋体" w:hAnsi="宋体"/>
          <w:bCs/>
          <w:sz w:val="24"/>
        </w:rPr>
        <w:t>⑥具有分析仪器及系统过程日志记录和环境参数记录功能，并能够上传至中心平台；</w:t>
      </w:r>
    </w:p>
    <w:p>
      <w:pPr>
        <w:spacing w:line="360" w:lineRule="auto"/>
        <w:ind w:firstLine="480" w:firstLineChars="200"/>
        <w:rPr>
          <w:rFonts w:ascii="宋体" w:hAnsi="宋体"/>
          <w:bCs/>
          <w:sz w:val="24"/>
        </w:rPr>
      </w:pPr>
      <w:r>
        <w:rPr>
          <w:rFonts w:hint="eastAsia" w:ascii="宋体" w:hAnsi="宋体"/>
          <w:bCs/>
          <w:sz w:val="24"/>
        </w:rPr>
        <w:t>⑦存储不少于1年的原始数据和运行日志；</w:t>
      </w:r>
    </w:p>
    <w:p>
      <w:pPr>
        <w:spacing w:line="360" w:lineRule="auto"/>
        <w:ind w:firstLine="480" w:firstLineChars="200"/>
        <w:rPr>
          <w:rFonts w:ascii="宋体" w:hAnsi="宋体"/>
          <w:bCs/>
          <w:sz w:val="24"/>
        </w:rPr>
      </w:pPr>
      <w:r>
        <w:rPr>
          <w:rFonts w:ascii="宋体" w:hAnsi="宋体"/>
          <w:bCs/>
          <w:sz w:val="24"/>
        </w:rPr>
        <w:fldChar w:fldCharType="begin"/>
      </w:r>
      <w:r>
        <w:rPr>
          <w:rFonts w:hint="eastAsia" w:ascii="宋体" w:hAnsi="宋体"/>
          <w:bCs/>
          <w:sz w:val="24"/>
        </w:rPr>
        <w:instrText xml:space="preserve">= 8 \* GB3</w:instrText>
      </w:r>
      <w:r>
        <w:rPr>
          <w:rFonts w:ascii="宋体" w:hAnsi="宋体"/>
          <w:bCs/>
          <w:sz w:val="24"/>
        </w:rPr>
        <w:fldChar w:fldCharType="separate"/>
      </w:r>
      <w:r>
        <w:rPr>
          <w:rFonts w:hint="eastAsia" w:ascii="宋体" w:hAnsi="宋体"/>
          <w:bCs/>
          <w:sz w:val="24"/>
        </w:rPr>
        <w:t>⑧</w:t>
      </w:r>
      <w:r>
        <w:rPr>
          <w:rFonts w:ascii="宋体" w:hAnsi="宋体"/>
          <w:bCs/>
          <w:sz w:val="24"/>
        </w:rPr>
        <w:fldChar w:fldCharType="end"/>
      </w:r>
      <w:r>
        <w:rPr>
          <w:rFonts w:hint="eastAsia" w:ascii="宋体" w:hAnsi="宋体"/>
          <w:bCs/>
          <w:sz w:val="24"/>
        </w:rPr>
        <w:t>系统应具有良好的扩展性和兼容性，根据实际应用需要，可增加新的监测参数，并方便仪器安装与接入。</w:t>
      </w:r>
    </w:p>
    <w:p>
      <w:pPr>
        <w:autoSpaceDE w:val="0"/>
        <w:autoSpaceDN w:val="0"/>
        <w:spacing w:line="360" w:lineRule="auto"/>
        <w:ind w:firstLine="237" w:firstLineChars="99"/>
        <w:rPr>
          <w:rFonts w:ascii="宋体" w:hAnsi="宋体" w:cs="宋体"/>
          <w:kern w:val="0"/>
          <w:sz w:val="24"/>
        </w:rPr>
      </w:pPr>
      <w:r>
        <w:rPr>
          <w:rFonts w:hint="eastAsia" w:ascii="宋体" w:hAnsi="宋体" w:cs="宋体"/>
          <w:kern w:val="0"/>
          <w:sz w:val="24"/>
        </w:rPr>
        <w:t>（4）</w:t>
      </w:r>
      <w:r>
        <w:rPr>
          <w:rFonts w:hint="eastAsia" w:ascii="宋体" w:hAnsi="宋体"/>
          <w:b/>
          <w:bCs/>
          <w:sz w:val="24"/>
        </w:rPr>
        <w:t>租赁设备清单（</w:t>
      </w:r>
      <w:r>
        <w:rPr>
          <w:rFonts w:hint="eastAsia" w:ascii="宋体" w:hAnsi="宋体" w:cs="宋体"/>
          <w:kern w:val="0"/>
          <w:sz w:val="24"/>
        </w:rPr>
        <w:t>包括数据采集相应的传感器，但不限于下列所述内容）：</w:t>
      </w:r>
    </w:p>
    <w:tbl>
      <w:tblPr>
        <w:tblStyle w:val="72"/>
        <w:tblW w:w="810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autofit"/>
        <w:tblCellMar>
          <w:top w:w="0" w:type="dxa"/>
          <w:left w:w="108" w:type="dxa"/>
          <w:bottom w:w="0" w:type="dxa"/>
          <w:right w:w="108" w:type="dxa"/>
        </w:tblCellMar>
      </w:tblPr>
      <w:tblGrid>
        <w:gridCol w:w="4325"/>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CellMar>
            <w:top w:w="0" w:type="dxa"/>
            <w:left w:w="108" w:type="dxa"/>
            <w:bottom w:w="0" w:type="dxa"/>
            <w:right w:w="108" w:type="dxa"/>
          </w:tblCellMar>
        </w:tblPrEx>
        <w:trPr>
          <w:trHeight w:val="462" w:hRule="atLeast"/>
        </w:trPr>
        <w:tc>
          <w:tcPr>
            <w:tcW w:w="4325" w:type="dxa"/>
            <w:shd w:val="clear" w:color="000000"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名称</w:t>
            </w:r>
          </w:p>
        </w:tc>
        <w:tc>
          <w:tcPr>
            <w:tcW w:w="3780" w:type="dxa"/>
            <w:shd w:val="clear" w:color="000000"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25" w:type="dxa"/>
            <w:shd w:val="clear" w:color="000000"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水质多参数在线监测仪</w:t>
            </w:r>
          </w:p>
        </w:tc>
        <w:tc>
          <w:tcPr>
            <w:tcW w:w="3780" w:type="dxa"/>
            <w:shd w:val="clear" w:color="000000" w:fill="auto"/>
            <w:noWrap/>
            <w:vAlign w:val="center"/>
          </w:tcPr>
          <w:p>
            <w:pPr>
              <w:spacing w:line="360" w:lineRule="auto"/>
              <w:jc w:val="center"/>
              <w:rPr>
                <w:rFonts w:ascii="宋体" w:hAnsi="宋体" w:cs="宋体"/>
                <w:kern w:val="0"/>
                <w:sz w:val="24"/>
              </w:rPr>
            </w:pPr>
            <w:r>
              <w:rPr>
                <w:rFonts w:hint="eastAsia" w:ascii="宋体" w:hAnsi="宋体" w:cs="宋体"/>
                <w:kern w:val="0"/>
                <w:sz w:val="24"/>
              </w:rPr>
              <w:t>4</w:t>
            </w:r>
            <w:r>
              <w:rPr>
                <w:rFonts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25" w:type="dxa"/>
            <w:shd w:val="clear" w:color="000000"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pH自动分析仪</w:t>
            </w:r>
          </w:p>
        </w:tc>
        <w:tc>
          <w:tcPr>
            <w:tcW w:w="3780" w:type="dxa"/>
            <w:shd w:val="clear" w:color="000000"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r>
              <w:rPr>
                <w:rFonts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25" w:type="dxa"/>
            <w:shd w:val="clear" w:color="000000"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溶解氧水质自动分析仪</w:t>
            </w:r>
          </w:p>
        </w:tc>
        <w:tc>
          <w:tcPr>
            <w:tcW w:w="3780" w:type="dxa"/>
            <w:shd w:val="clear" w:color="000000"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r>
              <w:rPr>
                <w:rFonts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25" w:type="dxa"/>
            <w:shd w:val="clear" w:color="000000"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浊度水质自动分析仪</w:t>
            </w:r>
          </w:p>
        </w:tc>
        <w:tc>
          <w:tcPr>
            <w:tcW w:w="3780" w:type="dxa"/>
            <w:shd w:val="clear" w:color="000000"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r>
              <w:rPr>
                <w:rFonts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25" w:type="dxa"/>
            <w:shd w:val="clear" w:color="000000"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氨氮水质自动分析仪</w:t>
            </w:r>
          </w:p>
        </w:tc>
        <w:tc>
          <w:tcPr>
            <w:tcW w:w="3780" w:type="dxa"/>
            <w:shd w:val="clear" w:color="000000"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r>
              <w:rPr>
                <w:rFonts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25" w:type="dxa"/>
            <w:shd w:val="clear" w:color="000000"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高锰酸盐指数水质自动分析仪</w:t>
            </w:r>
          </w:p>
        </w:tc>
        <w:tc>
          <w:tcPr>
            <w:tcW w:w="3780" w:type="dxa"/>
            <w:shd w:val="clear" w:color="000000"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r>
              <w:rPr>
                <w:rFonts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25" w:type="dxa"/>
            <w:shd w:val="clear" w:color="000000"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总磷水质自动分析仪</w:t>
            </w:r>
          </w:p>
        </w:tc>
        <w:tc>
          <w:tcPr>
            <w:tcW w:w="3780" w:type="dxa"/>
            <w:shd w:val="clear" w:color="000000"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r>
              <w:rPr>
                <w:rFonts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25" w:type="dxa"/>
            <w:shd w:val="clear" w:color="000000"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低功耗智能液位传感器</w:t>
            </w:r>
          </w:p>
        </w:tc>
        <w:tc>
          <w:tcPr>
            <w:tcW w:w="3780" w:type="dxa"/>
            <w:shd w:val="clear" w:color="000000"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r>
              <w:rPr>
                <w:rFonts w:ascii="宋体" w:hAnsi="宋体" w:cs="宋体"/>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25" w:type="dxa"/>
            <w:shd w:val="clear" w:color="000000"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微功耗无线智能流速监测终端</w:t>
            </w:r>
          </w:p>
        </w:tc>
        <w:tc>
          <w:tcPr>
            <w:tcW w:w="3780" w:type="dxa"/>
            <w:shd w:val="clear" w:color="000000"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r>
              <w:rPr>
                <w:rFonts w:ascii="宋体" w:hAnsi="宋体" w:cs="宋体"/>
                <w:kern w:val="0"/>
                <w:sz w:val="24"/>
              </w:rPr>
              <w:t>台</w:t>
            </w:r>
          </w:p>
        </w:tc>
      </w:tr>
    </w:tbl>
    <w:p>
      <w:pPr>
        <w:spacing w:line="360" w:lineRule="auto"/>
        <w:ind w:firstLine="480"/>
        <w:rPr>
          <w:rFonts w:hint="eastAsia" w:ascii="宋体" w:hAnsi="宋体" w:eastAsia="宋体" w:cs="宋体"/>
          <w:kern w:val="0"/>
          <w:sz w:val="24"/>
          <w:lang w:eastAsia="zh-CN"/>
        </w:rPr>
      </w:pPr>
      <w:r>
        <w:rPr>
          <w:rFonts w:hint="eastAsia" w:cs="宋体" w:asciiTheme="minorEastAsia" w:hAnsiTheme="minorEastAsia" w:eastAsiaTheme="minorEastAsia"/>
          <w:sz w:val="24"/>
        </w:rPr>
        <w:t>▲</w:t>
      </w:r>
      <w:r>
        <w:rPr>
          <w:rFonts w:hint="eastAsia" w:ascii="宋体" w:hAnsi="宋体" w:cs="宋体"/>
          <w:kern w:val="0"/>
          <w:sz w:val="24"/>
        </w:rPr>
        <w:t>水质自动监测系统可自动监测水位，水速以及水体中的PH值、浊度、溶解氧、高锰酸盐指数、氨氮、总磷等水质参数、监测设备状态及，自动进行数据采集、处理和存储，并可根据需求上传至五水办平台。</w:t>
      </w:r>
      <w:r>
        <w:rPr>
          <w:rFonts w:hint="eastAsia" w:ascii="宋体" w:hAnsi="宋体" w:cs="宋体"/>
          <w:b/>
          <w:bCs/>
          <w:kern w:val="0"/>
          <w:sz w:val="24"/>
          <w:lang w:eastAsia="zh-CN"/>
        </w:rPr>
        <w:t>（</w:t>
      </w:r>
      <w:r>
        <w:rPr>
          <w:rFonts w:hint="eastAsia" w:ascii="宋体" w:hAnsi="宋体" w:cs="宋体"/>
          <w:b/>
          <w:bCs/>
          <w:kern w:val="0"/>
          <w:sz w:val="24"/>
          <w:lang w:val="en-US" w:eastAsia="zh-CN"/>
        </w:rPr>
        <w:t>需提供承诺函，未提供承诺函的做无效标处理</w:t>
      </w:r>
      <w:r>
        <w:rPr>
          <w:rFonts w:hint="eastAsia" w:ascii="宋体" w:hAnsi="宋体" w:cs="宋体"/>
          <w:b/>
          <w:bCs/>
          <w:kern w:val="0"/>
          <w:sz w:val="24"/>
          <w:lang w:eastAsia="zh-CN"/>
        </w:rPr>
        <w:t>）。</w:t>
      </w:r>
    </w:p>
    <w:p>
      <w:pPr>
        <w:spacing w:line="360" w:lineRule="auto"/>
        <w:rPr>
          <w:rFonts w:ascii="宋体" w:hAnsi="宋体" w:cs="宋体"/>
          <w:kern w:val="0"/>
          <w:sz w:val="24"/>
        </w:rPr>
      </w:pPr>
      <w:r>
        <w:rPr>
          <w:rFonts w:hint="eastAsia" w:ascii="宋体" w:hAnsi="宋体" w:cs="宋体"/>
          <w:kern w:val="0"/>
          <w:sz w:val="24"/>
        </w:rPr>
        <w:t>（4）通用技术要求</w:t>
      </w:r>
    </w:p>
    <w:p>
      <w:pPr>
        <w:spacing w:line="360" w:lineRule="auto"/>
        <w:ind w:firstLine="480" w:firstLineChars="200"/>
        <w:rPr>
          <w:rFonts w:ascii="宋体" w:hAnsi="宋体" w:cs="宋体"/>
          <w:kern w:val="0"/>
          <w:sz w:val="24"/>
        </w:rPr>
      </w:pPr>
      <w:r>
        <w:rPr>
          <w:rFonts w:ascii="宋体" w:hAnsi="宋体" w:cs="宋体"/>
          <w:kern w:val="0"/>
          <w:sz w:val="24"/>
        </w:rPr>
        <w:fldChar w:fldCharType="begin"/>
      </w:r>
      <w:r>
        <w:rPr>
          <w:rFonts w:hint="eastAsia" w:ascii="宋体" w:hAnsi="宋体" w:cs="宋体"/>
          <w:kern w:val="0"/>
          <w:sz w:val="24"/>
        </w:rPr>
        <w:instrText xml:space="preserve">= 1 \* GB3</w:instrText>
      </w:r>
      <w:r>
        <w:rPr>
          <w:rFonts w:ascii="宋体" w:hAnsi="宋体" w:cs="宋体"/>
          <w:kern w:val="0"/>
          <w:sz w:val="24"/>
        </w:rPr>
        <w:fldChar w:fldCharType="separate"/>
      </w:r>
      <w:r>
        <w:rPr>
          <w:rFonts w:hint="eastAsia" w:ascii="宋体" w:hAnsi="宋体" w:cs="宋体"/>
          <w:kern w:val="0"/>
          <w:sz w:val="24"/>
        </w:rPr>
        <w:t>①</w:t>
      </w:r>
      <w:r>
        <w:rPr>
          <w:rFonts w:ascii="宋体" w:hAnsi="宋体" w:cs="宋体"/>
          <w:kern w:val="0"/>
          <w:sz w:val="24"/>
        </w:rPr>
        <w:fldChar w:fldCharType="end"/>
      </w:r>
      <w:r>
        <w:rPr>
          <w:rFonts w:hint="eastAsia" w:ascii="宋体" w:hAnsi="宋体" w:cs="宋体"/>
          <w:kern w:val="0"/>
          <w:sz w:val="24"/>
        </w:rPr>
        <w:t>操作语言：</w:t>
      </w:r>
    </w:p>
    <w:p>
      <w:pPr>
        <w:spacing w:line="360" w:lineRule="auto"/>
        <w:ind w:firstLine="480"/>
        <w:rPr>
          <w:rFonts w:ascii="宋体" w:hAnsi="宋体" w:cs="宋体"/>
          <w:kern w:val="0"/>
          <w:sz w:val="24"/>
        </w:rPr>
      </w:pPr>
      <w:r>
        <w:rPr>
          <w:rFonts w:hint="eastAsia" w:ascii="宋体" w:hAnsi="宋体" w:cs="宋体"/>
          <w:kern w:val="0"/>
          <w:sz w:val="24"/>
        </w:rPr>
        <w:t>设备和控制单元所有显示须为中文，符合《信息交换用汉字编码字符集》（GB2312－1980）。</w:t>
      </w:r>
    </w:p>
    <w:p>
      <w:pPr>
        <w:spacing w:line="360" w:lineRule="auto"/>
        <w:ind w:firstLine="480" w:firstLineChars="200"/>
        <w:rPr>
          <w:rFonts w:ascii="宋体" w:hAnsi="宋体" w:cs="宋体"/>
          <w:kern w:val="0"/>
          <w:sz w:val="24"/>
        </w:rPr>
      </w:pPr>
      <w:r>
        <w:rPr>
          <w:rFonts w:ascii="宋体" w:hAnsi="宋体" w:cs="宋体"/>
          <w:kern w:val="0"/>
          <w:sz w:val="24"/>
        </w:rPr>
        <w:fldChar w:fldCharType="begin"/>
      </w:r>
      <w:r>
        <w:rPr>
          <w:rFonts w:hint="eastAsia" w:ascii="宋体" w:hAnsi="宋体" w:cs="宋体"/>
          <w:kern w:val="0"/>
          <w:sz w:val="24"/>
        </w:rPr>
        <w:instrText xml:space="preserve">= 2 \* GB3</w:instrText>
      </w:r>
      <w:r>
        <w:rPr>
          <w:rFonts w:ascii="宋体" w:hAnsi="宋体" w:cs="宋体"/>
          <w:kern w:val="0"/>
          <w:sz w:val="24"/>
        </w:rPr>
        <w:fldChar w:fldCharType="separate"/>
      </w:r>
      <w:r>
        <w:rPr>
          <w:rFonts w:hint="eastAsia" w:ascii="宋体" w:hAnsi="宋体" w:cs="宋体"/>
          <w:kern w:val="0"/>
          <w:sz w:val="24"/>
        </w:rPr>
        <w:t>②</w:t>
      </w:r>
      <w:r>
        <w:rPr>
          <w:rFonts w:ascii="宋体" w:hAnsi="宋体" w:cs="宋体"/>
          <w:kern w:val="0"/>
          <w:sz w:val="24"/>
        </w:rPr>
        <w:fldChar w:fldCharType="end"/>
      </w:r>
      <w:r>
        <w:rPr>
          <w:rFonts w:hint="eastAsia" w:ascii="宋体" w:hAnsi="宋体" w:cs="宋体"/>
          <w:kern w:val="0"/>
          <w:sz w:val="24"/>
        </w:rPr>
        <w:t>使用环境要求：</w:t>
      </w:r>
    </w:p>
    <w:p>
      <w:pPr>
        <w:spacing w:line="360" w:lineRule="auto"/>
        <w:ind w:firstLine="480"/>
        <w:rPr>
          <w:rFonts w:ascii="宋体" w:hAnsi="宋体" w:cs="宋体"/>
          <w:kern w:val="0"/>
          <w:sz w:val="24"/>
        </w:rPr>
      </w:pPr>
      <w:r>
        <w:rPr>
          <w:rFonts w:hint="eastAsia" w:ascii="宋体" w:hAnsi="宋体" w:cs="宋体"/>
          <w:kern w:val="0"/>
          <w:sz w:val="24"/>
        </w:rPr>
        <w:t>所有设备在温度5～45℃、相对湿度小于90%环境下能够正常运行。</w:t>
      </w:r>
    </w:p>
    <w:p>
      <w:pPr>
        <w:spacing w:line="360" w:lineRule="auto"/>
        <w:ind w:firstLine="480" w:firstLineChars="200"/>
        <w:rPr>
          <w:rFonts w:ascii="宋体" w:hAnsi="宋体" w:cs="宋体"/>
          <w:kern w:val="0"/>
          <w:sz w:val="24"/>
        </w:rPr>
      </w:pPr>
      <w:r>
        <w:rPr>
          <w:rFonts w:ascii="宋体" w:hAnsi="宋体" w:cs="宋体"/>
          <w:kern w:val="0"/>
          <w:sz w:val="24"/>
        </w:rPr>
        <w:fldChar w:fldCharType="begin"/>
      </w:r>
      <w:r>
        <w:rPr>
          <w:rFonts w:hint="eastAsia" w:ascii="宋体" w:hAnsi="宋体" w:cs="宋体"/>
          <w:kern w:val="0"/>
          <w:sz w:val="24"/>
        </w:rPr>
        <w:instrText xml:space="preserve">= 3 \* GB3</w:instrText>
      </w:r>
      <w:r>
        <w:rPr>
          <w:rFonts w:ascii="宋体" w:hAnsi="宋体" w:cs="宋体"/>
          <w:kern w:val="0"/>
          <w:sz w:val="24"/>
        </w:rPr>
        <w:fldChar w:fldCharType="separate"/>
      </w:r>
      <w:r>
        <w:rPr>
          <w:rFonts w:hint="eastAsia" w:ascii="宋体" w:hAnsi="宋体" w:cs="宋体"/>
          <w:kern w:val="0"/>
          <w:sz w:val="24"/>
        </w:rPr>
        <w:t>③</w:t>
      </w:r>
      <w:r>
        <w:rPr>
          <w:rFonts w:ascii="宋体" w:hAnsi="宋体" w:cs="宋体"/>
          <w:kern w:val="0"/>
          <w:sz w:val="24"/>
        </w:rPr>
        <w:fldChar w:fldCharType="end"/>
      </w:r>
      <w:r>
        <w:rPr>
          <w:rFonts w:hint="eastAsia" w:ascii="宋体" w:hAnsi="宋体" w:cs="宋体"/>
          <w:kern w:val="0"/>
          <w:sz w:val="24"/>
        </w:rPr>
        <w:t>试剂供应：</w:t>
      </w:r>
    </w:p>
    <w:p>
      <w:pPr>
        <w:spacing w:line="360" w:lineRule="auto"/>
        <w:ind w:firstLine="480"/>
        <w:rPr>
          <w:rFonts w:ascii="宋体" w:hAnsi="宋体" w:cs="宋体"/>
          <w:kern w:val="0"/>
          <w:sz w:val="24"/>
        </w:rPr>
      </w:pPr>
      <w:r>
        <w:rPr>
          <w:rFonts w:hint="eastAsia" w:ascii="宋体" w:hAnsi="宋体" w:cs="宋体"/>
          <w:kern w:val="0"/>
          <w:sz w:val="24"/>
        </w:rPr>
        <w:t>需提供仪器试剂配制方法，并提供试剂成分及纯度；</w:t>
      </w:r>
    </w:p>
    <w:p>
      <w:pPr>
        <w:spacing w:line="360" w:lineRule="auto"/>
        <w:ind w:firstLine="480"/>
        <w:rPr>
          <w:rFonts w:ascii="宋体" w:hAnsi="宋体" w:cs="宋体"/>
          <w:kern w:val="0"/>
          <w:sz w:val="24"/>
        </w:rPr>
      </w:pPr>
      <w:r>
        <w:rPr>
          <w:rFonts w:hint="eastAsia" w:ascii="宋体" w:hAnsi="宋体" w:cs="宋体"/>
          <w:kern w:val="0"/>
          <w:sz w:val="24"/>
        </w:rPr>
        <w:t>仪器所需试剂贮存于专用试剂瓶中，试剂保质期不低于一周；</w:t>
      </w:r>
    </w:p>
    <w:p>
      <w:pPr>
        <w:spacing w:line="360" w:lineRule="auto"/>
        <w:ind w:firstLine="480"/>
        <w:rPr>
          <w:rFonts w:ascii="宋体" w:hAnsi="宋体" w:cs="宋体"/>
          <w:kern w:val="0"/>
          <w:sz w:val="24"/>
        </w:rPr>
      </w:pPr>
      <w:r>
        <w:rPr>
          <w:rFonts w:hint="eastAsia" w:ascii="宋体" w:hAnsi="宋体" w:cs="宋体"/>
          <w:kern w:val="0"/>
          <w:sz w:val="24"/>
        </w:rPr>
        <w:t>仪器使用的实验用水、试剂、标准溶液均须达到《国家地表水环境质量监测网监测任务作业指导书》（试行）（中国环境出版社，2017）中质量保证要求。</w:t>
      </w:r>
    </w:p>
    <w:p>
      <w:pPr>
        <w:spacing w:line="360" w:lineRule="auto"/>
        <w:ind w:firstLine="480" w:firstLineChars="200"/>
        <w:rPr>
          <w:rFonts w:ascii="宋体" w:hAnsi="宋体" w:cs="宋体"/>
          <w:kern w:val="0"/>
          <w:sz w:val="24"/>
        </w:rPr>
      </w:pPr>
      <w:r>
        <w:rPr>
          <w:rFonts w:ascii="宋体" w:hAnsi="宋体" w:cs="宋体"/>
          <w:kern w:val="0"/>
          <w:sz w:val="24"/>
        </w:rPr>
        <w:fldChar w:fldCharType="begin"/>
      </w:r>
      <w:r>
        <w:rPr>
          <w:rFonts w:hint="eastAsia" w:ascii="宋体" w:hAnsi="宋体" w:cs="宋体"/>
          <w:kern w:val="0"/>
          <w:sz w:val="24"/>
        </w:rPr>
        <w:instrText xml:space="preserve">= 4 \* GB3</w:instrText>
      </w:r>
      <w:r>
        <w:rPr>
          <w:rFonts w:ascii="宋体" w:hAnsi="宋体" w:cs="宋体"/>
          <w:kern w:val="0"/>
          <w:sz w:val="24"/>
        </w:rPr>
        <w:fldChar w:fldCharType="separate"/>
      </w:r>
      <w:r>
        <w:rPr>
          <w:rFonts w:hint="eastAsia" w:ascii="宋体" w:hAnsi="宋体" w:cs="宋体"/>
          <w:kern w:val="0"/>
          <w:sz w:val="24"/>
        </w:rPr>
        <w:t>④</w:t>
      </w:r>
      <w:r>
        <w:rPr>
          <w:rFonts w:ascii="宋体" w:hAnsi="宋体" w:cs="宋体"/>
          <w:kern w:val="0"/>
          <w:sz w:val="24"/>
        </w:rPr>
        <w:fldChar w:fldCharType="end"/>
      </w:r>
      <w:r>
        <w:rPr>
          <w:rFonts w:hint="eastAsia" w:ascii="宋体" w:hAnsi="宋体" w:cs="宋体"/>
          <w:kern w:val="0"/>
          <w:sz w:val="24"/>
        </w:rPr>
        <w:t>通讯协议要求：</w:t>
      </w:r>
    </w:p>
    <w:p>
      <w:pPr>
        <w:spacing w:line="360" w:lineRule="auto"/>
        <w:ind w:firstLine="480"/>
        <w:rPr>
          <w:rFonts w:ascii="宋体" w:hAnsi="宋体" w:cs="宋体"/>
          <w:kern w:val="0"/>
          <w:sz w:val="24"/>
        </w:rPr>
      </w:pPr>
      <w:r>
        <w:rPr>
          <w:rFonts w:hint="eastAsia" w:ascii="宋体" w:hAnsi="宋体" w:cs="宋体"/>
          <w:kern w:val="0"/>
          <w:sz w:val="24"/>
        </w:rPr>
        <w:t>供应商须承诺中标后按照采购人指定的传输协议要求，将所有监测数据传输至指定的平台，包括仪器的实时状态、关键参数和监测数据等。并向采购人提供所有仪器的底层通信协议。</w:t>
      </w:r>
    </w:p>
    <w:p>
      <w:pPr>
        <w:spacing w:line="360" w:lineRule="auto"/>
        <w:rPr>
          <w:rFonts w:ascii="宋体" w:hAnsi="宋体" w:cs="宋体"/>
          <w:kern w:val="0"/>
          <w:sz w:val="24"/>
        </w:rPr>
      </w:pPr>
      <w:r>
        <w:rPr>
          <w:rFonts w:hint="eastAsia" w:ascii="宋体" w:hAnsi="宋体" w:cs="宋体"/>
          <w:kern w:val="0"/>
          <w:sz w:val="24"/>
        </w:rPr>
        <w:t>（5）</w:t>
      </w:r>
      <w:r>
        <w:rPr>
          <w:rFonts w:hint="eastAsia" w:ascii="宋体" w:hAnsi="宋体"/>
          <w:b/>
          <w:sz w:val="24"/>
        </w:rPr>
        <w:t>项目实施要求</w:t>
      </w:r>
    </w:p>
    <w:p>
      <w:pPr>
        <w:spacing w:line="360" w:lineRule="auto"/>
        <w:ind w:firstLine="480" w:firstLineChars="200"/>
        <w:rPr>
          <w:rFonts w:ascii="宋体" w:hAnsi="宋体"/>
          <w:bCs/>
          <w:sz w:val="24"/>
        </w:rPr>
      </w:pPr>
      <w:r>
        <w:rPr>
          <w:rFonts w:hint="eastAsia" w:ascii="宋体" w:hAnsi="宋体"/>
          <w:bCs/>
          <w:sz w:val="24"/>
        </w:rPr>
        <w:t>1、站点选址及基础建设</w:t>
      </w:r>
    </w:p>
    <w:p>
      <w:pPr>
        <w:spacing w:line="360" w:lineRule="auto"/>
        <w:ind w:firstLine="480" w:firstLineChars="200"/>
        <w:rPr>
          <w:rFonts w:ascii="宋体" w:hAnsi="宋体"/>
          <w:bCs/>
          <w:sz w:val="24"/>
        </w:rPr>
      </w:pPr>
      <w:r>
        <w:rPr>
          <w:rFonts w:hint="eastAsia" w:ascii="宋体" w:hAnsi="宋体"/>
          <w:bCs/>
          <w:sz w:val="24"/>
        </w:rPr>
        <w:t>中标人需配合采购人完成站点选址并完成“四通一平”建设工作，提供必要的图纸、施工方案等资料。</w:t>
      </w:r>
    </w:p>
    <w:p>
      <w:pPr>
        <w:spacing w:line="360" w:lineRule="auto"/>
        <w:ind w:firstLine="480" w:firstLineChars="200"/>
        <w:rPr>
          <w:rFonts w:ascii="宋体" w:hAnsi="宋体"/>
          <w:bCs/>
          <w:sz w:val="24"/>
        </w:rPr>
      </w:pPr>
      <w:r>
        <w:rPr>
          <w:rFonts w:hint="eastAsia" w:ascii="宋体" w:hAnsi="宋体"/>
          <w:bCs/>
          <w:sz w:val="24"/>
        </w:rPr>
        <w:t>2、安装、调试</w:t>
      </w:r>
    </w:p>
    <w:p>
      <w:pPr>
        <w:spacing w:line="360" w:lineRule="auto"/>
        <w:ind w:firstLine="480" w:firstLineChars="200"/>
        <w:rPr>
          <w:rFonts w:ascii="宋体" w:hAnsi="宋体"/>
          <w:bCs/>
          <w:sz w:val="24"/>
        </w:rPr>
      </w:pPr>
      <w:r>
        <w:rPr>
          <w:rFonts w:hint="eastAsia" w:ascii="宋体" w:hAnsi="宋体"/>
          <w:bCs/>
          <w:sz w:val="24"/>
        </w:rPr>
        <w:t>中标人按照设备说明书进行安装，并对仪器性能进行测试，测试结果需满足相应技术规范要求。</w:t>
      </w:r>
    </w:p>
    <w:p>
      <w:pPr>
        <w:spacing w:line="360" w:lineRule="auto"/>
        <w:ind w:firstLine="480" w:firstLineChars="200"/>
        <w:rPr>
          <w:rFonts w:ascii="宋体" w:hAnsi="宋体"/>
          <w:bCs/>
          <w:sz w:val="24"/>
        </w:rPr>
      </w:pPr>
      <w:r>
        <w:rPr>
          <w:rFonts w:hint="eastAsia" w:ascii="宋体" w:hAnsi="宋体"/>
          <w:bCs/>
          <w:sz w:val="24"/>
        </w:rPr>
        <w:t>站点安装完成后需对整套系统进行测试，保证系统可正常运行。</w:t>
      </w:r>
    </w:p>
    <w:p>
      <w:pPr>
        <w:spacing w:line="360" w:lineRule="auto"/>
        <w:ind w:firstLine="480" w:firstLineChars="200"/>
        <w:rPr>
          <w:rFonts w:ascii="宋体" w:hAnsi="宋体"/>
          <w:bCs/>
          <w:sz w:val="24"/>
        </w:rPr>
      </w:pPr>
      <w:r>
        <w:rPr>
          <w:rFonts w:hint="eastAsia" w:ascii="宋体" w:hAnsi="宋体"/>
          <w:bCs/>
          <w:sz w:val="24"/>
        </w:rPr>
        <w:t>3、数据比对</w:t>
      </w:r>
    </w:p>
    <w:p>
      <w:pPr>
        <w:spacing w:line="360" w:lineRule="auto"/>
        <w:ind w:firstLine="480" w:firstLineChars="200"/>
        <w:rPr>
          <w:rFonts w:ascii="宋体" w:hAnsi="宋体"/>
          <w:bCs/>
          <w:sz w:val="24"/>
        </w:rPr>
      </w:pPr>
      <w:r>
        <w:rPr>
          <w:rFonts w:hint="eastAsia" w:ascii="宋体" w:hAnsi="宋体"/>
          <w:bCs/>
          <w:sz w:val="24"/>
        </w:rPr>
        <w:t>系统调试完成后投入试运行，完成数据比对。</w:t>
      </w:r>
    </w:p>
    <w:p>
      <w:pPr>
        <w:spacing w:line="360" w:lineRule="auto"/>
        <w:ind w:firstLine="480" w:firstLineChars="200"/>
        <w:rPr>
          <w:rFonts w:ascii="宋体" w:hAnsi="宋体"/>
          <w:bCs/>
          <w:sz w:val="24"/>
        </w:rPr>
      </w:pPr>
      <w:r>
        <w:rPr>
          <w:rFonts w:hint="eastAsia" w:ascii="宋体" w:hAnsi="宋体"/>
          <w:bCs/>
          <w:sz w:val="24"/>
        </w:rPr>
        <w:t>4、数据保密</w:t>
      </w:r>
    </w:p>
    <w:p>
      <w:pPr>
        <w:spacing w:line="360" w:lineRule="auto"/>
        <w:ind w:firstLine="480" w:firstLineChars="200"/>
        <w:rPr>
          <w:rFonts w:ascii="宋体" w:hAnsi="宋体"/>
          <w:bCs/>
          <w:sz w:val="24"/>
        </w:rPr>
      </w:pPr>
      <w:r>
        <w:rPr>
          <w:rFonts w:hint="eastAsia" w:ascii="宋体" w:hAnsi="宋体"/>
          <w:bCs/>
          <w:sz w:val="24"/>
        </w:rPr>
        <w:t>中标人应承担监测数据的保密责任，中标人对水站的监测数据负有保密责任，不得以任何方式和渠道向外界提供或用于商业用途。</w:t>
      </w:r>
    </w:p>
    <w:p>
      <w:pPr>
        <w:spacing w:line="360" w:lineRule="auto"/>
        <w:rPr>
          <w:rFonts w:ascii="宋体" w:hAnsi="宋体"/>
          <w:b/>
          <w:bCs/>
          <w:sz w:val="24"/>
        </w:rPr>
      </w:pPr>
      <w:r>
        <w:rPr>
          <w:rFonts w:hint="eastAsia" w:ascii="宋体" w:hAnsi="宋体"/>
          <w:b/>
          <w:bCs/>
          <w:sz w:val="24"/>
        </w:rPr>
        <w:t>三、服务期</w:t>
      </w:r>
    </w:p>
    <w:p>
      <w:pPr>
        <w:spacing w:line="360" w:lineRule="auto"/>
        <w:ind w:firstLine="360" w:firstLineChars="150"/>
        <w:rPr>
          <w:rFonts w:ascii="宋体" w:hAnsi="宋体"/>
          <w:bCs/>
          <w:sz w:val="24"/>
        </w:rPr>
      </w:pPr>
      <w:r>
        <w:rPr>
          <w:rFonts w:hint="eastAsia" w:ascii="宋体" w:hAnsi="宋体"/>
          <w:bCs/>
          <w:sz w:val="24"/>
        </w:rPr>
        <w:t>自合同签订起1年。</w:t>
      </w:r>
    </w:p>
    <w:p>
      <w:pPr>
        <w:autoSpaceDE w:val="0"/>
        <w:autoSpaceDN w:val="0"/>
        <w:spacing w:line="360" w:lineRule="auto"/>
        <w:rPr>
          <w:rFonts w:ascii="宋体" w:hAnsi="宋体"/>
          <w:b/>
          <w:bCs/>
          <w:sz w:val="24"/>
        </w:rPr>
      </w:pPr>
      <w:r>
        <w:rPr>
          <w:rFonts w:hint="eastAsia" w:ascii="宋体" w:hAnsi="宋体"/>
          <w:b/>
          <w:bCs/>
          <w:sz w:val="24"/>
        </w:rPr>
        <w:t>四、付款方式：</w:t>
      </w:r>
    </w:p>
    <w:p>
      <w:pPr>
        <w:spacing w:line="360" w:lineRule="auto"/>
        <w:ind w:firstLine="480"/>
        <w:rPr>
          <w:rFonts w:hint="eastAsia" w:ascii="宋体" w:hAnsi="宋体" w:cs="宋体"/>
          <w:kern w:val="0"/>
          <w:sz w:val="24"/>
        </w:rPr>
      </w:pPr>
      <w:r>
        <w:rPr>
          <w:rFonts w:hint="eastAsia" w:ascii="宋体" w:hAnsi="宋体" w:cs="宋体"/>
          <w:kern w:val="0"/>
          <w:sz w:val="24"/>
        </w:rPr>
        <w:t>合同签订后7日内支付合同价款的</w:t>
      </w:r>
      <w:r>
        <w:rPr>
          <w:rFonts w:hint="eastAsia" w:ascii="宋体" w:hAnsi="宋体" w:cs="宋体"/>
          <w:kern w:val="0"/>
          <w:sz w:val="24"/>
          <w:lang w:val="en-US" w:eastAsia="zh-CN"/>
        </w:rPr>
        <w:t>6</w:t>
      </w:r>
      <w:r>
        <w:rPr>
          <w:rFonts w:hint="eastAsia" w:ascii="宋体" w:hAnsi="宋体" w:cs="宋体"/>
          <w:kern w:val="0"/>
          <w:sz w:val="24"/>
        </w:rPr>
        <w:t>0%的预付款，设备安装调试完成后7日内支付合同价款的</w:t>
      </w:r>
      <w:r>
        <w:rPr>
          <w:rFonts w:hint="eastAsia" w:ascii="宋体" w:hAnsi="宋体" w:cs="宋体"/>
          <w:kern w:val="0"/>
          <w:sz w:val="24"/>
          <w:lang w:val="en-US" w:eastAsia="zh-CN"/>
        </w:rPr>
        <w:t>2</w:t>
      </w:r>
      <w:r>
        <w:rPr>
          <w:rFonts w:hint="eastAsia" w:ascii="宋体" w:hAnsi="宋体" w:cs="宋体"/>
          <w:kern w:val="0"/>
          <w:sz w:val="24"/>
        </w:rPr>
        <w:t>0%，余款在服务期满后一次性付清。</w:t>
      </w:r>
    </w:p>
    <w:p>
      <w:pPr>
        <w:autoSpaceDE w:val="0"/>
        <w:autoSpaceDN w:val="0"/>
        <w:spacing w:line="360" w:lineRule="auto"/>
        <w:rPr>
          <w:rFonts w:ascii="宋体" w:hAnsi="宋体"/>
          <w:b/>
          <w:bCs/>
          <w:sz w:val="24"/>
        </w:rPr>
      </w:pPr>
      <w:r>
        <w:rPr>
          <w:rFonts w:hint="eastAsia" w:ascii="宋体" w:hAnsi="宋体"/>
          <w:b/>
          <w:bCs/>
          <w:sz w:val="24"/>
        </w:rPr>
        <w:t>五、其他要求</w:t>
      </w:r>
    </w:p>
    <w:p>
      <w:pPr>
        <w:spacing w:line="360" w:lineRule="auto"/>
        <w:ind w:firstLine="480"/>
        <w:rPr>
          <w:rFonts w:ascii="宋体" w:hAnsi="宋体" w:cs="宋体"/>
          <w:kern w:val="0"/>
          <w:sz w:val="24"/>
        </w:rPr>
      </w:pPr>
      <w:r>
        <w:rPr>
          <w:rFonts w:hint="eastAsia" w:ascii="宋体" w:hAnsi="宋体" w:cs="宋体"/>
          <w:kern w:val="0"/>
          <w:sz w:val="24"/>
        </w:rPr>
        <w:t>1、本项目的投标报价包含在承包服务期内完成服务内容所需要的一切费用，包括但不限于耗材、工具、通讯、服装、办公设备、运输工具、各种税费、人工、保险、加班费、利润、税金、政策性文件规定及合同包含的所有风险、责任等（站点勘察设计、站房搭建费及辅助设备费、平台建设费、设备调试费、现场运维服务等相关费用均包含在内，不得额外向采购人索取相关费用）。</w:t>
      </w:r>
    </w:p>
    <w:p>
      <w:pPr>
        <w:spacing w:line="360" w:lineRule="auto"/>
        <w:ind w:firstLine="480"/>
        <w:rPr>
          <w:rFonts w:ascii="宋体" w:hAnsi="宋体" w:cs="宋体"/>
          <w:kern w:val="0"/>
          <w:sz w:val="24"/>
        </w:rPr>
      </w:pPr>
      <w:r>
        <w:rPr>
          <w:rFonts w:hint="eastAsia" w:ascii="宋体" w:hAnsi="宋体" w:cs="宋体"/>
          <w:kern w:val="0"/>
          <w:sz w:val="24"/>
        </w:rPr>
        <w:t>2、运维人员每月至少去一次现场维护；维护保养，设备校准、异常事件处理等。</w:t>
      </w:r>
    </w:p>
    <w:p>
      <w:pPr>
        <w:spacing w:line="360" w:lineRule="auto"/>
        <w:rPr>
          <w:rFonts w:ascii="宋体" w:hAnsi="宋体" w:cs="宋体"/>
          <w:b/>
          <w:bCs/>
          <w:sz w:val="24"/>
        </w:rPr>
      </w:pPr>
      <w:r>
        <w:rPr>
          <w:rFonts w:hint="eastAsia" w:ascii="宋体" w:hAnsi="宋体" w:cs="宋体"/>
          <w:b/>
          <w:bCs/>
          <w:sz w:val="24"/>
        </w:rPr>
        <w:t>六、履约担保</w:t>
      </w:r>
    </w:p>
    <w:p>
      <w:pPr>
        <w:spacing w:line="360" w:lineRule="auto"/>
        <w:ind w:firstLine="360" w:firstLineChars="150"/>
        <w:rPr>
          <w:rFonts w:ascii="宋体" w:hAnsi="宋体" w:cs="宋体"/>
          <w:sz w:val="24"/>
        </w:rPr>
      </w:pPr>
      <w:r>
        <w:rPr>
          <w:rFonts w:hint="eastAsia" w:ascii="宋体" w:hAnsi="宋体" w:cs="宋体"/>
          <w:sz w:val="24"/>
        </w:rPr>
        <w:t>签订合同前，中标人须交纳合同价</w:t>
      </w:r>
      <w:r>
        <w:rPr>
          <w:rFonts w:hint="eastAsia" w:ascii="宋体" w:hAnsi="宋体" w:cs="宋体"/>
          <w:sz w:val="24"/>
          <w:lang w:val="en-US" w:eastAsia="zh-CN"/>
        </w:rPr>
        <w:t>0.1</w:t>
      </w:r>
      <w:r>
        <w:rPr>
          <w:rFonts w:hint="eastAsia" w:ascii="宋体" w:hAnsi="宋体" w:cs="宋体"/>
          <w:sz w:val="24"/>
        </w:rPr>
        <w:t>%的履约担保金（可以现金、银行保函或保险公司保函等）。</w:t>
      </w:r>
    </w:p>
    <w:p>
      <w:pPr>
        <w:pStyle w:val="7"/>
        <w:rPr>
          <w:rFonts w:hint="default"/>
          <w:lang w:val="en-US" w:eastAsia="zh-CN"/>
        </w:rPr>
        <w:sectPr>
          <w:pgSz w:w="11907" w:h="16840"/>
          <w:pgMar w:top="1440" w:right="1417" w:bottom="1440" w:left="1417" w:header="851" w:footer="850" w:gutter="0"/>
          <w:cols w:space="0" w:num="1"/>
        </w:sectPr>
      </w:pPr>
    </w:p>
    <w:p>
      <w:pPr>
        <w:snapToGrid w:val="0"/>
        <w:spacing w:line="36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第四部分   </w:t>
      </w:r>
      <w:bookmarkStart w:id="21" w:name="_Toc184310337"/>
      <w:bookmarkEnd w:id="21"/>
      <w:bookmarkStart w:id="22" w:name="_Toc184310339"/>
      <w:bookmarkEnd w:id="22"/>
      <w:bookmarkStart w:id="23" w:name="_Toc184308100"/>
      <w:bookmarkEnd w:id="23"/>
      <w:bookmarkStart w:id="24" w:name="_Toc184308038"/>
      <w:bookmarkEnd w:id="24"/>
      <w:bookmarkStart w:id="25" w:name="_Toc184308105"/>
      <w:bookmarkEnd w:id="25"/>
      <w:bookmarkStart w:id="26" w:name="_Toc184310274"/>
      <w:bookmarkEnd w:id="26"/>
      <w:bookmarkStart w:id="27" w:name="_Toc184308107"/>
      <w:bookmarkEnd w:id="27"/>
      <w:bookmarkStart w:id="28" w:name="_Toc184314454"/>
      <w:bookmarkEnd w:id="28"/>
      <w:bookmarkStart w:id="29" w:name="_Toc184313289"/>
      <w:bookmarkEnd w:id="29"/>
      <w:bookmarkStart w:id="30" w:name="_Toc184308037"/>
      <w:bookmarkEnd w:id="30"/>
      <w:bookmarkStart w:id="31" w:name="_Toc184310299"/>
      <w:bookmarkEnd w:id="31"/>
      <w:bookmarkStart w:id="32" w:name="_Toc184312116"/>
      <w:bookmarkEnd w:id="32"/>
      <w:bookmarkStart w:id="33" w:name="_Toc184314448"/>
      <w:bookmarkEnd w:id="33"/>
      <w:bookmarkStart w:id="34" w:name="_Toc184308036"/>
      <w:bookmarkEnd w:id="34"/>
      <w:bookmarkStart w:id="35" w:name="_Toc184313304"/>
      <w:bookmarkEnd w:id="35"/>
      <w:bookmarkStart w:id="36" w:name="_Toc184310310"/>
      <w:bookmarkEnd w:id="36"/>
      <w:bookmarkStart w:id="37" w:name="_Toc184310338"/>
      <w:bookmarkEnd w:id="37"/>
      <w:bookmarkStart w:id="38" w:name="_Toc184310322"/>
      <w:bookmarkEnd w:id="38"/>
      <w:bookmarkStart w:id="39" w:name="_Toc184308052"/>
      <w:bookmarkEnd w:id="39"/>
      <w:bookmarkStart w:id="40" w:name="_Toc184314476"/>
      <w:bookmarkEnd w:id="40"/>
      <w:bookmarkStart w:id="41" w:name="_Toc184310317"/>
      <w:bookmarkEnd w:id="41"/>
      <w:bookmarkStart w:id="42" w:name="_Toc184312123"/>
      <w:bookmarkEnd w:id="42"/>
      <w:bookmarkStart w:id="43" w:name="_Toc184310285"/>
      <w:bookmarkEnd w:id="43"/>
      <w:bookmarkStart w:id="44" w:name="_Toc184314457"/>
      <w:bookmarkEnd w:id="44"/>
      <w:bookmarkStart w:id="45" w:name="_Toc184310324"/>
      <w:bookmarkEnd w:id="45"/>
      <w:bookmarkStart w:id="46" w:name="_Toc184313254"/>
      <w:bookmarkEnd w:id="46"/>
      <w:bookmarkStart w:id="47" w:name="_Toc184312136"/>
      <w:bookmarkEnd w:id="47"/>
      <w:bookmarkStart w:id="48" w:name="_Toc184314468"/>
      <w:bookmarkEnd w:id="48"/>
      <w:bookmarkStart w:id="49" w:name="_Toc184314436"/>
      <w:bookmarkEnd w:id="49"/>
      <w:bookmarkStart w:id="50" w:name="_Toc184314425"/>
      <w:bookmarkEnd w:id="50"/>
      <w:bookmarkStart w:id="51" w:name="_Toc184314453"/>
      <w:bookmarkEnd w:id="51"/>
      <w:bookmarkStart w:id="52" w:name="_Toc184312088"/>
      <w:bookmarkEnd w:id="52"/>
      <w:bookmarkStart w:id="53" w:name="_Toc184313308"/>
      <w:bookmarkEnd w:id="53"/>
      <w:bookmarkStart w:id="54" w:name="_Toc184312085"/>
      <w:bookmarkEnd w:id="54"/>
      <w:bookmarkStart w:id="55" w:name="_Toc184313302"/>
      <w:bookmarkEnd w:id="55"/>
      <w:bookmarkStart w:id="56" w:name="_Toc184313271"/>
      <w:bookmarkEnd w:id="56"/>
      <w:bookmarkStart w:id="57" w:name="_Toc184313303"/>
      <w:bookmarkEnd w:id="57"/>
      <w:bookmarkStart w:id="58" w:name="_Toc184312074"/>
      <w:bookmarkEnd w:id="58"/>
      <w:bookmarkStart w:id="59" w:name="_Toc184312100"/>
      <w:bookmarkEnd w:id="59"/>
      <w:bookmarkStart w:id="60" w:name="_Toc184312072"/>
      <w:bookmarkEnd w:id="60"/>
      <w:bookmarkStart w:id="61" w:name="_Toc184314411"/>
      <w:bookmarkEnd w:id="61"/>
      <w:bookmarkStart w:id="62" w:name="_Toc184312110"/>
      <w:bookmarkEnd w:id="62"/>
      <w:bookmarkStart w:id="63" w:name="_Toc184308088"/>
      <w:bookmarkEnd w:id="63"/>
      <w:bookmarkStart w:id="64" w:name="_Toc184308072"/>
      <w:bookmarkEnd w:id="64"/>
      <w:bookmarkStart w:id="65" w:name="_Toc184308039"/>
      <w:bookmarkEnd w:id="65"/>
      <w:bookmarkStart w:id="66" w:name="_Toc184312092"/>
      <w:bookmarkEnd w:id="66"/>
      <w:bookmarkStart w:id="67" w:name="_Toc184308078"/>
      <w:bookmarkEnd w:id="67"/>
      <w:bookmarkStart w:id="68" w:name="_Toc184313266"/>
      <w:bookmarkEnd w:id="68"/>
      <w:bookmarkStart w:id="69" w:name="_Toc184314443"/>
      <w:bookmarkEnd w:id="69"/>
      <w:bookmarkStart w:id="70" w:name="_Toc184308103"/>
      <w:bookmarkEnd w:id="70"/>
      <w:bookmarkStart w:id="71" w:name="_Toc184313280"/>
      <w:bookmarkEnd w:id="71"/>
      <w:bookmarkStart w:id="72" w:name="_Toc184312120"/>
      <w:bookmarkEnd w:id="72"/>
      <w:bookmarkStart w:id="73" w:name="_Toc184314412"/>
      <w:bookmarkEnd w:id="73"/>
      <w:bookmarkStart w:id="74" w:name="_Toc184313291"/>
      <w:bookmarkEnd w:id="74"/>
      <w:bookmarkStart w:id="75" w:name="_Toc184310321"/>
      <w:bookmarkEnd w:id="75"/>
      <w:bookmarkStart w:id="76" w:name="_Toc184313260"/>
      <w:bookmarkEnd w:id="76"/>
      <w:bookmarkStart w:id="77" w:name="_Toc184313239"/>
      <w:bookmarkEnd w:id="77"/>
      <w:bookmarkStart w:id="78" w:name="_Toc184308106"/>
      <w:bookmarkEnd w:id="78"/>
      <w:bookmarkStart w:id="79" w:name="_Toc184314456"/>
      <w:bookmarkEnd w:id="79"/>
      <w:bookmarkStart w:id="80" w:name="_Toc184310293"/>
      <w:bookmarkEnd w:id="80"/>
      <w:bookmarkStart w:id="81" w:name="_Toc184310318"/>
      <w:bookmarkEnd w:id="81"/>
      <w:bookmarkStart w:id="82" w:name="_Toc184313300"/>
      <w:bookmarkEnd w:id="82"/>
      <w:bookmarkStart w:id="83" w:name="_Toc184312109"/>
      <w:bookmarkEnd w:id="83"/>
      <w:bookmarkStart w:id="84" w:name="_Toc184312112"/>
      <w:bookmarkEnd w:id="84"/>
      <w:bookmarkStart w:id="85" w:name="_Toc184308086"/>
      <w:bookmarkEnd w:id="85"/>
      <w:bookmarkStart w:id="86" w:name="_Toc184314421"/>
      <w:bookmarkEnd w:id="86"/>
      <w:bookmarkStart w:id="87" w:name="_Toc184310320"/>
      <w:bookmarkEnd w:id="87"/>
      <w:bookmarkStart w:id="88" w:name="_Toc184313293"/>
      <w:bookmarkEnd w:id="88"/>
      <w:bookmarkStart w:id="89" w:name="_Toc184308048"/>
      <w:bookmarkEnd w:id="89"/>
      <w:bookmarkStart w:id="90" w:name="_Toc184310281"/>
      <w:bookmarkEnd w:id="90"/>
      <w:bookmarkStart w:id="91" w:name="_Toc184314458"/>
      <w:bookmarkEnd w:id="91"/>
      <w:bookmarkStart w:id="92" w:name="_Toc184310305"/>
      <w:bookmarkEnd w:id="92"/>
      <w:bookmarkStart w:id="93" w:name="_Toc184313296"/>
      <w:bookmarkEnd w:id="93"/>
      <w:bookmarkStart w:id="94" w:name="_Toc184310314"/>
      <w:bookmarkEnd w:id="94"/>
      <w:bookmarkStart w:id="95" w:name="_Toc184310289"/>
      <w:bookmarkEnd w:id="95"/>
      <w:bookmarkStart w:id="96" w:name="_Toc184314469"/>
      <w:bookmarkEnd w:id="96"/>
      <w:bookmarkStart w:id="97" w:name="_Toc184312071"/>
      <w:bookmarkEnd w:id="97"/>
      <w:bookmarkStart w:id="98" w:name="_Toc184313249"/>
      <w:bookmarkEnd w:id="98"/>
      <w:bookmarkStart w:id="99" w:name="_Toc184308056"/>
      <w:bookmarkEnd w:id="99"/>
      <w:bookmarkStart w:id="100" w:name="_Toc184313275"/>
      <w:bookmarkEnd w:id="100"/>
      <w:bookmarkStart w:id="101" w:name="_Toc184314414"/>
      <w:bookmarkEnd w:id="101"/>
      <w:bookmarkStart w:id="102" w:name="_Toc184308044"/>
      <w:bookmarkEnd w:id="102"/>
      <w:bookmarkStart w:id="103" w:name="_Toc184314426"/>
      <w:bookmarkEnd w:id="103"/>
      <w:bookmarkStart w:id="104" w:name="_Toc184313238"/>
      <w:bookmarkEnd w:id="104"/>
      <w:bookmarkStart w:id="105" w:name="_Toc184314430"/>
      <w:bookmarkEnd w:id="105"/>
      <w:bookmarkStart w:id="106" w:name="_Toc184312102"/>
      <w:bookmarkEnd w:id="106"/>
      <w:bookmarkStart w:id="107" w:name="_Toc184314413"/>
      <w:bookmarkEnd w:id="107"/>
      <w:bookmarkStart w:id="108" w:name="_Toc184314444"/>
      <w:bookmarkEnd w:id="108"/>
      <w:bookmarkStart w:id="109" w:name="_Toc184314450"/>
      <w:bookmarkEnd w:id="109"/>
      <w:bookmarkStart w:id="110" w:name="_Toc184310327"/>
      <w:bookmarkEnd w:id="110"/>
      <w:bookmarkStart w:id="111" w:name="_Toc184308101"/>
      <w:bookmarkEnd w:id="111"/>
      <w:bookmarkStart w:id="112" w:name="_Toc184312087"/>
      <w:bookmarkEnd w:id="112"/>
      <w:bookmarkStart w:id="113" w:name="_Toc184312131"/>
      <w:bookmarkEnd w:id="113"/>
      <w:bookmarkStart w:id="114" w:name="_Toc184308094"/>
      <w:bookmarkEnd w:id="114"/>
      <w:bookmarkStart w:id="115" w:name="_Toc184313294"/>
      <w:bookmarkEnd w:id="115"/>
      <w:bookmarkStart w:id="116" w:name="_Toc184312099"/>
      <w:bookmarkEnd w:id="116"/>
      <w:bookmarkStart w:id="117" w:name="_Toc184312076"/>
      <w:bookmarkEnd w:id="117"/>
      <w:bookmarkStart w:id="118" w:name="_Toc184312127"/>
      <w:bookmarkEnd w:id="118"/>
      <w:bookmarkStart w:id="119" w:name="_Toc184310343"/>
      <w:bookmarkEnd w:id="119"/>
      <w:bookmarkStart w:id="120" w:name="_Toc184313297"/>
      <w:bookmarkEnd w:id="120"/>
      <w:bookmarkStart w:id="121" w:name="_Toc184313274"/>
      <w:bookmarkEnd w:id="121"/>
      <w:bookmarkStart w:id="122" w:name="_Toc184314459"/>
      <w:bookmarkEnd w:id="122"/>
      <w:bookmarkStart w:id="123" w:name="_Toc184312111"/>
      <w:bookmarkEnd w:id="123"/>
      <w:bookmarkStart w:id="124" w:name="_Toc184310316"/>
      <w:bookmarkEnd w:id="124"/>
      <w:bookmarkStart w:id="125" w:name="_Toc184308054"/>
      <w:bookmarkEnd w:id="125"/>
      <w:bookmarkStart w:id="126" w:name="_Toc184308062"/>
      <w:bookmarkEnd w:id="126"/>
      <w:bookmarkStart w:id="127" w:name="_Toc184313259"/>
      <w:bookmarkEnd w:id="127"/>
      <w:bookmarkStart w:id="128" w:name="_Toc184308077"/>
      <w:bookmarkEnd w:id="128"/>
      <w:bookmarkStart w:id="129" w:name="_Toc184313247"/>
      <w:bookmarkEnd w:id="129"/>
      <w:bookmarkStart w:id="130" w:name="_Toc184312138"/>
      <w:bookmarkEnd w:id="130"/>
      <w:bookmarkStart w:id="131" w:name="_Toc184312117"/>
      <w:bookmarkEnd w:id="131"/>
      <w:bookmarkStart w:id="132" w:name="_Toc184308084"/>
      <w:bookmarkEnd w:id="132"/>
      <w:bookmarkStart w:id="133" w:name="_Toc184313279"/>
      <w:bookmarkEnd w:id="133"/>
      <w:bookmarkStart w:id="134" w:name="_Toc184314434"/>
      <w:bookmarkEnd w:id="134"/>
      <w:bookmarkStart w:id="135" w:name="_Toc184313276"/>
      <w:bookmarkEnd w:id="135"/>
      <w:bookmarkStart w:id="136" w:name="_Toc184308097"/>
      <w:bookmarkEnd w:id="136"/>
      <w:bookmarkStart w:id="137" w:name="_Toc184314452"/>
      <w:bookmarkEnd w:id="137"/>
      <w:bookmarkStart w:id="138" w:name="_Toc184310307"/>
      <w:bookmarkEnd w:id="138"/>
      <w:bookmarkStart w:id="139" w:name="_Toc184310287"/>
      <w:bookmarkEnd w:id="139"/>
      <w:bookmarkStart w:id="140" w:name="_Toc184308064"/>
      <w:bookmarkEnd w:id="140"/>
      <w:bookmarkStart w:id="141" w:name="_Toc184312124"/>
      <w:bookmarkEnd w:id="141"/>
      <w:bookmarkStart w:id="142" w:name="_Toc184308059"/>
      <w:bookmarkEnd w:id="142"/>
      <w:bookmarkStart w:id="143" w:name="_Toc184308045"/>
      <w:bookmarkEnd w:id="143"/>
      <w:bookmarkStart w:id="144" w:name="_Toc184312093"/>
      <w:bookmarkEnd w:id="144"/>
      <w:bookmarkStart w:id="145" w:name="_Toc184310301"/>
      <w:bookmarkEnd w:id="145"/>
      <w:bookmarkStart w:id="146" w:name="_Toc184312084"/>
      <w:bookmarkEnd w:id="146"/>
      <w:bookmarkStart w:id="147" w:name="_Toc184312094"/>
      <w:bookmarkEnd w:id="147"/>
      <w:bookmarkStart w:id="148" w:name="_Toc184308073"/>
      <w:bookmarkEnd w:id="148"/>
      <w:bookmarkStart w:id="149" w:name="_Toc184313263"/>
      <w:bookmarkEnd w:id="149"/>
      <w:bookmarkStart w:id="150" w:name="_Toc184308083"/>
      <w:bookmarkEnd w:id="150"/>
      <w:bookmarkStart w:id="151" w:name="_Toc184313241"/>
      <w:bookmarkEnd w:id="151"/>
      <w:bookmarkStart w:id="152" w:name="_Toc184308047"/>
      <w:bookmarkEnd w:id="152"/>
      <w:bookmarkStart w:id="153" w:name="_Toc184314475"/>
      <w:bookmarkEnd w:id="153"/>
      <w:bookmarkStart w:id="154" w:name="_Toc184310344"/>
      <w:bookmarkEnd w:id="154"/>
      <w:bookmarkStart w:id="155" w:name="_Toc184312104"/>
      <w:bookmarkEnd w:id="155"/>
      <w:bookmarkStart w:id="156" w:name="_Toc184312139"/>
      <w:bookmarkEnd w:id="156"/>
      <w:bookmarkStart w:id="157" w:name="_Toc184314464"/>
      <w:bookmarkEnd w:id="157"/>
      <w:bookmarkStart w:id="158" w:name="_Toc184310300"/>
      <w:bookmarkEnd w:id="158"/>
      <w:bookmarkStart w:id="159" w:name="_Toc184314461"/>
      <w:bookmarkEnd w:id="159"/>
      <w:bookmarkStart w:id="160" w:name="_Toc184310333"/>
      <w:bookmarkEnd w:id="160"/>
      <w:bookmarkStart w:id="161" w:name="_Toc184308046"/>
      <w:bookmarkEnd w:id="161"/>
      <w:bookmarkStart w:id="162" w:name="_Toc184310294"/>
      <w:bookmarkEnd w:id="162"/>
      <w:bookmarkStart w:id="163" w:name="_Toc184312070"/>
      <w:bookmarkEnd w:id="163"/>
      <w:bookmarkStart w:id="164" w:name="_Toc184308081"/>
      <w:bookmarkEnd w:id="164"/>
      <w:bookmarkStart w:id="165" w:name="_Toc184312081"/>
      <w:bookmarkEnd w:id="165"/>
      <w:bookmarkStart w:id="166" w:name="_Toc184314466"/>
      <w:bookmarkEnd w:id="166"/>
      <w:bookmarkStart w:id="167" w:name="_Toc184308067"/>
      <w:bookmarkEnd w:id="167"/>
      <w:bookmarkStart w:id="168" w:name="_Toc184313288"/>
      <w:bookmarkEnd w:id="168"/>
      <w:bookmarkStart w:id="169" w:name="_Toc184314419"/>
      <w:bookmarkEnd w:id="169"/>
      <w:bookmarkStart w:id="170" w:name="_Toc184313269"/>
      <w:bookmarkEnd w:id="170"/>
      <w:bookmarkStart w:id="171" w:name="_Toc184313245"/>
      <w:bookmarkEnd w:id="171"/>
      <w:bookmarkStart w:id="172" w:name="_Toc184314473"/>
      <w:bookmarkEnd w:id="172"/>
      <w:bookmarkStart w:id="173" w:name="_Toc184314467"/>
      <w:bookmarkEnd w:id="173"/>
      <w:bookmarkStart w:id="174" w:name="_Toc184314472"/>
      <w:bookmarkEnd w:id="174"/>
      <w:bookmarkStart w:id="175" w:name="_Toc184308091"/>
      <w:bookmarkEnd w:id="175"/>
      <w:bookmarkStart w:id="176" w:name="_Toc184313298"/>
      <w:bookmarkEnd w:id="176"/>
      <w:bookmarkStart w:id="177" w:name="_Toc184308071"/>
      <w:bookmarkEnd w:id="177"/>
      <w:bookmarkStart w:id="178" w:name="_Toc184310334"/>
      <w:bookmarkEnd w:id="178"/>
      <w:bookmarkStart w:id="179" w:name="_Toc184314429"/>
      <w:bookmarkEnd w:id="179"/>
      <w:bookmarkStart w:id="180" w:name="_Toc184314437"/>
      <w:bookmarkEnd w:id="180"/>
      <w:bookmarkStart w:id="181" w:name="_Toc184313258"/>
      <w:bookmarkEnd w:id="181"/>
      <w:bookmarkStart w:id="182" w:name="_Toc184314478"/>
      <w:bookmarkEnd w:id="182"/>
      <w:bookmarkStart w:id="183" w:name="_Toc184313282"/>
      <w:bookmarkEnd w:id="183"/>
      <w:bookmarkStart w:id="184" w:name="_Toc184312103"/>
      <w:bookmarkEnd w:id="184"/>
      <w:bookmarkStart w:id="185" w:name="_Toc184310315"/>
      <w:bookmarkEnd w:id="185"/>
      <w:bookmarkStart w:id="186" w:name="_Toc184313253"/>
      <w:bookmarkEnd w:id="186"/>
      <w:bookmarkStart w:id="187" w:name="_Toc184314460"/>
      <w:bookmarkEnd w:id="187"/>
      <w:bookmarkStart w:id="188" w:name="_Toc184310340"/>
      <w:bookmarkEnd w:id="188"/>
      <w:bookmarkStart w:id="189" w:name="_Toc184308080"/>
      <w:bookmarkEnd w:id="189"/>
      <w:bookmarkStart w:id="190" w:name="_Toc184308093"/>
      <w:bookmarkEnd w:id="190"/>
      <w:bookmarkStart w:id="191" w:name="_Toc184314451"/>
      <w:bookmarkEnd w:id="191"/>
      <w:bookmarkStart w:id="192" w:name="_Toc184310290"/>
      <w:bookmarkEnd w:id="192"/>
      <w:bookmarkStart w:id="193" w:name="_Toc184310276"/>
      <w:bookmarkEnd w:id="193"/>
      <w:bookmarkStart w:id="194" w:name="_Toc184314479"/>
      <w:bookmarkEnd w:id="194"/>
      <w:bookmarkStart w:id="195" w:name="_Toc184312135"/>
      <w:bookmarkEnd w:id="195"/>
      <w:bookmarkStart w:id="196" w:name="_Toc184312079"/>
      <w:bookmarkEnd w:id="196"/>
      <w:bookmarkStart w:id="197" w:name="_Toc184312126"/>
      <w:bookmarkEnd w:id="197"/>
      <w:bookmarkStart w:id="198" w:name="_Toc184314415"/>
      <w:bookmarkEnd w:id="198"/>
      <w:bookmarkStart w:id="199" w:name="_Toc184314446"/>
      <w:bookmarkEnd w:id="199"/>
      <w:bookmarkStart w:id="200" w:name="_Toc184313243"/>
      <w:bookmarkEnd w:id="200"/>
      <w:bookmarkStart w:id="201" w:name="_Toc184313244"/>
      <w:bookmarkEnd w:id="201"/>
      <w:bookmarkStart w:id="202" w:name="_Toc184314424"/>
      <w:bookmarkEnd w:id="202"/>
      <w:bookmarkStart w:id="203" w:name="_Toc184310304"/>
      <w:bookmarkEnd w:id="203"/>
      <w:bookmarkStart w:id="204" w:name="_Toc184310302"/>
      <w:bookmarkEnd w:id="204"/>
      <w:bookmarkStart w:id="205" w:name="_Toc184313262"/>
      <w:bookmarkEnd w:id="205"/>
      <w:bookmarkStart w:id="206" w:name="_Toc184314442"/>
      <w:bookmarkEnd w:id="206"/>
      <w:bookmarkStart w:id="207" w:name="_Toc184314474"/>
      <w:bookmarkEnd w:id="207"/>
      <w:bookmarkStart w:id="208" w:name="_Toc184312083"/>
      <w:bookmarkEnd w:id="208"/>
      <w:bookmarkStart w:id="209" w:name="_Toc184314463"/>
      <w:bookmarkEnd w:id="209"/>
      <w:bookmarkStart w:id="210" w:name="_Toc184314423"/>
      <w:bookmarkEnd w:id="210"/>
      <w:bookmarkStart w:id="211" w:name="_Toc184310335"/>
      <w:bookmarkEnd w:id="211"/>
      <w:bookmarkStart w:id="212" w:name="_Toc184314418"/>
      <w:bookmarkEnd w:id="212"/>
      <w:bookmarkStart w:id="213" w:name="_Toc184313257"/>
      <w:bookmarkEnd w:id="213"/>
      <w:bookmarkStart w:id="214" w:name="_Toc184310323"/>
      <w:bookmarkEnd w:id="214"/>
      <w:bookmarkStart w:id="215" w:name="_Toc184308055"/>
      <w:bookmarkEnd w:id="215"/>
      <w:bookmarkStart w:id="216" w:name="_Toc184314462"/>
      <w:bookmarkEnd w:id="216"/>
      <w:bookmarkStart w:id="217" w:name="_Toc184310291"/>
      <w:bookmarkEnd w:id="217"/>
      <w:bookmarkStart w:id="218" w:name="_Toc184308089"/>
      <w:bookmarkEnd w:id="218"/>
      <w:bookmarkStart w:id="219" w:name="_Toc184308092"/>
      <w:bookmarkEnd w:id="219"/>
      <w:bookmarkStart w:id="220" w:name="_Toc184313295"/>
      <w:bookmarkEnd w:id="220"/>
      <w:bookmarkStart w:id="221" w:name="_Toc184313307"/>
      <w:bookmarkEnd w:id="221"/>
      <w:bookmarkStart w:id="222" w:name="_Toc184313261"/>
      <w:bookmarkEnd w:id="222"/>
      <w:bookmarkStart w:id="223" w:name="_Toc184314439"/>
      <w:bookmarkEnd w:id="223"/>
      <w:bookmarkStart w:id="224" w:name="_Toc184313256"/>
      <w:bookmarkEnd w:id="224"/>
      <w:bookmarkStart w:id="225" w:name="_Toc184314482"/>
      <w:bookmarkEnd w:id="225"/>
      <w:bookmarkStart w:id="226" w:name="_Toc184313273"/>
      <w:bookmarkEnd w:id="226"/>
      <w:bookmarkStart w:id="227" w:name="_Toc184312095"/>
      <w:bookmarkEnd w:id="227"/>
      <w:bookmarkStart w:id="228" w:name="_Toc184314433"/>
      <w:bookmarkEnd w:id="228"/>
      <w:bookmarkStart w:id="229" w:name="_Toc184312132"/>
      <w:bookmarkEnd w:id="229"/>
      <w:bookmarkStart w:id="230" w:name="_Toc184308060"/>
      <w:bookmarkEnd w:id="230"/>
      <w:bookmarkStart w:id="231" w:name="_Toc184312125"/>
      <w:bookmarkEnd w:id="231"/>
      <w:bookmarkStart w:id="232" w:name="_Toc184308041"/>
      <w:bookmarkEnd w:id="232"/>
      <w:bookmarkStart w:id="233" w:name="_Toc184312133"/>
      <w:bookmarkEnd w:id="233"/>
      <w:bookmarkStart w:id="234" w:name="_Toc184310283"/>
      <w:bookmarkEnd w:id="234"/>
      <w:bookmarkStart w:id="235" w:name="_Toc184312098"/>
      <w:bookmarkEnd w:id="235"/>
      <w:bookmarkStart w:id="236" w:name="_Toc184313299"/>
      <w:bookmarkEnd w:id="236"/>
      <w:bookmarkStart w:id="237" w:name="_Toc184312128"/>
      <w:bookmarkEnd w:id="237"/>
      <w:bookmarkStart w:id="238" w:name="_Toc184312091"/>
      <w:bookmarkEnd w:id="238"/>
      <w:bookmarkStart w:id="239" w:name="_Toc184308068"/>
      <w:bookmarkEnd w:id="239"/>
      <w:bookmarkStart w:id="240" w:name="_Toc184308066"/>
      <w:bookmarkEnd w:id="240"/>
      <w:bookmarkStart w:id="241" w:name="_Toc184308085"/>
      <w:bookmarkEnd w:id="241"/>
      <w:bookmarkStart w:id="242" w:name="_Toc184313287"/>
      <w:bookmarkEnd w:id="242"/>
      <w:bookmarkStart w:id="243" w:name="_Toc184310295"/>
      <w:bookmarkEnd w:id="243"/>
      <w:bookmarkStart w:id="244" w:name="_Toc184310277"/>
      <w:bookmarkEnd w:id="244"/>
      <w:bookmarkStart w:id="245" w:name="_Toc184310280"/>
      <w:bookmarkEnd w:id="245"/>
      <w:bookmarkStart w:id="246" w:name="_Toc184308051"/>
      <w:bookmarkEnd w:id="246"/>
      <w:bookmarkStart w:id="247" w:name="_Toc184310306"/>
      <w:bookmarkEnd w:id="247"/>
      <w:bookmarkStart w:id="248" w:name="_Toc184314481"/>
      <w:bookmarkEnd w:id="248"/>
      <w:bookmarkStart w:id="249" w:name="_Toc184313277"/>
      <w:bookmarkEnd w:id="249"/>
      <w:bookmarkStart w:id="250" w:name="_Toc184310308"/>
      <w:bookmarkEnd w:id="250"/>
      <w:bookmarkStart w:id="251" w:name="_Toc184310331"/>
      <w:bookmarkEnd w:id="251"/>
      <w:bookmarkStart w:id="252" w:name="_Toc184310329"/>
      <w:bookmarkEnd w:id="252"/>
      <w:bookmarkStart w:id="253" w:name="_Toc184313248"/>
      <w:bookmarkEnd w:id="253"/>
      <w:bookmarkStart w:id="254" w:name="_Toc184313283"/>
      <w:bookmarkEnd w:id="254"/>
      <w:bookmarkStart w:id="255" w:name="_Toc184314417"/>
      <w:bookmarkEnd w:id="255"/>
      <w:bookmarkStart w:id="256" w:name="_Toc184312121"/>
      <w:bookmarkEnd w:id="256"/>
      <w:bookmarkStart w:id="257" w:name="_Toc184312137"/>
      <w:bookmarkEnd w:id="257"/>
      <w:bookmarkStart w:id="258" w:name="_Toc184310284"/>
      <w:bookmarkEnd w:id="258"/>
      <w:bookmarkStart w:id="259" w:name="_Toc184312097"/>
      <w:bookmarkEnd w:id="259"/>
      <w:bookmarkStart w:id="260" w:name="_Toc184314465"/>
      <w:bookmarkEnd w:id="260"/>
      <w:bookmarkStart w:id="261" w:name="_Toc184313301"/>
      <w:bookmarkEnd w:id="261"/>
      <w:bookmarkStart w:id="262" w:name="_Toc184312067"/>
      <w:bookmarkEnd w:id="262"/>
      <w:bookmarkStart w:id="263" w:name="_Toc184310275"/>
      <w:bookmarkEnd w:id="263"/>
      <w:bookmarkStart w:id="264" w:name="_Toc184310298"/>
      <w:bookmarkEnd w:id="264"/>
      <w:bookmarkStart w:id="265" w:name="_Toc184312134"/>
      <w:bookmarkEnd w:id="265"/>
      <w:bookmarkStart w:id="266" w:name="_Toc184308098"/>
      <w:bookmarkEnd w:id="266"/>
      <w:bookmarkStart w:id="267" w:name="_Toc184310273"/>
      <w:bookmarkEnd w:id="267"/>
      <w:bookmarkStart w:id="268" w:name="_Toc184313310"/>
      <w:bookmarkEnd w:id="268"/>
      <w:bookmarkStart w:id="269" w:name="_Toc184314449"/>
      <w:bookmarkEnd w:id="269"/>
      <w:bookmarkStart w:id="270" w:name="_Toc184310292"/>
      <w:bookmarkEnd w:id="270"/>
      <w:bookmarkStart w:id="271" w:name="_Toc184314455"/>
      <w:bookmarkEnd w:id="271"/>
      <w:bookmarkStart w:id="272" w:name="_Toc184310332"/>
      <w:bookmarkEnd w:id="272"/>
      <w:bookmarkStart w:id="273" w:name="_Toc184313264"/>
      <w:bookmarkEnd w:id="273"/>
      <w:bookmarkStart w:id="274" w:name="_Toc184312090"/>
      <w:bookmarkEnd w:id="274"/>
      <w:bookmarkStart w:id="275" w:name="_Toc184313246"/>
      <w:bookmarkEnd w:id="275"/>
      <w:bookmarkStart w:id="276" w:name="_Toc184312114"/>
      <w:bookmarkEnd w:id="276"/>
      <w:bookmarkStart w:id="277" w:name="_Toc184308082"/>
      <w:bookmarkEnd w:id="277"/>
      <w:bookmarkStart w:id="278" w:name="_Toc184313309"/>
      <w:bookmarkEnd w:id="278"/>
      <w:bookmarkStart w:id="279" w:name="_Toc184312077"/>
      <w:bookmarkEnd w:id="279"/>
      <w:bookmarkStart w:id="280" w:name="_Toc184310313"/>
      <w:bookmarkEnd w:id="280"/>
      <w:bookmarkStart w:id="281" w:name="_Toc184313305"/>
      <w:bookmarkEnd w:id="281"/>
      <w:bookmarkStart w:id="282" w:name="_Toc184310288"/>
      <w:bookmarkEnd w:id="282"/>
      <w:bookmarkStart w:id="283" w:name="_Toc184313284"/>
      <w:bookmarkEnd w:id="283"/>
      <w:bookmarkStart w:id="284" w:name="_Toc184312107"/>
      <w:bookmarkEnd w:id="284"/>
      <w:bookmarkStart w:id="285" w:name="_Toc184314432"/>
      <w:bookmarkEnd w:id="285"/>
      <w:bookmarkStart w:id="286" w:name="_Toc184314420"/>
      <w:bookmarkEnd w:id="286"/>
      <w:bookmarkStart w:id="287" w:name="_Toc184308065"/>
      <w:bookmarkEnd w:id="287"/>
      <w:bookmarkStart w:id="288" w:name="_Toc184310286"/>
      <w:bookmarkEnd w:id="288"/>
      <w:bookmarkStart w:id="289" w:name="_Toc184312089"/>
      <w:bookmarkEnd w:id="289"/>
      <w:bookmarkStart w:id="290" w:name="_Toc184310311"/>
      <w:bookmarkEnd w:id="290"/>
      <w:bookmarkStart w:id="291" w:name="_Toc184310336"/>
      <w:bookmarkEnd w:id="291"/>
      <w:bookmarkStart w:id="292" w:name="_Toc184308074"/>
      <w:bookmarkEnd w:id="292"/>
      <w:bookmarkStart w:id="293" w:name="_Toc184312130"/>
      <w:bookmarkEnd w:id="293"/>
      <w:bookmarkStart w:id="294" w:name="_Toc184312068"/>
      <w:bookmarkEnd w:id="294"/>
      <w:bookmarkStart w:id="295" w:name="_Toc184312080"/>
      <w:bookmarkEnd w:id="295"/>
      <w:bookmarkStart w:id="296" w:name="_Toc184312108"/>
      <w:bookmarkEnd w:id="296"/>
      <w:bookmarkStart w:id="297" w:name="_Toc184310326"/>
      <w:bookmarkEnd w:id="297"/>
      <w:bookmarkStart w:id="298" w:name="_Toc184308099"/>
      <w:bookmarkEnd w:id="298"/>
      <w:bookmarkStart w:id="299" w:name="_Toc184308070"/>
      <w:bookmarkEnd w:id="299"/>
      <w:bookmarkStart w:id="300" w:name="_Toc184312113"/>
      <w:bookmarkEnd w:id="300"/>
      <w:bookmarkStart w:id="301" w:name="_Toc184312082"/>
      <w:bookmarkEnd w:id="301"/>
      <w:bookmarkStart w:id="302" w:name="_Toc184313250"/>
      <w:bookmarkEnd w:id="302"/>
      <w:bookmarkStart w:id="303" w:name="_Toc184313267"/>
      <w:bookmarkEnd w:id="303"/>
      <w:bookmarkStart w:id="304" w:name="_Toc184314422"/>
      <w:bookmarkEnd w:id="304"/>
      <w:bookmarkStart w:id="305" w:name="_Toc184313265"/>
      <w:bookmarkEnd w:id="305"/>
      <w:bookmarkStart w:id="306" w:name="_Toc184312118"/>
      <w:bookmarkEnd w:id="306"/>
      <w:bookmarkStart w:id="307" w:name="_Toc184308040"/>
      <w:bookmarkEnd w:id="307"/>
      <w:bookmarkStart w:id="308" w:name="_Toc184308053"/>
      <w:bookmarkEnd w:id="308"/>
      <w:bookmarkStart w:id="309" w:name="_Toc184313268"/>
      <w:bookmarkEnd w:id="309"/>
      <w:bookmarkStart w:id="310" w:name="_Toc184310296"/>
      <w:bookmarkEnd w:id="310"/>
      <w:bookmarkStart w:id="311" w:name="_Toc184308079"/>
      <w:bookmarkEnd w:id="311"/>
      <w:bookmarkStart w:id="312" w:name="_Toc184310330"/>
      <w:bookmarkEnd w:id="312"/>
      <w:bookmarkStart w:id="313" w:name="_Toc184308104"/>
      <w:bookmarkEnd w:id="313"/>
      <w:bookmarkStart w:id="314" w:name="_Toc184312101"/>
      <w:bookmarkEnd w:id="314"/>
      <w:bookmarkStart w:id="315" w:name="_Toc184312122"/>
      <w:bookmarkEnd w:id="315"/>
      <w:bookmarkStart w:id="316" w:name="_Toc184312115"/>
      <w:bookmarkEnd w:id="316"/>
      <w:bookmarkStart w:id="317" w:name="_Toc184312105"/>
      <w:bookmarkEnd w:id="317"/>
      <w:bookmarkStart w:id="318" w:name="_Toc184308063"/>
      <w:bookmarkEnd w:id="318"/>
      <w:bookmarkStart w:id="319" w:name="_Toc184313240"/>
      <w:bookmarkEnd w:id="319"/>
      <w:bookmarkStart w:id="320" w:name="_Toc184314435"/>
      <w:bookmarkEnd w:id="320"/>
      <w:bookmarkStart w:id="321" w:name="_Toc184308061"/>
      <w:bookmarkEnd w:id="321"/>
      <w:bookmarkStart w:id="322" w:name="_Toc184312073"/>
      <w:bookmarkEnd w:id="322"/>
      <w:bookmarkStart w:id="323" w:name="_Toc184313306"/>
      <w:bookmarkEnd w:id="323"/>
      <w:bookmarkStart w:id="324" w:name="_Toc184310303"/>
      <w:bookmarkEnd w:id="324"/>
      <w:bookmarkStart w:id="325" w:name="_Toc184312078"/>
      <w:bookmarkEnd w:id="325"/>
      <w:bookmarkStart w:id="326" w:name="_Toc184313255"/>
      <w:bookmarkEnd w:id="326"/>
      <w:bookmarkStart w:id="327" w:name="_Toc184308058"/>
      <w:bookmarkEnd w:id="327"/>
      <w:bookmarkStart w:id="328" w:name="_Toc184310325"/>
      <w:bookmarkEnd w:id="328"/>
      <w:bookmarkStart w:id="329" w:name="_Toc184313272"/>
      <w:bookmarkEnd w:id="329"/>
      <w:bookmarkStart w:id="330" w:name="_Toc184310319"/>
      <w:bookmarkEnd w:id="330"/>
      <w:bookmarkStart w:id="331" w:name="_Toc184313242"/>
      <w:bookmarkEnd w:id="331"/>
      <w:bookmarkStart w:id="332" w:name="_Toc184314477"/>
      <w:bookmarkEnd w:id="332"/>
      <w:bookmarkStart w:id="333" w:name="_Toc184308049"/>
      <w:bookmarkEnd w:id="333"/>
      <w:bookmarkStart w:id="334" w:name="_Toc184310341"/>
      <w:bookmarkEnd w:id="334"/>
      <w:bookmarkStart w:id="335" w:name="_Toc184312075"/>
      <w:bookmarkEnd w:id="335"/>
      <w:bookmarkStart w:id="336" w:name="_Toc184314445"/>
      <w:bookmarkEnd w:id="336"/>
      <w:bookmarkStart w:id="337" w:name="_Toc184312119"/>
      <w:bookmarkEnd w:id="337"/>
      <w:bookmarkStart w:id="338" w:name="_Toc184313251"/>
      <w:bookmarkEnd w:id="338"/>
      <w:bookmarkStart w:id="339" w:name="_Toc184313278"/>
      <w:bookmarkEnd w:id="339"/>
      <w:bookmarkStart w:id="340" w:name="_Toc184313270"/>
      <w:bookmarkEnd w:id="340"/>
      <w:bookmarkStart w:id="341" w:name="_Toc184313252"/>
      <w:bookmarkEnd w:id="341"/>
      <w:bookmarkStart w:id="342" w:name="_Toc184308043"/>
      <w:bookmarkEnd w:id="342"/>
      <w:bookmarkStart w:id="343" w:name="_Toc184313281"/>
      <w:bookmarkEnd w:id="343"/>
      <w:bookmarkStart w:id="344" w:name="_Toc184314480"/>
      <w:bookmarkEnd w:id="344"/>
      <w:bookmarkStart w:id="345" w:name="_Toc184308108"/>
      <w:bookmarkEnd w:id="345"/>
      <w:bookmarkStart w:id="346" w:name="_Toc184312106"/>
      <w:bookmarkEnd w:id="346"/>
      <w:bookmarkStart w:id="347" w:name="_Toc184312096"/>
      <w:bookmarkEnd w:id="347"/>
      <w:bookmarkStart w:id="348" w:name="_Toc184314416"/>
      <w:bookmarkEnd w:id="348"/>
      <w:bookmarkStart w:id="349" w:name="_Toc184314470"/>
      <w:bookmarkEnd w:id="349"/>
      <w:bookmarkStart w:id="350" w:name="_Toc184310309"/>
      <w:bookmarkEnd w:id="350"/>
      <w:bookmarkStart w:id="351" w:name="_Toc184308095"/>
      <w:bookmarkEnd w:id="351"/>
      <w:bookmarkStart w:id="352" w:name="_Toc184314438"/>
      <w:bookmarkEnd w:id="352"/>
      <w:bookmarkStart w:id="353" w:name="_Toc184312129"/>
      <w:bookmarkEnd w:id="353"/>
      <w:bookmarkStart w:id="354" w:name="_Toc184310278"/>
      <w:bookmarkEnd w:id="354"/>
      <w:bookmarkStart w:id="355" w:name="_Toc184310279"/>
      <w:bookmarkEnd w:id="355"/>
      <w:bookmarkStart w:id="356" w:name="_Toc184308096"/>
      <w:bookmarkEnd w:id="356"/>
      <w:bookmarkStart w:id="357" w:name="_Toc184310342"/>
      <w:bookmarkEnd w:id="357"/>
      <w:bookmarkStart w:id="358" w:name="_Toc184313285"/>
      <w:bookmarkEnd w:id="358"/>
      <w:bookmarkStart w:id="359" w:name="_Toc184313286"/>
      <w:bookmarkEnd w:id="359"/>
      <w:bookmarkStart w:id="360" w:name="_Toc184314440"/>
      <w:bookmarkEnd w:id="360"/>
      <w:bookmarkStart w:id="361" w:name="_Toc184308076"/>
      <w:bookmarkEnd w:id="361"/>
      <w:bookmarkStart w:id="362" w:name="_Toc184310282"/>
      <w:bookmarkEnd w:id="362"/>
      <w:bookmarkStart w:id="363" w:name="_Toc184310312"/>
      <w:bookmarkEnd w:id="363"/>
      <w:bookmarkStart w:id="364" w:name="_Toc184308087"/>
      <w:bookmarkEnd w:id="364"/>
      <w:bookmarkStart w:id="365" w:name="_Toc184308090"/>
      <w:bookmarkEnd w:id="365"/>
      <w:bookmarkStart w:id="366" w:name="_Toc184310328"/>
      <w:bookmarkEnd w:id="366"/>
      <w:bookmarkStart w:id="367" w:name="_Toc184308069"/>
      <w:bookmarkEnd w:id="367"/>
      <w:bookmarkStart w:id="368" w:name="_Toc184314428"/>
      <w:bookmarkEnd w:id="368"/>
      <w:bookmarkStart w:id="369" w:name="_Toc184308050"/>
      <w:bookmarkEnd w:id="369"/>
      <w:bookmarkStart w:id="370" w:name="_Toc184308075"/>
      <w:bookmarkEnd w:id="370"/>
      <w:bookmarkStart w:id="371" w:name="_Toc184312086"/>
      <w:bookmarkEnd w:id="371"/>
      <w:bookmarkStart w:id="372" w:name="_Toc184314447"/>
      <w:bookmarkEnd w:id="372"/>
      <w:bookmarkStart w:id="373" w:name="_Toc184313290"/>
      <w:bookmarkEnd w:id="373"/>
      <w:bookmarkStart w:id="374" w:name="_Toc184314431"/>
      <w:bookmarkEnd w:id="374"/>
      <w:bookmarkStart w:id="375" w:name="_Toc184308042"/>
      <w:bookmarkEnd w:id="375"/>
      <w:bookmarkStart w:id="376" w:name="_Toc184314427"/>
      <w:bookmarkEnd w:id="376"/>
      <w:bookmarkStart w:id="377" w:name="_Toc184310297"/>
      <w:bookmarkEnd w:id="377"/>
      <w:bookmarkStart w:id="378" w:name="_Toc184314441"/>
      <w:bookmarkEnd w:id="378"/>
      <w:bookmarkStart w:id="379" w:name="_Toc184310272"/>
      <w:bookmarkEnd w:id="379"/>
      <w:bookmarkStart w:id="380" w:name="_Toc184308057"/>
      <w:bookmarkEnd w:id="380"/>
      <w:bookmarkStart w:id="381" w:name="_Toc184313292"/>
      <w:bookmarkEnd w:id="381"/>
      <w:bookmarkStart w:id="382" w:name="_Toc184314410"/>
      <w:bookmarkEnd w:id="382"/>
      <w:bookmarkStart w:id="383" w:name="_Toc184314471"/>
      <w:bookmarkEnd w:id="383"/>
      <w:bookmarkStart w:id="384" w:name="_Toc184312069"/>
      <w:bookmarkEnd w:id="384"/>
      <w:bookmarkStart w:id="385" w:name="_Toc184308102"/>
      <w:bookmarkEnd w:id="385"/>
      <w:r>
        <w:rPr>
          <w:rFonts w:hint="eastAsia" w:ascii="宋体" w:hAnsi="宋体" w:cs="宋体"/>
          <w:b/>
          <w:color w:val="000000" w:themeColor="text1"/>
          <w:sz w:val="36"/>
          <w:szCs w:val="36"/>
          <w14:textFill>
            <w14:solidFill>
              <w14:schemeClr w14:val="tx1"/>
            </w14:solidFill>
          </w14:textFill>
        </w:rPr>
        <w:t>评标办法</w:t>
      </w:r>
    </w:p>
    <w:p>
      <w:pPr>
        <w:spacing w:afterLines="50" w:line="240" w:lineRule="auto"/>
        <w:rPr>
          <w:rFonts w:ascii="宋体" w:hAnsi="宋体"/>
          <w:b/>
          <w:sz w:val="24"/>
        </w:rPr>
      </w:pPr>
      <w:r>
        <w:rPr>
          <w:rFonts w:hint="eastAsia" w:ascii="宋体" w:hAnsi="宋体"/>
          <w:b/>
          <w:sz w:val="24"/>
        </w:rPr>
        <w:t>一、总则</w:t>
      </w:r>
    </w:p>
    <w:p>
      <w:pPr>
        <w:spacing w:afterLines="50" w:line="360" w:lineRule="auto"/>
        <w:ind w:firstLine="480" w:firstLineChars="200"/>
        <w:rPr>
          <w:rFonts w:ascii="宋体" w:hAnsi="宋体"/>
          <w:sz w:val="24"/>
          <w:lang w:val="zh-CN"/>
        </w:rPr>
      </w:pPr>
      <w:r>
        <w:rPr>
          <w:rFonts w:hint="eastAsia" w:ascii="宋体" w:hAnsi="宋体"/>
          <w:sz w:val="24"/>
          <w:lang w:val="zh-CN"/>
        </w:rPr>
        <w:t>本次评标采用综合评分法。合格投标人的评标得分为各项目汇总得分，中标候选资格按评标得分由高到低顺序排列，得分相同的，按投标报价由低到高顺序排列。综合得分排名第一的投标人为中标候选人，评分过程中采用四舍五入法，并保留小数2位。</w:t>
      </w:r>
    </w:p>
    <w:p>
      <w:pPr>
        <w:autoSpaceDE w:val="0"/>
        <w:autoSpaceDN w:val="0"/>
        <w:adjustRightInd w:val="0"/>
        <w:spacing w:line="360" w:lineRule="auto"/>
        <w:rPr>
          <w:rFonts w:ascii="宋体" w:hAnsi="宋体"/>
          <w:b/>
          <w:sz w:val="24"/>
        </w:rPr>
      </w:pPr>
      <w:r>
        <w:rPr>
          <w:rFonts w:hint="eastAsia" w:ascii="宋体" w:hAnsi="宋体"/>
          <w:b/>
          <w:sz w:val="24"/>
        </w:rPr>
        <w:t>二、评标内容及标准</w:t>
      </w:r>
    </w:p>
    <w:p>
      <w:pPr>
        <w:widowControl/>
        <w:spacing w:line="276" w:lineRule="auto"/>
        <w:jc w:val="left"/>
        <w:rPr>
          <w:rFonts w:ascii="宋体" w:hAnsi="宋体"/>
          <w:b/>
          <w:bCs/>
          <w:sz w:val="24"/>
        </w:rPr>
      </w:pPr>
      <w:r>
        <w:rPr>
          <w:rFonts w:hint="eastAsia" w:ascii="宋体" w:hAnsi="宋体"/>
          <w:b/>
          <w:bCs/>
          <w:sz w:val="24"/>
        </w:rPr>
        <w:t>（一）价格分（20分）</w:t>
      </w:r>
    </w:p>
    <w:p>
      <w:pPr>
        <w:autoSpaceDE w:val="0"/>
        <w:autoSpaceDN w:val="0"/>
        <w:adjustRightInd w:val="0"/>
        <w:spacing w:line="360" w:lineRule="auto"/>
        <w:ind w:firstLine="437"/>
        <w:rPr>
          <w:rFonts w:ascii="宋体" w:hAnsi="宋体"/>
          <w:sz w:val="24"/>
          <w:lang w:val="zh-CN"/>
        </w:rPr>
      </w:pPr>
      <w:r>
        <w:rPr>
          <w:rFonts w:ascii="宋体" w:hAnsi="宋体"/>
          <w:sz w:val="24"/>
          <w:lang w:val="zh-CN"/>
        </w:rPr>
        <w:t>1</w:t>
      </w:r>
      <w:r>
        <w:rPr>
          <w:rFonts w:hint="eastAsia" w:ascii="宋体" w:hAnsi="宋体"/>
          <w:sz w:val="24"/>
          <w:lang w:val="zh-CN"/>
        </w:rPr>
        <w:t>、价格分采用低价优先法计算，即满足招标文件要求且投标价格最低的投标报价为评标基准价，其他投标人的价格分按照下列公式计算：</w:t>
      </w:r>
    </w:p>
    <w:p>
      <w:pPr>
        <w:autoSpaceDE w:val="0"/>
        <w:autoSpaceDN w:val="0"/>
        <w:adjustRightInd w:val="0"/>
        <w:spacing w:line="276" w:lineRule="auto"/>
        <w:ind w:firstLine="437"/>
        <w:rPr>
          <w:rFonts w:ascii="宋体" w:hAnsi="宋体"/>
          <w:color w:val="0000FF"/>
          <w:sz w:val="24"/>
        </w:rPr>
      </w:pPr>
      <w:r>
        <w:rPr>
          <w:rFonts w:hint="eastAsia" w:ascii="宋体" w:hAnsi="宋体"/>
          <w:sz w:val="24"/>
          <w:lang w:val="zh-CN"/>
        </w:rPr>
        <w:t>价格分</w:t>
      </w:r>
      <w:r>
        <w:rPr>
          <w:rFonts w:ascii="宋体" w:hAnsi="宋体"/>
          <w:sz w:val="24"/>
          <w:lang w:val="zh-CN"/>
        </w:rPr>
        <w:t>=</w:t>
      </w:r>
      <w:r>
        <w:rPr>
          <w:rFonts w:hint="eastAsia" w:ascii="宋体" w:hAnsi="宋体"/>
          <w:sz w:val="24"/>
          <w:lang w:val="zh-CN"/>
        </w:rPr>
        <w:t>（评标基准价</w:t>
      </w:r>
      <w:r>
        <w:rPr>
          <w:rFonts w:ascii="宋体" w:hAnsi="宋体"/>
          <w:sz w:val="24"/>
          <w:lang w:val="zh-CN"/>
        </w:rPr>
        <w:t>/</w:t>
      </w:r>
      <w:r>
        <w:rPr>
          <w:rFonts w:hint="eastAsia" w:ascii="宋体" w:hAnsi="宋体"/>
          <w:sz w:val="24"/>
          <w:lang w:val="zh-CN"/>
        </w:rPr>
        <w:t>投标报价）×20</w:t>
      </w:r>
    </w:p>
    <w:p>
      <w:pPr>
        <w:autoSpaceDE w:val="0"/>
        <w:autoSpaceDN w:val="0"/>
        <w:adjustRightInd w:val="0"/>
        <w:spacing w:line="276" w:lineRule="auto"/>
        <w:ind w:left="557" w:leftChars="208" w:hanging="120" w:hangingChars="50"/>
        <w:rPr>
          <w:rFonts w:ascii="宋体" w:hAnsi="宋体"/>
          <w:sz w:val="24"/>
          <w:lang w:val="zh-CN"/>
        </w:rPr>
      </w:pPr>
      <w:r>
        <w:rPr>
          <w:rFonts w:hint="eastAsia" w:ascii="宋体" w:hAnsi="宋体" w:cs="宋体"/>
          <w:sz w:val="24"/>
        </w:rPr>
        <w:t>★</w:t>
      </w:r>
      <w:r>
        <w:rPr>
          <w:rFonts w:hint="eastAsia" w:ascii="宋体" w:hAnsi="宋体"/>
          <w:sz w:val="24"/>
          <w:lang w:val="zh-CN"/>
        </w:rPr>
        <w:t>2、投标人的投标报价超过设定的上限价的作为无效标处理。</w:t>
      </w:r>
      <w:r>
        <w:rPr>
          <w:rFonts w:hint="eastAsia" w:ascii="宋体" w:hAnsi="宋体" w:cs="宋体"/>
          <w:b/>
          <w:bCs/>
          <w:sz w:val="24"/>
        </w:rPr>
        <w:t>本项目最高限价为：</w:t>
      </w:r>
      <w:r>
        <w:rPr>
          <w:rFonts w:hint="eastAsia" w:ascii="宋体" w:hAnsi="宋体" w:cs="宋体"/>
          <w:b/>
          <w:bCs/>
          <w:color w:val="FF0000"/>
          <w:sz w:val="24"/>
          <w:u w:val="single"/>
          <w:lang w:eastAsia="zh-CN"/>
        </w:rPr>
        <w:t>44万元</w:t>
      </w:r>
      <w:r>
        <w:rPr>
          <w:rFonts w:hint="eastAsia" w:ascii="宋体" w:hAnsi="宋体" w:cs="宋体"/>
          <w:b/>
          <w:bCs/>
          <w:sz w:val="24"/>
        </w:rPr>
        <w:t>。</w:t>
      </w:r>
    </w:p>
    <w:p>
      <w:pPr>
        <w:tabs>
          <w:tab w:val="left" w:pos="3870"/>
          <w:tab w:val="left" w:pos="4085"/>
        </w:tabs>
        <w:snapToGrid w:val="0"/>
        <w:spacing w:afterLines="50" w:line="276" w:lineRule="auto"/>
        <w:ind w:firstLine="480" w:firstLineChars="200"/>
        <w:jc w:val="left"/>
        <w:rPr>
          <w:rFonts w:ascii="宋体" w:hAnsi="宋体" w:cs="宋体"/>
          <w:sz w:val="24"/>
        </w:rPr>
      </w:pPr>
      <w:r>
        <w:rPr>
          <w:rFonts w:hint="eastAsia" w:ascii="宋体" w:hAnsi="宋体" w:cs="宋体"/>
          <w:sz w:val="24"/>
        </w:rPr>
        <w:t>3.报价是中标的一个重要因素，但最低报价不是中标的唯一依据。</w:t>
      </w:r>
    </w:p>
    <w:p>
      <w:pPr>
        <w:pStyle w:val="24"/>
        <w:adjustRightInd w:val="0"/>
        <w:snapToGrid w:val="0"/>
        <w:spacing w:line="360" w:lineRule="auto"/>
        <w:ind w:firstLine="482"/>
        <w:rPr>
          <w:rFonts w:hAnsi="宋体"/>
          <w:b/>
          <w:bCs/>
          <w:sz w:val="24"/>
          <w:szCs w:val="24"/>
        </w:rPr>
      </w:pPr>
      <w:r>
        <w:rPr>
          <w:rFonts w:hint="eastAsia" w:hAnsi="宋体"/>
          <w:b/>
          <w:bCs/>
          <w:sz w:val="24"/>
          <w:szCs w:val="24"/>
        </w:rPr>
        <w:t>（二）商务技术部分的评分标准（80分）</w:t>
      </w:r>
    </w:p>
    <w:p>
      <w:pPr>
        <w:spacing w:line="360" w:lineRule="auto"/>
        <w:ind w:firstLine="482" w:firstLineChars="200"/>
        <w:jc w:val="center"/>
        <w:rPr>
          <w:rFonts w:asciiTheme="minorEastAsia" w:hAnsiTheme="minorEastAsia" w:eastAsiaTheme="minorEastAsia"/>
          <w:b/>
          <w:color w:val="000000" w:themeColor="text1"/>
          <w:sz w:val="24"/>
          <w:lang w:val="zh-CN"/>
          <w14:textFill>
            <w14:solidFill>
              <w14:schemeClr w14:val="tx1"/>
            </w14:solidFill>
          </w14:textFill>
        </w:rPr>
      </w:pPr>
      <w:r>
        <w:rPr>
          <w:rFonts w:hint="eastAsia" w:asciiTheme="minorEastAsia" w:hAnsiTheme="minorEastAsia" w:eastAsiaTheme="minorEastAsia"/>
          <w:b/>
          <w:color w:val="000000" w:themeColor="text1"/>
          <w:sz w:val="24"/>
          <w:lang w:val="zh-CN"/>
          <w14:textFill>
            <w14:solidFill>
              <w14:schemeClr w14:val="tx1"/>
            </w14:solidFill>
          </w14:textFill>
        </w:rPr>
        <w:t>评标办法前附表</w:t>
      </w:r>
    </w:p>
    <w:tbl>
      <w:tblPr>
        <w:tblStyle w:val="72"/>
        <w:tblW w:w="10812" w:type="dxa"/>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1371"/>
        <w:gridCol w:w="7555"/>
        <w:gridCol w:w="1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pStyle w:val="957"/>
              <w:spacing w:before="1" w:line="360" w:lineRule="auto"/>
              <w:ind w:right="140"/>
              <w:jc w:val="center"/>
              <w:rPr>
                <w:rFonts w:cs="Times New Roman"/>
                <w:sz w:val="24"/>
                <w:szCs w:val="24"/>
              </w:rPr>
            </w:pPr>
            <w:r>
              <w:rPr>
                <w:rFonts w:hint="eastAsia" w:cs="Times New Roman"/>
                <w:sz w:val="24"/>
                <w:szCs w:val="24"/>
              </w:rPr>
              <w:t>序号</w:t>
            </w:r>
          </w:p>
        </w:tc>
        <w:tc>
          <w:tcPr>
            <w:tcW w:w="1371" w:type="dxa"/>
            <w:tcBorders>
              <w:top w:val="single" w:color="000000" w:sz="4" w:space="0"/>
              <w:left w:val="single" w:color="000000" w:sz="4" w:space="0"/>
              <w:bottom w:val="single" w:color="000000" w:sz="4" w:space="0"/>
              <w:right w:val="single" w:color="000000" w:sz="4" w:space="0"/>
            </w:tcBorders>
            <w:vAlign w:val="center"/>
          </w:tcPr>
          <w:p>
            <w:pPr>
              <w:pStyle w:val="957"/>
              <w:spacing w:before="1" w:line="360" w:lineRule="auto"/>
              <w:jc w:val="center"/>
              <w:rPr>
                <w:rFonts w:cs="Times New Roman"/>
                <w:sz w:val="24"/>
                <w:szCs w:val="24"/>
              </w:rPr>
            </w:pPr>
            <w:r>
              <w:rPr>
                <w:rFonts w:hint="eastAsia" w:cs="Times New Roman"/>
                <w:sz w:val="24"/>
                <w:szCs w:val="24"/>
              </w:rPr>
              <w:t>评分因素</w:t>
            </w:r>
          </w:p>
        </w:tc>
        <w:tc>
          <w:tcPr>
            <w:tcW w:w="7555" w:type="dxa"/>
            <w:tcBorders>
              <w:top w:val="single" w:color="000000" w:sz="4" w:space="0"/>
              <w:left w:val="single" w:color="000000" w:sz="4" w:space="0"/>
              <w:bottom w:val="single" w:color="000000" w:sz="4" w:space="0"/>
              <w:right w:val="single" w:color="000000" w:sz="4" w:space="0"/>
            </w:tcBorders>
            <w:vAlign w:val="center"/>
          </w:tcPr>
          <w:p>
            <w:pPr>
              <w:pStyle w:val="957"/>
              <w:spacing w:line="360" w:lineRule="auto"/>
              <w:ind w:left="62" w:right="51"/>
              <w:jc w:val="center"/>
              <w:rPr>
                <w:rFonts w:cs="Times New Roman"/>
                <w:sz w:val="24"/>
                <w:szCs w:val="24"/>
              </w:rPr>
            </w:pPr>
            <w:r>
              <w:rPr>
                <w:rFonts w:hint="eastAsia" w:cs="Times New Roman"/>
                <w:sz w:val="24"/>
                <w:szCs w:val="24"/>
              </w:rPr>
              <w:t>评分细则</w:t>
            </w:r>
          </w:p>
        </w:tc>
        <w:tc>
          <w:tcPr>
            <w:tcW w:w="1036" w:type="dxa"/>
            <w:tcBorders>
              <w:top w:val="single" w:color="000000" w:sz="4" w:space="0"/>
              <w:left w:val="single" w:color="000000" w:sz="4" w:space="0"/>
              <w:bottom w:val="single" w:color="000000" w:sz="4" w:space="0"/>
              <w:right w:val="single" w:color="000000" w:sz="4" w:space="0"/>
            </w:tcBorders>
            <w:vAlign w:val="center"/>
          </w:tcPr>
          <w:p>
            <w:pPr>
              <w:pStyle w:val="957"/>
              <w:spacing w:before="165" w:line="360" w:lineRule="auto"/>
              <w:jc w:val="center"/>
              <w:rPr>
                <w:rFonts w:cs="Times New Roman"/>
                <w:sz w:val="24"/>
                <w:szCs w:val="24"/>
              </w:rPr>
            </w:pPr>
            <w:r>
              <w:rPr>
                <w:rFonts w:hint="eastAsia" w:cs="Times New Roman"/>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en-US"/>
              </w:rPr>
            </w:pPr>
            <w:r>
              <w:rPr>
                <w:rFonts w:hint="eastAsia" w:ascii="宋体" w:hAnsi="宋体" w:eastAsia="宋体" w:cs="宋体"/>
                <w:sz w:val="22"/>
                <w:szCs w:val="22"/>
                <w:highlight w:val="none"/>
                <w:lang w:val="en-US" w:eastAsia="en-US"/>
              </w:rPr>
              <w:t>1</w:t>
            </w:r>
          </w:p>
        </w:tc>
        <w:tc>
          <w:tcPr>
            <w:tcW w:w="1371"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en-US"/>
              </w:rPr>
            </w:pPr>
            <w:r>
              <w:rPr>
                <w:rFonts w:hint="eastAsia" w:ascii="宋体" w:hAnsi="宋体" w:eastAsia="宋体" w:cs="宋体"/>
                <w:sz w:val="22"/>
                <w:szCs w:val="22"/>
                <w:highlight w:val="none"/>
                <w:lang w:val="en-US" w:eastAsia="en-US"/>
              </w:rPr>
              <w:t>投标人资</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en-US"/>
              </w:rPr>
            </w:pPr>
            <w:r>
              <w:rPr>
                <w:rFonts w:hint="eastAsia" w:ascii="宋体" w:hAnsi="宋体" w:eastAsia="宋体" w:cs="宋体"/>
                <w:sz w:val="22"/>
                <w:szCs w:val="22"/>
                <w:highlight w:val="none"/>
                <w:lang w:val="en-US" w:eastAsia="en-US"/>
              </w:rPr>
              <w:t>信能力</w:t>
            </w:r>
          </w:p>
        </w:tc>
        <w:tc>
          <w:tcPr>
            <w:tcW w:w="7555" w:type="dxa"/>
            <w:tcBorders>
              <w:top w:val="single" w:color="000000" w:sz="4" w:space="0"/>
              <w:left w:val="single" w:color="000000" w:sz="4" w:space="0"/>
              <w:bottom w:val="single" w:color="000000" w:sz="4" w:space="0"/>
              <w:right w:val="single" w:color="000000" w:sz="4" w:space="0"/>
            </w:tcBorders>
            <w:vAlign w:val="top"/>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en-US"/>
              </w:rPr>
            </w:pPr>
            <w:r>
              <w:rPr>
                <w:rFonts w:hint="eastAsia" w:ascii="宋体" w:hAnsi="宋体" w:eastAsia="宋体" w:cs="宋体"/>
                <w:sz w:val="22"/>
                <w:szCs w:val="22"/>
                <w:highlight w:val="none"/>
                <w:lang w:val="en-US" w:eastAsia="zh-CN"/>
              </w:rPr>
              <w:t>投标人具有有效ISO9001质量管理体系、ISO14001环境管理体系认证、IS045001职业健康管理体系认证、ITSS信息技术服务标准证书每有一个得1分，最高得4分。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en-US"/>
              </w:rPr>
            </w:pPr>
            <w:r>
              <w:rPr>
                <w:rFonts w:hint="eastAsia" w:ascii="宋体" w:hAnsi="宋体" w:eastAsia="宋体" w:cs="宋体"/>
                <w:sz w:val="22"/>
                <w:szCs w:val="22"/>
                <w:highlight w:val="none"/>
                <w:lang w:val="en-US" w:eastAsia="zh-CN"/>
              </w:rPr>
              <w:t>【证明材料：需提供证书原件扫描件并加盖公章，否则不予得分。】</w:t>
            </w:r>
          </w:p>
        </w:tc>
        <w:tc>
          <w:tcPr>
            <w:tcW w:w="1036"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highlight w:val="none"/>
                <w:lang w:val="en-US" w:eastAsia="en-US"/>
              </w:rPr>
            </w:pP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val="en-US"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en-US"/>
              </w:rPr>
            </w:pPr>
            <w:r>
              <w:rPr>
                <w:rFonts w:hint="eastAsia" w:ascii="宋体" w:hAnsi="宋体" w:eastAsia="宋体" w:cs="宋体"/>
                <w:sz w:val="22"/>
                <w:szCs w:val="22"/>
                <w:highlight w:val="none"/>
                <w:lang w:val="en-US" w:eastAsia="en-US"/>
              </w:rPr>
              <w:t>2</w:t>
            </w:r>
          </w:p>
        </w:tc>
        <w:tc>
          <w:tcPr>
            <w:tcW w:w="1371"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en-US"/>
              </w:rPr>
            </w:pPr>
            <w:r>
              <w:rPr>
                <w:rFonts w:hint="eastAsia" w:ascii="宋体" w:hAnsi="宋体" w:eastAsia="宋体" w:cs="宋体"/>
                <w:sz w:val="22"/>
                <w:szCs w:val="22"/>
                <w:highlight w:val="none"/>
                <w:lang w:val="en-US" w:eastAsia="en-US"/>
              </w:rPr>
              <w:t>人员构成</w:t>
            </w:r>
          </w:p>
        </w:tc>
        <w:tc>
          <w:tcPr>
            <w:tcW w:w="7555" w:type="dxa"/>
            <w:tcBorders>
              <w:top w:val="single" w:color="000000" w:sz="4" w:space="0"/>
              <w:left w:val="single" w:color="000000" w:sz="4" w:space="0"/>
              <w:bottom w:val="single" w:color="000000" w:sz="4" w:space="0"/>
              <w:right w:val="single" w:color="000000" w:sz="4" w:space="0"/>
            </w:tcBorders>
            <w:vAlign w:val="top"/>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1、拟派本项目负责人同时具有高级及以上职称和安全生产管理员证的，得2分，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2、拟派本项目技术负责人具有高级及以上职称的，得2分，具有工程师职称的得1分，最高得2分；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3、项目其他成员（项目负责人和技术负责人除外）具有工程师职称的每人得1分，最高得4分；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en-US"/>
              </w:rPr>
            </w:pPr>
            <w:r>
              <w:rPr>
                <w:rFonts w:hint="eastAsia" w:ascii="宋体" w:hAnsi="宋体" w:eastAsia="宋体" w:cs="宋体"/>
                <w:sz w:val="22"/>
                <w:szCs w:val="22"/>
                <w:highlight w:val="none"/>
                <w:lang w:val="en-US" w:eastAsia="zh-CN"/>
              </w:rPr>
              <w:t>（注：投标人须提供职称证复印件或扫描件、在本单位近3个月社保证明，不提供不得分）</w:t>
            </w:r>
          </w:p>
        </w:tc>
        <w:tc>
          <w:tcPr>
            <w:tcW w:w="1036"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highlight w:val="none"/>
                <w:lang w:val="en-US" w:eastAsia="en-US"/>
              </w:rPr>
            </w:pPr>
            <w:r>
              <w:rPr>
                <w:rFonts w:hint="eastAsia" w:ascii="宋体" w:hAnsi="宋体" w:eastAsia="宋体" w:cs="宋体"/>
                <w:sz w:val="22"/>
                <w:szCs w:val="22"/>
                <w:highlight w:val="none"/>
                <w:lang w:val="en-US" w:eastAsia="en-US"/>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en-US"/>
              </w:rPr>
            </w:pPr>
            <w:r>
              <w:rPr>
                <w:rFonts w:hint="eastAsia" w:ascii="宋体" w:hAnsi="宋体" w:eastAsia="宋体" w:cs="宋体"/>
                <w:sz w:val="22"/>
                <w:szCs w:val="22"/>
                <w:highlight w:val="none"/>
                <w:lang w:val="en-US" w:eastAsia="en-US"/>
              </w:rPr>
              <w:t>3</w:t>
            </w:r>
          </w:p>
        </w:tc>
        <w:tc>
          <w:tcPr>
            <w:tcW w:w="1371"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en-US"/>
              </w:rPr>
            </w:pPr>
            <w:r>
              <w:rPr>
                <w:rFonts w:hint="eastAsia" w:ascii="宋体" w:hAnsi="宋体" w:eastAsia="宋体" w:cs="宋体"/>
                <w:sz w:val="22"/>
                <w:szCs w:val="22"/>
                <w:highlight w:val="none"/>
                <w:lang w:val="en-US" w:eastAsia="en-US"/>
              </w:rPr>
              <w:t>企业荣誉</w:t>
            </w:r>
          </w:p>
        </w:tc>
        <w:tc>
          <w:tcPr>
            <w:tcW w:w="7555" w:type="dxa"/>
            <w:tcBorders>
              <w:top w:val="single" w:color="000000" w:sz="4" w:space="0"/>
              <w:left w:val="single" w:color="000000" w:sz="4" w:space="0"/>
              <w:bottom w:val="single" w:color="000000" w:sz="4" w:space="0"/>
              <w:right w:val="single" w:color="000000" w:sz="4" w:space="0"/>
            </w:tcBorders>
            <w:vAlign w:val="top"/>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en-US"/>
              </w:rPr>
            </w:pPr>
            <w:r>
              <w:rPr>
                <w:rFonts w:hint="eastAsia" w:ascii="宋体" w:hAnsi="宋体" w:eastAsia="宋体" w:cs="宋体"/>
                <w:sz w:val="22"/>
                <w:szCs w:val="22"/>
                <w:highlight w:val="none"/>
                <w:lang w:val="en-US" w:eastAsia="zh-CN"/>
              </w:rPr>
              <w:t>2021年1月1日以来投标人获得过县级及以上政府或行政部门颁发的书面表扬或表彰的，每个得1分，最高2分。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en-US"/>
              </w:rPr>
            </w:pPr>
            <w:r>
              <w:rPr>
                <w:rFonts w:hint="eastAsia" w:ascii="宋体" w:hAnsi="宋体" w:eastAsia="宋体" w:cs="宋体"/>
                <w:sz w:val="22"/>
                <w:szCs w:val="22"/>
                <w:highlight w:val="none"/>
                <w:lang w:val="en-US" w:eastAsia="zh-CN"/>
              </w:rPr>
              <w:t>【证明材料：需提供证书原件扫描件并加盖公章，否则不予得分。】</w:t>
            </w:r>
          </w:p>
        </w:tc>
        <w:tc>
          <w:tcPr>
            <w:tcW w:w="1036"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highlight w:val="none"/>
                <w:lang w:val="en-US" w:eastAsia="en-US"/>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en-US"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en-US"/>
              </w:rPr>
            </w:pPr>
            <w:r>
              <w:rPr>
                <w:rFonts w:hint="eastAsia" w:ascii="宋体" w:hAnsi="宋体" w:eastAsia="宋体" w:cs="宋体"/>
                <w:sz w:val="22"/>
                <w:szCs w:val="22"/>
                <w:highlight w:val="none"/>
                <w:lang w:val="en-US" w:eastAsia="en-US"/>
              </w:rPr>
              <w:t>4</w:t>
            </w:r>
          </w:p>
        </w:tc>
        <w:tc>
          <w:tcPr>
            <w:tcW w:w="1371"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en-US"/>
              </w:rPr>
            </w:pPr>
            <w:r>
              <w:rPr>
                <w:rFonts w:hint="eastAsia" w:ascii="宋体" w:hAnsi="宋体" w:eastAsia="宋体" w:cs="宋体"/>
                <w:sz w:val="22"/>
                <w:szCs w:val="22"/>
                <w:highlight w:val="none"/>
                <w:lang w:val="en-US" w:eastAsia="en-US"/>
              </w:rPr>
              <w:t>企业业绩</w:t>
            </w:r>
          </w:p>
        </w:tc>
        <w:tc>
          <w:tcPr>
            <w:tcW w:w="7555" w:type="dxa"/>
            <w:tcBorders>
              <w:top w:val="single" w:color="000000" w:sz="4" w:space="0"/>
              <w:left w:val="single" w:color="000000" w:sz="4" w:space="0"/>
              <w:bottom w:val="single" w:color="000000" w:sz="4" w:space="0"/>
              <w:right w:val="single" w:color="000000" w:sz="4" w:space="0"/>
            </w:tcBorders>
            <w:vAlign w:val="top"/>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en-US"/>
              </w:rPr>
            </w:pPr>
            <w:r>
              <w:rPr>
                <w:rFonts w:hint="eastAsia" w:ascii="宋体" w:hAnsi="宋体" w:eastAsia="宋体" w:cs="宋体"/>
                <w:sz w:val="22"/>
                <w:szCs w:val="22"/>
                <w:highlight w:val="none"/>
                <w:lang w:val="en-US" w:eastAsia="en-US"/>
              </w:rPr>
              <w:t>20</w:t>
            </w:r>
            <w:r>
              <w:rPr>
                <w:rFonts w:hint="eastAsia" w:ascii="宋体" w:hAnsi="宋体" w:eastAsia="宋体" w:cs="宋体"/>
                <w:sz w:val="22"/>
                <w:szCs w:val="22"/>
                <w:highlight w:val="none"/>
                <w:lang w:val="en-US" w:eastAsia="zh-CN"/>
              </w:rPr>
              <w:t>21</w:t>
            </w:r>
            <w:r>
              <w:rPr>
                <w:rFonts w:hint="eastAsia" w:ascii="宋体" w:hAnsi="宋体" w:eastAsia="宋体" w:cs="宋体"/>
                <w:sz w:val="22"/>
                <w:szCs w:val="22"/>
                <w:highlight w:val="none"/>
                <w:lang w:val="en-US" w:eastAsia="en-US"/>
              </w:rPr>
              <w:t>年1月1日以来投标人具有类似项目业绩的，每提供一个的1分，最高</w:t>
            </w:r>
            <w:r>
              <w:rPr>
                <w:rFonts w:hint="eastAsia" w:cs="宋体"/>
                <w:sz w:val="22"/>
                <w:szCs w:val="22"/>
                <w:highlight w:val="none"/>
                <w:lang w:val="en-US" w:eastAsia="zh-CN"/>
              </w:rPr>
              <w:t>2</w:t>
            </w:r>
            <w:r>
              <w:rPr>
                <w:rFonts w:hint="eastAsia" w:ascii="宋体" w:hAnsi="宋体" w:eastAsia="宋体" w:cs="宋体"/>
                <w:sz w:val="22"/>
                <w:szCs w:val="22"/>
                <w:highlight w:val="none"/>
                <w:lang w:val="en-US" w:eastAsia="en-US"/>
              </w:rPr>
              <w:t>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en-US"/>
              </w:rPr>
            </w:pPr>
            <w:r>
              <w:rPr>
                <w:rFonts w:hint="eastAsia" w:ascii="宋体" w:hAnsi="宋体" w:eastAsia="宋体" w:cs="宋体"/>
                <w:sz w:val="22"/>
                <w:szCs w:val="22"/>
                <w:highlight w:val="none"/>
                <w:lang w:val="en-US" w:eastAsia="en-US"/>
              </w:rPr>
              <w:t>注：需提供合同复印件</w:t>
            </w:r>
            <w:r>
              <w:rPr>
                <w:rFonts w:hint="eastAsia" w:ascii="宋体" w:hAnsi="宋体" w:eastAsia="宋体" w:cs="宋体"/>
                <w:sz w:val="22"/>
                <w:szCs w:val="22"/>
                <w:highlight w:val="none"/>
                <w:lang w:val="en-US" w:eastAsia="zh-CN"/>
              </w:rPr>
              <w:t>及中标通知书</w:t>
            </w:r>
            <w:r>
              <w:rPr>
                <w:rFonts w:hint="eastAsia" w:ascii="宋体" w:hAnsi="宋体" w:eastAsia="宋体" w:cs="宋体"/>
                <w:sz w:val="22"/>
                <w:szCs w:val="22"/>
                <w:highlight w:val="none"/>
                <w:lang w:val="en-US" w:eastAsia="en-US"/>
              </w:rPr>
              <w:t>并加盖公章，未提供不得分。</w:t>
            </w:r>
          </w:p>
        </w:tc>
        <w:tc>
          <w:tcPr>
            <w:tcW w:w="1036"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highlight w:val="none"/>
                <w:lang w:val="en-US" w:eastAsia="en-US"/>
              </w:rPr>
            </w:pPr>
            <w:r>
              <w:rPr>
                <w:rFonts w:hint="eastAsia" w:ascii="宋体" w:hAnsi="宋体" w:eastAsia="宋体" w:cs="宋体"/>
                <w:sz w:val="22"/>
                <w:szCs w:val="22"/>
                <w:highlight w:val="none"/>
                <w:lang w:val="en-US" w:eastAsia="en-US"/>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50" w:type="dxa"/>
            <w:vMerge w:val="restart"/>
            <w:tcBorders>
              <w:top w:val="single" w:color="000000" w:sz="4" w:space="0"/>
              <w:left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en-US"/>
              </w:rPr>
            </w:pPr>
            <w:r>
              <w:rPr>
                <w:rFonts w:hint="eastAsia" w:ascii="宋体" w:hAnsi="宋体" w:eastAsia="宋体" w:cs="宋体"/>
                <w:sz w:val="22"/>
                <w:szCs w:val="22"/>
                <w:highlight w:val="none"/>
                <w:lang w:val="en-US" w:eastAsia="en-US"/>
              </w:rPr>
              <w:t>5</w:t>
            </w:r>
          </w:p>
        </w:tc>
        <w:tc>
          <w:tcPr>
            <w:tcW w:w="1371" w:type="dxa"/>
            <w:vMerge w:val="restart"/>
            <w:tcBorders>
              <w:top w:val="single" w:color="000000" w:sz="4" w:space="0"/>
              <w:left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yellow"/>
                <w:lang w:val="en-US" w:eastAsia="en-US"/>
              </w:rPr>
            </w:pPr>
            <w:r>
              <w:rPr>
                <w:rFonts w:hint="eastAsia" w:ascii="宋体" w:hAnsi="宋体" w:eastAsia="宋体" w:cs="宋体"/>
                <w:sz w:val="22"/>
                <w:szCs w:val="22"/>
                <w:highlight w:val="none"/>
                <w:lang w:val="en-US" w:eastAsia="zh-CN"/>
              </w:rPr>
              <w:t>售后服务方案</w:t>
            </w:r>
          </w:p>
        </w:tc>
        <w:tc>
          <w:tcPr>
            <w:tcW w:w="7555"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lang w:val="en-US" w:eastAsia="en-US"/>
              </w:rPr>
            </w:pPr>
            <w:r>
              <w:rPr>
                <w:rFonts w:hint="eastAsia" w:ascii="宋体" w:hAnsi="宋体" w:eastAsia="宋体" w:cs="宋体"/>
                <w:sz w:val="22"/>
                <w:szCs w:val="22"/>
                <w:highlight w:val="none"/>
                <w:lang w:val="en-US" w:eastAsia="zh-CN"/>
              </w:rPr>
              <w:t>根据投标人的售后服务承诺的可行性、完整性和可操作性，售后服务方案（包括售后服务流程、应急服务能力、故障响应处理、售后服务方式、售后技术支持能力、本地化服务能力、服务设施设备维护车辆投入情况等）情况进行评审。方案完善、可操作性强的，得4-6分；方案基本全面、具有一定可操作性的，得2-3.9分；方案有明显缺失，可操作性差的，得0-2.9分。</w:t>
            </w:r>
          </w:p>
        </w:tc>
        <w:tc>
          <w:tcPr>
            <w:tcW w:w="1036"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highlight w:val="yellow"/>
                <w:lang w:val="en-US" w:eastAsia="en-US"/>
              </w:rPr>
            </w:pP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val="en-US"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50" w:type="dxa"/>
            <w:vMerge w:val="continue"/>
            <w:tcBorders>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en-US"/>
              </w:rPr>
            </w:pPr>
          </w:p>
        </w:tc>
        <w:tc>
          <w:tcPr>
            <w:tcW w:w="1371" w:type="dxa"/>
            <w:vMerge w:val="continue"/>
            <w:tcBorders>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yellow"/>
                <w:lang w:val="en-US" w:eastAsia="zh-CN"/>
              </w:rPr>
            </w:pPr>
          </w:p>
        </w:tc>
        <w:tc>
          <w:tcPr>
            <w:tcW w:w="7555"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yellow"/>
                <w:lang w:val="en-US" w:eastAsia="zh-CN"/>
              </w:rPr>
            </w:pPr>
            <w:r>
              <w:rPr>
                <w:rFonts w:hint="eastAsia" w:ascii="宋体" w:hAnsi="宋体" w:eastAsia="宋体" w:cs="宋体"/>
                <w:sz w:val="22"/>
                <w:szCs w:val="22"/>
                <w:highlight w:val="none"/>
                <w:lang w:val="en-US" w:eastAsia="zh-CN"/>
              </w:rPr>
              <w:t>售后服务人员配置，要求投标人配备专业的维护人员，维护人员需同时具备电工作业证和安全员证的，每提供一人得0.5分，最高得2分。（投标人须提供证件复印件或扫描件、在本单位近3个月社保证明，不提供不得分）</w:t>
            </w:r>
          </w:p>
        </w:tc>
        <w:tc>
          <w:tcPr>
            <w:tcW w:w="1036"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sz w:val="22"/>
                <w:szCs w:val="22"/>
                <w:highlight w:val="yellow"/>
                <w:lang w:val="en-US" w:eastAsia="zh-CN"/>
              </w:rPr>
            </w:pPr>
            <w:r>
              <w:rPr>
                <w:rFonts w:hint="eastAsia" w:ascii="宋体" w:hAnsi="宋体" w:eastAsia="宋体" w:cs="宋体"/>
                <w:sz w:val="22"/>
                <w:szCs w:val="22"/>
                <w:highlight w:val="none"/>
                <w:lang w:val="en-US" w:eastAsia="zh-CN"/>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1"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w:t>
            </w:r>
          </w:p>
        </w:tc>
        <w:tc>
          <w:tcPr>
            <w:tcW w:w="1371"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产品技术</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指标及功</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能响应（满足）程度</w:t>
            </w:r>
          </w:p>
        </w:tc>
        <w:tc>
          <w:tcPr>
            <w:tcW w:w="7555" w:type="dxa"/>
            <w:tcBorders>
              <w:top w:val="single" w:color="000000" w:sz="4" w:space="0"/>
              <w:left w:val="single" w:color="000000" w:sz="4" w:space="0"/>
              <w:bottom w:val="single" w:color="000000" w:sz="4" w:space="0"/>
              <w:right w:val="single" w:color="000000" w:sz="4" w:space="0"/>
            </w:tcBorders>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根据所供产品的技术指标及功能描述的详细程度及响应（满足）程度进行评审打分：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投标人完全满足招标文件所有产品技术参数要求的得25分。带★的为重要指标，每负偏离一项扣1分；不带★的为一般指标，每负偏离一项扣0.5分。扣完为止。</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注：响应文件中对于负偏离项须作明显标记，并在供应商自评表中注明相应页码，此处负偏离项应与偏离表中的一致。</w:t>
            </w:r>
          </w:p>
        </w:tc>
        <w:tc>
          <w:tcPr>
            <w:tcW w:w="1036"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850" w:type="dxa"/>
            <w:vMerge w:val="restart"/>
            <w:tcBorders>
              <w:top w:val="single" w:color="000000" w:sz="4" w:space="0"/>
              <w:left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w:t>
            </w:r>
          </w:p>
        </w:tc>
        <w:tc>
          <w:tcPr>
            <w:tcW w:w="1371" w:type="dxa"/>
            <w:vMerge w:val="restart"/>
            <w:tcBorders>
              <w:top w:val="single" w:color="000000" w:sz="4" w:space="0"/>
              <w:left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项目实施方案</w:t>
            </w:r>
          </w:p>
        </w:tc>
        <w:tc>
          <w:tcPr>
            <w:tcW w:w="7555"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工期保证措施：根据投标人对供货时间、工程进度的控制、对进度影响因素考虑周全程度和响应程度等的措施进行评审。措施完善、方案详实的，得1-2分；有部分缺失的，得0-0.9分。</w:t>
            </w:r>
          </w:p>
        </w:tc>
        <w:tc>
          <w:tcPr>
            <w:tcW w:w="1036" w:type="dxa"/>
            <w:vMerge w:val="restart"/>
            <w:tcBorders>
              <w:top w:val="single" w:color="000000" w:sz="4" w:space="0"/>
              <w:left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highlight w:val="yellow"/>
                <w:lang w:val="en-US" w:eastAsia="zh-CN"/>
              </w:rPr>
            </w:pPr>
            <w:r>
              <w:rPr>
                <w:rFonts w:hint="eastAsia" w:ascii="宋体" w:hAnsi="宋体" w:eastAsia="宋体" w:cs="宋体"/>
                <w:sz w:val="22"/>
                <w:szCs w:val="22"/>
                <w:highlight w:val="none"/>
                <w:lang w:val="en-US" w:eastAsia="zh-CN"/>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850" w:type="dxa"/>
            <w:vMerge w:val="continue"/>
            <w:tcBorders>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p>
        </w:tc>
        <w:tc>
          <w:tcPr>
            <w:tcW w:w="1371" w:type="dxa"/>
            <w:vMerge w:val="continue"/>
            <w:tcBorders>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p>
        </w:tc>
        <w:tc>
          <w:tcPr>
            <w:tcW w:w="7555"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质量保证措施：根据投标人对供货的质量、供货的方案、可靠性及技术保障的措施叙述科学合理进行评审。措施完善、方案详实的，得1-2分；有部分缺失的，得0-0.9分。</w:t>
            </w:r>
          </w:p>
        </w:tc>
        <w:tc>
          <w:tcPr>
            <w:tcW w:w="1036" w:type="dxa"/>
            <w:vMerge w:val="continue"/>
            <w:tcBorders>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w:t>
            </w:r>
          </w:p>
        </w:tc>
        <w:tc>
          <w:tcPr>
            <w:tcW w:w="1371"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项目理解</w:t>
            </w:r>
          </w:p>
        </w:tc>
        <w:tc>
          <w:tcPr>
            <w:tcW w:w="7555" w:type="dxa"/>
            <w:tcBorders>
              <w:top w:val="single" w:color="000000" w:sz="4" w:space="0"/>
              <w:left w:val="single" w:color="000000" w:sz="4" w:space="0"/>
              <w:bottom w:val="single" w:color="000000" w:sz="4" w:space="0"/>
              <w:right w:val="single" w:color="000000" w:sz="4" w:space="0"/>
            </w:tcBorders>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对本项目的现状认识全面；方案完整、科学、合理、可行，解决方案内容全面、详细，重点突出，很好地满足磋商文件和采购人的要求综合打分。</w:t>
            </w:r>
            <w:r>
              <w:rPr>
                <w:rFonts w:hint="eastAsia" w:cs="宋体"/>
                <w:sz w:val="22"/>
                <w:szCs w:val="22"/>
                <w:highlight w:val="none"/>
                <w:lang w:val="en-US" w:eastAsia="zh-CN"/>
              </w:rPr>
              <w:t>方案完整科学、项目理解透彻、重点突出的，得3-5分；方案较为完整、具有一定科学性、基本可行的，得1-2.9分；方案有明显缺失、项目理解不清、可操作性差的，得0-0.9分。</w:t>
            </w:r>
          </w:p>
        </w:tc>
        <w:tc>
          <w:tcPr>
            <w:tcW w:w="1036"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w:t>
            </w:r>
          </w:p>
        </w:tc>
        <w:tc>
          <w:tcPr>
            <w:tcW w:w="1371"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技术方案</w:t>
            </w:r>
          </w:p>
        </w:tc>
        <w:tc>
          <w:tcPr>
            <w:tcW w:w="7555" w:type="dxa"/>
            <w:tcBorders>
              <w:top w:val="single" w:color="000000" w:sz="4" w:space="0"/>
              <w:left w:val="single" w:color="000000" w:sz="4" w:space="0"/>
              <w:bottom w:val="single" w:color="000000" w:sz="4" w:space="0"/>
              <w:right w:val="single" w:color="000000" w:sz="4" w:space="0"/>
            </w:tcBorders>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投标人需针对技术要求并结合现场建设条件等情况提供完整的系统集成方案(0-5分）、站房设计（0-</w:t>
            </w:r>
            <w:r>
              <w:rPr>
                <w:rFonts w:hint="eastAsia" w:cs="宋体"/>
                <w:sz w:val="22"/>
                <w:szCs w:val="22"/>
                <w:highlight w:val="none"/>
                <w:lang w:val="en-US" w:eastAsia="zh-CN"/>
              </w:rPr>
              <w:t>2</w:t>
            </w:r>
            <w:bookmarkStart w:id="394" w:name="_GoBack"/>
            <w:bookmarkEnd w:id="394"/>
            <w:r>
              <w:rPr>
                <w:rFonts w:hint="eastAsia" w:ascii="宋体" w:hAnsi="宋体" w:eastAsia="宋体" w:cs="宋体"/>
                <w:sz w:val="22"/>
                <w:szCs w:val="22"/>
                <w:highlight w:val="none"/>
                <w:lang w:val="en-US" w:eastAsia="zh-CN"/>
              </w:rPr>
              <w:t>分）、仪器设备安装调试方案（0-5分）。系统集成方案按照技术要求响应，科学合理并遵循先进、实用、专业、安全、经济等原则；根据投标人提供技术方案进行评价打分。</w:t>
            </w:r>
            <w:r>
              <w:rPr>
                <w:rFonts w:hint="eastAsia" w:cs="宋体"/>
                <w:sz w:val="22"/>
                <w:szCs w:val="22"/>
                <w:highlight w:val="none"/>
                <w:lang w:val="en-US" w:eastAsia="zh-CN"/>
              </w:rPr>
              <w:t>方案完善且符合要求、现场条件结合紧密的，得8-11分；方案基本符合要求，与现场条件有一定结合的，得4-7.9分；方案有明显缺失或不合理，没有考虑现场条件的，得0-3.9分。</w:t>
            </w:r>
          </w:p>
        </w:tc>
        <w:tc>
          <w:tcPr>
            <w:tcW w:w="1036"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r>
              <w:rPr>
                <w:rFonts w:hint="eastAsia" w:cs="宋体"/>
                <w:sz w:val="22"/>
                <w:szCs w:val="22"/>
                <w:highlight w:val="none"/>
                <w:lang w:val="en-US" w:eastAsia="zh-CN"/>
              </w:rPr>
              <w:t>2</w:t>
            </w:r>
            <w:r>
              <w:rPr>
                <w:rFonts w:hint="eastAsia" w:ascii="宋体" w:hAnsi="宋体" w:eastAsia="宋体" w:cs="宋体"/>
                <w:sz w:val="22"/>
                <w:szCs w:val="22"/>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w:t>
            </w:r>
          </w:p>
        </w:tc>
        <w:tc>
          <w:tcPr>
            <w:tcW w:w="1371"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平台功能</w:t>
            </w:r>
          </w:p>
        </w:tc>
        <w:tc>
          <w:tcPr>
            <w:tcW w:w="7555" w:type="dxa"/>
            <w:tcBorders>
              <w:top w:val="single" w:color="000000" w:sz="4" w:space="0"/>
              <w:left w:val="single" w:color="000000" w:sz="4" w:space="0"/>
              <w:bottom w:val="single" w:color="000000" w:sz="4" w:space="0"/>
              <w:right w:val="single" w:color="000000" w:sz="4" w:space="0"/>
            </w:tcBorders>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（1）投标人可提供监测数据超标预警功能的得2分；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（2）实现网页、移动端数据实时查看功能的得2分。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站点现场停电，所有设备无法工作，需能通过现场的物联网网关的远程断电告警模块与平台连接，并上报断电告警信息；平台收到后向相关人员发出告警短信；该站点供电恢复后，自动关闭该告警（全部实现得2分，部分实现得1分，未实现不得分）</w:t>
            </w:r>
          </w:p>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注：提供相关功能展示依据。</w:t>
            </w:r>
          </w:p>
        </w:tc>
        <w:tc>
          <w:tcPr>
            <w:tcW w:w="1036"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11</w:t>
            </w:r>
          </w:p>
        </w:tc>
        <w:tc>
          <w:tcPr>
            <w:tcW w:w="1371"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合理化建议</w:t>
            </w:r>
          </w:p>
        </w:tc>
        <w:tc>
          <w:tcPr>
            <w:tcW w:w="7555" w:type="dxa"/>
            <w:tcBorders>
              <w:top w:val="single" w:color="000000" w:sz="4" w:space="0"/>
              <w:left w:val="single" w:color="000000" w:sz="4" w:space="0"/>
              <w:bottom w:val="single" w:color="000000" w:sz="4" w:space="0"/>
              <w:right w:val="single" w:color="000000" w:sz="4" w:space="0"/>
            </w:tcBorders>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根据本项目的现状及实际情况，结合监管相应规范，针对可能存在的问题与不足，提出合理化建议，综合打分。</w:t>
            </w:r>
            <w:r>
              <w:rPr>
                <w:rFonts w:hint="eastAsia" w:cs="宋体"/>
                <w:sz w:val="22"/>
                <w:szCs w:val="22"/>
                <w:highlight w:val="none"/>
                <w:lang w:val="en-US" w:eastAsia="zh-CN"/>
              </w:rPr>
              <w:t>建议合理且解决方案完善的，得2-4分；建议合理但解决方案不够完善的，得1-1.9分；建议不合理的，得0-0.9分。</w:t>
            </w:r>
          </w:p>
        </w:tc>
        <w:tc>
          <w:tcPr>
            <w:tcW w:w="1036" w:type="dxa"/>
            <w:tcBorders>
              <w:top w:val="single" w:color="000000" w:sz="4" w:space="0"/>
              <w:left w:val="single" w:color="000000" w:sz="4" w:space="0"/>
              <w:bottom w:val="single" w:color="000000" w:sz="4" w:space="0"/>
              <w:right w:val="single" w:color="000000"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4分</w:t>
            </w:r>
          </w:p>
        </w:tc>
      </w:tr>
    </w:tbl>
    <w:p>
      <w:pPr>
        <w:spacing w:line="360" w:lineRule="auto"/>
        <w:ind w:firstLine="482" w:firstLineChars="200"/>
        <w:jc w:val="center"/>
        <w:rPr>
          <w:rFonts w:asciiTheme="minorEastAsia" w:hAnsiTheme="minorEastAsia" w:eastAsiaTheme="minorEastAsia"/>
          <w:b/>
          <w:color w:val="000000" w:themeColor="text1"/>
          <w:sz w:val="24"/>
          <w:lang w:val="zh-CN"/>
          <w14:textFill>
            <w14:solidFill>
              <w14:schemeClr w14:val="tx1"/>
            </w14:solidFill>
          </w14:textFill>
        </w:rPr>
      </w:pPr>
    </w:p>
    <w:p>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投标人编制投标文件（商务技术文件部分）时，建议按此目录（序号和内容）提供评标标准相应的商务技术资料。</w:t>
      </w:r>
    </w:p>
    <w:p>
      <w:pPr>
        <w:snapToGrid w:val="0"/>
        <w:spacing w:line="360" w:lineRule="auto"/>
        <w:rPr>
          <w:rFonts w:cs="宋体" w:asciiTheme="minorEastAsia" w:hAnsiTheme="minorEastAsia" w:eastAsiaTheme="minorEastAsia"/>
          <w:b/>
          <w:sz w:val="28"/>
          <w:szCs w:val="28"/>
        </w:rPr>
      </w:pPr>
      <w:r>
        <w:rPr>
          <w:rFonts w:hint="eastAsia" w:cs="宋体" w:asciiTheme="minorEastAsia" w:hAnsiTheme="minorEastAsia" w:eastAsiaTheme="minorEastAsia"/>
          <w:b/>
          <w:sz w:val="32"/>
        </w:rPr>
        <w:t>一、评标方法</w:t>
      </w:r>
    </w:p>
    <w:p>
      <w:pPr>
        <w:adjustRightInd/>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1.本项目采用综合评分法。</w:t>
      </w:r>
      <w:r>
        <w:rPr>
          <w:rFonts w:hint="eastAsia" w:cs="宋体"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b/>
          <w:sz w:val="32"/>
        </w:rPr>
        <w:t>二、评标标准</w:t>
      </w:r>
    </w:p>
    <w:p>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2.评标标准：</w:t>
      </w:r>
      <w:r>
        <w:rPr>
          <w:rFonts w:hint="eastAsia" w:cs="宋体" w:asciiTheme="minorEastAsia" w:hAnsiTheme="minorEastAsia" w:eastAsiaTheme="minorEastAsia"/>
          <w:kern w:val="0"/>
          <w:sz w:val="24"/>
        </w:rPr>
        <w:t>评标办法前附表。</w:t>
      </w:r>
    </w:p>
    <w:p>
      <w:pPr>
        <w:snapToGrid w:val="0"/>
        <w:spacing w:line="360" w:lineRule="auto"/>
        <w:rPr>
          <w:rFonts w:cs="宋体" w:asciiTheme="minorEastAsia" w:hAnsiTheme="minorEastAsia" w:eastAsiaTheme="minorEastAsia"/>
          <w:b/>
          <w:sz w:val="32"/>
        </w:rPr>
      </w:pPr>
      <w:r>
        <w:rPr>
          <w:rFonts w:hint="eastAsia" w:cs="宋体" w:asciiTheme="minorEastAsia" w:hAnsiTheme="minorEastAsia" w:eastAsiaTheme="minorEastAsia"/>
          <w:b/>
          <w:sz w:val="32"/>
        </w:rPr>
        <w:t>三、评标程序</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3.1符合性审查。</w:t>
      </w:r>
      <w:r>
        <w:rPr>
          <w:rFonts w:hint="eastAsia" w:cs="宋体" w:asciiTheme="minorEastAsia" w:hAnsiTheme="minorEastAsia" w:eastAsiaTheme="minorEastAsia"/>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3.2 比较与评价。</w:t>
      </w:r>
      <w:r>
        <w:rPr>
          <w:rFonts w:hint="eastAsia" w:cs="宋体"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3.3汇总商务技术得分。</w:t>
      </w:r>
      <w:r>
        <w:rPr>
          <w:rFonts w:hint="eastAsia" w:cs="宋体" w:asciiTheme="minorEastAsia" w:hAnsiTheme="minorEastAsia" w:eastAsiaTheme="minorEastAsia"/>
          <w:kern w:val="0"/>
          <w:sz w:val="24"/>
        </w:rPr>
        <w:t>评标委员会各成员应当独立对每个投标人的商务技术文件进行评价，并汇总商务技术得分情况。</w:t>
      </w:r>
    </w:p>
    <w:p>
      <w:pPr>
        <w:spacing w:line="360" w:lineRule="auto"/>
        <w:ind w:firstLine="472" w:firstLineChars="196"/>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3.4报价评审。</w:t>
      </w:r>
    </w:p>
    <w:p>
      <w:pPr>
        <w:pStyle w:val="67"/>
        <w:spacing w:before="0"/>
        <w:ind w:firstLine="508" w:firstLineChars="212"/>
        <w:rPr>
          <w:rFonts w:cs="宋体" w:asciiTheme="minorEastAsia" w:hAnsiTheme="minorEastAsia" w:eastAsiaTheme="minorEastAsia"/>
          <w:kern w:val="0"/>
        </w:rPr>
      </w:pPr>
      <w:r>
        <w:rPr>
          <w:rFonts w:hint="eastAsia" w:cs="宋体" w:asciiTheme="minorEastAsia" w:hAnsiTheme="minorEastAsia" w:eastAsiaTheme="minorEastAsia"/>
          <w:kern w:val="0"/>
        </w:rPr>
        <w:t>3.4.1投标文件报价出现前后不一致的，按照下列规定修正：</w:t>
      </w:r>
    </w:p>
    <w:p>
      <w:pPr>
        <w:pStyle w:val="67"/>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3.4.1.1投标文件中开标一览表(报价表)内容与投标文件中相应内容不一致的，以开标一览表(报价表)为准;</w:t>
      </w:r>
    </w:p>
    <w:p>
      <w:pPr>
        <w:pStyle w:val="67"/>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3.4.1.2大写金额和小写金额不一致的，以大写金额为准;</w:t>
      </w:r>
    </w:p>
    <w:p>
      <w:pPr>
        <w:pStyle w:val="67"/>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3.4.1.3单价金额小数点或者百分比有明显错位的，以开标一览表的总价为准，并修改单价;</w:t>
      </w:r>
    </w:p>
    <w:p>
      <w:pPr>
        <w:pStyle w:val="67"/>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3.4.1.4总价金额与按单价汇总金额不一致的，以单价金额计算结果为准。</w:t>
      </w:r>
    </w:p>
    <w:p>
      <w:pPr>
        <w:pStyle w:val="67"/>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3.4.2投标文件出现不是唯一的、有选择性投标报价的，投标无效。</w:t>
      </w:r>
    </w:p>
    <w:p>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3.4.3投标报价超过招标文件中规定的预算金额或者最高限价的，投标无效。</w:t>
      </w:r>
    </w:p>
    <w:p>
      <w:pPr>
        <w:pStyle w:val="67"/>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67"/>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3.5排序与推荐。</w:t>
      </w:r>
      <w:r>
        <w:rPr>
          <w:rFonts w:hint="eastAsia" w:cs="宋体"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3.6编写评标报告。</w:t>
      </w:r>
      <w:r>
        <w:rPr>
          <w:rFonts w:hint="eastAsia" w:cs="宋体" w:asciiTheme="minorEastAsia" w:hAnsiTheme="minorEastAsia"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cs="宋体" w:asciiTheme="minorEastAsia" w:hAnsiTheme="minorEastAsia" w:eastAsiaTheme="minorEastAsia"/>
          <w:b/>
          <w:sz w:val="32"/>
        </w:rPr>
      </w:pPr>
      <w:r>
        <w:rPr>
          <w:rFonts w:hint="eastAsia" w:cs="宋体" w:asciiTheme="minorEastAsia" w:hAnsiTheme="minorEastAsia" w:eastAsiaTheme="minorEastAsia"/>
          <w:b/>
          <w:sz w:val="32"/>
        </w:rPr>
        <w:t>四、评标中的其他事项</w:t>
      </w:r>
    </w:p>
    <w:p>
      <w:pPr>
        <w:pStyle w:val="67"/>
        <w:spacing w:before="0"/>
        <w:ind w:firstLine="472" w:firstLineChars="196"/>
        <w:rPr>
          <w:rFonts w:cs="宋体" w:asciiTheme="minorEastAsia" w:hAnsiTheme="minorEastAsia" w:eastAsiaTheme="minorEastAsia"/>
          <w:kern w:val="0"/>
          <w:szCs w:val="24"/>
        </w:rPr>
      </w:pPr>
      <w:r>
        <w:rPr>
          <w:rFonts w:hint="eastAsia" w:cs="宋体" w:asciiTheme="minorEastAsia" w:hAnsiTheme="minorEastAsia" w:eastAsiaTheme="minorEastAsia"/>
          <w:b/>
          <w:kern w:val="0"/>
          <w:szCs w:val="24"/>
        </w:rPr>
        <w:t>4.1投标人澄清、说明或者补正。</w:t>
      </w:r>
      <w:r>
        <w:rPr>
          <w:rFonts w:hint="eastAsia" w:cs="宋体"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5"/>
        <w:spacing w:line="360" w:lineRule="auto"/>
        <w:ind w:left="954" w:leftChars="226" w:hanging="479" w:firstLineChars="0"/>
        <w:rPr>
          <w:rFonts w:cs="宋体" w:asciiTheme="minorEastAsia" w:hAnsiTheme="minorEastAsia" w:eastAsiaTheme="minorEastAsia"/>
          <w:szCs w:val="21"/>
        </w:rPr>
      </w:pPr>
      <w:r>
        <w:rPr>
          <w:rFonts w:hint="eastAsia" w:cs="宋体" w:asciiTheme="minorEastAsia" w:hAnsiTheme="minorEastAsia" w:eastAsiaTheme="minorEastAsia"/>
          <w:b/>
          <w:kern w:val="0"/>
        </w:rPr>
        <w:t>4.2投标无效。</w:t>
      </w:r>
      <w:r>
        <w:rPr>
          <w:rFonts w:hint="eastAsia" w:cs="宋体" w:asciiTheme="minorEastAsia" w:hAnsiTheme="minorEastAsia" w:eastAsiaTheme="minorEastAsia"/>
          <w:szCs w:val="21"/>
        </w:rPr>
        <w:t>有下列情况之一的，投标无效：</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4.2.2投标文件未按照招标文件要求签署、盖章的；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4.2.4投标文件含有采购人不能接受的附加条件的；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4.2.5投标文件中承诺的投标有效期少于招标文件中载明的投标有效期的；</w:t>
      </w:r>
    </w:p>
    <w:p>
      <w:pPr>
        <w:snapToGrid w:val="0"/>
        <w:spacing w:line="360" w:lineRule="auto"/>
        <w:ind w:firstLine="120" w:firstLineChars="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4.2.6投标文件出现不是唯一的、有选择性投标报价的;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4.2.7投标报价超过招标文件中规定的预算金额或者最高限价的;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4.2.9投标人对根据修正原则修正后的报价不确认的；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4.2.10投标人提供虚假材料投标的；</w:t>
      </w:r>
    </w:p>
    <w:p>
      <w:pPr>
        <w:spacing w:line="360" w:lineRule="auto"/>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4.2.11投标人有恶意串通、妨碍其他投标人的竞争行为、损害采购人或者其他投标人的合法权益情形的；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4.2.12投标人仅提交备份投标文件，没有在电子交易平台传输递交投标文件的，投标无效；</w:t>
      </w:r>
    </w:p>
    <w:p>
      <w:pPr>
        <w:pStyle w:val="2"/>
        <w:ind w:left="862" w:leftChars="205"/>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4.2.13 投标文件不满足招标文件的其它实质性要求的；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4.2.14法律、法规、规章（适用本市的）及省级以上规范性文件（适用本市的）规定的其他无效情形。</w:t>
      </w:r>
    </w:p>
    <w:p>
      <w:pPr>
        <w:pStyle w:val="35"/>
        <w:snapToGrid w:val="0"/>
        <w:spacing w:line="360" w:lineRule="auto"/>
        <w:ind w:firstLine="472" w:firstLineChars="196"/>
        <w:rPr>
          <w:rFonts w:cs="宋体" w:asciiTheme="minorEastAsia" w:hAnsiTheme="minorEastAsia" w:eastAsiaTheme="minorEastAsia"/>
        </w:rPr>
      </w:pPr>
      <w:r>
        <w:rPr>
          <w:rFonts w:hint="eastAsia" w:cs="宋体" w:asciiTheme="minorEastAsia" w:hAnsiTheme="minorEastAsia" w:eastAsiaTheme="minorEastAsia"/>
          <w:b/>
        </w:rPr>
        <w:t>5.废标。</w:t>
      </w:r>
      <w:r>
        <w:rPr>
          <w:rFonts w:hint="eastAsia" w:cs="宋体" w:asciiTheme="minorEastAsia" w:hAnsiTheme="minorEastAsia" w:eastAsiaTheme="minorEastAsia"/>
        </w:rPr>
        <w:t>根据《中华人民共和国政府采购法》第三十六条之规定，在采购中，出现下列情形之一的，应予废标：</w:t>
      </w:r>
    </w:p>
    <w:p>
      <w:pPr>
        <w:pStyle w:val="35"/>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5.1符合专业条件的供应商或者对招标文件作实质响应的供应商不足3家的；</w:t>
      </w:r>
    </w:p>
    <w:p>
      <w:pPr>
        <w:pStyle w:val="35"/>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5.2出现影响采购公正的违法、违规行为的；</w:t>
      </w:r>
    </w:p>
    <w:p>
      <w:pPr>
        <w:pStyle w:val="35"/>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5.3投标人的报价均超过了采购预算，采购人不能支付的；</w:t>
      </w:r>
    </w:p>
    <w:p>
      <w:pPr>
        <w:pStyle w:val="35"/>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5.4因重大变故，采购任务取消的。</w:t>
      </w:r>
    </w:p>
    <w:p>
      <w:pPr>
        <w:pStyle w:val="35"/>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废标后，采购机构应当将废标理由通知所有投标人。</w:t>
      </w:r>
    </w:p>
    <w:p>
      <w:pPr>
        <w:pStyle w:val="35"/>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rPr>
        <w:t>6.修改招标文件，重新组织采购活动。</w:t>
      </w:r>
      <w:r>
        <w:rPr>
          <w:rFonts w:hint="eastAsia" w:cs="宋体" w:asciiTheme="minorEastAsia" w:hAnsiTheme="minorEastAsia" w:eastAsiaTheme="minor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5"/>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kern w:val="0"/>
        </w:rPr>
        <w:t>7.重新开展采购。</w:t>
      </w:r>
      <w:r>
        <w:rPr>
          <w:rFonts w:hint="eastAsia" w:cs="宋体" w:asciiTheme="minorEastAsia" w:hAnsiTheme="minorEastAsia" w:eastAsiaTheme="minorEastAsia"/>
        </w:rPr>
        <w:t>有政府采购法第七十一条、第七十二条规定的违法行为之一，影响或者可能影响中标、成交结果的，依照下列规定处理：</w:t>
      </w:r>
    </w:p>
    <w:p>
      <w:pPr>
        <w:pStyle w:val="35"/>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7.1未确定中标或者中标人的，终止本次政府采购活动，重新开展政府采购活动。</w:t>
      </w:r>
    </w:p>
    <w:p>
      <w:pPr>
        <w:pStyle w:val="35"/>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5"/>
        <w:snapToGrid w:val="0"/>
        <w:spacing w:line="360" w:lineRule="auto"/>
        <w:ind w:firstLine="600" w:firstLineChars="250"/>
        <w:rPr>
          <w:rFonts w:cs="宋体" w:asciiTheme="minorEastAsia" w:hAnsiTheme="minorEastAsia" w:eastAsiaTheme="minorEastAsia"/>
        </w:rPr>
      </w:pPr>
      <w:r>
        <w:rPr>
          <w:rFonts w:hint="eastAsia" w:cs="宋体" w:asciiTheme="minorEastAsia" w:hAnsiTheme="minorEastAsia" w:eastAsiaTheme="minorEastAsia"/>
        </w:rPr>
        <w:t>7.3政府采购合同已签订但尚未履行的，撤销合同，从合格的中标或者成交候选人中另行确定中标或者中标人；没有合格的中标或者成交候选人的，重新开展政府采购活动。</w:t>
      </w:r>
    </w:p>
    <w:p>
      <w:pPr>
        <w:pStyle w:val="35"/>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7.4政府采购合同已经履行，给采购人、供应商造成损失的，由责任人承担赔偿责任。</w:t>
      </w:r>
    </w:p>
    <w:p>
      <w:pPr>
        <w:pStyle w:val="35"/>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7.5政府采购当事人有其他违反政府采购法</w:t>
      </w:r>
      <w:r>
        <w:rPr>
          <w:rFonts w:hint="eastAsia" w:cs="宋体" w:asciiTheme="minorEastAsia" w:hAnsiTheme="minorEastAsia" w:eastAsiaTheme="minorEastAsia"/>
          <w:kern w:val="0"/>
        </w:rPr>
        <w:t>或者政府采购法实施条例等法律法规规定</w:t>
      </w:r>
      <w:r>
        <w:rPr>
          <w:rFonts w:hint="eastAsia" w:cs="宋体" w:asciiTheme="minorEastAsia" w:hAnsiTheme="minorEastAsia" w:eastAsiaTheme="minorEastAsia"/>
        </w:rPr>
        <w:t>的行为，经改正后仍然影响或者可能影响中标、成交结果或者依法被认定为中标、成交无效的，依照7.1-7.4规定处理。</w:t>
      </w:r>
      <w:bookmarkEnd w:id="20"/>
    </w:p>
    <w:p>
      <w:pPr>
        <w:spacing w:line="360" w:lineRule="auto"/>
        <w:jc w:val="center"/>
        <w:outlineLvl w:val="0"/>
        <w:rPr>
          <w:rFonts w:cs="宋体" w:asciiTheme="minorEastAsia" w:hAnsiTheme="minorEastAsia" w:eastAsiaTheme="minorEastAsia"/>
          <w:b/>
          <w:sz w:val="36"/>
          <w:szCs w:val="36"/>
        </w:rPr>
        <w:sectPr>
          <w:pgSz w:w="11907" w:h="16840"/>
          <w:pgMar w:top="1440" w:right="1417" w:bottom="1440" w:left="1417" w:header="851" w:footer="850" w:gutter="0"/>
          <w:cols w:space="0" w:num="1"/>
        </w:sectPr>
      </w:pPr>
      <w:bookmarkStart w:id="386" w:name="第五部分"/>
      <w:bookmarkStart w:id="387" w:name="_Toc86217003"/>
    </w:p>
    <w:p>
      <w:pPr>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第五部分 拟签订的合同文本</w:t>
      </w:r>
    </w:p>
    <w:p>
      <w:pPr>
        <w:spacing w:line="360" w:lineRule="auto"/>
        <w:jc w:val="center"/>
        <w:outlineLvl w:val="0"/>
        <w:rPr>
          <w:rFonts w:cs="FangSong_GB2312" w:asciiTheme="minorEastAsia" w:hAnsiTheme="minorEastAsia" w:eastAsiaTheme="minorEastAsia"/>
          <w:b/>
          <w:sz w:val="36"/>
          <w:szCs w:val="36"/>
        </w:rPr>
      </w:pPr>
      <w:r>
        <w:rPr>
          <w:rFonts w:hint="eastAsia" w:cs="FangSong_GB2312" w:asciiTheme="minorEastAsia" w:hAnsiTheme="minorEastAsia" w:eastAsiaTheme="minorEastAsia"/>
          <w:b/>
          <w:sz w:val="36"/>
          <w:szCs w:val="36"/>
        </w:rPr>
        <w:t>（仅供参考，具体以合同签订为准）</w:t>
      </w:r>
    </w:p>
    <w:p>
      <w:pPr>
        <w:spacing w:line="480" w:lineRule="auto"/>
        <w:rPr>
          <w:rFonts w:cs="宋体" w:asciiTheme="minorEastAsia" w:hAnsiTheme="minorEastAsia" w:eastAsiaTheme="minorEastAsia"/>
          <w:b/>
          <w:sz w:val="24"/>
        </w:rPr>
      </w:pPr>
    </w:p>
    <w:p>
      <w:pPr>
        <w:spacing w:line="48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政府采购合同参考范本</w:t>
      </w:r>
    </w:p>
    <w:p>
      <w:pPr>
        <w:spacing w:line="480" w:lineRule="auto"/>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（服务类）</w:t>
      </w:r>
    </w:p>
    <w:p>
      <w:pPr>
        <w:pStyle w:val="704"/>
        <w:rPr>
          <w:rFonts w:cs="宋体" w:asciiTheme="minorEastAsia" w:hAnsiTheme="minorEastAsia" w:eastAsiaTheme="minorEastAsia"/>
          <w:szCs w:val="24"/>
        </w:rPr>
      </w:pPr>
    </w:p>
    <w:p>
      <w:pPr>
        <w:pStyle w:val="704"/>
        <w:ind w:left="0" w:leftChars="0" w:firstLine="0" w:firstLineChars="0"/>
        <w:rPr>
          <w:rFonts w:cs="宋体" w:asciiTheme="minorEastAsia" w:hAnsiTheme="minorEastAsia" w:eastAsiaTheme="minorEastAsia"/>
          <w:szCs w:val="24"/>
        </w:rPr>
      </w:pPr>
    </w:p>
    <w:p>
      <w:pPr>
        <w:pStyle w:val="704"/>
        <w:ind w:firstLine="2843" w:firstLineChars="1180"/>
        <w:rPr>
          <w:rFonts w:cs="宋体" w:asciiTheme="minorEastAsia" w:hAnsiTheme="minorEastAsia" w:eastAsiaTheme="minorEastAsia"/>
          <w:b/>
          <w:szCs w:val="24"/>
        </w:rPr>
      </w:pPr>
      <w:r>
        <w:rPr>
          <w:rFonts w:hint="eastAsia" w:cs="宋体" w:asciiTheme="minorEastAsia" w:hAnsiTheme="minorEastAsia" w:eastAsiaTheme="minorEastAsia"/>
          <w:b/>
          <w:szCs w:val="24"/>
        </w:rPr>
        <w:t>第一部分 合同书</w:t>
      </w:r>
    </w:p>
    <w:p>
      <w:pPr>
        <w:pStyle w:val="704"/>
        <w:rPr>
          <w:rFonts w:cs="宋体" w:asciiTheme="minorEastAsia" w:hAnsiTheme="minorEastAsia" w:eastAsiaTheme="minorEastAsia"/>
          <w:szCs w:val="24"/>
        </w:rPr>
      </w:pPr>
    </w:p>
    <w:p>
      <w:pPr>
        <w:pStyle w:val="704"/>
        <w:rPr>
          <w:rFonts w:cs="宋体" w:asciiTheme="minorEastAsia" w:hAnsiTheme="minorEastAsia" w:eastAsiaTheme="minorEastAsia"/>
          <w:szCs w:val="24"/>
        </w:rPr>
      </w:pPr>
    </w:p>
    <w:p>
      <w:pPr>
        <w:spacing w:before="120" w:line="22" w:lineRule="atLeast"/>
        <w:rPr>
          <w:rFonts w:cs="宋体" w:asciiTheme="minorEastAsia" w:hAnsiTheme="minorEastAsia" w:eastAsiaTheme="minorEastAsia"/>
          <w:sz w:val="24"/>
        </w:rPr>
      </w:pPr>
    </w:p>
    <w:p>
      <w:pPr>
        <w:spacing w:before="120" w:line="22" w:lineRule="atLeast"/>
        <w:ind w:left="960"/>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p>
      <w:pPr>
        <w:pStyle w:val="601"/>
        <w:spacing w:before="120" w:line="22" w:lineRule="atLeast"/>
        <w:rPr>
          <w:rFonts w:cs="宋体" w:asciiTheme="minorEastAsia" w:hAnsiTheme="minorEastAsia" w:eastAsiaTheme="minorEastAsia"/>
          <w:szCs w:val="24"/>
        </w:rPr>
      </w:pPr>
    </w:p>
    <w:p>
      <w:pPr>
        <w:pStyle w:val="601"/>
        <w:spacing w:before="120" w:line="22" w:lineRule="atLeast"/>
        <w:rPr>
          <w:rFonts w:cs="宋体" w:asciiTheme="minorEastAsia" w:hAnsiTheme="minorEastAsia" w:eastAsiaTheme="minorEastAsia"/>
          <w:szCs w:val="24"/>
        </w:rPr>
      </w:pPr>
    </w:p>
    <w:p>
      <w:pPr>
        <w:rPr>
          <w:rFonts w:cs="宋体" w:asciiTheme="minorEastAsia" w:hAnsiTheme="minorEastAsia" w:eastAsiaTheme="minorEastAsia"/>
          <w:sz w:val="24"/>
        </w:rPr>
      </w:pPr>
    </w:p>
    <w:p>
      <w:pPr>
        <w:spacing w:before="120" w:line="22" w:lineRule="atLeast"/>
        <w:ind w:left="960"/>
        <w:rPr>
          <w:rFonts w:cs="宋体" w:asciiTheme="minorEastAsia" w:hAnsiTheme="minorEastAsia" w:eastAsiaTheme="minorEastAsia"/>
          <w:sz w:val="24"/>
          <w:u w:val="single"/>
        </w:rPr>
      </w:pPr>
      <w:r>
        <w:rPr>
          <w:rFonts w:hint="eastAsia" w:cs="宋体" w:asciiTheme="minorEastAsia" w:hAnsiTheme="minorEastAsia" w:eastAsiaTheme="minorEastAsia"/>
          <w:sz w:val="24"/>
        </w:rPr>
        <w:t>甲方：</w:t>
      </w:r>
    </w:p>
    <w:p>
      <w:pPr>
        <w:spacing w:before="120" w:line="22" w:lineRule="atLeast"/>
        <w:rPr>
          <w:rFonts w:cs="宋体" w:asciiTheme="minorEastAsia" w:hAnsiTheme="minorEastAsia" w:eastAsiaTheme="minorEastAsia"/>
          <w:sz w:val="24"/>
        </w:rPr>
      </w:pPr>
    </w:p>
    <w:p>
      <w:pPr>
        <w:spacing w:before="120" w:line="22" w:lineRule="atLeast"/>
        <w:ind w:left="960"/>
        <w:rPr>
          <w:rFonts w:cs="宋体" w:asciiTheme="minorEastAsia" w:hAnsiTheme="minorEastAsia" w:eastAsiaTheme="minorEastAsia"/>
          <w:sz w:val="24"/>
          <w:u w:val="single"/>
        </w:rPr>
      </w:pPr>
      <w:r>
        <w:rPr>
          <w:rFonts w:hint="eastAsia" w:cs="宋体" w:asciiTheme="minorEastAsia" w:hAnsiTheme="minorEastAsia" w:eastAsiaTheme="minorEastAsia"/>
          <w:sz w:val="24"/>
        </w:rPr>
        <w:t>乙方：</w:t>
      </w:r>
    </w:p>
    <w:p>
      <w:pPr>
        <w:spacing w:before="120" w:line="22" w:lineRule="atLeast"/>
        <w:rPr>
          <w:rFonts w:cs="宋体" w:asciiTheme="minorEastAsia" w:hAnsiTheme="minorEastAsia" w:eastAsiaTheme="minorEastAsia"/>
          <w:sz w:val="24"/>
        </w:rPr>
      </w:pPr>
    </w:p>
    <w:p>
      <w:pPr>
        <w:spacing w:before="120" w:line="22" w:lineRule="atLeast"/>
        <w:ind w:firstLine="960" w:firstLineChars="400"/>
        <w:rPr>
          <w:rFonts w:cs="宋体" w:asciiTheme="minorEastAsia" w:hAnsiTheme="minorEastAsia" w:eastAsiaTheme="minorEastAsia"/>
          <w:sz w:val="24"/>
          <w:u w:val="single"/>
        </w:rPr>
      </w:pPr>
      <w:r>
        <w:rPr>
          <w:rFonts w:hint="eastAsia" w:cs="宋体" w:asciiTheme="minorEastAsia" w:hAnsiTheme="minorEastAsia" w:eastAsiaTheme="minorEastAsia"/>
          <w:sz w:val="24"/>
        </w:rPr>
        <w:t>签订地：</w:t>
      </w:r>
    </w:p>
    <w:p>
      <w:pPr>
        <w:spacing w:before="120" w:line="22" w:lineRule="atLeast"/>
        <w:rPr>
          <w:rFonts w:cs="宋体" w:asciiTheme="minorEastAsia" w:hAnsiTheme="minorEastAsia" w:eastAsiaTheme="minorEastAsia"/>
          <w:sz w:val="24"/>
        </w:rPr>
      </w:pPr>
    </w:p>
    <w:p>
      <w:pPr>
        <w:spacing w:before="120" w:line="22" w:lineRule="atLeast"/>
        <w:ind w:firstLine="960" w:firstLineChars="400"/>
        <w:rPr>
          <w:rFonts w:cs="宋体" w:asciiTheme="minorEastAsia" w:hAnsiTheme="minorEastAsia" w:eastAsiaTheme="minorEastAsia"/>
          <w:sz w:val="24"/>
          <w:u w:val="single"/>
        </w:rPr>
      </w:pPr>
      <w:r>
        <w:rPr>
          <w:rFonts w:hint="eastAsia" w:cs="宋体" w:asciiTheme="minorEastAsia" w:hAnsiTheme="minorEastAsia" w:eastAsiaTheme="minorEastAsia"/>
          <w:sz w:val="24"/>
        </w:rPr>
        <w:t>签订日期：年月日</w:t>
      </w:r>
    </w:p>
    <w:p>
      <w:pPr>
        <w:widowControl/>
        <w:jc w:val="left"/>
        <w:rPr>
          <w:rFonts w:cs="宋体" w:asciiTheme="minorEastAsia" w:hAnsiTheme="minorEastAsia" w:eastAsiaTheme="minorEastAsia"/>
          <w:kern w:val="0"/>
          <w:sz w:val="24"/>
        </w:rPr>
        <w:sectPr>
          <w:pgSz w:w="11907" w:h="16840"/>
          <w:pgMar w:top="1440" w:right="1417" w:bottom="1440" w:left="1417" w:header="851" w:footer="850" w:gutter="0"/>
          <w:cols w:space="0" w:num="1"/>
        </w:sectPr>
      </w:pP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年月日</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（采购人）   </w:t>
      </w:r>
      <w:r>
        <w:rPr>
          <w:rFonts w:hint="eastAsia" w:cs="宋体" w:asciiTheme="minorEastAsia" w:hAnsiTheme="minorEastAsia" w:eastAsiaTheme="minorEastAsia"/>
          <w:sz w:val="24"/>
        </w:rPr>
        <w:t>以</w:t>
      </w:r>
      <w:r>
        <w:rPr>
          <w:rFonts w:hint="eastAsia" w:cs="宋体" w:asciiTheme="minorEastAsia" w:hAnsiTheme="minorEastAsia" w:eastAsiaTheme="minorEastAsia"/>
          <w:sz w:val="24"/>
          <w:u w:val="single"/>
        </w:rPr>
        <w:t xml:space="preserve">   （政府采购方式）  </w:t>
      </w:r>
      <w:r>
        <w:rPr>
          <w:rFonts w:hint="eastAsia" w:cs="宋体" w:asciiTheme="minorEastAsia" w:hAnsiTheme="minorEastAsia" w:eastAsiaTheme="minorEastAsia"/>
          <w:sz w:val="24"/>
        </w:rPr>
        <w:t>对</w:t>
      </w:r>
      <w:r>
        <w:rPr>
          <w:rFonts w:hint="eastAsia" w:cs="宋体" w:asciiTheme="minorEastAsia" w:hAnsiTheme="minorEastAsia" w:eastAsiaTheme="minorEastAsia"/>
          <w:sz w:val="24"/>
          <w:u w:val="single"/>
        </w:rPr>
        <w:t xml:space="preserve">   （项目名称）   </w:t>
      </w:r>
      <w:r>
        <w:rPr>
          <w:rFonts w:hint="eastAsia" w:cs="宋体" w:asciiTheme="minorEastAsia" w:hAnsiTheme="minorEastAsia" w:eastAsiaTheme="minorEastAsia"/>
          <w:sz w:val="24"/>
        </w:rPr>
        <w:t>项目进行了采购。经评定，</w:t>
      </w:r>
      <w:r>
        <w:rPr>
          <w:rFonts w:hint="eastAsia" w:cs="宋体" w:asciiTheme="minorEastAsia" w:hAnsiTheme="minorEastAsia" w:eastAsiaTheme="minorEastAsia"/>
          <w:sz w:val="24"/>
          <w:u w:val="single"/>
        </w:rPr>
        <w:t xml:space="preserve">   （中标供应商名称）</w:t>
      </w:r>
      <w:r>
        <w:rPr>
          <w:rFonts w:hint="eastAsia" w:cs="宋体" w:asciiTheme="minorEastAsia" w:hAnsiTheme="minorEastAsia" w:eastAsiaTheme="minorEastAsia"/>
          <w:sz w:val="24"/>
        </w:rPr>
        <w:t>为该项目中标供应商。现于中标通知书发出之日起三十日内，按照采购文件确定的事项签订本合同。</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根据《中华人民共和国民法典》、《中华人民共和国政府采购法》等相关法律法规之规定，按照平等、自愿、公平、诚实信用和绿色的原则，经</w:t>
      </w:r>
      <w:r>
        <w:rPr>
          <w:rFonts w:hint="eastAsia" w:cs="宋体" w:asciiTheme="minorEastAsia" w:hAnsiTheme="minorEastAsia" w:eastAsiaTheme="minorEastAsia"/>
          <w:sz w:val="24"/>
          <w:u w:val="single"/>
        </w:rPr>
        <w:t xml:space="preserve">   （采购人）   </w:t>
      </w:r>
      <w:r>
        <w:rPr>
          <w:rFonts w:hint="eastAsia" w:cs="宋体" w:asciiTheme="minorEastAsia" w:hAnsiTheme="minorEastAsia" w:eastAsiaTheme="minorEastAsia"/>
          <w:sz w:val="24"/>
          <w:lang w:val="zh-CN"/>
        </w:rPr>
        <w:t>(以下简称：甲方)和</w:t>
      </w:r>
      <w:r>
        <w:rPr>
          <w:rFonts w:hint="eastAsia" w:cs="宋体" w:asciiTheme="minorEastAsia" w:hAnsiTheme="minorEastAsia" w:eastAsiaTheme="minorEastAsia"/>
          <w:sz w:val="24"/>
          <w:u w:val="single"/>
        </w:rPr>
        <w:t xml:space="preserve">   （中标供应商名称）   </w:t>
      </w:r>
      <w:r>
        <w:rPr>
          <w:rFonts w:hint="eastAsia" w:cs="宋体" w:asciiTheme="minorEastAsia" w:hAnsiTheme="minorEastAsia" w:eastAsiaTheme="minorEastAsia"/>
          <w:sz w:val="24"/>
          <w:lang w:val="zh-CN"/>
        </w:rPr>
        <w:t>(以下简称：乙方)协商一致，约定以下合同</w:t>
      </w:r>
      <w:r>
        <w:rPr>
          <w:rFonts w:hint="eastAsia" w:cs="宋体" w:asciiTheme="minorEastAsia" w:hAnsiTheme="minorEastAsia" w:eastAsiaTheme="minorEastAsia"/>
          <w:sz w:val="24"/>
        </w:rPr>
        <w:t>条款，以兹共同遵守、全面履行。</w:t>
      </w:r>
    </w:p>
    <w:p>
      <w:pPr>
        <w:spacing w:line="288" w:lineRule="auto"/>
        <w:rPr>
          <w:rFonts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第一条：服务内容</w:t>
      </w:r>
    </w:p>
    <w:tbl>
      <w:tblPr>
        <w:tblStyle w:val="7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992"/>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序号</w:t>
            </w:r>
          </w:p>
        </w:tc>
        <w:tc>
          <w:tcPr>
            <w:tcW w:w="2694"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具体服务</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数量</w:t>
            </w: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金额</w:t>
            </w:r>
          </w:p>
        </w:tc>
        <w:tc>
          <w:tcPr>
            <w:tcW w:w="340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中标单价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1</w:t>
            </w:r>
          </w:p>
        </w:tc>
        <w:tc>
          <w:tcPr>
            <w:tcW w:w="2694" w:type="dxa"/>
            <w:tcBorders>
              <w:top w:val="single" w:color="auto" w:sz="4" w:space="0"/>
              <w:left w:val="single" w:color="auto" w:sz="4" w:space="0"/>
              <w:bottom w:val="single" w:color="auto" w:sz="4" w:space="0"/>
              <w:right w:val="single" w:color="auto" w:sz="4" w:space="0"/>
            </w:tcBorders>
            <w:noWrap/>
            <w:vAlign w:val="center"/>
          </w:tcPr>
          <w:p>
            <w:pPr>
              <w:spacing w:line="288" w:lineRule="auto"/>
              <w:ind w:left="178" w:leftChars="85"/>
              <w:jc w:val="center"/>
              <w:rPr>
                <w:rFonts w:cs="宋体" w:asciiTheme="minorEastAsia" w:hAnsiTheme="minorEastAsia" w:eastAsiaTheme="minorEastAsia"/>
                <w:spacing w:val="-6"/>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cs="宋体" w:asciiTheme="minorEastAsia" w:hAnsiTheme="minorEastAsia" w:eastAsiaTheme="minorEastAsia"/>
                <w:spacing w:val="-6"/>
                <w:sz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cs="宋体" w:asciiTheme="minorEastAsia" w:hAnsiTheme="minorEastAsia" w:eastAsiaTheme="minorEastAsia"/>
                <w:spacing w:val="-6"/>
                <w:sz w:val="24"/>
              </w:rPr>
            </w:pPr>
          </w:p>
        </w:tc>
        <w:tc>
          <w:tcPr>
            <w:tcW w:w="3402" w:type="dxa"/>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cs="宋体" w:asciiTheme="minorEastAsia" w:hAnsiTheme="minorEastAsia" w:eastAsiaTheme="minorEastAsia"/>
                <w:spacing w:val="-6"/>
                <w:sz w:val="24"/>
              </w:rPr>
            </w:pPr>
          </w:p>
        </w:tc>
      </w:tr>
    </w:tbl>
    <w:p>
      <w:pPr>
        <w:snapToGrid w:val="0"/>
        <w:spacing w:line="360" w:lineRule="auto"/>
        <w:ind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注：投标报价应包括投标总报价是指综合费用，包括人员工资、交通、住宿、税金、保险、验收、报审过程中以及在履行本合同时的现场踏勘、资料收集、调查等的全部费用。</w:t>
      </w:r>
    </w:p>
    <w:p>
      <w:pPr>
        <w:snapToGrid w:val="0"/>
        <w:spacing w:line="360" w:lineRule="auto"/>
        <w:rPr>
          <w:rFonts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第二条：服务期限：</w:t>
      </w:r>
      <w:r>
        <w:rPr>
          <w:rFonts w:hint="eastAsia" w:cs="宋体" w:asciiTheme="minorEastAsia" w:hAnsiTheme="minorEastAsia" w:eastAsiaTheme="minorEastAsia"/>
          <w:spacing w:val="-6"/>
          <w:sz w:val="24"/>
        </w:rPr>
        <w:t xml:space="preserve">本合同有效期限为年，具体时限自 </w:t>
      </w:r>
      <w:r>
        <w:rPr>
          <w:rFonts w:hint="eastAsia" w:cs="宋体" w:asciiTheme="minorEastAsia" w:hAnsiTheme="minorEastAsia" w:eastAsiaTheme="minorEastAsia"/>
          <w:spacing w:val="-6"/>
          <w:sz w:val="24"/>
        </w:rPr>
        <w:tab/>
      </w:r>
      <w:r>
        <w:rPr>
          <w:rFonts w:hint="eastAsia" w:cs="宋体" w:asciiTheme="minorEastAsia" w:hAnsiTheme="minorEastAsia" w:eastAsiaTheme="minorEastAsia"/>
          <w:spacing w:val="-6"/>
          <w:sz w:val="24"/>
        </w:rPr>
        <w:t>年  月  日至  年 月 日。</w:t>
      </w:r>
    </w:p>
    <w:p>
      <w:pPr>
        <w:snapToGrid w:val="0"/>
        <w:spacing w:line="360" w:lineRule="auto"/>
        <w:rPr>
          <w:rFonts w:cs="宋体" w:asciiTheme="minorEastAsia" w:hAnsiTheme="minorEastAsia" w:eastAsiaTheme="minorEastAsia"/>
          <w:bCs/>
          <w:spacing w:val="-6"/>
          <w:sz w:val="24"/>
        </w:rPr>
      </w:pPr>
      <w:r>
        <w:rPr>
          <w:rFonts w:hint="eastAsia" w:cs="宋体" w:asciiTheme="minorEastAsia" w:hAnsiTheme="minorEastAsia" w:eastAsiaTheme="minorEastAsia"/>
          <w:b/>
          <w:spacing w:val="-6"/>
          <w:sz w:val="24"/>
        </w:rPr>
        <w:t>第三条：执行技术标准：</w:t>
      </w:r>
      <w:r>
        <w:rPr>
          <w:rFonts w:hint="eastAsia" w:cs="宋体" w:asciiTheme="minorEastAsia" w:hAnsiTheme="minorEastAsia" w:eastAsiaTheme="minorEastAsia"/>
          <w:bCs/>
          <w:spacing w:val="-6"/>
          <w:sz w:val="24"/>
        </w:rPr>
        <w:t>提交成果必须符合国家相关规程和规范要求</w:t>
      </w:r>
    </w:p>
    <w:p>
      <w:pPr>
        <w:snapToGrid w:val="0"/>
        <w:spacing w:line="360" w:lineRule="auto"/>
        <w:rPr>
          <w:rFonts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第四条：付款方式：</w:t>
      </w:r>
    </w:p>
    <w:p>
      <w:pPr>
        <w:autoSpaceDE w:val="0"/>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乙方开户行名称：_____________________</w:t>
      </w:r>
    </w:p>
    <w:p>
      <w:pPr>
        <w:topLinePunct/>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开户行账号：_________________________</w:t>
      </w:r>
    </w:p>
    <w:p>
      <w:pPr>
        <w:autoSpaceDE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第五条：履约保证金：</w:t>
      </w:r>
    </w:p>
    <w:p>
      <w:pPr>
        <w:autoSpaceDE w:val="0"/>
        <w:spacing w:line="360" w:lineRule="auto"/>
        <w:rPr>
          <w:rFonts w:ascii="宋体" w:hAnsi="宋体" w:cs="宋体"/>
          <w:b/>
          <w:sz w:val="24"/>
        </w:rPr>
      </w:pPr>
      <w:r>
        <w:rPr>
          <w:rFonts w:hint="eastAsia" w:ascii="宋体" w:hAnsi="宋体"/>
          <w:sz w:val="24"/>
        </w:rPr>
        <w:t>在签订合同前，需向采购方支付中标价0.1%的履约保证金。</w:t>
      </w:r>
    </w:p>
    <w:p>
      <w:pPr>
        <w:autoSpaceDE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第六条：知识产权</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乙方应保证提供服务过程中不会侵犯任何第三方的知识产权。</w:t>
      </w:r>
    </w:p>
    <w:p>
      <w:pPr>
        <w:autoSpaceDE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第七条：转包或分包</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1.本合同范围的服务，应由乙方直接供应，不得转让他人供应；</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2.除非得到甲方的书面同意，乙方不得将本合同范围的服务全部或部分分包给他人供应；</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3.如有转让和未经甲方同意的分包行为，甲方有权解除合同，并追究乙方的违约责任。</w:t>
      </w:r>
    </w:p>
    <w:p>
      <w:pPr>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sz w:val="24"/>
        </w:rPr>
        <w:t>第八条：</w:t>
      </w:r>
      <w:r>
        <w:rPr>
          <w:rFonts w:hint="eastAsia" w:cs="宋体" w:asciiTheme="minorEastAsia" w:hAnsiTheme="minorEastAsia" w:eastAsiaTheme="minorEastAsia"/>
          <w:b/>
          <w:bCs/>
          <w:sz w:val="24"/>
        </w:rPr>
        <w:t>税费</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本合同执行中相关的一切税费均由乙方负担。</w:t>
      </w:r>
    </w:p>
    <w:p>
      <w:pPr>
        <w:autoSpaceDE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第九条：验收</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1、验收按国家有关的规定、规范进行。</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2、验收费用由乙方承担。</w:t>
      </w:r>
    </w:p>
    <w:p>
      <w:pPr>
        <w:autoSpaceDE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第十条：售后服务</w:t>
      </w:r>
    </w:p>
    <w:p>
      <w:pPr>
        <w:autoSpaceDE w:val="0"/>
        <w:spacing w:line="360" w:lineRule="auto"/>
        <w:ind w:firstLine="480" w:firstLineChars="200"/>
        <w:rPr>
          <w:rFonts w:cs="宋体" w:asciiTheme="minorEastAsia" w:hAnsiTheme="minorEastAsia" w:eastAsiaTheme="minorEastAsia"/>
          <w:b/>
          <w:sz w:val="24"/>
        </w:rPr>
      </w:pPr>
      <w:r>
        <w:rPr>
          <w:rFonts w:hint="eastAsia" w:asciiTheme="minorEastAsia" w:hAnsiTheme="minorEastAsia" w:eastAsiaTheme="minorEastAsia"/>
          <w:sz w:val="24"/>
        </w:rPr>
        <w:t xml:space="preserve">在服务质保期内，乙方应该确保服务范围内的质量标准符合本招标文件要求。当出现问题时，投标人应承诺在小时内响应并提出解决方案，小时之内到现场对存在问题进行处理，并提出相应措施。                                             </w:t>
      </w:r>
    </w:p>
    <w:p>
      <w:pPr>
        <w:autoSpaceDE w:val="0"/>
        <w:spacing w:line="360" w:lineRule="auto"/>
        <w:jc w:val="left"/>
        <w:rPr>
          <w:rFonts w:cs="宋体" w:asciiTheme="minorEastAsia" w:hAnsiTheme="minorEastAsia" w:eastAsiaTheme="minorEastAsia"/>
          <w:bCs/>
          <w:kern w:val="0"/>
          <w:sz w:val="24"/>
        </w:rPr>
      </w:pPr>
      <w:r>
        <w:rPr>
          <w:rFonts w:hint="eastAsia" w:cs="宋体" w:asciiTheme="minorEastAsia" w:hAnsiTheme="minorEastAsia" w:eastAsiaTheme="minorEastAsia"/>
          <w:b/>
          <w:sz w:val="24"/>
        </w:rPr>
        <w:t>第十一条：</w:t>
      </w:r>
      <w:r>
        <w:rPr>
          <w:rFonts w:hint="eastAsia" w:cs="宋体" w:asciiTheme="minorEastAsia" w:hAnsiTheme="minorEastAsia" w:eastAsiaTheme="minorEastAsia"/>
          <w:bCs/>
          <w:kern w:val="0"/>
          <w:sz w:val="24"/>
        </w:rPr>
        <w:t>乙方承担完成本招标项目的一切费用(包括不可预见费用)和市场风险。</w:t>
      </w:r>
    </w:p>
    <w:p>
      <w:pPr>
        <w:autoSpaceDE w:val="0"/>
        <w:spacing w:line="360" w:lineRule="auto"/>
        <w:jc w:val="left"/>
        <w:rPr>
          <w:rFonts w:asciiTheme="minorEastAsia" w:hAnsiTheme="minorEastAsia" w:eastAsiaTheme="minorEastAsia"/>
          <w:sz w:val="24"/>
          <w:u w:val="single"/>
        </w:rPr>
      </w:pPr>
      <w:r>
        <w:rPr>
          <w:rFonts w:hint="eastAsia" w:cs="宋体" w:asciiTheme="minorEastAsia" w:hAnsiTheme="minorEastAsia" w:eastAsiaTheme="minorEastAsia"/>
          <w:b/>
          <w:sz w:val="24"/>
        </w:rPr>
        <w:t xml:space="preserve">第十二条：其他约定：              </w:t>
      </w:r>
    </w:p>
    <w:p>
      <w:pPr>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sz w:val="24"/>
        </w:rPr>
        <w:t>第十三条：</w:t>
      </w:r>
      <w:r>
        <w:rPr>
          <w:rFonts w:hint="eastAsia" w:cs="宋体" w:asciiTheme="minorEastAsia" w:hAnsiTheme="minorEastAsia" w:eastAsiaTheme="minorEastAsia"/>
          <w:b/>
          <w:bCs/>
          <w:sz w:val="24"/>
          <w:lang w:val="zh-CN"/>
        </w:rPr>
        <w:t>甲方的责任与义务</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甲方应当主要负责项目的所有外部关系的联系与协调，为乙方工作提供良好的外部条件。</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甲方应当按双方约定的内容和时间，向乙方提供与项目有关的资料。</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甲方应授权一名熟悉本项目情况、能迅速做出决定的项目代表，负责与乙方联系。更换代表，要提前通知乙方。</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甲方有与乙方订立补充合同的签订权。</w:t>
      </w:r>
    </w:p>
    <w:p>
      <w:pPr>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sz w:val="24"/>
        </w:rPr>
        <w:t>第十四条：</w:t>
      </w:r>
      <w:r>
        <w:rPr>
          <w:rFonts w:hint="eastAsia" w:cs="宋体" w:asciiTheme="minorEastAsia" w:hAnsiTheme="minorEastAsia" w:eastAsiaTheme="minorEastAsia"/>
          <w:b/>
          <w:bCs/>
          <w:sz w:val="24"/>
          <w:lang w:val="zh-CN"/>
        </w:rPr>
        <w:t>乙方的责任与义务</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根据投标文件的承诺向甲方委派项目组人员。</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在履行本合同义务的期间，应运用合理的技能，认真、勤奋的工作。</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在本合同期内或合同终止后，未征得有关方同意，不得泄漏与本项目、本合同有关的技术、资料等，不得以任何形式侵害甲方的知识产权。</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负责处理好与相关项目实施单位的协调工作。</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第十五条  违约责任</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由于乙方原因(除不可抗力外)不能按期交付合同标的，对超出交付期的每一天，乙方应按1000元/天承担违约金，在合同款支付时一次性扣除。若超出交付期十天(含十天)以上的，甲方有权终止合同，质量保证金不予退还。</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乙方按合同要求将成果送达甲方后，经验收合格后，甲方超出付款期支付项目款的，每逾一天，甲方应向乙方支付合同金额的千分之三的滞纳金。甲方无正当理由拒收合同标的、拒付项目款的，应向乙方偿付合同总价千分之五的违约金。</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3、由于乙方原因导致甲方有重大损失的，责任由乙方承担，并依法追究其经济责任和法律责任。</w:t>
      </w:r>
    </w:p>
    <w:p>
      <w:pPr>
        <w:autoSpaceDE w:val="0"/>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第十六条：不可抗力事件处理</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1．在合同有效期内，任何一方因不可抗力事件导致不能履行合同，则合同履行期可延长，其延长期与不可抗力影响期相同。</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2．不可抗力事件发生后，应立即通知对方，并寄送有关权威机构出具的证明。</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3．不可抗力事件延续120天以上，双方应通过友好协商，确定是否继续履行合同。</w:t>
      </w:r>
    </w:p>
    <w:p>
      <w:pPr>
        <w:autoSpaceDE w:val="0"/>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第十七条：争议的解决</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1．因质量问题发生争议的，由甲方委托有关技术部门进行质量鉴定，该鉴定的结论甲乙双方应当接受，各方均有权直接向对方索赔，并签订书面处理协议书，报相关部门备案。</w:t>
      </w:r>
    </w:p>
    <w:p>
      <w:pPr>
        <w:autoSpaceDE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2．双方无法通过协商解决合同争议的，任何一方有权向甲方所在地</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人民法院提起诉讼。</w:t>
      </w:r>
    </w:p>
    <w:p>
      <w:pPr>
        <w:snapToGrid w:val="0"/>
        <w:spacing w:line="360" w:lineRule="auto"/>
        <w:ind w:right="-514" w:rightChars="-245" w:firstLine="229" w:firstLineChars="100"/>
        <w:rPr>
          <w:rFonts w:cs="宋体" w:asciiTheme="minorEastAsia" w:hAnsiTheme="minorEastAsia" w:eastAsiaTheme="minorEastAsia"/>
          <w:b/>
          <w:spacing w:val="-6"/>
          <w:sz w:val="24"/>
        </w:rPr>
      </w:pPr>
      <w:r>
        <w:rPr>
          <w:rFonts w:hint="eastAsia" w:cs="宋体" w:asciiTheme="minorEastAsia" w:hAnsiTheme="minorEastAsia" w:eastAsiaTheme="minorEastAsia"/>
          <w:b/>
          <w:spacing w:val="-6"/>
          <w:sz w:val="24"/>
        </w:rPr>
        <w:t>第十八条：合同生效</w:t>
      </w:r>
    </w:p>
    <w:p>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1.合同经甲方、乙方法定代表人或授权代表签字并加盖单位公章后生效。</w:t>
      </w:r>
    </w:p>
    <w:p>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2.本合同未尽事宜，遵照《中华人民共和国民法典》</w:t>
      </w:r>
      <w:r>
        <w:rPr>
          <w:rFonts w:hint="eastAsia" w:cs="宋体" w:asciiTheme="minorEastAsia" w:hAnsiTheme="minorEastAsia" w:eastAsiaTheme="minorEastAsia"/>
          <w:spacing w:val="-6"/>
          <w:sz w:val="24"/>
          <w:lang w:val="en-US" w:eastAsia="zh-CN"/>
        </w:rPr>
        <w:t>及招标文件</w:t>
      </w:r>
      <w:r>
        <w:rPr>
          <w:rFonts w:hint="eastAsia" w:cs="宋体" w:asciiTheme="minorEastAsia" w:hAnsiTheme="minorEastAsia" w:eastAsiaTheme="minorEastAsia"/>
          <w:spacing w:val="-6"/>
          <w:sz w:val="24"/>
        </w:rPr>
        <w:t>有关条文执行。</w:t>
      </w:r>
    </w:p>
    <w:p>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3.本合同一式肆份，甲方、乙方各执贰份。</w:t>
      </w:r>
    </w:p>
    <w:p>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4.相关招投标文件、询标承诺、产品配置清单等与本合同具有同等法律效力。</w:t>
      </w:r>
    </w:p>
    <w:p>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甲方（公章）：                       乙方（公章）：</w:t>
      </w:r>
    </w:p>
    <w:p>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法定代表人或受委托人（签字或盖章）   法定代表人或受委托人（签字或盖章）</w:t>
      </w:r>
    </w:p>
    <w:p>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地址：                               地址：</w:t>
      </w:r>
    </w:p>
    <w:p>
      <w:pPr>
        <w:snapToGrid w:val="0"/>
        <w:spacing w:line="360" w:lineRule="auto"/>
        <w:ind w:right="23" w:rightChars="11" w:firstLine="456" w:firstLineChars="200"/>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电话：                               电话：</w:t>
      </w:r>
    </w:p>
    <w:p>
      <w:pPr>
        <w:snapToGrid w:val="0"/>
        <w:spacing w:line="360" w:lineRule="auto"/>
        <w:ind w:right="23" w:rightChars="11" w:firstLine="456" w:firstLineChars="200"/>
        <w:jc w:val="right"/>
        <w:rPr>
          <w:rFonts w:cs="宋体" w:asciiTheme="minorEastAsia" w:hAnsiTheme="minorEastAsia" w:eastAsiaTheme="minorEastAsia"/>
          <w:spacing w:val="-6"/>
          <w:sz w:val="24"/>
        </w:rPr>
      </w:pPr>
      <w:r>
        <w:rPr>
          <w:rFonts w:hint="eastAsia" w:cs="宋体" w:asciiTheme="minorEastAsia" w:hAnsiTheme="minorEastAsia" w:eastAsiaTheme="minorEastAsia"/>
          <w:spacing w:val="-6"/>
          <w:sz w:val="24"/>
        </w:rPr>
        <w:t>签约时间：    年  月  日</w:t>
      </w:r>
    </w:p>
    <w:p>
      <w:pPr>
        <w:spacing w:line="360" w:lineRule="auto"/>
        <w:outlineLvl w:val="0"/>
        <w:rPr>
          <w:rFonts w:cs="宋体" w:asciiTheme="minorEastAsia" w:hAnsiTheme="minorEastAsia" w:eastAsiaTheme="minorEastAsia"/>
          <w:b/>
          <w:sz w:val="36"/>
          <w:szCs w:val="20"/>
        </w:rPr>
        <w:sectPr>
          <w:headerReference r:id="rId10" w:type="first"/>
          <w:footerReference r:id="rId12" w:type="first"/>
          <w:headerReference r:id="rId9" w:type="default"/>
          <w:footerReference r:id="rId11" w:type="default"/>
          <w:pgSz w:w="11906" w:h="16838"/>
          <w:pgMar w:top="1440" w:right="1418" w:bottom="1440" w:left="1418" w:header="851" w:footer="992" w:gutter="0"/>
          <w:cols w:space="0" w:num="1"/>
          <w:titlePg/>
          <w:docGrid w:linePitch="312" w:charSpace="0"/>
        </w:sectPr>
      </w:pPr>
    </w:p>
    <w:p>
      <w:pPr>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第六部分</w:t>
      </w:r>
      <w:bookmarkEnd w:id="386"/>
      <w:bookmarkEnd w:id="387"/>
      <w:r>
        <w:rPr>
          <w:rFonts w:hint="eastAsia" w:cs="宋体" w:asciiTheme="minorEastAsia" w:hAnsiTheme="minorEastAsia" w:eastAsiaTheme="minorEastAsia"/>
          <w:b/>
          <w:sz w:val="36"/>
          <w:szCs w:val="20"/>
        </w:rPr>
        <w:t>应提交的有关格式范例</w:t>
      </w:r>
    </w:p>
    <w:p>
      <w:pPr>
        <w:spacing w:line="360" w:lineRule="auto"/>
        <w:jc w:val="center"/>
        <w:outlineLvl w:val="0"/>
        <w:rPr>
          <w:rFonts w:cs="宋体" w:asciiTheme="minorEastAsia" w:hAnsiTheme="minorEastAsia" w:eastAsiaTheme="minorEastAsia"/>
          <w:b/>
          <w:kern w:val="0"/>
          <w:sz w:val="36"/>
          <w:szCs w:val="36"/>
        </w:rPr>
      </w:pP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资格文件部分</w:t>
      </w: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11.1.1符合参加政府采购活动应当具备的一般条件的承诺函；</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w:t>
      </w:r>
      <w:r>
        <w:rPr>
          <w:rFonts w:hint="eastAsia" w:cs="宋体" w:asciiTheme="minorEastAsia" w:hAnsiTheme="minorEastAsia" w:eastAsiaTheme="minorEastAsia"/>
          <w:snapToGrid w:val="0"/>
          <w:kern w:val="28"/>
          <w:sz w:val="24"/>
          <w:szCs w:val="20"/>
        </w:rPr>
        <w:t>联合协议（如果有）</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11.1.2落实政府采购政策需满足的资格要求</w:t>
      </w:r>
      <w:r>
        <w:rPr>
          <w:rFonts w:hint="eastAsia" w:asciiTheme="minorEastAsia" w:hAnsiTheme="minorEastAsia" w:eastAsiaTheme="minorEastAsia" w:cstheme="minorEastAsia"/>
          <w:snapToGrid w:val="0"/>
          <w:kern w:val="28"/>
          <w:sz w:val="24"/>
          <w:szCs w:val="20"/>
        </w:rPr>
        <w:t>（中小企业声明函)</w:t>
      </w:r>
      <w:r>
        <w:rPr>
          <w:rFonts w:hint="eastAsia" w:asciiTheme="minorEastAsia" w:hAnsiTheme="minorEastAsia" w:eastAsiaTheme="minorEastAsia" w:cstheme="minorEastAsia"/>
          <w:sz w:val="24"/>
        </w:rPr>
        <w:t>；</w:t>
      </w:r>
    </w:p>
    <w:p>
      <w:pPr>
        <w:snapToGrid w:val="0"/>
        <w:spacing w:line="36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11.1.3本项目的特定资格要求</w:t>
      </w:r>
      <w:r>
        <w:rPr>
          <w:rFonts w:hint="eastAsia" w:asciiTheme="minorEastAsia" w:hAnsiTheme="minorEastAsia" w:eastAsiaTheme="minorEastAsia" w:cstheme="minorEastAsia"/>
          <w:snapToGrid w:val="0"/>
          <w:kern w:val="28"/>
          <w:sz w:val="24"/>
          <w:szCs w:val="20"/>
        </w:rPr>
        <w:t>（如果有)</w:t>
      </w:r>
      <w:r>
        <w:rPr>
          <w:rFonts w:hint="eastAsia" w:asciiTheme="minorEastAsia" w:hAnsiTheme="minorEastAsia" w:eastAsiaTheme="minorEastAsia" w:cstheme="minorEastAsia"/>
          <w:sz w:val="24"/>
        </w:rPr>
        <w:t>。</w:t>
      </w:r>
    </w:p>
    <w:p>
      <w:pPr>
        <w:snapToGrid w:val="0"/>
        <w:spacing w:line="360" w:lineRule="auto"/>
        <w:ind w:right="480"/>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 xml:space="preserve">  一、 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我方参与（项目名称）【招标编号：（采购编号）】政府采购活动，郑重承诺：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月日</w:t>
      </w:r>
    </w:p>
    <w:p>
      <w:pPr>
        <w:snapToGrid w:val="0"/>
        <w:spacing w:line="360" w:lineRule="auto"/>
        <w:ind w:right="480"/>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widowControl/>
        <w:spacing w:line="360" w:lineRule="auto"/>
        <w:ind w:firstLine="643" w:firstLineChars="20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二、联合协议（如果有）</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b/>
          <w:sz w:val="24"/>
        </w:rPr>
      </w:pPr>
    </w:p>
    <w:p>
      <w:pPr>
        <w:widowControl/>
        <w:spacing w:line="360" w:lineRule="auto"/>
        <w:ind w:left="150"/>
        <w:jc w:val="center"/>
        <w:rPr>
          <w:rFonts w:cs="宋体" w:asciiTheme="minorEastAsia" w:hAnsiTheme="minorEastAsia" w:eastAsiaTheme="minorEastAsia"/>
          <w:b/>
          <w:kern w:val="0"/>
          <w:sz w:val="32"/>
          <w:szCs w:val="32"/>
        </w:rPr>
      </w:pPr>
    </w:p>
    <w:p>
      <w:pPr>
        <w:pStyle w:val="34"/>
        <w:rPr>
          <w:rFonts w:asciiTheme="minorEastAsia" w:hAnsiTheme="minorEastAsia" w:eastAsiaTheme="minorEastAsia"/>
        </w:rPr>
      </w:pPr>
    </w:p>
    <w:p>
      <w:pPr>
        <w:widowControl/>
        <w:spacing w:line="360" w:lineRule="auto"/>
        <w:ind w:left="150"/>
        <w:jc w:val="center"/>
        <w:rPr>
          <w:rFonts w:cs="宋体" w:asciiTheme="minorEastAsia" w:hAnsiTheme="minorEastAsia" w:eastAsiaTheme="minorEastAsia"/>
          <w:b/>
          <w:kern w:val="0"/>
          <w:sz w:val="32"/>
          <w:szCs w:val="32"/>
        </w:rPr>
      </w:pPr>
    </w:p>
    <w:p>
      <w:pPr>
        <w:widowControl/>
        <w:spacing w:line="360" w:lineRule="auto"/>
        <w:ind w:left="15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四、本项目的特定资格要求</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（根据招标公告本项目的特定资格要求提供相应的材料；未要求的，无需提供）</w:t>
      </w:r>
    </w:p>
    <w:p>
      <w:pPr>
        <w:spacing w:line="360" w:lineRule="auto"/>
        <w:ind w:right="420"/>
        <w:jc w:val="center"/>
        <w:rPr>
          <w:rFonts w:cs="宋体" w:asciiTheme="minorEastAsia" w:hAnsiTheme="minorEastAsia" w:eastAsiaTheme="minorEastAsia"/>
          <w:b/>
          <w:kern w:val="0"/>
          <w:sz w:val="36"/>
          <w:szCs w:val="36"/>
        </w:rPr>
        <w:sectPr>
          <w:pgSz w:w="11906" w:h="16838"/>
          <w:pgMar w:top="1440" w:right="1418" w:bottom="1440" w:left="1418" w:header="851" w:footer="992" w:gutter="0"/>
          <w:cols w:space="0" w:num="1"/>
          <w:titlePg/>
          <w:docGrid w:linePitch="312" w:charSpace="0"/>
        </w:sectPr>
      </w:pPr>
    </w:p>
    <w:p>
      <w:pPr>
        <w:spacing w:line="360" w:lineRule="auto"/>
        <w:ind w:right="420"/>
        <w:jc w:val="center"/>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商务技术文件部分</w:t>
      </w:r>
    </w:p>
    <w:p>
      <w:pPr>
        <w:spacing w:line="360" w:lineRule="auto"/>
        <w:jc w:val="center"/>
        <w:outlineLvl w:val="0"/>
        <w:rPr>
          <w:rFonts w:cs="宋体" w:asciiTheme="minorEastAsia" w:hAnsiTheme="minorEastAsia" w:eastAsiaTheme="minorEastAsia"/>
          <w:b/>
          <w:kern w:val="0"/>
          <w:sz w:val="30"/>
          <w:szCs w:val="30"/>
        </w:rPr>
      </w:pPr>
      <w:r>
        <w:rPr>
          <w:rFonts w:cs="宋体" w:asciiTheme="minorEastAsia" w:hAnsiTheme="minorEastAsia" w:eastAsiaTheme="minorEastAsia"/>
          <w:b/>
          <w:kern w:val="0"/>
          <w:sz w:val="30"/>
          <w:szCs w:val="30"/>
        </w:rPr>
        <w:t>目录</w:t>
      </w:r>
    </w:p>
    <w:p>
      <w:pPr>
        <w:snapToGrid w:val="0"/>
        <w:spacing w:line="360" w:lineRule="auto"/>
        <w:ind w:left="479" w:leftChars="228"/>
        <w:rPr>
          <w:rFonts w:cs="宋体" w:asciiTheme="minorEastAsia" w:hAnsiTheme="minorEastAsia" w:eastAsiaTheme="minorEastAsia"/>
          <w:sz w:val="24"/>
        </w:rPr>
      </w:pPr>
      <w:r>
        <w:rPr>
          <w:rFonts w:hint="eastAsia" w:cs="宋体" w:asciiTheme="minorEastAsia" w:hAnsiTheme="minorEastAsia" w:eastAsiaTheme="minorEastAsia"/>
          <w:sz w:val="24"/>
        </w:rPr>
        <w:t>（1）投标函</w:t>
      </w:r>
      <w:r>
        <w:rPr>
          <w:rFonts w:hint="eastAsia" w:cs="宋体" w:asciiTheme="minorEastAsia" w:hAnsiTheme="minorEastAsia" w:eastAsiaTheme="minorEastAsia"/>
        </w:rPr>
        <w:t>…………………………………………………………………………………</w:t>
      </w:r>
      <w:r>
        <w:rPr>
          <w:rFonts w:hint="eastAsia" w:cs="宋体" w:asciiTheme="minorEastAsia" w:hAnsiTheme="minorEastAsia" w:eastAsiaTheme="minorEastAsia"/>
          <w:sz w:val="24"/>
        </w:rPr>
        <w:t>（页码）（2）授权委托书或法定代表人（单位负责人、自然人本人）身份证明……（页码）（3）分包意向协议</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pPr>
        <w:snapToGrid w:val="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（4）符合性审查资料</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（5）评标标准相应的商务技术资料</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（6）商务技术偏离表</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val="zh-CN"/>
        </w:rPr>
        <w:t>）政府采购供应商廉洁自律承诺书</w:t>
      </w:r>
      <w:r>
        <w:rPr>
          <w:rFonts w:hint="eastAsia" w:cs="宋体" w:asciiTheme="minorEastAsia" w:hAnsiTheme="minorEastAsia" w:eastAsiaTheme="minorEastAsia"/>
        </w:rPr>
        <w:t>…………………………………………………</w:t>
      </w:r>
      <w:r>
        <w:rPr>
          <w:rFonts w:hint="eastAsia" w:cs="宋体" w:asciiTheme="minorEastAsia" w:hAnsiTheme="minorEastAsia" w:eastAsiaTheme="minorEastAsia"/>
          <w:sz w:val="24"/>
        </w:rPr>
        <w:t>（页码）</w:t>
      </w:r>
    </w:p>
    <w:p>
      <w:pPr>
        <w:snapToGrid w:val="0"/>
        <w:spacing w:line="360" w:lineRule="auto"/>
        <w:jc w:val="center"/>
        <w:outlineLvl w:val="0"/>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snapToGrid w:val="0"/>
        <w:spacing w:line="360" w:lineRule="auto"/>
        <w:jc w:val="center"/>
        <w:outlineLvl w:val="0"/>
        <w:rPr>
          <w:rFonts w:cs="宋体" w:asciiTheme="minorEastAsia" w:hAnsiTheme="minorEastAsia" w:eastAsiaTheme="minorEastAsia"/>
          <w:b/>
          <w:sz w:val="32"/>
          <w:szCs w:val="32"/>
        </w:rPr>
      </w:pPr>
      <w:r>
        <w:rPr>
          <w:rFonts w:hint="eastAsia" w:cs="宋体" w:asciiTheme="minorEastAsia" w:hAnsiTheme="minorEastAsia" w:eastAsiaTheme="minorEastAsia"/>
          <w:b/>
          <w:kern w:val="0"/>
          <w:sz w:val="32"/>
          <w:szCs w:val="32"/>
        </w:rPr>
        <w:t>一、投标</w:t>
      </w:r>
      <w:r>
        <w:rPr>
          <w:rFonts w:hint="eastAsia" w:cs="宋体" w:asciiTheme="minorEastAsia" w:hAnsiTheme="minorEastAsia" w:eastAsiaTheme="minorEastAsia"/>
          <w:b/>
          <w:sz w:val="32"/>
          <w:szCs w:val="32"/>
        </w:rPr>
        <w:t>函</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（采购人）、（采购代理机构）：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我方参加你方组织的（项目名称）【招标编号：（采购编号）】招标的有关活动，并对此项目进行投标。为此：</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1、我方承诺投标有效期从提交投标文件的截止之日起</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rPr>
        <w:t>天（不少于90天）</w:t>
      </w:r>
      <w:r>
        <w:rPr>
          <w:rFonts w:hint="eastAsia" w:cs="宋体" w:asciiTheme="minorEastAsia" w:hAnsiTheme="minorEastAsia" w:eastAsiaTheme="minorEastAsia"/>
        </w:rPr>
        <w:t>，</w:t>
      </w:r>
      <w:r>
        <w:rPr>
          <w:rFonts w:hint="eastAsia" w:cs="宋体" w:asciiTheme="minorEastAsia" w:hAnsiTheme="minorEastAsia" w:eastAsiaTheme="minorEastAsia"/>
          <w:sz w:val="24"/>
        </w:rPr>
        <w:t>本投标文件在投标有效期满之前均具有约束力。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2、我方的投标文件包括以下内容：</w:t>
      </w:r>
    </w:p>
    <w:p>
      <w:pPr>
        <w:snapToGrid w:val="0"/>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2.1资格文件：</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2.1.1承诺函；</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2.1.2</w:t>
      </w:r>
      <w:r>
        <w:rPr>
          <w:rFonts w:hint="eastAsia" w:cs="宋体" w:asciiTheme="minorEastAsia" w:hAnsiTheme="minorEastAsia" w:eastAsiaTheme="minorEastAsia"/>
          <w:snapToGrid w:val="0"/>
          <w:kern w:val="28"/>
          <w:sz w:val="24"/>
          <w:szCs w:val="20"/>
        </w:rPr>
        <w:t>联合协议（如果有)；</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.1.3</w:t>
      </w:r>
      <w:r>
        <w:rPr>
          <w:rFonts w:hint="eastAsia" w:cs="宋体" w:asciiTheme="minorEastAsia" w:hAnsiTheme="minorEastAsia" w:eastAsiaTheme="minorEastAsia"/>
          <w:sz w:val="24"/>
        </w:rPr>
        <w:t>落实政府采购政策需满足的资格要求（如果有）；</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本项目的特定资格要求（如果有）。</w:t>
      </w:r>
    </w:p>
    <w:p>
      <w:pPr>
        <w:snapToGrid w:val="0"/>
        <w:ind w:left="210" w:leftChars="1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2商务技术</w:t>
      </w:r>
      <w:r>
        <w:rPr>
          <w:rFonts w:hint="eastAsia" w:cs="宋体" w:asciiTheme="minorEastAsia" w:hAnsiTheme="minorEastAsia" w:eastAsiaTheme="minorEastAsia"/>
          <w:sz w:val="24"/>
          <w:lang w:val="zh-CN"/>
        </w:rPr>
        <w:t>文件：</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2.2.1投标函；</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2.2.2授权委托书或法定代表人（单位负责人）身份证明；</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分包意向协议（如果有）；</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p>
    <w:p>
      <w:pPr>
        <w:snapToGrid w:val="0"/>
        <w:spacing w:line="276"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2.2.6商务技术偏离表；</w:t>
      </w:r>
    </w:p>
    <w:p>
      <w:pPr>
        <w:snapToGrid w:val="0"/>
        <w:spacing w:line="276" w:lineRule="auto"/>
        <w:ind w:left="420" w:leftChars="2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val="zh-CN"/>
        </w:rPr>
        <w:t>政府采购供应商廉洁自律承诺书；</w:t>
      </w:r>
    </w:p>
    <w:p>
      <w:pPr>
        <w:snapToGrid w:val="0"/>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3报价文件</w:t>
      </w:r>
    </w:p>
    <w:p>
      <w:pPr>
        <w:snapToGrid w:val="0"/>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2.3.1开标一览表（报价表）；</w:t>
      </w:r>
    </w:p>
    <w:p>
      <w:pPr>
        <w:snapToGrid w:val="0"/>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2.3.2中小企业声明函（如果有）。</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3、我方承诺除商务技术偏离表列出的偏离外，我方响应招标文件的全部要求。</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4、如我方中标，我方承诺：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4.1在收到中标通知书后，在中标通知书规定的期限内与你方签订合同；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4.3按照招标文件要求提交履约保证金；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5、其他补充说明:。</w:t>
      </w:r>
    </w:p>
    <w:p>
      <w:pPr>
        <w:spacing w:line="360" w:lineRule="auto"/>
        <w:ind w:firstLine="3600" w:firstLineChars="1500"/>
        <w:rPr>
          <w:rFonts w:cs="宋体" w:asciiTheme="minorEastAsia" w:hAnsiTheme="minorEastAsia" w:eastAsiaTheme="minorEastAsia"/>
          <w:sz w:val="24"/>
        </w:rPr>
      </w:pPr>
      <w:r>
        <w:rPr>
          <w:rFonts w:hint="eastAsia" w:cs="宋体" w:asciiTheme="minorEastAsia" w:hAnsiTheme="minorEastAsia" w:eastAsiaTheme="minorEastAsia"/>
          <w:sz w:val="24"/>
        </w:rPr>
        <w:t xml:space="preserve">投标人名称（电子签名）：                          </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pPr>
        <w:jc w:val="center"/>
        <w:rPr>
          <w:rFonts w:cs="宋体" w:asciiTheme="minorEastAsia" w:hAnsiTheme="minorEastAsia" w:eastAsiaTheme="minorEastAsia"/>
          <w:b/>
          <w:kern w:val="0"/>
          <w:sz w:val="32"/>
          <w:szCs w:val="32"/>
          <w:lang w:val="zh-CN"/>
        </w:rPr>
        <w:sectPr>
          <w:pgSz w:w="11906" w:h="16838"/>
          <w:pgMar w:top="1440" w:right="1418" w:bottom="1440" w:left="1418" w:header="851" w:footer="992" w:gutter="0"/>
          <w:cols w:space="0" w:num="1"/>
          <w:titlePg/>
          <w:docGrid w:linePitch="312" w:charSpace="0"/>
        </w:sectPr>
      </w:pPr>
    </w:p>
    <w:p>
      <w:pPr>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二、授权委托书或法定代表人（单位负责人、自然人本人）身份证明</w:t>
      </w:r>
    </w:p>
    <w:p>
      <w:pPr>
        <w:snapToGrid w:val="0"/>
        <w:spacing w:line="360" w:lineRule="auto"/>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lang w:val="zh-CN"/>
        </w:rPr>
        <w:t>授权委托书</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委托（姓名）为我方代理人（身份证号码：，手机：），以我方名义处理</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政府采购投标的一切事项，其法律后果由我方承担。</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自年月日起至年月日止。</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特此告知。</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投标人名称(电子签名)：</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签发日期：  年  月   日</w:t>
      </w:r>
    </w:p>
    <w:p>
      <w:pPr>
        <w:snapToGrid w:val="0"/>
        <w:spacing w:line="360" w:lineRule="auto"/>
        <w:rPr>
          <w:rFonts w:cs="宋体" w:asciiTheme="minorEastAsia" w:hAnsiTheme="minorEastAsia" w:eastAsiaTheme="minorEastAsia"/>
          <w:kern w:val="0"/>
          <w:sz w:val="24"/>
          <w:lang w:val="zh-CN"/>
        </w:rPr>
      </w:pPr>
    </w:p>
    <w:p>
      <w:pPr>
        <w:autoSpaceDE w:val="0"/>
        <w:autoSpaceDN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32"/>
          <w:szCs w:val="32"/>
          <w:lang w:val="zh-CN"/>
        </w:rPr>
        <w:t>法定代表人、单位负责人或自然人本人</w:t>
      </w:r>
      <w:r>
        <w:rPr>
          <w:rFonts w:hint="eastAsia" w:cs="宋体" w:asciiTheme="minorEastAsia" w:hAnsiTheme="minorEastAsia" w:eastAsiaTheme="minorEastAsia"/>
          <w:b/>
          <w:sz w:val="30"/>
          <w:szCs w:val="30"/>
        </w:rPr>
        <w:t>的身份证明（适用于法定代表人、单位负责人或者自然人本人代表投标人参加投标）</w:t>
      </w:r>
    </w:p>
    <w:p>
      <w:pPr>
        <w:pStyle w:val="155"/>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身份证件扫描件：</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5"/>
              <w:adjustRightIn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正面：                                 反面：</w:t>
            </w:r>
          </w:p>
          <w:p>
            <w:pPr>
              <w:pStyle w:val="155"/>
              <w:adjustRightInd w:val="0"/>
              <w:spacing w:line="360" w:lineRule="auto"/>
              <w:rPr>
                <w:rFonts w:cs="宋体" w:asciiTheme="minorEastAsia" w:hAnsiTheme="minorEastAsia" w:eastAsiaTheme="minorEastAsia"/>
                <w:bCs/>
                <w:sz w:val="24"/>
              </w:rPr>
            </w:pPr>
          </w:p>
        </w:tc>
      </w:tr>
    </w:tbl>
    <w:p>
      <w:pPr>
        <w:snapToGrid w:val="0"/>
        <w:spacing w:line="360" w:lineRule="auto"/>
        <w:ind w:firstLine="576"/>
        <w:jc w:val="center"/>
        <w:rPr>
          <w:rFonts w:cs="宋体" w:asciiTheme="minorEastAsia" w:hAnsiTheme="minorEastAsia" w:eastAsiaTheme="minorEastAsia"/>
          <w:kern w:val="0"/>
          <w:sz w:val="24"/>
          <w:lang w:val="zh-CN"/>
        </w:rPr>
      </w:pPr>
    </w:p>
    <w:p>
      <w:pPr>
        <w:snapToGrid w:val="0"/>
        <w:spacing w:line="360" w:lineRule="auto"/>
        <w:ind w:firstLine="576"/>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                              </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snapToGrid w:val="0"/>
        <w:spacing w:line="360" w:lineRule="auto"/>
        <w:ind w:firstLine="3534"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三、分包意向协议</w:t>
      </w:r>
    </w:p>
    <w:p>
      <w:pPr>
        <w:widowControl/>
        <w:spacing w:line="360" w:lineRule="auto"/>
        <w:ind w:firstLine="120" w:firstLineChars="50"/>
        <w:jc w:val="left"/>
        <w:rPr>
          <w:rFonts w:cs="宋体" w:asciiTheme="minorEastAsia" w:hAnsiTheme="minorEastAsia" w:eastAsiaTheme="minorEastAsia"/>
          <w:sz w:val="24"/>
        </w:rPr>
      </w:pPr>
      <w:bookmarkStart w:id="388" w:name="_Hlk101169080"/>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中标后以分包方式履行合同的，提供分包意向协议(附件6</w:t>
      </w:r>
      <w:r>
        <w:rPr>
          <w:rFonts w:cs="宋体" w:asciiTheme="minorEastAsia" w:hAnsiTheme="minorEastAsia" w:eastAsiaTheme="minorEastAsia"/>
          <w:b/>
          <w:sz w:val="24"/>
        </w:rPr>
        <w:t>)</w:t>
      </w:r>
      <w:r>
        <w:rPr>
          <w:rFonts w:hint="eastAsia" w:cs="宋体" w:asciiTheme="minorEastAsia" w:hAnsiTheme="minorEastAsia" w:eastAsiaTheme="minorEastAsia"/>
          <w:b/>
          <w:sz w:val="24"/>
        </w:rPr>
        <w:t>；采购人不同意分包或者投标人中标后不以分包方式履行合同的，则不需要提供。</w:t>
      </w:r>
      <w:r>
        <w:rPr>
          <w:rFonts w:hint="eastAsia" w:cs="宋体" w:asciiTheme="minorEastAsia" w:hAnsiTheme="minorEastAsia" w:eastAsiaTheme="minorEastAsia"/>
          <w:sz w:val="24"/>
        </w:rPr>
        <w:t>]</w:t>
      </w:r>
    </w:p>
    <w:bookmarkEnd w:id="388"/>
    <w:p>
      <w:pPr>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四、符合性审查资料</w:t>
      </w:r>
    </w:p>
    <w:p>
      <w:pPr>
        <w:jc w:val="center"/>
        <w:rPr>
          <w:rFonts w:cs="宋体" w:asciiTheme="minorEastAsia" w:hAnsiTheme="minorEastAsia" w:eastAsiaTheme="minorEastAsia"/>
          <w:b/>
          <w:kern w:val="0"/>
          <w:sz w:val="32"/>
          <w:szCs w:val="32"/>
        </w:rPr>
      </w:pPr>
    </w:p>
    <w:tbl>
      <w:tblPr>
        <w:tblStyle w:val="72"/>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22"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4991"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实质性要求</w:t>
            </w:r>
          </w:p>
        </w:tc>
        <w:tc>
          <w:tcPr>
            <w:tcW w:w="2551"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需要提供的符合性审查资料</w:t>
            </w:r>
          </w:p>
        </w:tc>
        <w:tc>
          <w:tcPr>
            <w:tcW w:w="1418"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投标文件中的</w:t>
            </w:r>
          </w:p>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4991"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投标文件按照招标文件要求签署、盖章。</w:t>
            </w:r>
          </w:p>
        </w:tc>
        <w:tc>
          <w:tcPr>
            <w:tcW w:w="2551"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需要使用电子签名或者签字盖章的投标文件的组成部分</w:t>
            </w:r>
          </w:p>
        </w:tc>
        <w:tc>
          <w:tcPr>
            <w:tcW w:w="1418"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pPr>
              <w:jc w:val="center"/>
              <w:rPr>
                <w:rFonts w:cs="宋体" w:asciiTheme="minorEastAsia" w:hAnsiTheme="minorEastAsia" w:eastAsiaTheme="minorEastAsia"/>
              </w:rPr>
            </w:pPr>
            <w:r>
              <w:rPr>
                <w:rFonts w:hint="eastAsia" w:cs="宋体" w:asciiTheme="minorEastAsia" w:hAnsiTheme="minorEastAsia" w:eastAsiaTheme="minorEastAsia"/>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4991"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节能产品认证证书（本项目拟采购的产品不属于政府强制采购的节能产品品目清单范围的，无需提供）</w:t>
            </w:r>
          </w:p>
        </w:tc>
        <w:tc>
          <w:tcPr>
            <w:tcW w:w="1418"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pPr>
              <w:pStyle w:val="2"/>
              <w:jc w:val="center"/>
              <w:rPr>
                <w:rFonts w:cs="宋体" w:asciiTheme="minorEastAsia" w:hAnsiTheme="minorEastAsia" w:eastAsiaTheme="minorEastAsia"/>
                <w:lang w:val="en-US"/>
              </w:rPr>
            </w:pPr>
            <w:r>
              <w:rPr>
                <w:rFonts w:hint="eastAsia" w:cs="宋体" w:asciiTheme="minorEastAsia" w:hAnsiTheme="minorEastAsia" w:eastAsiaTheme="minorEastAsia"/>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4991"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投标文件中承诺的投标有效期不少于招标文件中载明的投标有效期。</w:t>
            </w:r>
          </w:p>
        </w:tc>
        <w:tc>
          <w:tcPr>
            <w:tcW w:w="2551"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投标函</w:t>
            </w:r>
          </w:p>
        </w:tc>
        <w:tc>
          <w:tcPr>
            <w:tcW w:w="1418"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4991" w:type="dxa"/>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投标文件满足招标文件的其它实质性要求。</w:t>
            </w:r>
          </w:p>
        </w:tc>
        <w:tc>
          <w:tcPr>
            <w:tcW w:w="2551"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sz w:val="24"/>
              </w:rPr>
              <w:t>见投标文件第页</w:t>
            </w:r>
          </w:p>
        </w:tc>
      </w:tr>
    </w:tbl>
    <w:p>
      <w:pPr>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rPr>
        <w:t>五、评标标准相应的商务技术资料</w:t>
      </w:r>
    </w:p>
    <w:p>
      <w:pPr>
        <w:snapToGrid w:val="0"/>
        <w:spacing w:line="360" w:lineRule="auto"/>
        <w:jc w:val="left"/>
        <w:rPr>
          <w:rFonts w:cs="宋体" w:asciiTheme="minorEastAsia" w:hAnsiTheme="minorEastAsia" w:eastAsiaTheme="minorEastAsia"/>
          <w:b/>
          <w:kern w:val="0"/>
          <w:sz w:val="32"/>
          <w:szCs w:val="32"/>
        </w:rPr>
      </w:pPr>
      <w:r>
        <w:rPr>
          <w:rFonts w:hint="eastAsia" w:cs="宋体" w:asciiTheme="minorEastAsia" w:hAnsiTheme="minorEastAsia" w:eastAsiaTheme="minorEastAsia"/>
          <w:b/>
          <w:sz w:val="24"/>
        </w:rPr>
        <w:t>（按招标文件第四部分评标办法前附表中“投标文件中评标标准相应的商务技术资料目录”提供资料）</w:t>
      </w:r>
    </w:p>
    <w:p>
      <w:pPr>
        <w:jc w:val="center"/>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六、商务技术偏离表</w:t>
      </w:r>
    </w:p>
    <w:tbl>
      <w:tblPr>
        <w:tblStyle w:val="7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3683"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招标文件章节及具体内容</w:t>
            </w:r>
          </w:p>
        </w:tc>
        <w:tc>
          <w:tcPr>
            <w:tcW w:w="3546"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投标文件章节及具体内容</w:t>
            </w:r>
          </w:p>
        </w:tc>
        <w:tc>
          <w:tcPr>
            <w:tcW w:w="1276"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bl>
    <w:p>
      <w:pPr>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投标人保证：除商务技术偏离表列出的偏离外，投标人响应招标文件的全部要求</w:t>
      </w:r>
    </w:p>
    <w:p>
      <w:pPr>
        <w:ind w:firstLine="1911" w:firstLineChars="595"/>
        <w:rPr>
          <w:rFonts w:cs="宋体" w:asciiTheme="minorEastAsia" w:hAnsiTheme="minorEastAsia" w:eastAsiaTheme="minorEastAsia"/>
          <w:b/>
          <w:kern w:val="0"/>
          <w:sz w:val="32"/>
          <w:szCs w:val="32"/>
        </w:rPr>
        <w:sectPr>
          <w:pgSz w:w="11906" w:h="16838"/>
          <w:pgMar w:top="1440" w:right="1418" w:bottom="1440" w:left="1418" w:header="851" w:footer="992" w:gutter="0"/>
          <w:cols w:space="0" w:num="1"/>
          <w:titlePg/>
          <w:docGrid w:linePitch="312" w:charSpace="0"/>
        </w:sectPr>
      </w:pPr>
    </w:p>
    <w:p>
      <w:pPr>
        <w:ind w:firstLine="1911" w:firstLineChars="595"/>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七、</w:t>
      </w:r>
      <w:r>
        <w:rPr>
          <w:rFonts w:hint="eastAsia" w:cs="宋体" w:asciiTheme="minorEastAsia" w:hAnsiTheme="minorEastAsia" w:eastAsiaTheme="minorEastAsia"/>
          <w:b/>
          <w:kern w:val="0"/>
          <w:sz w:val="32"/>
          <w:szCs w:val="32"/>
          <w:lang w:val="zh-CN"/>
        </w:rPr>
        <w:t>政府采购供应商廉洁自律承诺书</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我单位响应你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好处；</w:t>
      </w:r>
    </w:p>
    <w:p>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六、严格遵守《</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政府采购法》《</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招标投标</w:t>
      </w:r>
    </w:p>
    <w:p>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法》</w:t>
      </w:r>
      <w:r>
        <w:rPr>
          <w:rFonts w:hint="eastAsia" w:cs="宋体" w:asciiTheme="minorEastAsia" w:hAnsiTheme="minorEastAsia" w:eastAsiaTheme="minorEastAsia"/>
          <w:sz w:val="24"/>
          <w:lang w:val="zh-CN"/>
        </w:rPr>
        <w:t>《中华人民共和国民法典》</w:t>
      </w:r>
      <w:r>
        <w:rPr>
          <w:rFonts w:hint="eastAsia" w:cs="宋体" w:asciiTheme="minorEastAsia" w:hAnsiTheme="minorEastAsia" w:eastAsiaTheme="minorEastAsia"/>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如违反上述承诺，你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w:t>
      </w:r>
      <w:r>
        <w:rPr>
          <w:rFonts w:hint="eastAsia" w:cs="宋体" w:asciiTheme="minorEastAsia" w:hAnsiTheme="minorEastAsia" w:eastAsiaTheme="minorEastAsia"/>
          <w:sz w:val="24"/>
        </w:rPr>
        <w:t>电子签名</w:t>
      </w:r>
      <w:r>
        <w:rPr>
          <w:rFonts w:hint="eastAsia" w:cs="宋体" w:asciiTheme="minorEastAsia" w:hAnsiTheme="minorEastAsia" w:eastAsiaTheme="minorEastAsia"/>
          <w:kern w:val="0"/>
          <w:sz w:val="24"/>
          <w:lang w:val="zh-CN"/>
        </w:rPr>
        <w:t xml:space="preserve">）：                                                                                                                                                                                                               </w:t>
      </w:r>
    </w:p>
    <w:p>
      <w:pPr>
        <w:spacing w:line="360" w:lineRule="auto"/>
        <w:ind w:left="4620" w:leftChars="2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 xml:space="preserve">   年   月   日</w:t>
      </w:r>
    </w:p>
    <w:p>
      <w:pPr>
        <w:spacing w:line="360" w:lineRule="auto"/>
        <w:jc w:val="center"/>
        <w:rPr>
          <w:rFonts w:cs="宋体" w:asciiTheme="minorEastAsia" w:hAnsiTheme="minorEastAsia" w:eastAsiaTheme="minorEastAsia"/>
          <w:b/>
          <w:bCs/>
          <w:sz w:val="24"/>
        </w:rPr>
      </w:pPr>
    </w:p>
    <w:p>
      <w:pPr>
        <w:spacing w:line="360" w:lineRule="auto"/>
        <w:jc w:val="center"/>
        <w:rPr>
          <w:rFonts w:cs="宋体" w:asciiTheme="minorEastAsia" w:hAnsiTheme="minorEastAsia" w:eastAsiaTheme="minorEastAsia"/>
          <w:b/>
          <w:bCs/>
          <w:sz w:val="24"/>
        </w:rPr>
        <w:sectPr>
          <w:pgSz w:w="11906" w:h="16838"/>
          <w:pgMar w:top="1440" w:right="1418" w:bottom="1440" w:left="1418" w:header="851" w:footer="992" w:gutter="0"/>
          <w:cols w:space="0" w:num="1"/>
          <w:titlePg/>
          <w:docGrid w:linePitch="312" w:charSpace="0"/>
        </w:sectPr>
      </w:pP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报价文件部分</w:t>
      </w: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（1）开标一览表（报价表）………………………………………………………（页码）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（2）中小企业声明函………………………………………………………………（页码）</w:t>
      </w:r>
    </w:p>
    <w:p>
      <w:pPr>
        <w:pStyle w:val="695"/>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一、开标一览表（报价表）</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（采购人）、（采购代理机构）</w:t>
      </w:r>
      <w:r>
        <w:rPr>
          <w:rFonts w:hint="eastAsia" w:cs="宋体" w:asciiTheme="minorEastAsia" w:hAnsiTheme="minorEastAsia" w:eastAsiaTheme="minorEastAsia"/>
          <w:kern w:val="0"/>
          <w:sz w:val="24"/>
          <w:lang w:val="zh-CN"/>
        </w:rPr>
        <w:t>：</w:t>
      </w:r>
    </w:p>
    <w:p>
      <w:pPr>
        <w:snapToGrid w:val="0"/>
        <w:spacing w:line="360" w:lineRule="auto"/>
        <w:ind w:firstLine="482"/>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rPr>
        <w:t>（项目名称）</w:t>
      </w:r>
      <w:r>
        <w:rPr>
          <w:rFonts w:hint="eastAsia" w:cs="宋体" w:asciiTheme="minorEastAsia" w:hAnsiTheme="minorEastAsia" w:eastAsiaTheme="minorEastAsia"/>
          <w:kern w:val="0"/>
          <w:sz w:val="24"/>
          <w:lang w:val="zh-CN"/>
        </w:rPr>
        <w:t>【招标编号：</w:t>
      </w:r>
      <w:r>
        <w:rPr>
          <w:rFonts w:hint="eastAsia" w:cs="宋体" w:asciiTheme="minorEastAsia" w:hAnsiTheme="minorEastAsia" w:eastAsiaTheme="minorEastAsia"/>
          <w:sz w:val="24"/>
        </w:rPr>
        <w:t>（采购编号）】的实施</w:t>
      </w: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开标一览表（报价表）(单位均为人民币元)</w:t>
      </w:r>
    </w:p>
    <w:tbl>
      <w:tblPr>
        <w:tblStyle w:val="7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417"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843" w:type="dxa"/>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品牌（如果有）</w:t>
            </w:r>
          </w:p>
        </w:tc>
        <w:tc>
          <w:tcPr>
            <w:tcW w:w="3118"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规格型号（或具体服务）</w:t>
            </w:r>
          </w:p>
        </w:tc>
        <w:tc>
          <w:tcPr>
            <w:tcW w:w="993"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数量</w:t>
            </w:r>
          </w:p>
        </w:tc>
        <w:tc>
          <w:tcPr>
            <w:tcW w:w="1559"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单价</w:t>
            </w:r>
          </w:p>
        </w:tc>
        <w:tc>
          <w:tcPr>
            <w:tcW w:w="1984" w:type="dxa"/>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总价</w:t>
            </w:r>
          </w:p>
        </w:tc>
        <w:tc>
          <w:tcPr>
            <w:tcW w:w="3119" w:type="dxa"/>
            <w:vAlign w:val="center"/>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服务要求（年限）</w:t>
            </w:r>
          </w:p>
          <w:p>
            <w:pPr>
              <w:spacing w:line="360" w:lineRule="auto"/>
              <w:jc w:val="center"/>
              <w:rPr>
                <w:rFonts w:cs="宋体"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417" w:type="dxa"/>
            <w:vAlign w:val="center"/>
          </w:tcPr>
          <w:p>
            <w:pPr>
              <w:snapToGrid w:val="0"/>
              <w:spacing w:line="360" w:lineRule="auto"/>
              <w:jc w:val="center"/>
              <w:rPr>
                <w:rFonts w:cs="宋体" w:asciiTheme="minorEastAsia" w:hAnsiTheme="minorEastAsia" w:eastAsiaTheme="minorEastAsia"/>
                <w:sz w:val="24"/>
              </w:rPr>
            </w:pPr>
          </w:p>
        </w:tc>
        <w:tc>
          <w:tcPr>
            <w:tcW w:w="1843" w:type="dxa"/>
            <w:vAlign w:val="center"/>
          </w:tcPr>
          <w:p>
            <w:pPr>
              <w:snapToGrid w:val="0"/>
              <w:spacing w:line="360" w:lineRule="auto"/>
              <w:jc w:val="center"/>
              <w:rPr>
                <w:rFonts w:cs="宋体" w:asciiTheme="minorEastAsia" w:hAnsiTheme="minorEastAsia" w:eastAsiaTheme="minorEastAsia"/>
                <w:sz w:val="24"/>
              </w:rPr>
            </w:pPr>
          </w:p>
        </w:tc>
        <w:tc>
          <w:tcPr>
            <w:tcW w:w="3118" w:type="dxa"/>
            <w:vAlign w:val="center"/>
          </w:tcPr>
          <w:p>
            <w:pPr>
              <w:snapToGrid w:val="0"/>
              <w:spacing w:line="360" w:lineRule="auto"/>
              <w:jc w:val="center"/>
              <w:rPr>
                <w:rFonts w:cs="宋体" w:asciiTheme="minorEastAsia" w:hAnsiTheme="minorEastAsia" w:eastAsiaTheme="minorEastAsia"/>
                <w:sz w:val="24"/>
              </w:rPr>
            </w:pPr>
          </w:p>
        </w:tc>
        <w:tc>
          <w:tcPr>
            <w:tcW w:w="993" w:type="dxa"/>
            <w:vAlign w:val="center"/>
          </w:tcPr>
          <w:p>
            <w:pPr>
              <w:snapToGrid w:val="0"/>
              <w:spacing w:line="360" w:lineRule="auto"/>
              <w:jc w:val="center"/>
              <w:rPr>
                <w:rFonts w:cs="宋体" w:asciiTheme="minorEastAsia" w:hAnsiTheme="minorEastAsia" w:eastAsiaTheme="minorEastAsia"/>
                <w:sz w:val="24"/>
              </w:rPr>
            </w:pPr>
          </w:p>
        </w:tc>
        <w:tc>
          <w:tcPr>
            <w:tcW w:w="1559" w:type="dxa"/>
            <w:vAlign w:val="center"/>
          </w:tcPr>
          <w:p>
            <w:pPr>
              <w:spacing w:line="360" w:lineRule="auto"/>
              <w:jc w:val="center"/>
              <w:rPr>
                <w:rFonts w:cs="宋体" w:asciiTheme="minorEastAsia" w:hAnsiTheme="minorEastAsia" w:eastAsiaTheme="minorEastAsia"/>
                <w:sz w:val="24"/>
              </w:rPr>
            </w:pPr>
          </w:p>
        </w:tc>
        <w:tc>
          <w:tcPr>
            <w:tcW w:w="1984" w:type="dxa"/>
            <w:vAlign w:val="center"/>
          </w:tcPr>
          <w:p>
            <w:pPr>
              <w:spacing w:line="360" w:lineRule="auto"/>
              <w:jc w:val="center"/>
              <w:rPr>
                <w:rFonts w:cs="宋体" w:asciiTheme="minorEastAsia" w:hAnsiTheme="minorEastAsia" w:eastAsiaTheme="minorEastAsia"/>
                <w:sz w:val="24"/>
              </w:rPr>
            </w:pPr>
          </w:p>
        </w:tc>
        <w:tc>
          <w:tcPr>
            <w:tcW w:w="3119"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417" w:type="dxa"/>
            <w:vAlign w:val="center"/>
          </w:tcPr>
          <w:p>
            <w:pPr>
              <w:snapToGrid w:val="0"/>
              <w:spacing w:line="360" w:lineRule="auto"/>
              <w:jc w:val="center"/>
              <w:rPr>
                <w:rFonts w:cs="宋体" w:asciiTheme="minorEastAsia" w:hAnsiTheme="minorEastAsia" w:eastAsiaTheme="minorEastAsia"/>
                <w:sz w:val="24"/>
              </w:rPr>
            </w:pPr>
          </w:p>
        </w:tc>
        <w:tc>
          <w:tcPr>
            <w:tcW w:w="1843" w:type="dxa"/>
            <w:vAlign w:val="center"/>
          </w:tcPr>
          <w:p>
            <w:pPr>
              <w:snapToGrid w:val="0"/>
              <w:spacing w:line="360" w:lineRule="auto"/>
              <w:jc w:val="center"/>
              <w:rPr>
                <w:rFonts w:cs="宋体" w:asciiTheme="minorEastAsia" w:hAnsiTheme="minorEastAsia" w:eastAsiaTheme="minorEastAsia"/>
                <w:sz w:val="24"/>
              </w:rPr>
            </w:pPr>
          </w:p>
        </w:tc>
        <w:tc>
          <w:tcPr>
            <w:tcW w:w="3118" w:type="dxa"/>
            <w:vAlign w:val="center"/>
          </w:tcPr>
          <w:p>
            <w:pPr>
              <w:snapToGrid w:val="0"/>
              <w:spacing w:line="360" w:lineRule="auto"/>
              <w:jc w:val="center"/>
              <w:rPr>
                <w:rFonts w:cs="宋体" w:asciiTheme="minorEastAsia" w:hAnsiTheme="minorEastAsia" w:eastAsiaTheme="minorEastAsia"/>
                <w:sz w:val="24"/>
              </w:rPr>
            </w:pPr>
          </w:p>
        </w:tc>
        <w:tc>
          <w:tcPr>
            <w:tcW w:w="993" w:type="dxa"/>
            <w:vAlign w:val="center"/>
          </w:tcPr>
          <w:p>
            <w:pPr>
              <w:snapToGrid w:val="0"/>
              <w:spacing w:line="360" w:lineRule="auto"/>
              <w:jc w:val="center"/>
              <w:rPr>
                <w:rFonts w:cs="宋体" w:asciiTheme="minorEastAsia" w:hAnsiTheme="minorEastAsia" w:eastAsiaTheme="minorEastAsia"/>
                <w:sz w:val="24"/>
              </w:rPr>
            </w:pPr>
          </w:p>
        </w:tc>
        <w:tc>
          <w:tcPr>
            <w:tcW w:w="1559" w:type="dxa"/>
            <w:vAlign w:val="center"/>
          </w:tcPr>
          <w:p>
            <w:pPr>
              <w:spacing w:line="360" w:lineRule="auto"/>
              <w:jc w:val="center"/>
              <w:rPr>
                <w:rFonts w:cs="宋体" w:asciiTheme="minorEastAsia" w:hAnsiTheme="minorEastAsia" w:eastAsiaTheme="minorEastAsia"/>
                <w:sz w:val="24"/>
              </w:rPr>
            </w:pPr>
          </w:p>
        </w:tc>
        <w:tc>
          <w:tcPr>
            <w:tcW w:w="1984" w:type="dxa"/>
            <w:vAlign w:val="center"/>
          </w:tcPr>
          <w:p>
            <w:pPr>
              <w:spacing w:line="360" w:lineRule="auto"/>
              <w:jc w:val="center"/>
              <w:rPr>
                <w:rFonts w:cs="宋体" w:asciiTheme="minorEastAsia" w:hAnsiTheme="minorEastAsia" w:eastAsiaTheme="minorEastAsia"/>
                <w:sz w:val="24"/>
              </w:rPr>
            </w:pPr>
          </w:p>
        </w:tc>
        <w:tc>
          <w:tcPr>
            <w:tcW w:w="3119"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1417" w:type="dxa"/>
            <w:vAlign w:val="center"/>
          </w:tcPr>
          <w:p>
            <w:pPr>
              <w:snapToGrid w:val="0"/>
              <w:spacing w:line="360" w:lineRule="auto"/>
              <w:jc w:val="center"/>
              <w:rPr>
                <w:rFonts w:cs="宋体" w:asciiTheme="minorEastAsia" w:hAnsiTheme="minorEastAsia" w:eastAsiaTheme="minorEastAsia"/>
                <w:sz w:val="24"/>
              </w:rPr>
            </w:pPr>
          </w:p>
        </w:tc>
        <w:tc>
          <w:tcPr>
            <w:tcW w:w="1843" w:type="dxa"/>
            <w:vAlign w:val="center"/>
          </w:tcPr>
          <w:p>
            <w:pPr>
              <w:snapToGrid w:val="0"/>
              <w:spacing w:line="360" w:lineRule="auto"/>
              <w:jc w:val="center"/>
              <w:rPr>
                <w:rFonts w:cs="宋体" w:asciiTheme="minorEastAsia" w:hAnsiTheme="minorEastAsia" w:eastAsiaTheme="minorEastAsia"/>
                <w:sz w:val="24"/>
              </w:rPr>
            </w:pPr>
          </w:p>
        </w:tc>
        <w:tc>
          <w:tcPr>
            <w:tcW w:w="3118" w:type="dxa"/>
            <w:vAlign w:val="center"/>
          </w:tcPr>
          <w:p>
            <w:pPr>
              <w:snapToGrid w:val="0"/>
              <w:spacing w:line="360" w:lineRule="auto"/>
              <w:jc w:val="center"/>
              <w:rPr>
                <w:rFonts w:cs="宋体" w:asciiTheme="minorEastAsia" w:hAnsiTheme="minorEastAsia" w:eastAsiaTheme="minorEastAsia"/>
                <w:sz w:val="24"/>
              </w:rPr>
            </w:pPr>
          </w:p>
        </w:tc>
        <w:tc>
          <w:tcPr>
            <w:tcW w:w="993" w:type="dxa"/>
            <w:vAlign w:val="center"/>
          </w:tcPr>
          <w:p>
            <w:pPr>
              <w:snapToGrid w:val="0"/>
              <w:spacing w:line="360" w:lineRule="auto"/>
              <w:jc w:val="center"/>
              <w:rPr>
                <w:rFonts w:cs="宋体" w:asciiTheme="minorEastAsia" w:hAnsiTheme="minorEastAsia" w:eastAsiaTheme="minorEastAsia"/>
                <w:sz w:val="24"/>
              </w:rPr>
            </w:pPr>
          </w:p>
        </w:tc>
        <w:tc>
          <w:tcPr>
            <w:tcW w:w="1559" w:type="dxa"/>
            <w:vAlign w:val="center"/>
          </w:tcPr>
          <w:p>
            <w:pPr>
              <w:spacing w:line="360" w:lineRule="auto"/>
              <w:jc w:val="center"/>
              <w:rPr>
                <w:rFonts w:cs="宋体" w:asciiTheme="minorEastAsia" w:hAnsiTheme="minorEastAsia" w:eastAsiaTheme="minorEastAsia"/>
                <w:sz w:val="24"/>
              </w:rPr>
            </w:pPr>
          </w:p>
        </w:tc>
        <w:tc>
          <w:tcPr>
            <w:tcW w:w="1984" w:type="dxa"/>
            <w:vAlign w:val="center"/>
          </w:tcPr>
          <w:p>
            <w:pPr>
              <w:spacing w:line="360" w:lineRule="auto"/>
              <w:jc w:val="center"/>
              <w:rPr>
                <w:rFonts w:cs="宋体" w:asciiTheme="minorEastAsia" w:hAnsiTheme="minorEastAsia" w:eastAsiaTheme="minorEastAsia"/>
                <w:sz w:val="24"/>
              </w:rPr>
            </w:pPr>
          </w:p>
        </w:tc>
        <w:tc>
          <w:tcPr>
            <w:tcW w:w="3119"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宋体" w:asciiTheme="minorEastAsia" w:hAnsiTheme="minorEastAsia" w:eastAsiaTheme="minorEastAsia"/>
                <w:sz w:val="24"/>
              </w:rPr>
            </w:pPr>
          </w:p>
        </w:tc>
        <w:tc>
          <w:tcPr>
            <w:tcW w:w="1417" w:type="dxa"/>
            <w:vAlign w:val="center"/>
          </w:tcPr>
          <w:p>
            <w:pPr>
              <w:snapToGrid w:val="0"/>
              <w:spacing w:line="360" w:lineRule="auto"/>
              <w:jc w:val="center"/>
              <w:rPr>
                <w:rFonts w:cs="宋体" w:asciiTheme="minorEastAsia" w:hAnsiTheme="minorEastAsia" w:eastAsiaTheme="minorEastAsia"/>
                <w:sz w:val="24"/>
              </w:rPr>
            </w:pPr>
          </w:p>
        </w:tc>
        <w:tc>
          <w:tcPr>
            <w:tcW w:w="1843" w:type="dxa"/>
            <w:vAlign w:val="center"/>
          </w:tcPr>
          <w:p>
            <w:pPr>
              <w:snapToGrid w:val="0"/>
              <w:spacing w:line="360" w:lineRule="auto"/>
              <w:jc w:val="center"/>
              <w:rPr>
                <w:rFonts w:cs="宋体" w:asciiTheme="minorEastAsia" w:hAnsiTheme="minorEastAsia" w:eastAsiaTheme="minorEastAsia"/>
                <w:sz w:val="24"/>
              </w:rPr>
            </w:pPr>
          </w:p>
        </w:tc>
        <w:tc>
          <w:tcPr>
            <w:tcW w:w="3118" w:type="dxa"/>
            <w:vAlign w:val="center"/>
          </w:tcPr>
          <w:p>
            <w:pPr>
              <w:snapToGrid w:val="0"/>
              <w:spacing w:line="360" w:lineRule="auto"/>
              <w:jc w:val="center"/>
              <w:rPr>
                <w:rFonts w:cs="宋体" w:asciiTheme="minorEastAsia" w:hAnsiTheme="minorEastAsia" w:eastAsiaTheme="minorEastAsia"/>
                <w:sz w:val="24"/>
              </w:rPr>
            </w:pPr>
          </w:p>
        </w:tc>
        <w:tc>
          <w:tcPr>
            <w:tcW w:w="993" w:type="dxa"/>
            <w:vAlign w:val="center"/>
          </w:tcPr>
          <w:p>
            <w:pPr>
              <w:snapToGrid w:val="0"/>
              <w:spacing w:line="360" w:lineRule="auto"/>
              <w:jc w:val="center"/>
              <w:rPr>
                <w:rFonts w:cs="宋体" w:asciiTheme="minorEastAsia" w:hAnsiTheme="minorEastAsia" w:eastAsiaTheme="minorEastAsia"/>
                <w:sz w:val="24"/>
              </w:rPr>
            </w:pPr>
          </w:p>
        </w:tc>
        <w:tc>
          <w:tcPr>
            <w:tcW w:w="1559" w:type="dxa"/>
            <w:vAlign w:val="center"/>
          </w:tcPr>
          <w:p>
            <w:pPr>
              <w:spacing w:line="360" w:lineRule="auto"/>
              <w:jc w:val="center"/>
              <w:rPr>
                <w:rFonts w:cs="宋体" w:asciiTheme="minorEastAsia" w:hAnsiTheme="minorEastAsia" w:eastAsiaTheme="minorEastAsia"/>
                <w:sz w:val="24"/>
              </w:rPr>
            </w:pPr>
          </w:p>
        </w:tc>
        <w:tc>
          <w:tcPr>
            <w:tcW w:w="1984" w:type="dxa"/>
            <w:vAlign w:val="center"/>
          </w:tcPr>
          <w:p>
            <w:pPr>
              <w:spacing w:line="360" w:lineRule="auto"/>
              <w:jc w:val="center"/>
              <w:rPr>
                <w:rFonts w:cs="宋体" w:asciiTheme="minorEastAsia" w:hAnsiTheme="minorEastAsia" w:eastAsiaTheme="minorEastAsia"/>
                <w:sz w:val="24"/>
              </w:rPr>
            </w:pPr>
          </w:p>
        </w:tc>
        <w:tc>
          <w:tcPr>
            <w:tcW w:w="3119"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cs="宋体" w:asciiTheme="minorEastAsia" w:hAnsiTheme="minorEastAsia" w:eastAsiaTheme="minorEastAsia"/>
                <w:sz w:val="24"/>
              </w:rPr>
            </w:pPr>
          </w:p>
        </w:tc>
        <w:tc>
          <w:tcPr>
            <w:tcW w:w="1417" w:type="dxa"/>
            <w:vAlign w:val="center"/>
          </w:tcPr>
          <w:p>
            <w:pPr>
              <w:snapToGrid w:val="0"/>
              <w:spacing w:line="360" w:lineRule="auto"/>
              <w:jc w:val="center"/>
              <w:rPr>
                <w:rFonts w:cs="宋体" w:asciiTheme="minorEastAsia" w:hAnsiTheme="minorEastAsia" w:eastAsiaTheme="minorEastAsia"/>
                <w:sz w:val="24"/>
              </w:rPr>
            </w:pPr>
          </w:p>
        </w:tc>
        <w:tc>
          <w:tcPr>
            <w:tcW w:w="1843" w:type="dxa"/>
            <w:vAlign w:val="center"/>
          </w:tcPr>
          <w:p>
            <w:pPr>
              <w:snapToGrid w:val="0"/>
              <w:spacing w:line="360" w:lineRule="auto"/>
              <w:jc w:val="center"/>
              <w:rPr>
                <w:rFonts w:cs="宋体" w:asciiTheme="minorEastAsia" w:hAnsiTheme="minorEastAsia" w:eastAsiaTheme="minorEastAsia"/>
                <w:sz w:val="24"/>
              </w:rPr>
            </w:pPr>
          </w:p>
        </w:tc>
        <w:tc>
          <w:tcPr>
            <w:tcW w:w="3118" w:type="dxa"/>
            <w:vAlign w:val="center"/>
          </w:tcPr>
          <w:p>
            <w:pPr>
              <w:snapToGrid w:val="0"/>
              <w:spacing w:line="360" w:lineRule="auto"/>
              <w:jc w:val="center"/>
              <w:rPr>
                <w:rFonts w:cs="宋体" w:asciiTheme="minorEastAsia" w:hAnsiTheme="minorEastAsia" w:eastAsiaTheme="minorEastAsia"/>
                <w:sz w:val="24"/>
              </w:rPr>
            </w:pPr>
          </w:p>
        </w:tc>
        <w:tc>
          <w:tcPr>
            <w:tcW w:w="993" w:type="dxa"/>
            <w:vAlign w:val="center"/>
          </w:tcPr>
          <w:p>
            <w:pPr>
              <w:snapToGrid w:val="0"/>
              <w:spacing w:line="360" w:lineRule="auto"/>
              <w:jc w:val="center"/>
              <w:rPr>
                <w:rFonts w:cs="宋体" w:asciiTheme="minorEastAsia" w:hAnsiTheme="minorEastAsia" w:eastAsiaTheme="minorEastAsia"/>
                <w:sz w:val="24"/>
              </w:rPr>
            </w:pPr>
          </w:p>
        </w:tc>
        <w:tc>
          <w:tcPr>
            <w:tcW w:w="1559" w:type="dxa"/>
            <w:vAlign w:val="center"/>
          </w:tcPr>
          <w:p>
            <w:pPr>
              <w:spacing w:line="360" w:lineRule="auto"/>
              <w:jc w:val="center"/>
              <w:rPr>
                <w:rFonts w:cs="宋体" w:asciiTheme="minorEastAsia" w:hAnsiTheme="minorEastAsia" w:eastAsiaTheme="minorEastAsia"/>
                <w:sz w:val="24"/>
              </w:rPr>
            </w:pPr>
          </w:p>
        </w:tc>
        <w:tc>
          <w:tcPr>
            <w:tcW w:w="1984" w:type="dxa"/>
            <w:vAlign w:val="center"/>
          </w:tcPr>
          <w:p>
            <w:pPr>
              <w:spacing w:line="360" w:lineRule="auto"/>
              <w:jc w:val="center"/>
              <w:rPr>
                <w:rFonts w:cs="宋体" w:asciiTheme="minorEastAsia" w:hAnsiTheme="minorEastAsia" w:eastAsiaTheme="minorEastAsia"/>
                <w:sz w:val="24"/>
              </w:rPr>
            </w:pPr>
          </w:p>
        </w:tc>
        <w:tc>
          <w:tcPr>
            <w:tcW w:w="3119" w:type="dxa"/>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投标报价（小写）</w:t>
            </w:r>
          </w:p>
        </w:tc>
        <w:tc>
          <w:tcPr>
            <w:tcW w:w="7655" w:type="dxa"/>
            <w:gridSpan w:val="4"/>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投标报价（大写）</w:t>
            </w:r>
          </w:p>
        </w:tc>
        <w:tc>
          <w:tcPr>
            <w:tcW w:w="7655" w:type="dxa"/>
            <w:gridSpan w:val="4"/>
            <w:vAlign w:val="center"/>
          </w:tcPr>
          <w:p>
            <w:pPr>
              <w:spacing w:line="360" w:lineRule="auto"/>
              <w:jc w:val="center"/>
              <w:rPr>
                <w:rFonts w:cs="宋体" w:asciiTheme="minorEastAsia" w:hAnsiTheme="minorEastAsia" w:eastAsiaTheme="minorEastAsia"/>
                <w:sz w:val="24"/>
              </w:rPr>
            </w:pPr>
          </w:p>
        </w:tc>
      </w:tr>
    </w:tbl>
    <w:p>
      <w:pPr>
        <w:snapToGrid w:val="0"/>
        <w:spacing w:line="360" w:lineRule="auto"/>
        <w:ind w:left="480"/>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注：</w:t>
      </w:r>
    </w:p>
    <w:p>
      <w:pPr>
        <w:spacing w:line="360" w:lineRule="auto"/>
        <w:ind w:left="-2" w:leftChars="-1"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1、此表应按项目的明细情况列项填报,在填写时，如上表不适合本项目的实际情况，可在确保投标明细内容完整的情况下，根据上表格式自行划表填写。</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采购人将以合同形式有偿取得货物或服务，不接受投标人给予的赠品、回扣或者与采购无关的其他商品、服务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投标文件含有采购人不能接受的附加条件的，投标无效</w:t>
      </w:r>
      <w:r>
        <w:rPr>
          <w:rFonts w:hint="eastAsia" w:cs="宋体" w:asciiTheme="minorEastAsia" w:hAnsiTheme="minorEastAsia" w:eastAsiaTheme="minorEastAsia"/>
          <w:b/>
          <w:kern w:val="0"/>
          <w:sz w:val="24"/>
          <w:lang w:val="zh-CN"/>
        </w:rPr>
        <w:t>。</w:t>
      </w:r>
    </w:p>
    <w:p>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szCs w:val="22"/>
          <w:lang w:val="zh-CN"/>
        </w:rPr>
        <w:t>5、</w:t>
      </w:r>
      <w:r>
        <w:rPr>
          <w:rFonts w:hint="eastAsia" w:cs="宋体" w:asciiTheme="minorEastAsia" w:hAnsiTheme="minorEastAsia" w:eastAsiaTheme="minor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cs="宋体" w:asciiTheme="minorEastAsia" w:hAnsiTheme="minorEastAsia" w:eastAsiaTheme="minorEastAsia"/>
          <w:b/>
          <w:kern w:val="0"/>
          <w:sz w:val="24"/>
        </w:rPr>
      </w:pPr>
    </w:p>
    <w:p>
      <w:pPr>
        <w:pStyle w:val="695"/>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p>
    <w:p>
      <w:pPr>
        <w:pStyle w:val="695"/>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sectPr>
          <w:pgSz w:w="16838" w:h="11906" w:orient="landscape"/>
          <w:pgMar w:top="1418" w:right="1247" w:bottom="1418" w:left="1276"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cs="宋体" w:asciiTheme="minorEastAsia" w:hAnsiTheme="minorEastAsia" w:eastAsiaTheme="minorEastAsia"/>
          <w:sz w:val="32"/>
          <w:szCs w:val="32"/>
        </w:rPr>
      </w:pPr>
      <w:r>
        <w:rPr>
          <w:rFonts w:hint="eastAsia" w:cs="宋体" w:asciiTheme="minorEastAsia" w:hAnsiTheme="minorEastAsia" w:eastAsiaTheme="minorEastAsia"/>
          <w:kern w:val="2"/>
          <w:sz w:val="32"/>
          <w:szCs w:val="32"/>
        </w:rPr>
        <w:t>二、</w:t>
      </w:r>
      <w:r>
        <w:rPr>
          <w:rFonts w:hint="eastAsia" w:cs="宋体" w:asciiTheme="minorEastAsia" w:hAnsiTheme="minorEastAsia" w:eastAsiaTheme="minorEastAsia"/>
          <w:sz w:val="32"/>
          <w:szCs w:val="32"/>
        </w:rPr>
        <w:t>中小企业声明函</w:t>
      </w:r>
    </w:p>
    <w:p>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tabs>
          <w:tab w:val="left" w:pos="8085"/>
        </w:tabs>
        <w:spacing w:line="360" w:lineRule="auto"/>
        <w:ind w:firstLine="1285" w:firstLineChars="400"/>
        <w:jc w:val="left"/>
        <w:rPr>
          <w:rFonts w:cs="宋体" w:asciiTheme="minorEastAsia" w:hAnsiTheme="minorEastAsia" w:eastAsiaTheme="minorEastAsia"/>
          <w:b/>
          <w:sz w:val="32"/>
          <w:szCs w:val="32"/>
        </w:rPr>
        <w:sectPr>
          <w:headerReference r:id="rId18" w:type="first"/>
          <w:footerReference r:id="rId21" w:type="first"/>
          <w:headerReference r:id="rId17" w:type="default"/>
          <w:footerReference r:id="rId19" w:type="default"/>
          <w:footerReference r:id="rId20" w:type="even"/>
          <w:pgSz w:w="11906" w:h="16838"/>
          <w:pgMar w:top="1440" w:right="1418" w:bottom="1440" w:left="1418" w:header="851" w:footer="992" w:gutter="0"/>
          <w:cols w:space="0" w:num="1"/>
          <w:titlePg/>
          <w:docGrid w:linePitch="312" w:charSpace="0"/>
        </w:sectPr>
      </w:pPr>
    </w:p>
    <w:p>
      <w:pPr>
        <w:tabs>
          <w:tab w:val="left" w:pos="8085"/>
        </w:tabs>
        <w:spacing w:line="360" w:lineRule="auto"/>
        <w:ind w:firstLine="1285" w:firstLineChars="400"/>
        <w:jc w:val="left"/>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政府采购支持中小企业信用融资相关事项通知</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一、适用对象</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二、相关信息获取方式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三、　政府采购信用融资操作流程：</w:t>
      </w:r>
    </w:p>
    <w:p>
      <w:pPr>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（一）线上融资模式：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1.供应商根据合作银行提供的方案，自行选择金融产品，并办理开户等手续；</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2.供应商中标后，可通过杭州市政府采购网或“浙里办”测算授信额度；</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3.采购合同签订后，供应商在杭州市政府采购网或“浙里办”向合作银行发出融资申请；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4.审批通过后，在线办理放贷手续。</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（二）线下融资模式：</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1.供应商根据合作银行提供的方案，自行选择金融产品，向合作银行提出信用资格预审，并办理开户等手续；</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2.采购合同签订后，供应商在杭州市政府采购网或“浙里办”向合作银行发出融资申请；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4.审批通过后，合作银行应按照合作备忘录中约定的审批放款期限和优惠利率及时予以放款。</w:t>
      </w:r>
    </w:p>
    <w:p>
      <w:pPr>
        <w:pStyle w:val="2"/>
        <w:numPr>
          <w:ilvl w:val="255"/>
          <w:numId w:val="0"/>
        </w:numPr>
        <w:ind w:firstLine="960" w:firstLineChars="4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（三）杭州e融平台申请融资</w:t>
      </w:r>
    </w:p>
    <w:p>
      <w:pPr>
        <w:pStyle w:val="2"/>
        <w:numPr>
          <w:ilvl w:val="255"/>
          <w:numId w:val="0"/>
        </w:numPr>
        <w:ind w:firstLine="960" w:firstLineChars="4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供应商通过杭州e融平台政采贷专区，自行选择金融产品，按规定手续办理贷款流程。</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四、注意事项</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cs="宋体" w:asciiTheme="minorEastAsia" w:hAnsiTheme="minorEastAsia" w:eastAsiaTheme="minorEastAsia"/>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cs="宋体" w:asciiTheme="minorEastAsia" w:hAnsiTheme="minorEastAsia" w:eastAsiaTheme="minorEastAsia"/>
        </w:rPr>
      </w:pPr>
      <w:bookmarkStart w:id="389" w:name="_Toc465665161"/>
      <w:r>
        <w:rPr>
          <w:rFonts w:hint="eastAsia" w:cs="宋体" w:asciiTheme="minorEastAsia" w:hAnsiTheme="minorEastAsia" w:eastAsiaTheme="minorEastAsia"/>
        </w:rPr>
        <w:t>附件</w:t>
      </w:r>
      <w:bookmarkEnd w:id="389"/>
    </w:p>
    <w:p>
      <w:pPr>
        <w:spacing w:line="360" w:lineRule="auto"/>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附件1：</w:t>
      </w:r>
    </w:p>
    <w:p>
      <w:pPr>
        <w:spacing w:line="360" w:lineRule="auto"/>
        <w:jc w:val="center"/>
        <w:rPr>
          <w:rFonts w:cs="宋体" w:asciiTheme="minorEastAsia" w:hAnsiTheme="minorEastAsia" w:eastAsiaTheme="minorEastAsia"/>
          <w:b/>
          <w:spacing w:val="6"/>
          <w:sz w:val="32"/>
          <w:szCs w:val="32"/>
        </w:rPr>
      </w:pPr>
      <w:bookmarkStart w:id="390" w:name="OLE_LINK14"/>
      <w:bookmarkStart w:id="391" w:name="OLE_LINK13"/>
      <w:r>
        <w:rPr>
          <w:rFonts w:hint="eastAsia" w:cs="宋体" w:asciiTheme="minorEastAsia" w:hAnsiTheme="minorEastAsia" w:eastAsiaTheme="minorEastAsia"/>
          <w:b/>
          <w:spacing w:val="6"/>
          <w:sz w:val="32"/>
          <w:szCs w:val="32"/>
        </w:rPr>
        <w:t>残疾人福利性单位声明函</w:t>
      </w:r>
    </w:p>
    <w:bookmarkEnd w:id="390"/>
    <w:bookmarkEnd w:id="391"/>
    <w:p>
      <w:pPr>
        <w:spacing w:line="360" w:lineRule="auto"/>
        <w:rPr>
          <w:rFonts w:cs="宋体" w:asciiTheme="minorEastAsia" w:hAnsiTheme="minorEastAsia" w:eastAsiaTheme="minorEastAsia"/>
          <w:b/>
          <w:spacing w:val="6"/>
          <w:sz w:val="30"/>
          <w:szCs w:val="30"/>
        </w:rPr>
      </w:pP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p>
    <w:p>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投标人名称（电子签名）</w:t>
      </w:r>
      <w:r>
        <w:rPr>
          <w:rFonts w:hint="eastAsia" w:cs="宋体" w:asciiTheme="minorEastAsia" w:hAnsiTheme="minorEastAsia" w:eastAsiaTheme="minorEastAsia"/>
          <w:sz w:val="24"/>
        </w:rPr>
        <w:t>：</w:t>
      </w:r>
    </w:p>
    <w:p>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  期：</w:t>
      </w:r>
    </w:p>
    <w:p>
      <w:pPr>
        <w:spacing w:line="360" w:lineRule="auto"/>
        <w:jc w:val="left"/>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附件2：质疑函范本及制作说明</w:t>
      </w:r>
    </w:p>
    <w:p>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质疑函范本</w:t>
      </w:r>
    </w:p>
    <w:p>
      <w:pPr>
        <w:snapToGrid w:val="0"/>
        <w:spacing w:beforeLines="100"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一、质疑供应商基本信息</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质疑供应商：</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地址：邮编：</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联系人：联系电话：</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联系电话：</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 邮编：</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二、质疑项目基本情况</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质疑项目的名称：</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质疑项目的编号：包号：</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采购人名称：</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采购文件获取日期：</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三、质疑事项具体内容</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质疑事项1：</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事实依据：</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法律依据：</w:t>
      </w:r>
    </w:p>
    <w:p>
      <w:pPr>
        <w:snapToGrid w:val="0"/>
        <w:spacing w:line="360" w:lineRule="auto"/>
        <w:rPr>
          <w:rFonts w:cs="宋体" w:asciiTheme="minorEastAsia" w:hAnsiTheme="minorEastAsia" w:eastAsiaTheme="minorEastAsia"/>
          <w:sz w:val="24"/>
          <w:u w:val="dotted"/>
        </w:rPr>
      </w:pP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质疑事项2</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四、与质疑事项相关的质疑请求</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请求：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pPr>
        <w:spacing w:line="360" w:lineRule="auto"/>
        <w:jc w:val="center"/>
        <w:rPr>
          <w:rFonts w:cs="宋体" w:asciiTheme="minorEastAsia" w:hAnsiTheme="minorEastAsia" w:eastAsiaTheme="minorEastAsia"/>
          <w:b/>
          <w:bCs/>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质疑函制作说明：</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5.质疑函的质疑请求应与质疑事项相关。</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附件3：投诉书范本及制作说明</w:t>
      </w:r>
    </w:p>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投诉书范本</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一、投诉相关主体基本情况</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tabs>
          <w:tab w:val="left" w:pos="6510"/>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法定代表人/主要负责人：</w:t>
      </w:r>
    </w:p>
    <w:p>
      <w:pPr>
        <w:tabs>
          <w:tab w:val="left" w:pos="6510"/>
        </w:tabs>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联系电话：</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授权代表：联系电话</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被投诉人1：</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被投诉人2</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相关供应商：</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址：邮编：</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联系人：联系电话：</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二、投诉项目基本情况</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采购项目名称：</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采购项目编号：包号：</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采购人名称：</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代理机构名称：</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采购文件公告: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采购结果公告: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三、质疑基本情况</w:t>
      </w:r>
    </w:p>
    <w:p>
      <w:pPr>
        <w:spacing w:line="360" w:lineRule="auto"/>
        <w:ind w:firstLine="480" w:firstLineChars="200"/>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投诉人于年月日,向提出质疑，质疑事项为：</w:t>
      </w:r>
    </w:p>
    <w:p>
      <w:pPr>
        <w:spacing w:line="360" w:lineRule="auto"/>
        <w:rPr>
          <w:rFonts w:cs="宋体" w:asciiTheme="minorEastAsia" w:hAnsiTheme="minorEastAsia" w:eastAsiaTheme="minorEastAsia"/>
          <w:sz w:val="24"/>
          <w:u w:val="dotted"/>
        </w:rPr>
      </w:pP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u w:val="dotted"/>
        </w:rPr>
        <w:t>采购人/代理机构</w:t>
      </w:r>
      <w:r>
        <w:rPr>
          <w:rFonts w:hint="eastAsia" w:cs="宋体" w:asciiTheme="minorEastAsia" w:hAnsiTheme="minorEastAsia" w:eastAsiaTheme="minorEastAsia"/>
          <w:sz w:val="24"/>
        </w:rPr>
        <w:t>于年月日,就质疑事项作出了答复/没有在法定期限内作出答复。</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四、投诉事项具体内容</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投诉事项 1：</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事实依据：</w:t>
      </w:r>
    </w:p>
    <w:p>
      <w:pPr>
        <w:spacing w:line="360" w:lineRule="auto"/>
        <w:rPr>
          <w:rFonts w:cs="宋体" w:asciiTheme="minorEastAsia" w:hAnsiTheme="minorEastAsia" w:eastAsiaTheme="minorEastAsia"/>
          <w:sz w:val="24"/>
          <w:u w:val="dotted"/>
        </w:rPr>
      </w:pP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法律依据：</w:t>
      </w:r>
    </w:p>
    <w:p>
      <w:pPr>
        <w:spacing w:line="360" w:lineRule="auto"/>
        <w:rPr>
          <w:rFonts w:cs="宋体" w:asciiTheme="minorEastAsia" w:hAnsiTheme="minorEastAsia" w:eastAsiaTheme="minorEastAsia"/>
          <w:sz w:val="24"/>
          <w:u w:val="dotted"/>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投诉事项2</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五、与投诉事项相关的投诉请求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请求：</w:t>
      </w:r>
    </w:p>
    <w:p>
      <w:pPr>
        <w:spacing w:line="360" w:lineRule="auto"/>
        <w:rPr>
          <w:rFonts w:cs="宋体" w:asciiTheme="minorEastAsia" w:hAnsiTheme="minorEastAsia" w:eastAsiaTheme="minorEastAsia"/>
          <w:sz w:val="24"/>
          <w:u w:val="single"/>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投诉书制作说明：</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6.投诉书的投诉请求应与投诉事项相关。</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附件4：</w:t>
      </w:r>
      <w:r>
        <w:rPr>
          <w:rFonts w:hint="eastAsia" w:cs="宋体" w:asciiTheme="minorEastAsia" w:hAnsiTheme="minorEastAsia" w:eastAsiaTheme="minorEastAsia"/>
          <w:b/>
          <w:bCs/>
          <w:sz w:val="32"/>
          <w:szCs w:val="32"/>
        </w:rPr>
        <w:t>业务专用章使用说明函</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single"/>
        </w:rPr>
        <w:t>（采购人）、（采购代理机构）</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我方</w:t>
      </w:r>
      <w:r>
        <w:rPr>
          <w:rFonts w:hint="eastAsia" w:cs="宋体" w:asciiTheme="minorEastAsia" w:hAnsiTheme="minorEastAsia" w:eastAsiaTheme="minorEastAsia"/>
          <w:sz w:val="24"/>
        </w:rPr>
        <w:t>(投标人全称)是中华人民共和国依法登记注册的合法企业，</w:t>
      </w:r>
      <w:r>
        <w:rPr>
          <w:rFonts w:hint="eastAsia" w:cs="宋体" w:asciiTheme="minorEastAsia" w:hAnsiTheme="minorEastAsia" w:eastAsiaTheme="minorEastAsia"/>
          <w:bCs/>
          <w:sz w:val="24"/>
        </w:rPr>
        <w:t>在参加</w:t>
      </w:r>
      <w:r>
        <w:rPr>
          <w:rFonts w:hint="eastAsia" w:cs="宋体" w:asciiTheme="minorEastAsia" w:hAnsiTheme="minorEastAsia" w:eastAsiaTheme="minorEastAsia"/>
          <w:sz w:val="24"/>
        </w:rPr>
        <w:t>你方组织的（项目名称）项目【招标编号：（采购编号）】</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pPr>
        <w:ind w:right="1440" w:firstLine="494"/>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cs="宋体" w:asciiTheme="minorEastAsia" w:hAnsiTheme="minorEastAsia" w:eastAsiaTheme="minorEastAsia"/>
          <w:bCs/>
          <w:sz w:val="24"/>
        </w:rPr>
      </w:pPr>
      <w:r>
        <w:rPr>
          <w:rFonts w:cs="宋体"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cs="宋体"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投标单位法定名称章（印模）                投标单位“XX专用章”（印模）</w:t>
      </w: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autoSpaceDE w:val="0"/>
        <w:autoSpaceDN w:val="0"/>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5</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lang w:val="zh-CN"/>
        </w:rPr>
        <w:t>联合协议</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（以联合体形式投标的，提供联合协议；本项目不接受联合体投标或者投标人不以联合体形式投标的，则不需要提供）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组成一个联合体，以一个投标人的身份</w:t>
      </w:r>
      <w:r>
        <w:rPr>
          <w:rFonts w:hint="eastAsia" w:cs="宋体" w:asciiTheme="minorEastAsia" w:hAnsiTheme="minorEastAsia" w:eastAsiaTheme="minorEastAsia"/>
          <w:kern w:val="0"/>
          <w:sz w:val="24"/>
        </w:rPr>
        <w:t>参加</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 xml:space="preserve">投标。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，代表所有联合体成员负责投标和合同实施阶段的主办、协调工作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三、本次联合投标中，分工如下：</w:t>
      </w:r>
    </w:p>
    <w:p>
      <w:pPr>
        <w:snapToGrid w:val="0"/>
        <w:spacing w:line="360" w:lineRule="auto"/>
        <w:ind w:firstLine="576"/>
        <w:rPr>
          <w:rFonts w:cs="宋体" w:asciiTheme="minorEastAsia" w:hAnsiTheme="minorEastAsia" w:eastAsiaTheme="minorEastAsia"/>
          <w:kern w:val="0"/>
          <w:sz w:val="24"/>
          <w:lang w:val="zh-CN"/>
        </w:rPr>
      </w:pPr>
      <w:bookmarkStart w:id="392" w:name="_Hlk101134295"/>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bookmarkEnd w:id="392"/>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X,</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提供的全部货物由小微企业制造，其合同份额占到合同总金额%以上；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cs="宋体" w:asciiTheme="minorEastAsia" w:hAnsiTheme="minorEastAsia" w:eastAsiaTheme="minorEastAsia"/>
          <w:b/>
          <w:kern w:val="0"/>
          <w:sz w:val="24"/>
          <w:lang w:val="zh-CN"/>
        </w:rPr>
        <w:t>6</w:t>
      </w:r>
      <w:r>
        <w:rPr>
          <w:rFonts w:hint="eastAsia" w:cs="宋体" w:asciiTheme="minorEastAsia" w:hAnsiTheme="minorEastAsia" w:eastAsiaTheme="minorEastAsia"/>
          <w:b/>
          <w:kern w:val="0"/>
          <w:sz w:val="24"/>
          <w:lang w:val="zh-CN"/>
        </w:rPr>
        <w:t>%的扣除。供应商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2、中小企业合同金额达到%，小微企业合同金额达到%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五、如果中标，</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六、有关本次联合投标的其他事宜：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snapToGrid w:val="0"/>
        <w:spacing w:line="360" w:lineRule="auto"/>
        <w:ind w:firstLine="3666"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6</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rPr>
        <w:t>分包意向协议</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（项目名称）【招标编号：（采购编号）】</w:t>
      </w:r>
      <w:r>
        <w:rPr>
          <w:rFonts w:hint="eastAsia" w:cs="宋体" w:asciiTheme="minorEastAsia" w:hAnsiTheme="minorEastAsia" w:eastAsiaTheme="minorEastAsia"/>
          <w:kern w:val="0"/>
          <w:sz w:val="24"/>
          <w:lang w:val="zh-CN"/>
        </w:rPr>
        <w:t>的中标供应商，将依法采取分包方式履行合同。</w:t>
      </w: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将</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2"/>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w:t>
      </w:r>
    </w:p>
    <w:p>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……）提供的货物全部由小微企业制造，</w:t>
      </w:r>
      <w:r>
        <w:rPr>
          <w:rFonts w:hint="eastAsia" w:cs="宋体" w:asciiTheme="minorEastAsia" w:hAnsiTheme="minorEastAsia" w:eastAsiaTheme="minorEastAsia"/>
          <w:kern w:val="0"/>
          <w:sz w:val="24"/>
        </w:rPr>
        <w:t>其合同份额占到合同总金额%以上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cs="宋体" w:asciiTheme="minorEastAsia" w:hAnsiTheme="minorEastAsia" w:eastAsiaTheme="minorEastAsia"/>
          <w:b/>
          <w:kern w:val="0"/>
          <w:sz w:val="24"/>
          <w:lang w:val="zh-CN"/>
        </w:rPr>
        <w:t>6</w:t>
      </w:r>
      <w:r>
        <w:rPr>
          <w:rFonts w:hint="eastAsia" w:cs="宋体" w:asciiTheme="minorEastAsia" w:hAnsiTheme="minorEastAsia" w:eastAsiaTheme="minorEastAsia"/>
          <w:b/>
          <w:kern w:val="0"/>
          <w:sz w:val="24"/>
          <w:lang w:val="zh-CN"/>
        </w:rPr>
        <w:t>%的扣除。供应商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393" w:name="_Hlk101133173"/>
      <w:r>
        <w:rPr>
          <w:rFonts w:hint="eastAsia" w:cs="宋体" w:asciiTheme="minorEastAsia" w:hAnsiTheme="minorEastAsia" w:eastAsiaTheme="minorEastAsia"/>
          <w:sz w:val="24"/>
        </w:rPr>
        <w:t>中小企业合同金额达到%，小微企业合同金额达到%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要求合同分包形式参加的项目或采购包，供应商按招标文件第一部分招标公告申请人的资格要求中规定的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bookmarkEnd w:id="393"/>
    </w:p>
    <w:p>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pPr>
        <w:snapToGrid w:val="0"/>
        <w:ind w:firstLine="576"/>
        <w:rPr>
          <w:rFonts w:cs="宋体" w:asciiTheme="minorEastAsia" w:hAnsiTheme="minorEastAsia" w:eastAsiaTheme="minorEastAsia"/>
          <w:u w:val="single"/>
        </w:rPr>
      </w:pPr>
    </w:p>
    <w:p>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pPr>
        <w:snapToGrid w:val="0"/>
        <w:ind w:firstLine="576"/>
        <w:rPr>
          <w:rFonts w:cs="宋体" w:asciiTheme="minorEastAsia" w:hAnsiTheme="minorEastAsia" w:eastAsiaTheme="minorEastAsia"/>
          <w:kern w:val="0"/>
          <w:sz w:val="24"/>
          <w:lang w:val="zh-CN"/>
        </w:rPr>
      </w:pPr>
    </w:p>
    <w:p>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pPr>
        <w:snapToGrid w:val="0"/>
        <w:ind w:left="573" w:leftChars="273"/>
        <w:rPr>
          <w:rFonts w:cs="宋体" w:asciiTheme="minorEastAsia" w:hAnsiTheme="minorEastAsia" w:eastAsiaTheme="minorEastAsia"/>
          <w:kern w:val="0"/>
          <w:sz w:val="24"/>
          <w:lang w:val="zh-CN"/>
        </w:rPr>
      </w:pPr>
    </w:p>
    <w:p>
      <w:pPr>
        <w:snapToGrid w:val="0"/>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pPr>
        <w:snapToGrid w:val="0"/>
        <w:ind w:firstLine="576"/>
        <w:rPr>
          <w:rFonts w:cs="宋体" w:asciiTheme="minorEastAsia" w:hAnsiTheme="minorEastAsia" w:eastAsiaTheme="minorEastAsia"/>
          <w:kern w:val="0"/>
          <w:sz w:val="24"/>
          <w:lang w:val="zh-CN"/>
        </w:rPr>
      </w:pPr>
    </w:p>
    <w:p>
      <w:pPr>
        <w:snapToGrid w:val="0"/>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pPr>
        <w:snapToGrid w:val="0"/>
        <w:spacing w:line="360" w:lineRule="auto"/>
        <w:ind w:firstLine="576"/>
        <w:rPr>
          <w:rFonts w:cs="宋体" w:asciiTheme="minorEastAsia" w:hAnsiTheme="minorEastAsia" w:eastAsiaTheme="minorEastAsia"/>
          <w:kern w:val="0"/>
          <w:sz w:val="24"/>
          <w:lang w:val="zh-CN"/>
        </w:rPr>
      </w:pPr>
    </w:p>
    <w:p>
      <w:pPr>
        <w:snapToGrid w:val="0"/>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w:t>
      </w:r>
    </w:p>
    <w:p>
      <w:pPr>
        <w:snapToGrid w:val="0"/>
        <w:ind w:firstLine="5640" w:firstLineChars="235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w:t>
      </w:r>
    </w:p>
    <w:p>
      <w:pPr>
        <w:snapToGrid w:val="0"/>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autoSpaceDE w:val="0"/>
        <w:autoSpaceDN w:val="0"/>
        <w:jc w:val="center"/>
        <w:rPr>
          <w:rFonts w:cs="宋体" w:asciiTheme="minorEastAsia" w:hAnsiTheme="minorEastAsia" w:eastAsiaTheme="minorEastAsia"/>
          <w:b/>
          <w:spacing w:val="6"/>
          <w:sz w:val="32"/>
          <w:szCs w:val="32"/>
        </w:rPr>
        <w:sectPr>
          <w:pgSz w:w="11906" w:h="16838"/>
          <w:pgMar w:top="1440" w:right="1418" w:bottom="1440" w:left="1418" w:header="851" w:footer="992" w:gutter="0"/>
          <w:cols w:space="0" w:num="1"/>
          <w:titlePg/>
          <w:docGrid w:linePitch="312" w:charSpace="0"/>
        </w:sectPr>
      </w:pPr>
    </w:p>
    <w:p>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附件7：</w:t>
      </w:r>
      <w:r>
        <w:rPr>
          <w:rFonts w:hint="eastAsia" w:cs="宋体" w:asciiTheme="minorEastAsia" w:hAnsiTheme="minorEastAsia" w:eastAsiaTheme="minorEastAsia"/>
          <w:b/>
          <w:sz w:val="32"/>
          <w:szCs w:val="32"/>
        </w:rPr>
        <w:t>中小企业声明函</w:t>
      </w:r>
    </w:p>
    <w:p>
      <w:pPr>
        <w:spacing w:line="360" w:lineRule="auto"/>
        <w:jc w:val="center"/>
        <w:rPr>
          <w:rFonts w:cs="宋体" w:asciiTheme="minorEastAsia" w:hAnsiTheme="minorEastAsia" w:eastAsiaTheme="minorEastAsia"/>
          <w:sz w:val="24"/>
          <w:u w:val="single"/>
        </w:rPr>
      </w:pPr>
    </w:p>
    <w:p>
      <w:pPr>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中小企业声明函（服务）</w:t>
      </w:r>
    </w:p>
    <w:p>
      <w:pPr>
        <w:spacing w:line="360" w:lineRule="auto"/>
        <w:rPr>
          <w:rFonts w:cs="宋体" w:asciiTheme="minorEastAsia" w:hAnsiTheme="minorEastAsia" w:eastAsiaTheme="minorEastAsia"/>
        </w:rPr>
      </w:pP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，从业人员人，营业收入为万元，资产总额为万元属于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投标人名称（电子签名）：</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cs="宋体" w:asciiTheme="minorEastAsia" w:hAnsiTheme="minorEastAsia" w:eastAsiaTheme="minorEastAsia"/>
          <w:bCs/>
          <w:sz w:val="24"/>
        </w:rPr>
      </w:pPr>
    </w:p>
    <w:sectPr>
      <w:pgSz w:w="11906" w:h="16838"/>
      <w:pgMar w:top="1440" w:right="1418" w:bottom="1440"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09999"/>
      <w:docPartObj>
        <w:docPartGallery w:val="autotext"/>
      </w:docPartObj>
    </w:sdtPr>
    <w:sdtContent>
      <w:p>
        <w:pPr>
          <w:pStyle w:val="48"/>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4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4"/>
      <w:docPartObj>
        <w:docPartGallery w:val="autotext"/>
      </w:docPartObj>
    </w:sdtPr>
    <w:sdtContent>
      <w:p>
        <w:pPr>
          <w:pStyle w:val="48"/>
          <w:jc w:val="center"/>
        </w:pPr>
        <w:r>
          <w:fldChar w:fldCharType="begin"/>
        </w:r>
        <w:r>
          <w:instrText xml:space="preserve"> PAGE   \* MERGEFORMAT </w:instrText>
        </w:r>
        <w:r>
          <w:fldChar w:fldCharType="separate"/>
        </w:r>
        <w:r>
          <w:rPr>
            <w:lang w:val="zh-CN"/>
          </w:rPr>
          <w:t>59</w:t>
        </w:r>
        <w:r>
          <w:rPr>
            <w:lang w:val="zh-CN"/>
          </w:rPr>
          <w:fldChar w:fldCharType="end"/>
        </w:r>
      </w:p>
    </w:sdtContent>
  </w:sdt>
  <w:p>
    <w:pPr>
      <w:pStyle w:val="48"/>
      <w:jc w:val="center"/>
      <w:rPr>
        <w:rFonts w:ascii="FangSong_GB2312" w:eastAsia="FangSong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09997"/>
      <w:docPartObj>
        <w:docPartGallery w:val="autotext"/>
      </w:docPartObj>
    </w:sdtPr>
    <w:sdtContent>
      <w:p>
        <w:pPr>
          <w:pStyle w:val="48"/>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1"/>
      <w:docPartObj>
        <w:docPartGallery w:val="autotext"/>
      </w:docPartObj>
    </w:sdtPr>
    <w:sdtContent>
      <w:p>
        <w:pPr>
          <w:pStyle w:val="48"/>
          <w:jc w:val="center"/>
        </w:pPr>
        <w:r>
          <w:fldChar w:fldCharType="begin"/>
        </w:r>
        <w:r>
          <w:instrText xml:space="preserve"> PAGE   \* MERGEFORMAT </w:instrText>
        </w:r>
        <w:r>
          <w:fldChar w:fldCharType="separate"/>
        </w:r>
        <w:r>
          <w:rPr>
            <w:lang w:val="zh-CN"/>
          </w:rPr>
          <w:t>39</w:t>
        </w:r>
        <w:r>
          <w:rPr>
            <w:lang w:val="zh-CN"/>
          </w:rPr>
          <w:fldChar w:fldCharType="end"/>
        </w:r>
      </w:p>
    </w:sdtContent>
  </w:sdt>
  <w:p>
    <w:pPr>
      <w:jc w:val="center"/>
      <w:rPr>
        <w:rFonts w:ascii="FangSong_GB2312" w:eastAsia="FangSong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0"/>
      <w:docPartObj>
        <w:docPartGallery w:val="autotext"/>
      </w:docPartObj>
    </w:sdtPr>
    <w:sdtContent>
      <w:p>
        <w:pPr>
          <w:pStyle w:val="48"/>
          <w:jc w:val="center"/>
        </w:pPr>
        <w:r>
          <w:fldChar w:fldCharType="begin"/>
        </w:r>
        <w:r>
          <w:instrText xml:space="preserve"> PAGE   \* MERGEFORMAT </w:instrText>
        </w:r>
        <w:r>
          <w:fldChar w:fldCharType="separate"/>
        </w:r>
        <w:r>
          <w:rPr>
            <w:lang w:val="zh-CN"/>
          </w:rPr>
          <w:t>42</w:t>
        </w:r>
        <w:r>
          <w:rPr>
            <w:lang w:val="zh-CN"/>
          </w:rPr>
          <w:fldChar w:fldCharType="end"/>
        </w:r>
      </w:p>
    </w:sdtContent>
  </w:sdt>
  <w:p>
    <w:pPr>
      <w:tabs>
        <w:tab w:val="center" w:pos="4535"/>
      </w:tabs>
      <w:rPr>
        <w:rFonts w:ascii="FangSong_GB2312" w:eastAsia="FangSong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3"/>
      <w:docPartObj>
        <w:docPartGallery w:val="autotext"/>
      </w:docPartObj>
    </w:sdtPr>
    <w:sdtContent>
      <w:p>
        <w:pPr>
          <w:pStyle w:val="48"/>
          <w:jc w:val="center"/>
        </w:pPr>
        <w:r>
          <w:fldChar w:fldCharType="begin"/>
        </w:r>
        <w:r>
          <w:instrText xml:space="preserve"> PAGE   \* MERGEFORMAT </w:instrText>
        </w:r>
        <w:r>
          <w:fldChar w:fldCharType="separate"/>
        </w:r>
        <w:r>
          <w:rPr>
            <w:lang w:val="zh-CN"/>
          </w:rPr>
          <w:t>46</w:t>
        </w:r>
        <w:r>
          <w:rPr>
            <w:lang w:val="zh-CN"/>
          </w:rPr>
          <w:fldChar w:fldCharType="end"/>
        </w:r>
      </w:p>
    </w:sdtContent>
  </w:sdt>
  <w:p>
    <w:pPr>
      <w:jc w:val="cente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2"/>
      <w:docPartObj>
        <w:docPartGallery w:val="autotext"/>
      </w:docPartObj>
    </w:sdtPr>
    <w:sdtContent>
      <w:p>
        <w:pPr>
          <w:pStyle w:val="48"/>
          <w:jc w:val="center"/>
        </w:pPr>
        <w:r>
          <w:fldChar w:fldCharType="begin"/>
        </w:r>
        <w:r>
          <w:instrText xml:space="preserve"> PAGE   \* MERGEFORMAT </w:instrText>
        </w:r>
        <w:r>
          <w:fldChar w:fldCharType="separate"/>
        </w:r>
        <w:r>
          <w:rPr>
            <w:lang w:val="zh-CN"/>
          </w:rPr>
          <w:t>45</w:t>
        </w:r>
        <w:r>
          <w:rPr>
            <w:lang w:val="zh-CN"/>
          </w:rPr>
          <w:fldChar w:fldCharType="end"/>
        </w:r>
      </w:p>
    </w:sdtContent>
  </w:sdt>
  <w:p>
    <w:pPr>
      <w:jc w:val="center"/>
      <w:rPr>
        <w:rFonts w:ascii="FangSong_GB2312" w:eastAsia="FangSong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310005"/>
      <w:docPartObj>
        <w:docPartGallery w:val="autotext"/>
      </w:docPartObj>
    </w:sdtPr>
    <w:sdtContent>
      <w:p>
        <w:pPr>
          <w:pStyle w:val="48"/>
          <w:jc w:val="center"/>
        </w:pPr>
        <w:r>
          <w:fldChar w:fldCharType="begin"/>
        </w:r>
        <w:r>
          <w:instrText xml:space="preserve"> PAGE   \* MERGEFORMAT </w:instrText>
        </w:r>
        <w:r>
          <w:fldChar w:fldCharType="separate"/>
        </w:r>
        <w:r>
          <w:rPr>
            <w:lang w:val="zh-CN"/>
          </w:rPr>
          <w:t>57</w:t>
        </w:r>
        <w:r>
          <w:rPr>
            <w:lang w:val="zh-CN"/>
          </w:rPr>
          <w:fldChar w:fldCharType="end"/>
        </w:r>
      </w:p>
    </w:sdtContent>
  </w:sdt>
  <w:p>
    <w:pPr>
      <w:pStyle w:val="48"/>
      <w:jc w:val="center"/>
      <w:rPr>
        <w:rFonts w:ascii="FangSong_GB2312" w:eastAsia="FangSong_GB2312"/>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right" w:y="1"/>
      <w:rPr>
        <w:rStyle w:val="82"/>
      </w:rPr>
    </w:pPr>
    <w:r>
      <w:fldChar w:fldCharType="begin"/>
    </w:r>
    <w:r>
      <w:rPr>
        <w:rStyle w:val="82"/>
      </w:rPr>
      <w:instrText xml:space="preserve">PAGE  </w:instrText>
    </w:r>
    <w:r>
      <w:fldChar w:fldCharType="end"/>
    </w:r>
  </w:p>
  <w:p>
    <w:pPr>
      <w:pStyle w:val="4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tabs>
        <w:tab w:val="center" w:pos="4535"/>
        <w:tab w:val="right" w:pos="9070"/>
      </w:tabs>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tabs>
        <w:tab w:val="center" w:pos="4535"/>
        <w:tab w:val="right" w:pos="9070"/>
        <w:tab w:val="clear" w:pos="4153"/>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1"/>
      </w:pBdr>
      <w:jc w:val="both"/>
      <w:rPr>
        <w:rFonts w:ascii="FangSong_GB2312" w:eastAsia="FangSong_GB2312"/>
        <w:b/>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right"/>
      <w:rPr>
        <w:rFonts w:ascii="FangSong_GB2312" w:eastAsia="FangSong_GB2312"/>
        <w:b/>
        <w:i/>
        <w:u w:val="single"/>
      </w:rPr>
    </w:pPr>
  </w:p>
  <w:p>
    <w:pPr>
      <w:rPr>
        <w:rFonts w:ascii="FangSong_GB2312" w:eastAsia="FangSong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1"/>
      </w:pBdr>
      <w:jc w:val="both"/>
      <w:rPr>
        <w:rFonts w:ascii="FangSong_GB2312" w:eastAsia="FangSong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1"/>
      </w:pBdr>
      <w:jc w:val="both"/>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MWY2YzExNDZkM2U4OGIyZTAwMzhiYmRjMDY3NjYifQ=="/>
    <w:docVar w:name="KSO_WPS_MARK_KEY" w:val="c72676a3-fbb2-4052-9f65-62e6b3fa9d13"/>
  </w:docVars>
  <w:rsids>
    <w:rsidRoot w:val="00172A27"/>
    <w:rsid w:val="00000451"/>
    <w:rsid w:val="0000108B"/>
    <w:rsid w:val="0000133D"/>
    <w:rsid w:val="00001509"/>
    <w:rsid w:val="000031DB"/>
    <w:rsid w:val="000032B2"/>
    <w:rsid w:val="0000363B"/>
    <w:rsid w:val="0000546D"/>
    <w:rsid w:val="000058BD"/>
    <w:rsid w:val="00006109"/>
    <w:rsid w:val="00006150"/>
    <w:rsid w:val="000063E8"/>
    <w:rsid w:val="00006725"/>
    <w:rsid w:val="0000675E"/>
    <w:rsid w:val="00007CAA"/>
    <w:rsid w:val="00010FE9"/>
    <w:rsid w:val="0001122F"/>
    <w:rsid w:val="00011670"/>
    <w:rsid w:val="00011A4B"/>
    <w:rsid w:val="00012251"/>
    <w:rsid w:val="0001337C"/>
    <w:rsid w:val="000138C4"/>
    <w:rsid w:val="00013C1F"/>
    <w:rsid w:val="00013F31"/>
    <w:rsid w:val="000140D8"/>
    <w:rsid w:val="00014530"/>
    <w:rsid w:val="00014BBC"/>
    <w:rsid w:val="000150EE"/>
    <w:rsid w:val="000163EF"/>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E8C"/>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C40"/>
    <w:rsid w:val="00050656"/>
    <w:rsid w:val="00050A19"/>
    <w:rsid w:val="000511B6"/>
    <w:rsid w:val="00051A5F"/>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831"/>
    <w:rsid w:val="00064278"/>
    <w:rsid w:val="000646CA"/>
    <w:rsid w:val="00064BF2"/>
    <w:rsid w:val="000665C4"/>
    <w:rsid w:val="00067821"/>
    <w:rsid w:val="0006785E"/>
    <w:rsid w:val="00067F92"/>
    <w:rsid w:val="00067FA7"/>
    <w:rsid w:val="0007000E"/>
    <w:rsid w:val="0007038E"/>
    <w:rsid w:val="0007077C"/>
    <w:rsid w:val="00070825"/>
    <w:rsid w:val="00070BB7"/>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62D"/>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B77E6"/>
    <w:rsid w:val="000C0A43"/>
    <w:rsid w:val="000C0CB1"/>
    <w:rsid w:val="000C1411"/>
    <w:rsid w:val="000C1ADE"/>
    <w:rsid w:val="000C1C38"/>
    <w:rsid w:val="000C21DC"/>
    <w:rsid w:val="000C2264"/>
    <w:rsid w:val="000C256B"/>
    <w:rsid w:val="000C3970"/>
    <w:rsid w:val="000C3B1A"/>
    <w:rsid w:val="000C4727"/>
    <w:rsid w:val="000C47AE"/>
    <w:rsid w:val="000C50BD"/>
    <w:rsid w:val="000C51AD"/>
    <w:rsid w:val="000C5374"/>
    <w:rsid w:val="000C5EC0"/>
    <w:rsid w:val="000C6162"/>
    <w:rsid w:val="000C64CC"/>
    <w:rsid w:val="000C6688"/>
    <w:rsid w:val="000C692E"/>
    <w:rsid w:val="000C6B28"/>
    <w:rsid w:val="000C726D"/>
    <w:rsid w:val="000C7BEB"/>
    <w:rsid w:val="000D0124"/>
    <w:rsid w:val="000D11E5"/>
    <w:rsid w:val="000D19E8"/>
    <w:rsid w:val="000D1FA1"/>
    <w:rsid w:val="000D259A"/>
    <w:rsid w:val="000D2834"/>
    <w:rsid w:val="000D2CAC"/>
    <w:rsid w:val="000D34C8"/>
    <w:rsid w:val="000D34FD"/>
    <w:rsid w:val="000D3BE5"/>
    <w:rsid w:val="000D3C37"/>
    <w:rsid w:val="000D453A"/>
    <w:rsid w:val="000D4AFA"/>
    <w:rsid w:val="000D5155"/>
    <w:rsid w:val="000D5EA6"/>
    <w:rsid w:val="000D5F00"/>
    <w:rsid w:val="000D6C9F"/>
    <w:rsid w:val="000D6E3B"/>
    <w:rsid w:val="000D6F30"/>
    <w:rsid w:val="000D74E4"/>
    <w:rsid w:val="000D7C9D"/>
    <w:rsid w:val="000D7CE0"/>
    <w:rsid w:val="000E20D4"/>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C4A"/>
    <w:rsid w:val="000F1604"/>
    <w:rsid w:val="000F287A"/>
    <w:rsid w:val="000F2940"/>
    <w:rsid w:val="000F2AB3"/>
    <w:rsid w:val="000F3D08"/>
    <w:rsid w:val="000F4495"/>
    <w:rsid w:val="000F4A05"/>
    <w:rsid w:val="000F4AA8"/>
    <w:rsid w:val="000F4AEA"/>
    <w:rsid w:val="000F4E67"/>
    <w:rsid w:val="000F505B"/>
    <w:rsid w:val="000F5677"/>
    <w:rsid w:val="000F59D7"/>
    <w:rsid w:val="000F5DDB"/>
    <w:rsid w:val="000F628E"/>
    <w:rsid w:val="000F68A0"/>
    <w:rsid w:val="000F6A52"/>
    <w:rsid w:val="000F6CC2"/>
    <w:rsid w:val="000F729C"/>
    <w:rsid w:val="000F7BE7"/>
    <w:rsid w:val="000F7D4B"/>
    <w:rsid w:val="0010118C"/>
    <w:rsid w:val="0010125E"/>
    <w:rsid w:val="001015F8"/>
    <w:rsid w:val="00101967"/>
    <w:rsid w:val="00103251"/>
    <w:rsid w:val="00103509"/>
    <w:rsid w:val="0010393D"/>
    <w:rsid w:val="00103EBD"/>
    <w:rsid w:val="00104699"/>
    <w:rsid w:val="0010496A"/>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5BA"/>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DF9"/>
    <w:rsid w:val="001350F7"/>
    <w:rsid w:val="00135769"/>
    <w:rsid w:val="00135BE9"/>
    <w:rsid w:val="00135E5C"/>
    <w:rsid w:val="00136762"/>
    <w:rsid w:val="00136C0E"/>
    <w:rsid w:val="00136E33"/>
    <w:rsid w:val="0013773D"/>
    <w:rsid w:val="0014042F"/>
    <w:rsid w:val="00140693"/>
    <w:rsid w:val="00140D7A"/>
    <w:rsid w:val="00141D28"/>
    <w:rsid w:val="00141DFE"/>
    <w:rsid w:val="00142185"/>
    <w:rsid w:val="001422E2"/>
    <w:rsid w:val="001433BC"/>
    <w:rsid w:val="00143872"/>
    <w:rsid w:val="00143A85"/>
    <w:rsid w:val="00144649"/>
    <w:rsid w:val="00144CE5"/>
    <w:rsid w:val="00145022"/>
    <w:rsid w:val="00145662"/>
    <w:rsid w:val="00145C6D"/>
    <w:rsid w:val="001460FC"/>
    <w:rsid w:val="00146151"/>
    <w:rsid w:val="00146326"/>
    <w:rsid w:val="00147032"/>
    <w:rsid w:val="0014762D"/>
    <w:rsid w:val="00147EA7"/>
    <w:rsid w:val="001507F3"/>
    <w:rsid w:val="00151820"/>
    <w:rsid w:val="00151B2F"/>
    <w:rsid w:val="001524DC"/>
    <w:rsid w:val="001525E5"/>
    <w:rsid w:val="00152A9D"/>
    <w:rsid w:val="00153859"/>
    <w:rsid w:val="00153915"/>
    <w:rsid w:val="001539F0"/>
    <w:rsid w:val="00154BBA"/>
    <w:rsid w:val="00155B95"/>
    <w:rsid w:val="00156853"/>
    <w:rsid w:val="00157432"/>
    <w:rsid w:val="00161185"/>
    <w:rsid w:val="001620BA"/>
    <w:rsid w:val="001623AC"/>
    <w:rsid w:val="001628EB"/>
    <w:rsid w:val="00162BAA"/>
    <w:rsid w:val="00163C40"/>
    <w:rsid w:val="0016488B"/>
    <w:rsid w:val="00164968"/>
    <w:rsid w:val="00165758"/>
    <w:rsid w:val="00165A65"/>
    <w:rsid w:val="00166317"/>
    <w:rsid w:val="00166DA1"/>
    <w:rsid w:val="00167478"/>
    <w:rsid w:val="00167594"/>
    <w:rsid w:val="001702BE"/>
    <w:rsid w:val="001704B3"/>
    <w:rsid w:val="0017059C"/>
    <w:rsid w:val="0017094E"/>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C7A"/>
    <w:rsid w:val="0017610B"/>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BDC"/>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60D"/>
    <w:rsid w:val="001969F2"/>
    <w:rsid w:val="00196A21"/>
    <w:rsid w:val="00196CD6"/>
    <w:rsid w:val="0019756A"/>
    <w:rsid w:val="001A0480"/>
    <w:rsid w:val="001A0632"/>
    <w:rsid w:val="001A06B5"/>
    <w:rsid w:val="001A07F8"/>
    <w:rsid w:val="001A0A23"/>
    <w:rsid w:val="001A0C98"/>
    <w:rsid w:val="001A128B"/>
    <w:rsid w:val="001A1475"/>
    <w:rsid w:val="001A162B"/>
    <w:rsid w:val="001A1F0E"/>
    <w:rsid w:val="001A3335"/>
    <w:rsid w:val="001A473A"/>
    <w:rsid w:val="001A4ED9"/>
    <w:rsid w:val="001A5785"/>
    <w:rsid w:val="001A5FD7"/>
    <w:rsid w:val="001A64B6"/>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33"/>
    <w:rsid w:val="001C6C5B"/>
    <w:rsid w:val="001C7399"/>
    <w:rsid w:val="001C7CE0"/>
    <w:rsid w:val="001D005B"/>
    <w:rsid w:val="001D00C1"/>
    <w:rsid w:val="001D0947"/>
    <w:rsid w:val="001D16F5"/>
    <w:rsid w:val="001D18FA"/>
    <w:rsid w:val="001D1970"/>
    <w:rsid w:val="001D1D55"/>
    <w:rsid w:val="001D21EF"/>
    <w:rsid w:val="001D29A4"/>
    <w:rsid w:val="001D2B73"/>
    <w:rsid w:val="001D2D03"/>
    <w:rsid w:val="001D3136"/>
    <w:rsid w:val="001D330D"/>
    <w:rsid w:val="001D4AB6"/>
    <w:rsid w:val="001D4AD3"/>
    <w:rsid w:val="001D5281"/>
    <w:rsid w:val="001E09E5"/>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76C"/>
    <w:rsid w:val="001F19D1"/>
    <w:rsid w:val="001F1CB9"/>
    <w:rsid w:val="001F1F18"/>
    <w:rsid w:val="001F2F92"/>
    <w:rsid w:val="001F462E"/>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093"/>
    <w:rsid w:val="00211185"/>
    <w:rsid w:val="00211A94"/>
    <w:rsid w:val="002126F2"/>
    <w:rsid w:val="00213326"/>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C65"/>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84"/>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E2B"/>
    <w:rsid w:val="0024415B"/>
    <w:rsid w:val="00245565"/>
    <w:rsid w:val="002458C1"/>
    <w:rsid w:val="00245E62"/>
    <w:rsid w:val="002460D0"/>
    <w:rsid w:val="00246357"/>
    <w:rsid w:val="00246F23"/>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C75"/>
    <w:rsid w:val="0025631F"/>
    <w:rsid w:val="00256986"/>
    <w:rsid w:val="00256D61"/>
    <w:rsid w:val="00256E23"/>
    <w:rsid w:val="00257246"/>
    <w:rsid w:val="00257438"/>
    <w:rsid w:val="002576AE"/>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75A"/>
    <w:rsid w:val="00267A92"/>
    <w:rsid w:val="00267E43"/>
    <w:rsid w:val="00270282"/>
    <w:rsid w:val="00270780"/>
    <w:rsid w:val="00270CF6"/>
    <w:rsid w:val="00271097"/>
    <w:rsid w:val="00271C53"/>
    <w:rsid w:val="0027219C"/>
    <w:rsid w:val="0027244F"/>
    <w:rsid w:val="00273052"/>
    <w:rsid w:val="002739CE"/>
    <w:rsid w:val="00273C5F"/>
    <w:rsid w:val="002741D4"/>
    <w:rsid w:val="002743AC"/>
    <w:rsid w:val="0027499D"/>
    <w:rsid w:val="00274C46"/>
    <w:rsid w:val="002751CA"/>
    <w:rsid w:val="00275218"/>
    <w:rsid w:val="0027544D"/>
    <w:rsid w:val="00277196"/>
    <w:rsid w:val="002775ED"/>
    <w:rsid w:val="002778AB"/>
    <w:rsid w:val="002802A5"/>
    <w:rsid w:val="00280CFB"/>
    <w:rsid w:val="00280D24"/>
    <w:rsid w:val="002815C4"/>
    <w:rsid w:val="00281BCB"/>
    <w:rsid w:val="00281C76"/>
    <w:rsid w:val="0028316D"/>
    <w:rsid w:val="00283296"/>
    <w:rsid w:val="00285119"/>
    <w:rsid w:val="0028583E"/>
    <w:rsid w:val="00285853"/>
    <w:rsid w:val="00285AED"/>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B9D"/>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02D"/>
    <w:rsid w:val="002B34E3"/>
    <w:rsid w:val="002B3B27"/>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553"/>
    <w:rsid w:val="002C66B8"/>
    <w:rsid w:val="002C70E7"/>
    <w:rsid w:val="002D0C27"/>
    <w:rsid w:val="002D0E88"/>
    <w:rsid w:val="002D0EA7"/>
    <w:rsid w:val="002D0F31"/>
    <w:rsid w:val="002D12E8"/>
    <w:rsid w:val="002D1593"/>
    <w:rsid w:val="002D1A1E"/>
    <w:rsid w:val="002D22A6"/>
    <w:rsid w:val="002D2695"/>
    <w:rsid w:val="002D2819"/>
    <w:rsid w:val="002D2CD6"/>
    <w:rsid w:val="002D2F81"/>
    <w:rsid w:val="002D38A3"/>
    <w:rsid w:val="002D3BA3"/>
    <w:rsid w:val="002D43EE"/>
    <w:rsid w:val="002D44C3"/>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B09"/>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5B7E"/>
    <w:rsid w:val="002E5F3F"/>
    <w:rsid w:val="002E672A"/>
    <w:rsid w:val="002E6853"/>
    <w:rsid w:val="002E7EC1"/>
    <w:rsid w:val="002E7EE5"/>
    <w:rsid w:val="002F0323"/>
    <w:rsid w:val="002F0DFB"/>
    <w:rsid w:val="002F134F"/>
    <w:rsid w:val="002F1D0B"/>
    <w:rsid w:val="002F1E1D"/>
    <w:rsid w:val="002F1F02"/>
    <w:rsid w:val="002F238E"/>
    <w:rsid w:val="002F27E5"/>
    <w:rsid w:val="002F2D81"/>
    <w:rsid w:val="002F2F66"/>
    <w:rsid w:val="002F3163"/>
    <w:rsid w:val="002F39D4"/>
    <w:rsid w:val="002F4BA9"/>
    <w:rsid w:val="002F50D7"/>
    <w:rsid w:val="002F541B"/>
    <w:rsid w:val="002F5BFE"/>
    <w:rsid w:val="002F5DA5"/>
    <w:rsid w:val="002F5E17"/>
    <w:rsid w:val="002F647C"/>
    <w:rsid w:val="002F6C6B"/>
    <w:rsid w:val="002F6CB0"/>
    <w:rsid w:val="002F6EFF"/>
    <w:rsid w:val="002F7342"/>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720"/>
    <w:rsid w:val="00313C9D"/>
    <w:rsid w:val="0031430C"/>
    <w:rsid w:val="00314919"/>
    <w:rsid w:val="00314C5A"/>
    <w:rsid w:val="00314E84"/>
    <w:rsid w:val="0031531A"/>
    <w:rsid w:val="00315394"/>
    <w:rsid w:val="00315D77"/>
    <w:rsid w:val="00315D8E"/>
    <w:rsid w:val="00316002"/>
    <w:rsid w:val="00316BA8"/>
    <w:rsid w:val="00316CDE"/>
    <w:rsid w:val="0031752D"/>
    <w:rsid w:val="00317709"/>
    <w:rsid w:val="00320688"/>
    <w:rsid w:val="00320A34"/>
    <w:rsid w:val="00320B75"/>
    <w:rsid w:val="00321DB7"/>
    <w:rsid w:val="00321E7A"/>
    <w:rsid w:val="0032226D"/>
    <w:rsid w:val="003222C5"/>
    <w:rsid w:val="003235E6"/>
    <w:rsid w:val="00324038"/>
    <w:rsid w:val="003243AF"/>
    <w:rsid w:val="00324951"/>
    <w:rsid w:val="003249F6"/>
    <w:rsid w:val="00324B2F"/>
    <w:rsid w:val="00325FCC"/>
    <w:rsid w:val="00326106"/>
    <w:rsid w:val="00326440"/>
    <w:rsid w:val="00326805"/>
    <w:rsid w:val="003269B7"/>
    <w:rsid w:val="00326C0E"/>
    <w:rsid w:val="003272A3"/>
    <w:rsid w:val="003272E4"/>
    <w:rsid w:val="00327B71"/>
    <w:rsid w:val="0033127B"/>
    <w:rsid w:val="00331461"/>
    <w:rsid w:val="003316A8"/>
    <w:rsid w:val="00331C80"/>
    <w:rsid w:val="00331CC9"/>
    <w:rsid w:val="003320D7"/>
    <w:rsid w:val="00332265"/>
    <w:rsid w:val="00332862"/>
    <w:rsid w:val="00332D52"/>
    <w:rsid w:val="00332FBC"/>
    <w:rsid w:val="00333337"/>
    <w:rsid w:val="00333A28"/>
    <w:rsid w:val="00333B6C"/>
    <w:rsid w:val="00333BD0"/>
    <w:rsid w:val="00334927"/>
    <w:rsid w:val="003360AD"/>
    <w:rsid w:val="0033631D"/>
    <w:rsid w:val="003369C7"/>
    <w:rsid w:val="003373A6"/>
    <w:rsid w:val="00337409"/>
    <w:rsid w:val="00337E18"/>
    <w:rsid w:val="003405AF"/>
    <w:rsid w:val="003405C7"/>
    <w:rsid w:val="0034088F"/>
    <w:rsid w:val="00340B3E"/>
    <w:rsid w:val="003411F3"/>
    <w:rsid w:val="003413D2"/>
    <w:rsid w:val="00341525"/>
    <w:rsid w:val="0034257E"/>
    <w:rsid w:val="003429A1"/>
    <w:rsid w:val="003429FC"/>
    <w:rsid w:val="00343079"/>
    <w:rsid w:val="00343127"/>
    <w:rsid w:val="00343320"/>
    <w:rsid w:val="00343F75"/>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56C"/>
    <w:rsid w:val="0035455F"/>
    <w:rsid w:val="00354EFB"/>
    <w:rsid w:val="00355D75"/>
    <w:rsid w:val="00355D8F"/>
    <w:rsid w:val="00356A73"/>
    <w:rsid w:val="00356FF0"/>
    <w:rsid w:val="003577EF"/>
    <w:rsid w:val="00357A60"/>
    <w:rsid w:val="00360304"/>
    <w:rsid w:val="00360A78"/>
    <w:rsid w:val="00361750"/>
    <w:rsid w:val="00363894"/>
    <w:rsid w:val="00363B2A"/>
    <w:rsid w:val="00363BF1"/>
    <w:rsid w:val="003655FB"/>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A9F"/>
    <w:rsid w:val="00374677"/>
    <w:rsid w:val="0037510C"/>
    <w:rsid w:val="00375850"/>
    <w:rsid w:val="0037632F"/>
    <w:rsid w:val="00376FC6"/>
    <w:rsid w:val="00377B26"/>
    <w:rsid w:val="00377BB0"/>
    <w:rsid w:val="00381014"/>
    <w:rsid w:val="00381604"/>
    <w:rsid w:val="00381C68"/>
    <w:rsid w:val="00381CF2"/>
    <w:rsid w:val="00381F60"/>
    <w:rsid w:val="00383204"/>
    <w:rsid w:val="00383AB0"/>
    <w:rsid w:val="003847BB"/>
    <w:rsid w:val="00384814"/>
    <w:rsid w:val="00384C0A"/>
    <w:rsid w:val="00385B16"/>
    <w:rsid w:val="00385B2F"/>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342"/>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59E6"/>
    <w:rsid w:val="003A6008"/>
    <w:rsid w:val="003A703F"/>
    <w:rsid w:val="003A7E2B"/>
    <w:rsid w:val="003A7E40"/>
    <w:rsid w:val="003B0336"/>
    <w:rsid w:val="003B0A3A"/>
    <w:rsid w:val="003B0D79"/>
    <w:rsid w:val="003B1C03"/>
    <w:rsid w:val="003B2930"/>
    <w:rsid w:val="003B31A7"/>
    <w:rsid w:val="003B34C0"/>
    <w:rsid w:val="003B414C"/>
    <w:rsid w:val="003B4587"/>
    <w:rsid w:val="003B4821"/>
    <w:rsid w:val="003B4B51"/>
    <w:rsid w:val="003B4FE1"/>
    <w:rsid w:val="003B514E"/>
    <w:rsid w:val="003B532C"/>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113"/>
    <w:rsid w:val="003D34C3"/>
    <w:rsid w:val="003D3D83"/>
    <w:rsid w:val="003D43A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982"/>
    <w:rsid w:val="003E3E2F"/>
    <w:rsid w:val="003E4048"/>
    <w:rsid w:val="003E4CE5"/>
    <w:rsid w:val="003E604C"/>
    <w:rsid w:val="003E60DA"/>
    <w:rsid w:val="003E632E"/>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8D0"/>
    <w:rsid w:val="003F5F1A"/>
    <w:rsid w:val="003F6327"/>
    <w:rsid w:val="003F7425"/>
    <w:rsid w:val="003F749E"/>
    <w:rsid w:val="003F765B"/>
    <w:rsid w:val="003F7CB8"/>
    <w:rsid w:val="00400BA1"/>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00C"/>
    <w:rsid w:val="0041035A"/>
    <w:rsid w:val="0041060C"/>
    <w:rsid w:val="00410A12"/>
    <w:rsid w:val="00410E76"/>
    <w:rsid w:val="004112D1"/>
    <w:rsid w:val="004113C9"/>
    <w:rsid w:val="00411D1E"/>
    <w:rsid w:val="00411DF2"/>
    <w:rsid w:val="004120DF"/>
    <w:rsid w:val="004126B5"/>
    <w:rsid w:val="00414909"/>
    <w:rsid w:val="00415034"/>
    <w:rsid w:val="0041533B"/>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1B6"/>
    <w:rsid w:val="00424446"/>
    <w:rsid w:val="00424867"/>
    <w:rsid w:val="00425269"/>
    <w:rsid w:val="00425341"/>
    <w:rsid w:val="004255FE"/>
    <w:rsid w:val="00425674"/>
    <w:rsid w:val="00425A82"/>
    <w:rsid w:val="00425C60"/>
    <w:rsid w:val="00426B2C"/>
    <w:rsid w:val="00427FA8"/>
    <w:rsid w:val="0043009D"/>
    <w:rsid w:val="0043026B"/>
    <w:rsid w:val="00430299"/>
    <w:rsid w:val="004306D4"/>
    <w:rsid w:val="00431336"/>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32A"/>
    <w:rsid w:val="00453507"/>
    <w:rsid w:val="00453592"/>
    <w:rsid w:val="004543AB"/>
    <w:rsid w:val="004545EC"/>
    <w:rsid w:val="0045475B"/>
    <w:rsid w:val="00455967"/>
    <w:rsid w:val="00455F71"/>
    <w:rsid w:val="00456272"/>
    <w:rsid w:val="004570EF"/>
    <w:rsid w:val="00457517"/>
    <w:rsid w:val="00457C31"/>
    <w:rsid w:val="00457CF7"/>
    <w:rsid w:val="00457D37"/>
    <w:rsid w:val="0046028A"/>
    <w:rsid w:val="00460E3A"/>
    <w:rsid w:val="00460E68"/>
    <w:rsid w:val="004614BC"/>
    <w:rsid w:val="004619A5"/>
    <w:rsid w:val="00461F80"/>
    <w:rsid w:val="0046240D"/>
    <w:rsid w:val="00462898"/>
    <w:rsid w:val="00462D84"/>
    <w:rsid w:val="00463208"/>
    <w:rsid w:val="00463367"/>
    <w:rsid w:val="00463576"/>
    <w:rsid w:val="004636D6"/>
    <w:rsid w:val="0046399D"/>
    <w:rsid w:val="00463EA4"/>
    <w:rsid w:val="00465A21"/>
    <w:rsid w:val="00465DE5"/>
    <w:rsid w:val="00466978"/>
    <w:rsid w:val="00466ABA"/>
    <w:rsid w:val="00466F91"/>
    <w:rsid w:val="004672E3"/>
    <w:rsid w:val="0046775D"/>
    <w:rsid w:val="00467823"/>
    <w:rsid w:val="004705FA"/>
    <w:rsid w:val="004708AC"/>
    <w:rsid w:val="00471387"/>
    <w:rsid w:val="0047146C"/>
    <w:rsid w:val="0047149F"/>
    <w:rsid w:val="00471963"/>
    <w:rsid w:val="00471E6A"/>
    <w:rsid w:val="004724B8"/>
    <w:rsid w:val="004728FB"/>
    <w:rsid w:val="004729AD"/>
    <w:rsid w:val="00472CA7"/>
    <w:rsid w:val="00472CEC"/>
    <w:rsid w:val="00472FC6"/>
    <w:rsid w:val="00473308"/>
    <w:rsid w:val="0047377C"/>
    <w:rsid w:val="0047471E"/>
    <w:rsid w:val="004749DA"/>
    <w:rsid w:val="00474DEF"/>
    <w:rsid w:val="00475729"/>
    <w:rsid w:val="004758E7"/>
    <w:rsid w:val="00475BAB"/>
    <w:rsid w:val="004764C6"/>
    <w:rsid w:val="00476AC1"/>
    <w:rsid w:val="00476E4D"/>
    <w:rsid w:val="00476F97"/>
    <w:rsid w:val="00477247"/>
    <w:rsid w:val="004776BB"/>
    <w:rsid w:val="004776FB"/>
    <w:rsid w:val="0048007A"/>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529"/>
    <w:rsid w:val="0048664F"/>
    <w:rsid w:val="004868AD"/>
    <w:rsid w:val="00486D00"/>
    <w:rsid w:val="00486F17"/>
    <w:rsid w:val="00487FE1"/>
    <w:rsid w:val="00490707"/>
    <w:rsid w:val="00490815"/>
    <w:rsid w:val="0049117E"/>
    <w:rsid w:val="00492503"/>
    <w:rsid w:val="004925C8"/>
    <w:rsid w:val="00492AF9"/>
    <w:rsid w:val="00492B76"/>
    <w:rsid w:val="0049333E"/>
    <w:rsid w:val="004936F0"/>
    <w:rsid w:val="0049418F"/>
    <w:rsid w:val="0049570D"/>
    <w:rsid w:val="00495C48"/>
    <w:rsid w:val="00495DC6"/>
    <w:rsid w:val="00496CCE"/>
    <w:rsid w:val="004978C1"/>
    <w:rsid w:val="00497AAD"/>
    <w:rsid w:val="00497BD7"/>
    <w:rsid w:val="00497D1A"/>
    <w:rsid w:val="004A00C9"/>
    <w:rsid w:val="004A03D0"/>
    <w:rsid w:val="004A100F"/>
    <w:rsid w:val="004A1049"/>
    <w:rsid w:val="004A1AFA"/>
    <w:rsid w:val="004A1EA7"/>
    <w:rsid w:val="004A26F5"/>
    <w:rsid w:val="004A2EF8"/>
    <w:rsid w:val="004A2F48"/>
    <w:rsid w:val="004A3A21"/>
    <w:rsid w:val="004A407A"/>
    <w:rsid w:val="004A4E3B"/>
    <w:rsid w:val="004A5C84"/>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71E"/>
    <w:rsid w:val="004C0BF0"/>
    <w:rsid w:val="004C0D40"/>
    <w:rsid w:val="004C114F"/>
    <w:rsid w:val="004C11A9"/>
    <w:rsid w:val="004C16A1"/>
    <w:rsid w:val="004C27CF"/>
    <w:rsid w:val="004C2CA7"/>
    <w:rsid w:val="004C3592"/>
    <w:rsid w:val="004C45C8"/>
    <w:rsid w:val="004C4F8F"/>
    <w:rsid w:val="004C5416"/>
    <w:rsid w:val="004C563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270"/>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1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16A"/>
    <w:rsid w:val="004F2CB6"/>
    <w:rsid w:val="004F2E6E"/>
    <w:rsid w:val="004F3015"/>
    <w:rsid w:val="004F313F"/>
    <w:rsid w:val="004F367F"/>
    <w:rsid w:val="004F3EEF"/>
    <w:rsid w:val="004F43A7"/>
    <w:rsid w:val="004F447B"/>
    <w:rsid w:val="004F497C"/>
    <w:rsid w:val="004F4FAC"/>
    <w:rsid w:val="004F4FE8"/>
    <w:rsid w:val="004F531B"/>
    <w:rsid w:val="004F560C"/>
    <w:rsid w:val="004F595B"/>
    <w:rsid w:val="004F5DBB"/>
    <w:rsid w:val="004F60B4"/>
    <w:rsid w:val="004F61A3"/>
    <w:rsid w:val="004F62A5"/>
    <w:rsid w:val="004F6874"/>
    <w:rsid w:val="004F7922"/>
    <w:rsid w:val="004F7A1F"/>
    <w:rsid w:val="004F7B47"/>
    <w:rsid w:val="0050079C"/>
    <w:rsid w:val="0050106A"/>
    <w:rsid w:val="005010BC"/>
    <w:rsid w:val="00501848"/>
    <w:rsid w:val="00502B31"/>
    <w:rsid w:val="0050434C"/>
    <w:rsid w:val="00504F49"/>
    <w:rsid w:val="0050537D"/>
    <w:rsid w:val="0050591C"/>
    <w:rsid w:val="005059BD"/>
    <w:rsid w:val="005060AE"/>
    <w:rsid w:val="005064A1"/>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63D"/>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59D"/>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ECD"/>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563"/>
    <w:rsid w:val="00564DA7"/>
    <w:rsid w:val="00565204"/>
    <w:rsid w:val="00565473"/>
    <w:rsid w:val="00565DAC"/>
    <w:rsid w:val="00565F0D"/>
    <w:rsid w:val="00566025"/>
    <w:rsid w:val="005662DC"/>
    <w:rsid w:val="00566329"/>
    <w:rsid w:val="005668B9"/>
    <w:rsid w:val="00566E39"/>
    <w:rsid w:val="0056704E"/>
    <w:rsid w:val="00567623"/>
    <w:rsid w:val="005701C2"/>
    <w:rsid w:val="00570763"/>
    <w:rsid w:val="0057200B"/>
    <w:rsid w:val="00572297"/>
    <w:rsid w:val="0057345D"/>
    <w:rsid w:val="0057347D"/>
    <w:rsid w:val="00573560"/>
    <w:rsid w:val="00574079"/>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BE9"/>
    <w:rsid w:val="00596CFA"/>
    <w:rsid w:val="00596EC6"/>
    <w:rsid w:val="005975CE"/>
    <w:rsid w:val="005A0088"/>
    <w:rsid w:val="005A04F6"/>
    <w:rsid w:val="005A14F0"/>
    <w:rsid w:val="005A1861"/>
    <w:rsid w:val="005A1A31"/>
    <w:rsid w:val="005A24D7"/>
    <w:rsid w:val="005A31FD"/>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EA6"/>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A9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22A"/>
    <w:rsid w:val="005E4543"/>
    <w:rsid w:val="005E4894"/>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5F7CCD"/>
    <w:rsid w:val="00600B5A"/>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4BF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42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7F8"/>
    <w:rsid w:val="0063487C"/>
    <w:rsid w:val="00635B73"/>
    <w:rsid w:val="00635BB7"/>
    <w:rsid w:val="006367D0"/>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83E"/>
    <w:rsid w:val="006503A3"/>
    <w:rsid w:val="00650D19"/>
    <w:rsid w:val="00651C91"/>
    <w:rsid w:val="00652130"/>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6FEC"/>
    <w:rsid w:val="006576BA"/>
    <w:rsid w:val="006600BF"/>
    <w:rsid w:val="006600DF"/>
    <w:rsid w:val="00660AF7"/>
    <w:rsid w:val="00660D3E"/>
    <w:rsid w:val="00661691"/>
    <w:rsid w:val="00662D3D"/>
    <w:rsid w:val="00662E39"/>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0B9"/>
    <w:rsid w:val="00677382"/>
    <w:rsid w:val="0067772D"/>
    <w:rsid w:val="00677991"/>
    <w:rsid w:val="00677A9B"/>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08A"/>
    <w:rsid w:val="00691890"/>
    <w:rsid w:val="0069194E"/>
    <w:rsid w:val="00691AAD"/>
    <w:rsid w:val="00692416"/>
    <w:rsid w:val="006925DF"/>
    <w:rsid w:val="00692989"/>
    <w:rsid w:val="00692AFF"/>
    <w:rsid w:val="00692D2D"/>
    <w:rsid w:val="006939A7"/>
    <w:rsid w:val="00693B73"/>
    <w:rsid w:val="006945A1"/>
    <w:rsid w:val="00694A53"/>
    <w:rsid w:val="006952DE"/>
    <w:rsid w:val="00695985"/>
    <w:rsid w:val="00695C78"/>
    <w:rsid w:val="00695E6C"/>
    <w:rsid w:val="00695EAC"/>
    <w:rsid w:val="00696188"/>
    <w:rsid w:val="00696C79"/>
    <w:rsid w:val="00697068"/>
    <w:rsid w:val="006977DE"/>
    <w:rsid w:val="00697D5F"/>
    <w:rsid w:val="006A035B"/>
    <w:rsid w:val="006A0582"/>
    <w:rsid w:val="006A060C"/>
    <w:rsid w:val="006A06F8"/>
    <w:rsid w:val="006A071C"/>
    <w:rsid w:val="006A0DC7"/>
    <w:rsid w:val="006A150D"/>
    <w:rsid w:val="006A1B00"/>
    <w:rsid w:val="006A2766"/>
    <w:rsid w:val="006A278C"/>
    <w:rsid w:val="006A39D0"/>
    <w:rsid w:val="006A3E91"/>
    <w:rsid w:val="006A4321"/>
    <w:rsid w:val="006A4E20"/>
    <w:rsid w:val="006A4F11"/>
    <w:rsid w:val="006A563C"/>
    <w:rsid w:val="006A5A6F"/>
    <w:rsid w:val="006A5F7E"/>
    <w:rsid w:val="006A6786"/>
    <w:rsid w:val="006A7C29"/>
    <w:rsid w:val="006B0580"/>
    <w:rsid w:val="006B05F8"/>
    <w:rsid w:val="006B0DA2"/>
    <w:rsid w:val="006B0F70"/>
    <w:rsid w:val="006B1486"/>
    <w:rsid w:val="006B169F"/>
    <w:rsid w:val="006B1BEB"/>
    <w:rsid w:val="006B1D06"/>
    <w:rsid w:val="006B2823"/>
    <w:rsid w:val="006B29DC"/>
    <w:rsid w:val="006B2F60"/>
    <w:rsid w:val="006B33DB"/>
    <w:rsid w:val="006B3669"/>
    <w:rsid w:val="006B36E5"/>
    <w:rsid w:val="006B3D00"/>
    <w:rsid w:val="006B42C7"/>
    <w:rsid w:val="006B4CF8"/>
    <w:rsid w:val="006B506B"/>
    <w:rsid w:val="006B54E8"/>
    <w:rsid w:val="006B5FBC"/>
    <w:rsid w:val="006B6A9A"/>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08"/>
    <w:rsid w:val="0070415E"/>
    <w:rsid w:val="00704631"/>
    <w:rsid w:val="00704B79"/>
    <w:rsid w:val="00704E7D"/>
    <w:rsid w:val="00705060"/>
    <w:rsid w:val="00705351"/>
    <w:rsid w:val="00705619"/>
    <w:rsid w:val="00705E93"/>
    <w:rsid w:val="007062AF"/>
    <w:rsid w:val="007063C9"/>
    <w:rsid w:val="007069AE"/>
    <w:rsid w:val="007069D4"/>
    <w:rsid w:val="00706C5C"/>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CFC"/>
    <w:rsid w:val="007170AB"/>
    <w:rsid w:val="0071779C"/>
    <w:rsid w:val="00717808"/>
    <w:rsid w:val="007208A7"/>
    <w:rsid w:val="00720B6A"/>
    <w:rsid w:val="007210F6"/>
    <w:rsid w:val="0072129A"/>
    <w:rsid w:val="0072139F"/>
    <w:rsid w:val="0072173F"/>
    <w:rsid w:val="0072198A"/>
    <w:rsid w:val="00721AD9"/>
    <w:rsid w:val="00721FC3"/>
    <w:rsid w:val="00722A86"/>
    <w:rsid w:val="00722BC6"/>
    <w:rsid w:val="00722C69"/>
    <w:rsid w:val="0072311F"/>
    <w:rsid w:val="0072388C"/>
    <w:rsid w:val="00723C3F"/>
    <w:rsid w:val="0072454E"/>
    <w:rsid w:val="007249D1"/>
    <w:rsid w:val="00724FE4"/>
    <w:rsid w:val="00725829"/>
    <w:rsid w:val="00725D6A"/>
    <w:rsid w:val="007263A2"/>
    <w:rsid w:val="007266B9"/>
    <w:rsid w:val="00727351"/>
    <w:rsid w:val="00727AC5"/>
    <w:rsid w:val="00727C0D"/>
    <w:rsid w:val="00727C65"/>
    <w:rsid w:val="007300F0"/>
    <w:rsid w:val="00730904"/>
    <w:rsid w:val="00731947"/>
    <w:rsid w:val="00731EDE"/>
    <w:rsid w:val="0073245C"/>
    <w:rsid w:val="00732493"/>
    <w:rsid w:val="00732FE9"/>
    <w:rsid w:val="00733772"/>
    <w:rsid w:val="00733A43"/>
    <w:rsid w:val="00733AE4"/>
    <w:rsid w:val="00733D5F"/>
    <w:rsid w:val="00734932"/>
    <w:rsid w:val="00735D53"/>
    <w:rsid w:val="0073618A"/>
    <w:rsid w:val="007364A3"/>
    <w:rsid w:val="00736740"/>
    <w:rsid w:val="007376D9"/>
    <w:rsid w:val="007378FD"/>
    <w:rsid w:val="007403FE"/>
    <w:rsid w:val="007413EB"/>
    <w:rsid w:val="007413FB"/>
    <w:rsid w:val="00742D32"/>
    <w:rsid w:val="00742E9B"/>
    <w:rsid w:val="00743BCE"/>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08"/>
    <w:rsid w:val="0076497F"/>
    <w:rsid w:val="007660EC"/>
    <w:rsid w:val="007662C7"/>
    <w:rsid w:val="00766862"/>
    <w:rsid w:val="00766AD3"/>
    <w:rsid w:val="007675DD"/>
    <w:rsid w:val="007702BF"/>
    <w:rsid w:val="007705F0"/>
    <w:rsid w:val="00771CAC"/>
    <w:rsid w:val="00772036"/>
    <w:rsid w:val="00772E5E"/>
    <w:rsid w:val="00773098"/>
    <w:rsid w:val="007737DA"/>
    <w:rsid w:val="007739A3"/>
    <w:rsid w:val="00773BD9"/>
    <w:rsid w:val="00773CB0"/>
    <w:rsid w:val="00773D71"/>
    <w:rsid w:val="00775526"/>
    <w:rsid w:val="00775651"/>
    <w:rsid w:val="00775C40"/>
    <w:rsid w:val="00775F3F"/>
    <w:rsid w:val="0077710B"/>
    <w:rsid w:val="0077765A"/>
    <w:rsid w:val="00780032"/>
    <w:rsid w:val="00780636"/>
    <w:rsid w:val="007808F1"/>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81A"/>
    <w:rsid w:val="00794E46"/>
    <w:rsid w:val="007952DE"/>
    <w:rsid w:val="00795479"/>
    <w:rsid w:val="00796292"/>
    <w:rsid w:val="007965D9"/>
    <w:rsid w:val="00796BA2"/>
    <w:rsid w:val="007972D5"/>
    <w:rsid w:val="0079778D"/>
    <w:rsid w:val="00797D73"/>
    <w:rsid w:val="007A006C"/>
    <w:rsid w:val="007A0789"/>
    <w:rsid w:val="007A0F9D"/>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114"/>
    <w:rsid w:val="007B02C7"/>
    <w:rsid w:val="007B0306"/>
    <w:rsid w:val="007B08E4"/>
    <w:rsid w:val="007B0D86"/>
    <w:rsid w:val="007B0D88"/>
    <w:rsid w:val="007B28C3"/>
    <w:rsid w:val="007B3A8E"/>
    <w:rsid w:val="007B3C9B"/>
    <w:rsid w:val="007B4271"/>
    <w:rsid w:val="007B4349"/>
    <w:rsid w:val="007B497D"/>
    <w:rsid w:val="007B4EE9"/>
    <w:rsid w:val="007B5234"/>
    <w:rsid w:val="007B54C7"/>
    <w:rsid w:val="007B5637"/>
    <w:rsid w:val="007B5DC5"/>
    <w:rsid w:val="007B5F32"/>
    <w:rsid w:val="007B63FC"/>
    <w:rsid w:val="007B6708"/>
    <w:rsid w:val="007B6C20"/>
    <w:rsid w:val="007B6E8D"/>
    <w:rsid w:val="007C0074"/>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29"/>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77"/>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24D"/>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AAE"/>
    <w:rsid w:val="007F5D28"/>
    <w:rsid w:val="007F6260"/>
    <w:rsid w:val="007F682B"/>
    <w:rsid w:val="007F78E8"/>
    <w:rsid w:val="007F7F8F"/>
    <w:rsid w:val="0080042E"/>
    <w:rsid w:val="00800509"/>
    <w:rsid w:val="0080078E"/>
    <w:rsid w:val="00800B7F"/>
    <w:rsid w:val="008012B1"/>
    <w:rsid w:val="00801D63"/>
    <w:rsid w:val="00802136"/>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229"/>
    <w:rsid w:val="008320D2"/>
    <w:rsid w:val="008321CE"/>
    <w:rsid w:val="0083257C"/>
    <w:rsid w:val="0083261B"/>
    <w:rsid w:val="00832B44"/>
    <w:rsid w:val="00832EC9"/>
    <w:rsid w:val="00833307"/>
    <w:rsid w:val="00833583"/>
    <w:rsid w:val="00833B5B"/>
    <w:rsid w:val="00833E8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F5A"/>
    <w:rsid w:val="00850013"/>
    <w:rsid w:val="008500DD"/>
    <w:rsid w:val="00850A0A"/>
    <w:rsid w:val="00850A94"/>
    <w:rsid w:val="00851E96"/>
    <w:rsid w:val="00851F1C"/>
    <w:rsid w:val="00852BD4"/>
    <w:rsid w:val="00852FA5"/>
    <w:rsid w:val="00853F7D"/>
    <w:rsid w:val="00855037"/>
    <w:rsid w:val="0085517F"/>
    <w:rsid w:val="0085562D"/>
    <w:rsid w:val="00855693"/>
    <w:rsid w:val="00855A78"/>
    <w:rsid w:val="00856154"/>
    <w:rsid w:val="00856286"/>
    <w:rsid w:val="0085657E"/>
    <w:rsid w:val="00856F0E"/>
    <w:rsid w:val="008573AF"/>
    <w:rsid w:val="008576B0"/>
    <w:rsid w:val="00860296"/>
    <w:rsid w:val="008602E3"/>
    <w:rsid w:val="0086092A"/>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599"/>
    <w:rsid w:val="008726D7"/>
    <w:rsid w:val="00873128"/>
    <w:rsid w:val="008735BC"/>
    <w:rsid w:val="00873AAC"/>
    <w:rsid w:val="00873C61"/>
    <w:rsid w:val="00873DFD"/>
    <w:rsid w:val="008749BF"/>
    <w:rsid w:val="00875008"/>
    <w:rsid w:val="0087537D"/>
    <w:rsid w:val="00875542"/>
    <w:rsid w:val="00875E14"/>
    <w:rsid w:val="0087677E"/>
    <w:rsid w:val="00876940"/>
    <w:rsid w:val="0087712C"/>
    <w:rsid w:val="008772B9"/>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B09"/>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4F8"/>
    <w:rsid w:val="008A0BFE"/>
    <w:rsid w:val="008A1932"/>
    <w:rsid w:val="008A21D9"/>
    <w:rsid w:val="008A232D"/>
    <w:rsid w:val="008A2F66"/>
    <w:rsid w:val="008A3182"/>
    <w:rsid w:val="008A3C76"/>
    <w:rsid w:val="008A3D54"/>
    <w:rsid w:val="008A3E10"/>
    <w:rsid w:val="008A411C"/>
    <w:rsid w:val="008A4630"/>
    <w:rsid w:val="008A47CE"/>
    <w:rsid w:val="008A4DFA"/>
    <w:rsid w:val="008A5F2F"/>
    <w:rsid w:val="008A6BAE"/>
    <w:rsid w:val="008A7350"/>
    <w:rsid w:val="008A75FC"/>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3BC"/>
    <w:rsid w:val="008C451B"/>
    <w:rsid w:val="008C5371"/>
    <w:rsid w:val="008C623D"/>
    <w:rsid w:val="008C65F4"/>
    <w:rsid w:val="008C6683"/>
    <w:rsid w:val="008C699C"/>
    <w:rsid w:val="008C6E0C"/>
    <w:rsid w:val="008C7125"/>
    <w:rsid w:val="008C7273"/>
    <w:rsid w:val="008C78F8"/>
    <w:rsid w:val="008D05DF"/>
    <w:rsid w:val="008D0939"/>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2C6"/>
    <w:rsid w:val="008E4E11"/>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D34"/>
    <w:rsid w:val="008F7292"/>
    <w:rsid w:val="008F76C0"/>
    <w:rsid w:val="009000F2"/>
    <w:rsid w:val="0090079D"/>
    <w:rsid w:val="0090086A"/>
    <w:rsid w:val="00900D2C"/>
    <w:rsid w:val="00901807"/>
    <w:rsid w:val="00901F0E"/>
    <w:rsid w:val="00902A26"/>
    <w:rsid w:val="00902A57"/>
    <w:rsid w:val="00902B29"/>
    <w:rsid w:val="00902D02"/>
    <w:rsid w:val="00903777"/>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54B"/>
    <w:rsid w:val="00912850"/>
    <w:rsid w:val="009128B8"/>
    <w:rsid w:val="0091472C"/>
    <w:rsid w:val="00914DC9"/>
    <w:rsid w:val="00915351"/>
    <w:rsid w:val="00915679"/>
    <w:rsid w:val="009159C2"/>
    <w:rsid w:val="00915C01"/>
    <w:rsid w:val="0091627F"/>
    <w:rsid w:val="00916E45"/>
    <w:rsid w:val="0092077A"/>
    <w:rsid w:val="00920DC0"/>
    <w:rsid w:val="009219F3"/>
    <w:rsid w:val="009221CB"/>
    <w:rsid w:val="00922320"/>
    <w:rsid w:val="00923643"/>
    <w:rsid w:val="009236E4"/>
    <w:rsid w:val="00923E1A"/>
    <w:rsid w:val="009245CC"/>
    <w:rsid w:val="0092490A"/>
    <w:rsid w:val="00925A3E"/>
    <w:rsid w:val="00925E42"/>
    <w:rsid w:val="009261DB"/>
    <w:rsid w:val="00926939"/>
    <w:rsid w:val="00926F4C"/>
    <w:rsid w:val="00927330"/>
    <w:rsid w:val="00927710"/>
    <w:rsid w:val="009307CA"/>
    <w:rsid w:val="009312F9"/>
    <w:rsid w:val="00931445"/>
    <w:rsid w:val="00931AB8"/>
    <w:rsid w:val="00931C19"/>
    <w:rsid w:val="00931C63"/>
    <w:rsid w:val="00931D10"/>
    <w:rsid w:val="0093218A"/>
    <w:rsid w:val="00932376"/>
    <w:rsid w:val="0093386D"/>
    <w:rsid w:val="00934C8E"/>
    <w:rsid w:val="00935194"/>
    <w:rsid w:val="00936EA5"/>
    <w:rsid w:val="00937114"/>
    <w:rsid w:val="0094015D"/>
    <w:rsid w:val="00940916"/>
    <w:rsid w:val="009412B7"/>
    <w:rsid w:val="00941B13"/>
    <w:rsid w:val="00941C9E"/>
    <w:rsid w:val="0094215C"/>
    <w:rsid w:val="00942BB5"/>
    <w:rsid w:val="00942F8E"/>
    <w:rsid w:val="00943543"/>
    <w:rsid w:val="009441DB"/>
    <w:rsid w:val="00944834"/>
    <w:rsid w:val="00945A5B"/>
    <w:rsid w:val="00946128"/>
    <w:rsid w:val="0094633F"/>
    <w:rsid w:val="00946ADA"/>
    <w:rsid w:val="00947BA5"/>
    <w:rsid w:val="00950272"/>
    <w:rsid w:val="00950805"/>
    <w:rsid w:val="00950FB3"/>
    <w:rsid w:val="00951371"/>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BC"/>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3A"/>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5D64"/>
    <w:rsid w:val="00996055"/>
    <w:rsid w:val="00996EF4"/>
    <w:rsid w:val="00997044"/>
    <w:rsid w:val="00997914"/>
    <w:rsid w:val="00997BC9"/>
    <w:rsid w:val="009A113D"/>
    <w:rsid w:val="009A1431"/>
    <w:rsid w:val="009A1ECA"/>
    <w:rsid w:val="009A1F96"/>
    <w:rsid w:val="009A2BE9"/>
    <w:rsid w:val="009A2BF3"/>
    <w:rsid w:val="009A3043"/>
    <w:rsid w:val="009A3688"/>
    <w:rsid w:val="009A3713"/>
    <w:rsid w:val="009A3C3E"/>
    <w:rsid w:val="009A4153"/>
    <w:rsid w:val="009A4C2C"/>
    <w:rsid w:val="009A5112"/>
    <w:rsid w:val="009A59B3"/>
    <w:rsid w:val="009A5FAE"/>
    <w:rsid w:val="009A6A62"/>
    <w:rsid w:val="009A6ADA"/>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EA3"/>
    <w:rsid w:val="009D4207"/>
    <w:rsid w:val="009D4E4A"/>
    <w:rsid w:val="009D5130"/>
    <w:rsid w:val="009D53D1"/>
    <w:rsid w:val="009D53FB"/>
    <w:rsid w:val="009D56A4"/>
    <w:rsid w:val="009D6081"/>
    <w:rsid w:val="009D678C"/>
    <w:rsid w:val="009D6B9A"/>
    <w:rsid w:val="009D6D30"/>
    <w:rsid w:val="009D7523"/>
    <w:rsid w:val="009D76B5"/>
    <w:rsid w:val="009D7AF1"/>
    <w:rsid w:val="009D7B86"/>
    <w:rsid w:val="009D7BC7"/>
    <w:rsid w:val="009D7FAC"/>
    <w:rsid w:val="009E0109"/>
    <w:rsid w:val="009E0342"/>
    <w:rsid w:val="009E098B"/>
    <w:rsid w:val="009E09AB"/>
    <w:rsid w:val="009E0D7D"/>
    <w:rsid w:val="009E0DAF"/>
    <w:rsid w:val="009E19BB"/>
    <w:rsid w:val="009E1C47"/>
    <w:rsid w:val="009E38D1"/>
    <w:rsid w:val="009E3DF1"/>
    <w:rsid w:val="009E4C3F"/>
    <w:rsid w:val="009E514A"/>
    <w:rsid w:val="009E5177"/>
    <w:rsid w:val="009E5701"/>
    <w:rsid w:val="009E5711"/>
    <w:rsid w:val="009E74DF"/>
    <w:rsid w:val="009E758E"/>
    <w:rsid w:val="009E7BFB"/>
    <w:rsid w:val="009E7D6B"/>
    <w:rsid w:val="009E7E81"/>
    <w:rsid w:val="009F020A"/>
    <w:rsid w:val="009F05AD"/>
    <w:rsid w:val="009F0659"/>
    <w:rsid w:val="009F08B2"/>
    <w:rsid w:val="009F1109"/>
    <w:rsid w:val="009F143E"/>
    <w:rsid w:val="009F1D81"/>
    <w:rsid w:val="009F1DE8"/>
    <w:rsid w:val="009F2186"/>
    <w:rsid w:val="009F227C"/>
    <w:rsid w:val="009F28DC"/>
    <w:rsid w:val="009F2EDB"/>
    <w:rsid w:val="009F33DC"/>
    <w:rsid w:val="009F42CC"/>
    <w:rsid w:val="009F4550"/>
    <w:rsid w:val="009F56C0"/>
    <w:rsid w:val="009F5C76"/>
    <w:rsid w:val="009F7B73"/>
    <w:rsid w:val="00A000C5"/>
    <w:rsid w:val="00A007B4"/>
    <w:rsid w:val="00A00930"/>
    <w:rsid w:val="00A00B5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03D"/>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6FE"/>
    <w:rsid w:val="00A40E2F"/>
    <w:rsid w:val="00A41819"/>
    <w:rsid w:val="00A41C9A"/>
    <w:rsid w:val="00A41CC1"/>
    <w:rsid w:val="00A41D73"/>
    <w:rsid w:val="00A42406"/>
    <w:rsid w:val="00A433E8"/>
    <w:rsid w:val="00A43A1D"/>
    <w:rsid w:val="00A43AB0"/>
    <w:rsid w:val="00A44854"/>
    <w:rsid w:val="00A44A45"/>
    <w:rsid w:val="00A46431"/>
    <w:rsid w:val="00A4665D"/>
    <w:rsid w:val="00A46859"/>
    <w:rsid w:val="00A46D39"/>
    <w:rsid w:val="00A47019"/>
    <w:rsid w:val="00A4705D"/>
    <w:rsid w:val="00A472B8"/>
    <w:rsid w:val="00A5004A"/>
    <w:rsid w:val="00A5017C"/>
    <w:rsid w:val="00A5021E"/>
    <w:rsid w:val="00A502D6"/>
    <w:rsid w:val="00A502F5"/>
    <w:rsid w:val="00A504F4"/>
    <w:rsid w:val="00A507C4"/>
    <w:rsid w:val="00A508AA"/>
    <w:rsid w:val="00A50EE7"/>
    <w:rsid w:val="00A526CE"/>
    <w:rsid w:val="00A54107"/>
    <w:rsid w:val="00A54449"/>
    <w:rsid w:val="00A5453B"/>
    <w:rsid w:val="00A54909"/>
    <w:rsid w:val="00A54DC0"/>
    <w:rsid w:val="00A550C9"/>
    <w:rsid w:val="00A55228"/>
    <w:rsid w:val="00A55410"/>
    <w:rsid w:val="00A55A04"/>
    <w:rsid w:val="00A564DE"/>
    <w:rsid w:val="00A571B1"/>
    <w:rsid w:val="00A6054E"/>
    <w:rsid w:val="00A60799"/>
    <w:rsid w:val="00A61101"/>
    <w:rsid w:val="00A6170B"/>
    <w:rsid w:val="00A61991"/>
    <w:rsid w:val="00A61B7F"/>
    <w:rsid w:val="00A61B91"/>
    <w:rsid w:val="00A61C3A"/>
    <w:rsid w:val="00A61FE1"/>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5B89"/>
    <w:rsid w:val="00A762C7"/>
    <w:rsid w:val="00A765B1"/>
    <w:rsid w:val="00A772F2"/>
    <w:rsid w:val="00A77828"/>
    <w:rsid w:val="00A77BAA"/>
    <w:rsid w:val="00A800F9"/>
    <w:rsid w:val="00A803A6"/>
    <w:rsid w:val="00A8073D"/>
    <w:rsid w:val="00A80D02"/>
    <w:rsid w:val="00A815FB"/>
    <w:rsid w:val="00A81AEB"/>
    <w:rsid w:val="00A82D32"/>
    <w:rsid w:val="00A82EAE"/>
    <w:rsid w:val="00A82FC7"/>
    <w:rsid w:val="00A836AB"/>
    <w:rsid w:val="00A847F9"/>
    <w:rsid w:val="00A84F27"/>
    <w:rsid w:val="00A8519C"/>
    <w:rsid w:val="00A855EE"/>
    <w:rsid w:val="00A8597A"/>
    <w:rsid w:val="00A85B87"/>
    <w:rsid w:val="00A85F83"/>
    <w:rsid w:val="00A86019"/>
    <w:rsid w:val="00A8637C"/>
    <w:rsid w:val="00A86EED"/>
    <w:rsid w:val="00A8733A"/>
    <w:rsid w:val="00A9151F"/>
    <w:rsid w:val="00A9196B"/>
    <w:rsid w:val="00A91BB5"/>
    <w:rsid w:val="00A91BEE"/>
    <w:rsid w:val="00A91D4B"/>
    <w:rsid w:val="00A920B2"/>
    <w:rsid w:val="00A921E4"/>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0F63"/>
    <w:rsid w:val="00AA1067"/>
    <w:rsid w:val="00AA1163"/>
    <w:rsid w:val="00AA1DA8"/>
    <w:rsid w:val="00AA222C"/>
    <w:rsid w:val="00AA2264"/>
    <w:rsid w:val="00AA238E"/>
    <w:rsid w:val="00AA2483"/>
    <w:rsid w:val="00AA253B"/>
    <w:rsid w:val="00AA29F8"/>
    <w:rsid w:val="00AA3243"/>
    <w:rsid w:val="00AA35DB"/>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858"/>
    <w:rsid w:val="00AC7F64"/>
    <w:rsid w:val="00AD1065"/>
    <w:rsid w:val="00AD1501"/>
    <w:rsid w:val="00AD159E"/>
    <w:rsid w:val="00AD2AB1"/>
    <w:rsid w:val="00AD3132"/>
    <w:rsid w:val="00AD3DA6"/>
    <w:rsid w:val="00AD3F3C"/>
    <w:rsid w:val="00AD447E"/>
    <w:rsid w:val="00AD4B2F"/>
    <w:rsid w:val="00AD4F10"/>
    <w:rsid w:val="00AD590E"/>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9D3"/>
    <w:rsid w:val="00AE55E3"/>
    <w:rsid w:val="00AE5837"/>
    <w:rsid w:val="00AE6575"/>
    <w:rsid w:val="00AE71EE"/>
    <w:rsid w:val="00AF03CF"/>
    <w:rsid w:val="00AF0A0A"/>
    <w:rsid w:val="00AF1384"/>
    <w:rsid w:val="00AF14FC"/>
    <w:rsid w:val="00AF1ED2"/>
    <w:rsid w:val="00AF1F4E"/>
    <w:rsid w:val="00AF2302"/>
    <w:rsid w:val="00AF262A"/>
    <w:rsid w:val="00AF3557"/>
    <w:rsid w:val="00AF3F86"/>
    <w:rsid w:val="00AF448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DD"/>
    <w:rsid w:val="00B038F1"/>
    <w:rsid w:val="00B03C1B"/>
    <w:rsid w:val="00B04678"/>
    <w:rsid w:val="00B047C9"/>
    <w:rsid w:val="00B04A04"/>
    <w:rsid w:val="00B04B78"/>
    <w:rsid w:val="00B04C37"/>
    <w:rsid w:val="00B04F00"/>
    <w:rsid w:val="00B05BA6"/>
    <w:rsid w:val="00B066FE"/>
    <w:rsid w:val="00B06912"/>
    <w:rsid w:val="00B06FE5"/>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61E"/>
    <w:rsid w:val="00B1767E"/>
    <w:rsid w:val="00B20760"/>
    <w:rsid w:val="00B2125C"/>
    <w:rsid w:val="00B21676"/>
    <w:rsid w:val="00B219E1"/>
    <w:rsid w:val="00B21ECF"/>
    <w:rsid w:val="00B22150"/>
    <w:rsid w:val="00B226DE"/>
    <w:rsid w:val="00B22FB5"/>
    <w:rsid w:val="00B241D5"/>
    <w:rsid w:val="00B24BE9"/>
    <w:rsid w:val="00B252E4"/>
    <w:rsid w:val="00B2551D"/>
    <w:rsid w:val="00B25F8C"/>
    <w:rsid w:val="00B260BE"/>
    <w:rsid w:val="00B26677"/>
    <w:rsid w:val="00B26A96"/>
    <w:rsid w:val="00B26DC0"/>
    <w:rsid w:val="00B274E3"/>
    <w:rsid w:val="00B2765C"/>
    <w:rsid w:val="00B27C4B"/>
    <w:rsid w:val="00B30563"/>
    <w:rsid w:val="00B3069E"/>
    <w:rsid w:val="00B30A76"/>
    <w:rsid w:val="00B31246"/>
    <w:rsid w:val="00B32295"/>
    <w:rsid w:val="00B33AB5"/>
    <w:rsid w:val="00B3412E"/>
    <w:rsid w:val="00B34271"/>
    <w:rsid w:val="00B343E0"/>
    <w:rsid w:val="00B35B6D"/>
    <w:rsid w:val="00B35D53"/>
    <w:rsid w:val="00B36617"/>
    <w:rsid w:val="00B367C4"/>
    <w:rsid w:val="00B36D3E"/>
    <w:rsid w:val="00B37B8E"/>
    <w:rsid w:val="00B40222"/>
    <w:rsid w:val="00B404C3"/>
    <w:rsid w:val="00B4065C"/>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21"/>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719"/>
    <w:rsid w:val="00B55F64"/>
    <w:rsid w:val="00B56DBF"/>
    <w:rsid w:val="00B56ECA"/>
    <w:rsid w:val="00B57093"/>
    <w:rsid w:val="00B57B5D"/>
    <w:rsid w:val="00B60613"/>
    <w:rsid w:val="00B61AEC"/>
    <w:rsid w:val="00B6244C"/>
    <w:rsid w:val="00B62A2F"/>
    <w:rsid w:val="00B62B7B"/>
    <w:rsid w:val="00B62F0A"/>
    <w:rsid w:val="00B63484"/>
    <w:rsid w:val="00B634B7"/>
    <w:rsid w:val="00B634F1"/>
    <w:rsid w:val="00B637EF"/>
    <w:rsid w:val="00B6385B"/>
    <w:rsid w:val="00B63EF6"/>
    <w:rsid w:val="00B64200"/>
    <w:rsid w:val="00B6440A"/>
    <w:rsid w:val="00B656C1"/>
    <w:rsid w:val="00B65788"/>
    <w:rsid w:val="00B65844"/>
    <w:rsid w:val="00B66054"/>
    <w:rsid w:val="00B6677F"/>
    <w:rsid w:val="00B66C7A"/>
    <w:rsid w:val="00B672EA"/>
    <w:rsid w:val="00B6747B"/>
    <w:rsid w:val="00B70200"/>
    <w:rsid w:val="00B702D7"/>
    <w:rsid w:val="00B70389"/>
    <w:rsid w:val="00B7058F"/>
    <w:rsid w:val="00B70E01"/>
    <w:rsid w:val="00B7289A"/>
    <w:rsid w:val="00B72CF0"/>
    <w:rsid w:val="00B72E83"/>
    <w:rsid w:val="00B7380E"/>
    <w:rsid w:val="00B740F6"/>
    <w:rsid w:val="00B74615"/>
    <w:rsid w:val="00B74789"/>
    <w:rsid w:val="00B754C1"/>
    <w:rsid w:val="00B755B6"/>
    <w:rsid w:val="00B75977"/>
    <w:rsid w:val="00B75A48"/>
    <w:rsid w:val="00B75CC0"/>
    <w:rsid w:val="00B76021"/>
    <w:rsid w:val="00B76FCD"/>
    <w:rsid w:val="00B7764D"/>
    <w:rsid w:val="00B804F8"/>
    <w:rsid w:val="00B8095A"/>
    <w:rsid w:val="00B81274"/>
    <w:rsid w:val="00B815D3"/>
    <w:rsid w:val="00B81742"/>
    <w:rsid w:val="00B817B5"/>
    <w:rsid w:val="00B81A86"/>
    <w:rsid w:val="00B823A6"/>
    <w:rsid w:val="00B83E76"/>
    <w:rsid w:val="00B83FA0"/>
    <w:rsid w:val="00B84156"/>
    <w:rsid w:val="00B846E6"/>
    <w:rsid w:val="00B8537B"/>
    <w:rsid w:val="00B8547E"/>
    <w:rsid w:val="00B85586"/>
    <w:rsid w:val="00B86289"/>
    <w:rsid w:val="00B863B3"/>
    <w:rsid w:val="00B869D3"/>
    <w:rsid w:val="00B86CF8"/>
    <w:rsid w:val="00B86E44"/>
    <w:rsid w:val="00B87359"/>
    <w:rsid w:val="00B87B05"/>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ED2"/>
    <w:rsid w:val="00B96DD9"/>
    <w:rsid w:val="00B96EA6"/>
    <w:rsid w:val="00B970F2"/>
    <w:rsid w:val="00B975A9"/>
    <w:rsid w:val="00B9789D"/>
    <w:rsid w:val="00B97A4C"/>
    <w:rsid w:val="00BA050E"/>
    <w:rsid w:val="00BA1289"/>
    <w:rsid w:val="00BA14B2"/>
    <w:rsid w:val="00BA15DC"/>
    <w:rsid w:val="00BA1E2F"/>
    <w:rsid w:val="00BA1EB8"/>
    <w:rsid w:val="00BA2AEE"/>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957"/>
    <w:rsid w:val="00BB3A66"/>
    <w:rsid w:val="00BB40D1"/>
    <w:rsid w:val="00BB58B3"/>
    <w:rsid w:val="00BB7632"/>
    <w:rsid w:val="00BB777D"/>
    <w:rsid w:val="00BB7EC0"/>
    <w:rsid w:val="00BB7F88"/>
    <w:rsid w:val="00BC0207"/>
    <w:rsid w:val="00BC089F"/>
    <w:rsid w:val="00BC0A0C"/>
    <w:rsid w:val="00BC0A5A"/>
    <w:rsid w:val="00BC0E64"/>
    <w:rsid w:val="00BC22A4"/>
    <w:rsid w:val="00BC25D1"/>
    <w:rsid w:val="00BC2DBD"/>
    <w:rsid w:val="00BC342C"/>
    <w:rsid w:val="00BC3BCB"/>
    <w:rsid w:val="00BC3CF1"/>
    <w:rsid w:val="00BC428A"/>
    <w:rsid w:val="00BC4B11"/>
    <w:rsid w:val="00BC4C40"/>
    <w:rsid w:val="00BC5A29"/>
    <w:rsid w:val="00BC5AE3"/>
    <w:rsid w:val="00BC5BAD"/>
    <w:rsid w:val="00BC692A"/>
    <w:rsid w:val="00BC76C5"/>
    <w:rsid w:val="00BC7BB7"/>
    <w:rsid w:val="00BC7F94"/>
    <w:rsid w:val="00BD1039"/>
    <w:rsid w:val="00BD10B7"/>
    <w:rsid w:val="00BD138A"/>
    <w:rsid w:val="00BD164A"/>
    <w:rsid w:val="00BD1BDD"/>
    <w:rsid w:val="00BD1D7D"/>
    <w:rsid w:val="00BD1E27"/>
    <w:rsid w:val="00BD2585"/>
    <w:rsid w:val="00BD2B4D"/>
    <w:rsid w:val="00BD2F08"/>
    <w:rsid w:val="00BD2FB9"/>
    <w:rsid w:val="00BD31C2"/>
    <w:rsid w:val="00BD3683"/>
    <w:rsid w:val="00BD450A"/>
    <w:rsid w:val="00BD4717"/>
    <w:rsid w:val="00BD48EA"/>
    <w:rsid w:val="00BD4BA8"/>
    <w:rsid w:val="00BD5624"/>
    <w:rsid w:val="00BD62E6"/>
    <w:rsid w:val="00BD64DB"/>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87F"/>
    <w:rsid w:val="00BE7F4D"/>
    <w:rsid w:val="00BF03C0"/>
    <w:rsid w:val="00BF0EBF"/>
    <w:rsid w:val="00BF1534"/>
    <w:rsid w:val="00BF19C3"/>
    <w:rsid w:val="00BF2021"/>
    <w:rsid w:val="00BF21D4"/>
    <w:rsid w:val="00BF2DDC"/>
    <w:rsid w:val="00BF32DE"/>
    <w:rsid w:val="00BF4A15"/>
    <w:rsid w:val="00BF4E0E"/>
    <w:rsid w:val="00BF4E27"/>
    <w:rsid w:val="00BF4F7C"/>
    <w:rsid w:val="00BF537B"/>
    <w:rsid w:val="00BF5901"/>
    <w:rsid w:val="00BF5ACE"/>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EE"/>
    <w:rsid w:val="00C0702A"/>
    <w:rsid w:val="00C0724C"/>
    <w:rsid w:val="00C07C11"/>
    <w:rsid w:val="00C07E10"/>
    <w:rsid w:val="00C10015"/>
    <w:rsid w:val="00C1110A"/>
    <w:rsid w:val="00C11689"/>
    <w:rsid w:val="00C11BA4"/>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D03"/>
    <w:rsid w:val="00C25EA6"/>
    <w:rsid w:val="00C26164"/>
    <w:rsid w:val="00C261C1"/>
    <w:rsid w:val="00C26574"/>
    <w:rsid w:val="00C26DBF"/>
    <w:rsid w:val="00C27199"/>
    <w:rsid w:val="00C27204"/>
    <w:rsid w:val="00C27627"/>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199"/>
    <w:rsid w:val="00C379EF"/>
    <w:rsid w:val="00C405C8"/>
    <w:rsid w:val="00C406D4"/>
    <w:rsid w:val="00C40C2F"/>
    <w:rsid w:val="00C415AC"/>
    <w:rsid w:val="00C4297A"/>
    <w:rsid w:val="00C4360C"/>
    <w:rsid w:val="00C439B8"/>
    <w:rsid w:val="00C43A0B"/>
    <w:rsid w:val="00C43EDA"/>
    <w:rsid w:val="00C43FEC"/>
    <w:rsid w:val="00C4414C"/>
    <w:rsid w:val="00C45512"/>
    <w:rsid w:val="00C4602B"/>
    <w:rsid w:val="00C46262"/>
    <w:rsid w:val="00C46564"/>
    <w:rsid w:val="00C46BFA"/>
    <w:rsid w:val="00C46DDF"/>
    <w:rsid w:val="00C476E4"/>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3E9C"/>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205"/>
    <w:rsid w:val="00C76C0C"/>
    <w:rsid w:val="00C76EE8"/>
    <w:rsid w:val="00C76FFC"/>
    <w:rsid w:val="00C770B6"/>
    <w:rsid w:val="00C774E0"/>
    <w:rsid w:val="00C776BA"/>
    <w:rsid w:val="00C7791E"/>
    <w:rsid w:val="00C81716"/>
    <w:rsid w:val="00C8243E"/>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AE7"/>
    <w:rsid w:val="00CA0492"/>
    <w:rsid w:val="00CA05B0"/>
    <w:rsid w:val="00CA0632"/>
    <w:rsid w:val="00CA0A04"/>
    <w:rsid w:val="00CA2528"/>
    <w:rsid w:val="00CA3CAB"/>
    <w:rsid w:val="00CA3FC0"/>
    <w:rsid w:val="00CA5146"/>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32"/>
    <w:rsid w:val="00CB6A93"/>
    <w:rsid w:val="00CB6C79"/>
    <w:rsid w:val="00CB7150"/>
    <w:rsid w:val="00CB77C3"/>
    <w:rsid w:val="00CB7E9C"/>
    <w:rsid w:val="00CC0072"/>
    <w:rsid w:val="00CC027A"/>
    <w:rsid w:val="00CC0915"/>
    <w:rsid w:val="00CC1398"/>
    <w:rsid w:val="00CC1AF5"/>
    <w:rsid w:val="00CC1B74"/>
    <w:rsid w:val="00CC28C5"/>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D62"/>
    <w:rsid w:val="00CD44FF"/>
    <w:rsid w:val="00CD46A7"/>
    <w:rsid w:val="00CD47BC"/>
    <w:rsid w:val="00CD4E50"/>
    <w:rsid w:val="00CD57CB"/>
    <w:rsid w:val="00CD64E1"/>
    <w:rsid w:val="00CD66BA"/>
    <w:rsid w:val="00CD699D"/>
    <w:rsid w:val="00CD6BA3"/>
    <w:rsid w:val="00CD70DB"/>
    <w:rsid w:val="00CD7544"/>
    <w:rsid w:val="00CD78D4"/>
    <w:rsid w:val="00CD7C69"/>
    <w:rsid w:val="00CE0697"/>
    <w:rsid w:val="00CE14CB"/>
    <w:rsid w:val="00CE2E2E"/>
    <w:rsid w:val="00CE3A51"/>
    <w:rsid w:val="00CE41F9"/>
    <w:rsid w:val="00CE59F6"/>
    <w:rsid w:val="00CE66CD"/>
    <w:rsid w:val="00CE6BA9"/>
    <w:rsid w:val="00CE71C3"/>
    <w:rsid w:val="00CE727A"/>
    <w:rsid w:val="00CE7EBE"/>
    <w:rsid w:val="00CF004C"/>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1AF"/>
    <w:rsid w:val="00D0650B"/>
    <w:rsid w:val="00D068AA"/>
    <w:rsid w:val="00D06E71"/>
    <w:rsid w:val="00D06E9C"/>
    <w:rsid w:val="00D0714B"/>
    <w:rsid w:val="00D0764E"/>
    <w:rsid w:val="00D07D82"/>
    <w:rsid w:val="00D10273"/>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473"/>
    <w:rsid w:val="00D22B13"/>
    <w:rsid w:val="00D2371E"/>
    <w:rsid w:val="00D237E0"/>
    <w:rsid w:val="00D23A17"/>
    <w:rsid w:val="00D25676"/>
    <w:rsid w:val="00D2579F"/>
    <w:rsid w:val="00D2580E"/>
    <w:rsid w:val="00D265A7"/>
    <w:rsid w:val="00D266CD"/>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30E"/>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AB8"/>
    <w:rsid w:val="00D43CF3"/>
    <w:rsid w:val="00D43DEF"/>
    <w:rsid w:val="00D44259"/>
    <w:rsid w:val="00D44C6D"/>
    <w:rsid w:val="00D45C61"/>
    <w:rsid w:val="00D45DDC"/>
    <w:rsid w:val="00D47EA4"/>
    <w:rsid w:val="00D5064C"/>
    <w:rsid w:val="00D50C94"/>
    <w:rsid w:val="00D511E7"/>
    <w:rsid w:val="00D517ED"/>
    <w:rsid w:val="00D5251C"/>
    <w:rsid w:val="00D5265E"/>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1ECF"/>
    <w:rsid w:val="00D629A4"/>
    <w:rsid w:val="00D62BDF"/>
    <w:rsid w:val="00D62EEE"/>
    <w:rsid w:val="00D64F1C"/>
    <w:rsid w:val="00D6570C"/>
    <w:rsid w:val="00D659EA"/>
    <w:rsid w:val="00D65A89"/>
    <w:rsid w:val="00D65E85"/>
    <w:rsid w:val="00D6611C"/>
    <w:rsid w:val="00D671C7"/>
    <w:rsid w:val="00D675B0"/>
    <w:rsid w:val="00D675DE"/>
    <w:rsid w:val="00D678BB"/>
    <w:rsid w:val="00D67AB1"/>
    <w:rsid w:val="00D67D81"/>
    <w:rsid w:val="00D70170"/>
    <w:rsid w:val="00D702E8"/>
    <w:rsid w:val="00D70552"/>
    <w:rsid w:val="00D70D42"/>
    <w:rsid w:val="00D71285"/>
    <w:rsid w:val="00D71ABC"/>
    <w:rsid w:val="00D71D92"/>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905"/>
    <w:rsid w:val="00D815E6"/>
    <w:rsid w:val="00D81A28"/>
    <w:rsid w:val="00D81BDE"/>
    <w:rsid w:val="00D8201D"/>
    <w:rsid w:val="00D82B00"/>
    <w:rsid w:val="00D82B04"/>
    <w:rsid w:val="00D82BE4"/>
    <w:rsid w:val="00D82E05"/>
    <w:rsid w:val="00D83C0D"/>
    <w:rsid w:val="00D83C80"/>
    <w:rsid w:val="00D83D24"/>
    <w:rsid w:val="00D83F5B"/>
    <w:rsid w:val="00D85FDE"/>
    <w:rsid w:val="00D8665E"/>
    <w:rsid w:val="00D869C1"/>
    <w:rsid w:val="00D86EC6"/>
    <w:rsid w:val="00D87418"/>
    <w:rsid w:val="00D87A39"/>
    <w:rsid w:val="00D87FE6"/>
    <w:rsid w:val="00D90BC3"/>
    <w:rsid w:val="00D90C93"/>
    <w:rsid w:val="00D90DB9"/>
    <w:rsid w:val="00D91001"/>
    <w:rsid w:val="00D910FF"/>
    <w:rsid w:val="00D91183"/>
    <w:rsid w:val="00D91337"/>
    <w:rsid w:val="00D915C9"/>
    <w:rsid w:val="00D918DA"/>
    <w:rsid w:val="00D9198F"/>
    <w:rsid w:val="00D91B29"/>
    <w:rsid w:val="00D91FCE"/>
    <w:rsid w:val="00D92078"/>
    <w:rsid w:val="00D926F0"/>
    <w:rsid w:val="00D92A87"/>
    <w:rsid w:val="00D9384E"/>
    <w:rsid w:val="00D93AEE"/>
    <w:rsid w:val="00D9413E"/>
    <w:rsid w:val="00D94778"/>
    <w:rsid w:val="00D94C8D"/>
    <w:rsid w:val="00D94CE6"/>
    <w:rsid w:val="00D95F88"/>
    <w:rsid w:val="00D96698"/>
    <w:rsid w:val="00D96876"/>
    <w:rsid w:val="00D96940"/>
    <w:rsid w:val="00D96B12"/>
    <w:rsid w:val="00D96F59"/>
    <w:rsid w:val="00DA0175"/>
    <w:rsid w:val="00DA06BC"/>
    <w:rsid w:val="00DA099C"/>
    <w:rsid w:val="00DA0F18"/>
    <w:rsid w:val="00DA2125"/>
    <w:rsid w:val="00DA21EC"/>
    <w:rsid w:val="00DA24DE"/>
    <w:rsid w:val="00DA270C"/>
    <w:rsid w:val="00DA281F"/>
    <w:rsid w:val="00DA3A03"/>
    <w:rsid w:val="00DA3C5B"/>
    <w:rsid w:val="00DA3D23"/>
    <w:rsid w:val="00DA4A61"/>
    <w:rsid w:val="00DA5AFE"/>
    <w:rsid w:val="00DA61AB"/>
    <w:rsid w:val="00DA61CD"/>
    <w:rsid w:val="00DA6EE2"/>
    <w:rsid w:val="00DA718A"/>
    <w:rsid w:val="00DA78CF"/>
    <w:rsid w:val="00DA78D5"/>
    <w:rsid w:val="00DA7A89"/>
    <w:rsid w:val="00DA7BF4"/>
    <w:rsid w:val="00DA7EBF"/>
    <w:rsid w:val="00DB03B7"/>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52B"/>
    <w:rsid w:val="00DB6F96"/>
    <w:rsid w:val="00DB71B9"/>
    <w:rsid w:val="00DB7662"/>
    <w:rsid w:val="00DB7E46"/>
    <w:rsid w:val="00DC1395"/>
    <w:rsid w:val="00DC32FC"/>
    <w:rsid w:val="00DC3D89"/>
    <w:rsid w:val="00DC4567"/>
    <w:rsid w:val="00DC4CDA"/>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63F"/>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65E"/>
    <w:rsid w:val="00DD6CE2"/>
    <w:rsid w:val="00DD720D"/>
    <w:rsid w:val="00DD768B"/>
    <w:rsid w:val="00DE0229"/>
    <w:rsid w:val="00DE04E0"/>
    <w:rsid w:val="00DE12F1"/>
    <w:rsid w:val="00DE1A9D"/>
    <w:rsid w:val="00DE1CB1"/>
    <w:rsid w:val="00DE2073"/>
    <w:rsid w:val="00DE30AC"/>
    <w:rsid w:val="00DE38D1"/>
    <w:rsid w:val="00DE4106"/>
    <w:rsid w:val="00DE466B"/>
    <w:rsid w:val="00DE48F4"/>
    <w:rsid w:val="00DE5556"/>
    <w:rsid w:val="00DE5563"/>
    <w:rsid w:val="00DE5C19"/>
    <w:rsid w:val="00DE5D48"/>
    <w:rsid w:val="00DE6E4D"/>
    <w:rsid w:val="00DE6FDA"/>
    <w:rsid w:val="00DE7498"/>
    <w:rsid w:val="00DE75EF"/>
    <w:rsid w:val="00DE7611"/>
    <w:rsid w:val="00DE7D19"/>
    <w:rsid w:val="00DF05A0"/>
    <w:rsid w:val="00DF1162"/>
    <w:rsid w:val="00DF1BA8"/>
    <w:rsid w:val="00DF1F63"/>
    <w:rsid w:val="00DF2347"/>
    <w:rsid w:val="00DF28F2"/>
    <w:rsid w:val="00DF2BFF"/>
    <w:rsid w:val="00DF3798"/>
    <w:rsid w:val="00DF4FF1"/>
    <w:rsid w:val="00DF56A3"/>
    <w:rsid w:val="00DF5B33"/>
    <w:rsid w:val="00DF6B1A"/>
    <w:rsid w:val="00DF6FD2"/>
    <w:rsid w:val="00DF72EF"/>
    <w:rsid w:val="00DF743D"/>
    <w:rsid w:val="00DF7724"/>
    <w:rsid w:val="00E000D8"/>
    <w:rsid w:val="00E002F3"/>
    <w:rsid w:val="00E0082F"/>
    <w:rsid w:val="00E00C1E"/>
    <w:rsid w:val="00E00F5F"/>
    <w:rsid w:val="00E010E6"/>
    <w:rsid w:val="00E01377"/>
    <w:rsid w:val="00E014E7"/>
    <w:rsid w:val="00E0232F"/>
    <w:rsid w:val="00E026A9"/>
    <w:rsid w:val="00E0356F"/>
    <w:rsid w:val="00E03B42"/>
    <w:rsid w:val="00E03C10"/>
    <w:rsid w:val="00E03C5A"/>
    <w:rsid w:val="00E0479F"/>
    <w:rsid w:val="00E04816"/>
    <w:rsid w:val="00E04982"/>
    <w:rsid w:val="00E04D6A"/>
    <w:rsid w:val="00E04DC3"/>
    <w:rsid w:val="00E058DB"/>
    <w:rsid w:val="00E05950"/>
    <w:rsid w:val="00E05CD4"/>
    <w:rsid w:val="00E05DE8"/>
    <w:rsid w:val="00E06100"/>
    <w:rsid w:val="00E0614E"/>
    <w:rsid w:val="00E06E97"/>
    <w:rsid w:val="00E07B8F"/>
    <w:rsid w:val="00E10712"/>
    <w:rsid w:val="00E10DD1"/>
    <w:rsid w:val="00E1224C"/>
    <w:rsid w:val="00E1254C"/>
    <w:rsid w:val="00E12589"/>
    <w:rsid w:val="00E12BDF"/>
    <w:rsid w:val="00E13326"/>
    <w:rsid w:val="00E13D07"/>
    <w:rsid w:val="00E14356"/>
    <w:rsid w:val="00E14961"/>
    <w:rsid w:val="00E14D76"/>
    <w:rsid w:val="00E15183"/>
    <w:rsid w:val="00E151D6"/>
    <w:rsid w:val="00E15D6C"/>
    <w:rsid w:val="00E1720B"/>
    <w:rsid w:val="00E203DE"/>
    <w:rsid w:val="00E20CE7"/>
    <w:rsid w:val="00E217B1"/>
    <w:rsid w:val="00E222FA"/>
    <w:rsid w:val="00E229CE"/>
    <w:rsid w:val="00E22B4A"/>
    <w:rsid w:val="00E232CB"/>
    <w:rsid w:val="00E235EA"/>
    <w:rsid w:val="00E2449B"/>
    <w:rsid w:val="00E24A62"/>
    <w:rsid w:val="00E24F52"/>
    <w:rsid w:val="00E255CC"/>
    <w:rsid w:val="00E25636"/>
    <w:rsid w:val="00E25755"/>
    <w:rsid w:val="00E25F90"/>
    <w:rsid w:val="00E266DD"/>
    <w:rsid w:val="00E26D2E"/>
    <w:rsid w:val="00E279B2"/>
    <w:rsid w:val="00E3036E"/>
    <w:rsid w:val="00E303C0"/>
    <w:rsid w:val="00E3055B"/>
    <w:rsid w:val="00E30A9A"/>
    <w:rsid w:val="00E31687"/>
    <w:rsid w:val="00E31699"/>
    <w:rsid w:val="00E31761"/>
    <w:rsid w:val="00E31812"/>
    <w:rsid w:val="00E31889"/>
    <w:rsid w:val="00E31CE7"/>
    <w:rsid w:val="00E32ADD"/>
    <w:rsid w:val="00E330E8"/>
    <w:rsid w:val="00E333D5"/>
    <w:rsid w:val="00E3394F"/>
    <w:rsid w:val="00E33A0B"/>
    <w:rsid w:val="00E34A2F"/>
    <w:rsid w:val="00E35A45"/>
    <w:rsid w:val="00E35F7F"/>
    <w:rsid w:val="00E36392"/>
    <w:rsid w:val="00E36B32"/>
    <w:rsid w:val="00E37A6F"/>
    <w:rsid w:val="00E37A9C"/>
    <w:rsid w:val="00E40222"/>
    <w:rsid w:val="00E40406"/>
    <w:rsid w:val="00E40555"/>
    <w:rsid w:val="00E4082B"/>
    <w:rsid w:val="00E40835"/>
    <w:rsid w:val="00E408EC"/>
    <w:rsid w:val="00E409B5"/>
    <w:rsid w:val="00E40BCB"/>
    <w:rsid w:val="00E40FE3"/>
    <w:rsid w:val="00E4208F"/>
    <w:rsid w:val="00E42E1A"/>
    <w:rsid w:val="00E42E94"/>
    <w:rsid w:val="00E43006"/>
    <w:rsid w:val="00E4312A"/>
    <w:rsid w:val="00E4331B"/>
    <w:rsid w:val="00E43551"/>
    <w:rsid w:val="00E437BE"/>
    <w:rsid w:val="00E437FA"/>
    <w:rsid w:val="00E45A2C"/>
    <w:rsid w:val="00E46A6B"/>
    <w:rsid w:val="00E46A9C"/>
    <w:rsid w:val="00E47DB1"/>
    <w:rsid w:val="00E50BDD"/>
    <w:rsid w:val="00E510CF"/>
    <w:rsid w:val="00E513D7"/>
    <w:rsid w:val="00E519FE"/>
    <w:rsid w:val="00E5206C"/>
    <w:rsid w:val="00E52AAB"/>
    <w:rsid w:val="00E53CBA"/>
    <w:rsid w:val="00E5448E"/>
    <w:rsid w:val="00E54E0D"/>
    <w:rsid w:val="00E55247"/>
    <w:rsid w:val="00E558E5"/>
    <w:rsid w:val="00E55B3C"/>
    <w:rsid w:val="00E56795"/>
    <w:rsid w:val="00E5699C"/>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B30"/>
    <w:rsid w:val="00E70192"/>
    <w:rsid w:val="00E70C55"/>
    <w:rsid w:val="00E70E34"/>
    <w:rsid w:val="00E71809"/>
    <w:rsid w:val="00E71D1E"/>
    <w:rsid w:val="00E726F2"/>
    <w:rsid w:val="00E728E2"/>
    <w:rsid w:val="00E72D02"/>
    <w:rsid w:val="00E738FA"/>
    <w:rsid w:val="00E739B6"/>
    <w:rsid w:val="00E74A2B"/>
    <w:rsid w:val="00E75667"/>
    <w:rsid w:val="00E756D3"/>
    <w:rsid w:val="00E75A5A"/>
    <w:rsid w:val="00E76004"/>
    <w:rsid w:val="00E7608F"/>
    <w:rsid w:val="00E760D7"/>
    <w:rsid w:val="00E769CC"/>
    <w:rsid w:val="00E77124"/>
    <w:rsid w:val="00E77341"/>
    <w:rsid w:val="00E77540"/>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3BD"/>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77B"/>
    <w:rsid w:val="00EC3852"/>
    <w:rsid w:val="00EC4397"/>
    <w:rsid w:val="00EC4528"/>
    <w:rsid w:val="00EC5233"/>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1E"/>
    <w:rsid w:val="00ED613A"/>
    <w:rsid w:val="00ED6514"/>
    <w:rsid w:val="00ED66B2"/>
    <w:rsid w:val="00ED71BA"/>
    <w:rsid w:val="00ED728F"/>
    <w:rsid w:val="00ED73A1"/>
    <w:rsid w:val="00ED7CA2"/>
    <w:rsid w:val="00EE04F9"/>
    <w:rsid w:val="00EE05E0"/>
    <w:rsid w:val="00EE13DA"/>
    <w:rsid w:val="00EE1595"/>
    <w:rsid w:val="00EE1E71"/>
    <w:rsid w:val="00EE1FB0"/>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7C"/>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181"/>
    <w:rsid w:val="00F06340"/>
    <w:rsid w:val="00F0665D"/>
    <w:rsid w:val="00F06D42"/>
    <w:rsid w:val="00F07134"/>
    <w:rsid w:val="00F0724D"/>
    <w:rsid w:val="00F0725C"/>
    <w:rsid w:val="00F07378"/>
    <w:rsid w:val="00F10B81"/>
    <w:rsid w:val="00F10BC9"/>
    <w:rsid w:val="00F113C9"/>
    <w:rsid w:val="00F11C01"/>
    <w:rsid w:val="00F11D80"/>
    <w:rsid w:val="00F13327"/>
    <w:rsid w:val="00F1344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DCE"/>
    <w:rsid w:val="00F27E44"/>
    <w:rsid w:val="00F30313"/>
    <w:rsid w:val="00F303BC"/>
    <w:rsid w:val="00F30472"/>
    <w:rsid w:val="00F31052"/>
    <w:rsid w:val="00F318A1"/>
    <w:rsid w:val="00F31CF5"/>
    <w:rsid w:val="00F3265C"/>
    <w:rsid w:val="00F32C4A"/>
    <w:rsid w:val="00F33262"/>
    <w:rsid w:val="00F343EE"/>
    <w:rsid w:val="00F34F6C"/>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3B2"/>
    <w:rsid w:val="00F5052D"/>
    <w:rsid w:val="00F51A82"/>
    <w:rsid w:val="00F51B78"/>
    <w:rsid w:val="00F51BDD"/>
    <w:rsid w:val="00F52065"/>
    <w:rsid w:val="00F521CE"/>
    <w:rsid w:val="00F5253E"/>
    <w:rsid w:val="00F5254B"/>
    <w:rsid w:val="00F52676"/>
    <w:rsid w:val="00F52CB7"/>
    <w:rsid w:val="00F53A44"/>
    <w:rsid w:val="00F54E5E"/>
    <w:rsid w:val="00F551DB"/>
    <w:rsid w:val="00F55810"/>
    <w:rsid w:val="00F559BE"/>
    <w:rsid w:val="00F56F7E"/>
    <w:rsid w:val="00F56FEF"/>
    <w:rsid w:val="00F57521"/>
    <w:rsid w:val="00F60938"/>
    <w:rsid w:val="00F60C7E"/>
    <w:rsid w:val="00F60E0A"/>
    <w:rsid w:val="00F61606"/>
    <w:rsid w:val="00F6179A"/>
    <w:rsid w:val="00F61918"/>
    <w:rsid w:val="00F62151"/>
    <w:rsid w:val="00F62CA8"/>
    <w:rsid w:val="00F62F92"/>
    <w:rsid w:val="00F630B4"/>
    <w:rsid w:val="00F635EF"/>
    <w:rsid w:val="00F63BF4"/>
    <w:rsid w:val="00F63C55"/>
    <w:rsid w:val="00F63C60"/>
    <w:rsid w:val="00F64161"/>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30D"/>
    <w:rsid w:val="00F85329"/>
    <w:rsid w:val="00F85683"/>
    <w:rsid w:val="00F85743"/>
    <w:rsid w:val="00F85841"/>
    <w:rsid w:val="00F85B4F"/>
    <w:rsid w:val="00F86079"/>
    <w:rsid w:val="00F8610A"/>
    <w:rsid w:val="00F87282"/>
    <w:rsid w:val="00F878CD"/>
    <w:rsid w:val="00F87905"/>
    <w:rsid w:val="00F87A66"/>
    <w:rsid w:val="00F90C1F"/>
    <w:rsid w:val="00F912D9"/>
    <w:rsid w:val="00F91A44"/>
    <w:rsid w:val="00F91BFA"/>
    <w:rsid w:val="00F91F8F"/>
    <w:rsid w:val="00F9217B"/>
    <w:rsid w:val="00F95ED0"/>
    <w:rsid w:val="00F97125"/>
    <w:rsid w:val="00F97A34"/>
    <w:rsid w:val="00F97E4A"/>
    <w:rsid w:val="00F97EA1"/>
    <w:rsid w:val="00FA003A"/>
    <w:rsid w:val="00FA05C8"/>
    <w:rsid w:val="00FA0678"/>
    <w:rsid w:val="00FA0DB6"/>
    <w:rsid w:val="00FA23F7"/>
    <w:rsid w:val="00FA26F2"/>
    <w:rsid w:val="00FA27EB"/>
    <w:rsid w:val="00FA35B6"/>
    <w:rsid w:val="00FA3EBC"/>
    <w:rsid w:val="00FA423C"/>
    <w:rsid w:val="00FA44D0"/>
    <w:rsid w:val="00FA4590"/>
    <w:rsid w:val="00FA55A2"/>
    <w:rsid w:val="00FA58AC"/>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CF2"/>
    <w:rsid w:val="00FD10B3"/>
    <w:rsid w:val="00FD11C3"/>
    <w:rsid w:val="00FD154E"/>
    <w:rsid w:val="00FD24D7"/>
    <w:rsid w:val="00FD29CE"/>
    <w:rsid w:val="00FD3AE2"/>
    <w:rsid w:val="00FD3D12"/>
    <w:rsid w:val="00FD3E41"/>
    <w:rsid w:val="00FD3EFA"/>
    <w:rsid w:val="00FD488B"/>
    <w:rsid w:val="00FD54A8"/>
    <w:rsid w:val="00FD5AE4"/>
    <w:rsid w:val="00FD5F25"/>
    <w:rsid w:val="00FD60BE"/>
    <w:rsid w:val="00FD6894"/>
    <w:rsid w:val="00FD6AF0"/>
    <w:rsid w:val="00FD704D"/>
    <w:rsid w:val="00FD74EF"/>
    <w:rsid w:val="00FD79B8"/>
    <w:rsid w:val="00FD79F6"/>
    <w:rsid w:val="00FE033F"/>
    <w:rsid w:val="00FE07A8"/>
    <w:rsid w:val="00FE0AA3"/>
    <w:rsid w:val="00FE0AD1"/>
    <w:rsid w:val="00FE0CC0"/>
    <w:rsid w:val="00FE1631"/>
    <w:rsid w:val="00FE1852"/>
    <w:rsid w:val="00FE1963"/>
    <w:rsid w:val="00FE1981"/>
    <w:rsid w:val="00FE1BF1"/>
    <w:rsid w:val="00FE2E8A"/>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85BA4"/>
    <w:rsid w:val="011F6449"/>
    <w:rsid w:val="01236AFB"/>
    <w:rsid w:val="016959A7"/>
    <w:rsid w:val="019F7441"/>
    <w:rsid w:val="01B37585"/>
    <w:rsid w:val="01D2207D"/>
    <w:rsid w:val="01D55165"/>
    <w:rsid w:val="01DF6BF8"/>
    <w:rsid w:val="01EC2C57"/>
    <w:rsid w:val="024D4E7E"/>
    <w:rsid w:val="025D7143"/>
    <w:rsid w:val="026B2E25"/>
    <w:rsid w:val="02775E4F"/>
    <w:rsid w:val="02824D4D"/>
    <w:rsid w:val="02C329EA"/>
    <w:rsid w:val="02DC4B10"/>
    <w:rsid w:val="02DD76CE"/>
    <w:rsid w:val="02F36323"/>
    <w:rsid w:val="02F5619C"/>
    <w:rsid w:val="030176FB"/>
    <w:rsid w:val="0326446A"/>
    <w:rsid w:val="032D5555"/>
    <w:rsid w:val="034F46D6"/>
    <w:rsid w:val="036634D2"/>
    <w:rsid w:val="03CF6675"/>
    <w:rsid w:val="03DD35E4"/>
    <w:rsid w:val="03F4527E"/>
    <w:rsid w:val="04076900"/>
    <w:rsid w:val="04096F7B"/>
    <w:rsid w:val="041A5A3B"/>
    <w:rsid w:val="042311BA"/>
    <w:rsid w:val="042403D7"/>
    <w:rsid w:val="042B157A"/>
    <w:rsid w:val="044D3AE9"/>
    <w:rsid w:val="048F763B"/>
    <w:rsid w:val="049F330E"/>
    <w:rsid w:val="04A121F4"/>
    <w:rsid w:val="04AA775C"/>
    <w:rsid w:val="04AF1889"/>
    <w:rsid w:val="04F66F48"/>
    <w:rsid w:val="0521034B"/>
    <w:rsid w:val="05251E14"/>
    <w:rsid w:val="054F4E62"/>
    <w:rsid w:val="05943A92"/>
    <w:rsid w:val="05A16594"/>
    <w:rsid w:val="05A7762D"/>
    <w:rsid w:val="05B178CA"/>
    <w:rsid w:val="05BC17B6"/>
    <w:rsid w:val="060E5941"/>
    <w:rsid w:val="060F45F1"/>
    <w:rsid w:val="06110FAF"/>
    <w:rsid w:val="06147E59"/>
    <w:rsid w:val="06493CA7"/>
    <w:rsid w:val="065A6178"/>
    <w:rsid w:val="066F1CF3"/>
    <w:rsid w:val="068A59BD"/>
    <w:rsid w:val="06930BB8"/>
    <w:rsid w:val="06E96BF0"/>
    <w:rsid w:val="07147821"/>
    <w:rsid w:val="072034F0"/>
    <w:rsid w:val="07245D42"/>
    <w:rsid w:val="07264C62"/>
    <w:rsid w:val="074043CB"/>
    <w:rsid w:val="076E227F"/>
    <w:rsid w:val="07733110"/>
    <w:rsid w:val="0779354C"/>
    <w:rsid w:val="077E558A"/>
    <w:rsid w:val="07944A78"/>
    <w:rsid w:val="07AF269B"/>
    <w:rsid w:val="08061376"/>
    <w:rsid w:val="08161C67"/>
    <w:rsid w:val="0822060B"/>
    <w:rsid w:val="08452D77"/>
    <w:rsid w:val="086401F8"/>
    <w:rsid w:val="08751CAA"/>
    <w:rsid w:val="087E4C40"/>
    <w:rsid w:val="0895702F"/>
    <w:rsid w:val="08C01BD2"/>
    <w:rsid w:val="08D66AD6"/>
    <w:rsid w:val="08DA33A3"/>
    <w:rsid w:val="08E80F13"/>
    <w:rsid w:val="092D739F"/>
    <w:rsid w:val="09302681"/>
    <w:rsid w:val="09335624"/>
    <w:rsid w:val="0944690F"/>
    <w:rsid w:val="09535675"/>
    <w:rsid w:val="095F057D"/>
    <w:rsid w:val="09642282"/>
    <w:rsid w:val="09733572"/>
    <w:rsid w:val="09772C16"/>
    <w:rsid w:val="098353B5"/>
    <w:rsid w:val="09894700"/>
    <w:rsid w:val="09A92330"/>
    <w:rsid w:val="09B06B87"/>
    <w:rsid w:val="09C13146"/>
    <w:rsid w:val="09DB0962"/>
    <w:rsid w:val="09E04166"/>
    <w:rsid w:val="0A1C0718"/>
    <w:rsid w:val="0A3E7710"/>
    <w:rsid w:val="0A4240F4"/>
    <w:rsid w:val="0A5B7E63"/>
    <w:rsid w:val="0AA374A5"/>
    <w:rsid w:val="0AAB7649"/>
    <w:rsid w:val="0ABC5606"/>
    <w:rsid w:val="0AC2232C"/>
    <w:rsid w:val="0AC4542D"/>
    <w:rsid w:val="0AC7549A"/>
    <w:rsid w:val="0AFF3D05"/>
    <w:rsid w:val="0B016BFE"/>
    <w:rsid w:val="0B1526A9"/>
    <w:rsid w:val="0B30404E"/>
    <w:rsid w:val="0B467917"/>
    <w:rsid w:val="0B4C6C14"/>
    <w:rsid w:val="0B631A88"/>
    <w:rsid w:val="0B683D45"/>
    <w:rsid w:val="0B696551"/>
    <w:rsid w:val="0B7F3F11"/>
    <w:rsid w:val="0B884417"/>
    <w:rsid w:val="0BC8771C"/>
    <w:rsid w:val="0BF6188C"/>
    <w:rsid w:val="0BF73C91"/>
    <w:rsid w:val="0C170175"/>
    <w:rsid w:val="0C571A41"/>
    <w:rsid w:val="0C5C1171"/>
    <w:rsid w:val="0C5E1CBC"/>
    <w:rsid w:val="0C615B50"/>
    <w:rsid w:val="0C7927C4"/>
    <w:rsid w:val="0C8445DA"/>
    <w:rsid w:val="0C87121B"/>
    <w:rsid w:val="0C8A677F"/>
    <w:rsid w:val="0CC007F7"/>
    <w:rsid w:val="0CFE707A"/>
    <w:rsid w:val="0D063BDA"/>
    <w:rsid w:val="0D08375F"/>
    <w:rsid w:val="0D184CFB"/>
    <w:rsid w:val="0D2F2DF1"/>
    <w:rsid w:val="0D4A7419"/>
    <w:rsid w:val="0D827401"/>
    <w:rsid w:val="0D84094E"/>
    <w:rsid w:val="0D8A00E9"/>
    <w:rsid w:val="0D8D589E"/>
    <w:rsid w:val="0DA01C73"/>
    <w:rsid w:val="0DD63300"/>
    <w:rsid w:val="0DF50604"/>
    <w:rsid w:val="0DF702FE"/>
    <w:rsid w:val="0E060E51"/>
    <w:rsid w:val="0E465D21"/>
    <w:rsid w:val="0E5604B2"/>
    <w:rsid w:val="0E6D5D79"/>
    <w:rsid w:val="0E8C7847"/>
    <w:rsid w:val="0E9D0089"/>
    <w:rsid w:val="0EB803EE"/>
    <w:rsid w:val="0ED65CAC"/>
    <w:rsid w:val="0EF94D4B"/>
    <w:rsid w:val="0F032819"/>
    <w:rsid w:val="0F462A38"/>
    <w:rsid w:val="0F4958DC"/>
    <w:rsid w:val="0F515DF7"/>
    <w:rsid w:val="0F596BA8"/>
    <w:rsid w:val="0F6248D2"/>
    <w:rsid w:val="0F693536"/>
    <w:rsid w:val="0F7B0511"/>
    <w:rsid w:val="0F7B76D9"/>
    <w:rsid w:val="0F816ACD"/>
    <w:rsid w:val="0F9832DB"/>
    <w:rsid w:val="0FBF3FD2"/>
    <w:rsid w:val="0FBF7FF3"/>
    <w:rsid w:val="0FD348E1"/>
    <w:rsid w:val="0FD4263C"/>
    <w:rsid w:val="0FDD588B"/>
    <w:rsid w:val="0FE6380F"/>
    <w:rsid w:val="10646583"/>
    <w:rsid w:val="106612B1"/>
    <w:rsid w:val="107D4B15"/>
    <w:rsid w:val="108A3C80"/>
    <w:rsid w:val="10C26171"/>
    <w:rsid w:val="10F33360"/>
    <w:rsid w:val="10FC16EA"/>
    <w:rsid w:val="110F1D40"/>
    <w:rsid w:val="11266F33"/>
    <w:rsid w:val="118963A1"/>
    <w:rsid w:val="11BD0491"/>
    <w:rsid w:val="11C6522A"/>
    <w:rsid w:val="11E104CC"/>
    <w:rsid w:val="11E20309"/>
    <w:rsid w:val="12255233"/>
    <w:rsid w:val="12530213"/>
    <w:rsid w:val="127723A9"/>
    <w:rsid w:val="1279351E"/>
    <w:rsid w:val="12862074"/>
    <w:rsid w:val="12883966"/>
    <w:rsid w:val="129E45B4"/>
    <w:rsid w:val="12D81596"/>
    <w:rsid w:val="13072A44"/>
    <w:rsid w:val="13191C2C"/>
    <w:rsid w:val="135B5DF4"/>
    <w:rsid w:val="135F4BE2"/>
    <w:rsid w:val="136452DF"/>
    <w:rsid w:val="13693592"/>
    <w:rsid w:val="139B1A0A"/>
    <w:rsid w:val="139C2222"/>
    <w:rsid w:val="139D25C7"/>
    <w:rsid w:val="13B62550"/>
    <w:rsid w:val="13BF3CE4"/>
    <w:rsid w:val="14097B94"/>
    <w:rsid w:val="140E11B4"/>
    <w:rsid w:val="141008D8"/>
    <w:rsid w:val="14125FE6"/>
    <w:rsid w:val="141A488D"/>
    <w:rsid w:val="146D271E"/>
    <w:rsid w:val="14982588"/>
    <w:rsid w:val="149A5AD9"/>
    <w:rsid w:val="14A7619D"/>
    <w:rsid w:val="14ED3D4F"/>
    <w:rsid w:val="150536C3"/>
    <w:rsid w:val="150C1963"/>
    <w:rsid w:val="151447A0"/>
    <w:rsid w:val="1534372C"/>
    <w:rsid w:val="153A7D3D"/>
    <w:rsid w:val="154A6454"/>
    <w:rsid w:val="15762120"/>
    <w:rsid w:val="168E50BE"/>
    <w:rsid w:val="16A8729C"/>
    <w:rsid w:val="16B234A2"/>
    <w:rsid w:val="16B33777"/>
    <w:rsid w:val="16BC70A7"/>
    <w:rsid w:val="16C6339E"/>
    <w:rsid w:val="16CB6312"/>
    <w:rsid w:val="17125CEF"/>
    <w:rsid w:val="172F2D79"/>
    <w:rsid w:val="17557BEF"/>
    <w:rsid w:val="17B46DA6"/>
    <w:rsid w:val="17D349C1"/>
    <w:rsid w:val="17F26B38"/>
    <w:rsid w:val="17FA27F7"/>
    <w:rsid w:val="1830729E"/>
    <w:rsid w:val="183E3860"/>
    <w:rsid w:val="1870062C"/>
    <w:rsid w:val="18730A0F"/>
    <w:rsid w:val="18817102"/>
    <w:rsid w:val="18830A15"/>
    <w:rsid w:val="18852B28"/>
    <w:rsid w:val="188B5321"/>
    <w:rsid w:val="18B03A11"/>
    <w:rsid w:val="18B319A9"/>
    <w:rsid w:val="191E6BCD"/>
    <w:rsid w:val="196B7938"/>
    <w:rsid w:val="19932372"/>
    <w:rsid w:val="19A20DD5"/>
    <w:rsid w:val="19A47FAA"/>
    <w:rsid w:val="19AE03F1"/>
    <w:rsid w:val="1A071A03"/>
    <w:rsid w:val="1A1F16AE"/>
    <w:rsid w:val="1A3B5C77"/>
    <w:rsid w:val="1A674D30"/>
    <w:rsid w:val="1A984BAD"/>
    <w:rsid w:val="1AB8220E"/>
    <w:rsid w:val="1AC11F06"/>
    <w:rsid w:val="1AE4166C"/>
    <w:rsid w:val="1AF06CFB"/>
    <w:rsid w:val="1AF11B8D"/>
    <w:rsid w:val="1B022F94"/>
    <w:rsid w:val="1B102545"/>
    <w:rsid w:val="1B11359C"/>
    <w:rsid w:val="1B2A271F"/>
    <w:rsid w:val="1B2E0C1E"/>
    <w:rsid w:val="1B345D42"/>
    <w:rsid w:val="1B45447D"/>
    <w:rsid w:val="1B530544"/>
    <w:rsid w:val="1B6145F3"/>
    <w:rsid w:val="1B713184"/>
    <w:rsid w:val="1B732ED7"/>
    <w:rsid w:val="1BA209CF"/>
    <w:rsid w:val="1BB4777D"/>
    <w:rsid w:val="1BD75AB8"/>
    <w:rsid w:val="1BE16C86"/>
    <w:rsid w:val="1BED2887"/>
    <w:rsid w:val="1C0459C2"/>
    <w:rsid w:val="1C1B3B4A"/>
    <w:rsid w:val="1C33473D"/>
    <w:rsid w:val="1C6A3ED7"/>
    <w:rsid w:val="1C7A5C28"/>
    <w:rsid w:val="1C88086E"/>
    <w:rsid w:val="1CBD66FD"/>
    <w:rsid w:val="1CCB72A4"/>
    <w:rsid w:val="1D266CE1"/>
    <w:rsid w:val="1D2D73DF"/>
    <w:rsid w:val="1D3963AF"/>
    <w:rsid w:val="1D412E8A"/>
    <w:rsid w:val="1D6A673C"/>
    <w:rsid w:val="1D9247AE"/>
    <w:rsid w:val="1DB567EC"/>
    <w:rsid w:val="1DD925F6"/>
    <w:rsid w:val="1DEB4F9C"/>
    <w:rsid w:val="1DF51A98"/>
    <w:rsid w:val="1E0068A1"/>
    <w:rsid w:val="1E193E07"/>
    <w:rsid w:val="1E3073D1"/>
    <w:rsid w:val="1E3D060F"/>
    <w:rsid w:val="1E3F7D2E"/>
    <w:rsid w:val="1E4134E4"/>
    <w:rsid w:val="1E5062B3"/>
    <w:rsid w:val="1E523514"/>
    <w:rsid w:val="1E714A66"/>
    <w:rsid w:val="1E7E67F1"/>
    <w:rsid w:val="1E802593"/>
    <w:rsid w:val="1EA55954"/>
    <w:rsid w:val="1EA703CC"/>
    <w:rsid w:val="1EB7330C"/>
    <w:rsid w:val="1EC024D4"/>
    <w:rsid w:val="1ED85A70"/>
    <w:rsid w:val="1F0A0FF3"/>
    <w:rsid w:val="1F5771FF"/>
    <w:rsid w:val="1F611967"/>
    <w:rsid w:val="1FBC0EEE"/>
    <w:rsid w:val="1FC3402A"/>
    <w:rsid w:val="1FE868A9"/>
    <w:rsid w:val="20000B35"/>
    <w:rsid w:val="20034907"/>
    <w:rsid w:val="20173E4B"/>
    <w:rsid w:val="204E48BC"/>
    <w:rsid w:val="206F41B2"/>
    <w:rsid w:val="20825C88"/>
    <w:rsid w:val="208921B3"/>
    <w:rsid w:val="20973DEB"/>
    <w:rsid w:val="20B26522"/>
    <w:rsid w:val="20B44310"/>
    <w:rsid w:val="211116EB"/>
    <w:rsid w:val="215755ED"/>
    <w:rsid w:val="216133FC"/>
    <w:rsid w:val="21AD48BF"/>
    <w:rsid w:val="21C53505"/>
    <w:rsid w:val="21D56769"/>
    <w:rsid w:val="21E5189B"/>
    <w:rsid w:val="21E52EF3"/>
    <w:rsid w:val="21FB5D7B"/>
    <w:rsid w:val="220B1C3D"/>
    <w:rsid w:val="22164A42"/>
    <w:rsid w:val="221D1D20"/>
    <w:rsid w:val="2221328A"/>
    <w:rsid w:val="22334A87"/>
    <w:rsid w:val="22B002C2"/>
    <w:rsid w:val="22BE6801"/>
    <w:rsid w:val="22F73C42"/>
    <w:rsid w:val="22FD7598"/>
    <w:rsid w:val="230E380E"/>
    <w:rsid w:val="231436FB"/>
    <w:rsid w:val="231921B3"/>
    <w:rsid w:val="233500BF"/>
    <w:rsid w:val="23377FF7"/>
    <w:rsid w:val="234C4337"/>
    <w:rsid w:val="234D018A"/>
    <w:rsid w:val="236B425F"/>
    <w:rsid w:val="23827D58"/>
    <w:rsid w:val="23836192"/>
    <w:rsid w:val="23901F29"/>
    <w:rsid w:val="239B0E1A"/>
    <w:rsid w:val="239C0061"/>
    <w:rsid w:val="23B908A4"/>
    <w:rsid w:val="23E95BEF"/>
    <w:rsid w:val="23EB7FF4"/>
    <w:rsid w:val="23FD0064"/>
    <w:rsid w:val="245375B0"/>
    <w:rsid w:val="24642C0A"/>
    <w:rsid w:val="24B22173"/>
    <w:rsid w:val="24B95AD9"/>
    <w:rsid w:val="24BE24DA"/>
    <w:rsid w:val="24C85C3F"/>
    <w:rsid w:val="24CF5825"/>
    <w:rsid w:val="24D663E6"/>
    <w:rsid w:val="24D77F2B"/>
    <w:rsid w:val="24E72C1F"/>
    <w:rsid w:val="24F84776"/>
    <w:rsid w:val="251E1FFF"/>
    <w:rsid w:val="252512E3"/>
    <w:rsid w:val="25382DC5"/>
    <w:rsid w:val="2564005E"/>
    <w:rsid w:val="258B00E2"/>
    <w:rsid w:val="258C4EBE"/>
    <w:rsid w:val="2590022A"/>
    <w:rsid w:val="25A917A6"/>
    <w:rsid w:val="25BE27CC"/>
    <w:rsid w:val="25E116AE"/>
    <w:rsid w:val="25E4596E"/>
    <w:rsid w:val="25F74A5C"/>
    <w:rsid w:val="2628662C"/>
    <w:rsid w:val="262D45DE"/>
    <w:rsid w:val="26383433"/>
    <w:rsid w:val="26415CA9"/>
    <w:rsid w:val="264419D6"/>
    <w:rsid w:val="267B61AB"/>
    <w:rsid w:val="26A53EF9"/>
    <w:rsid w:val="26A94201"/>
    <w:rsid w:val="26AA5F44"/>
    <w:rsid w:val="26AC274F"/>
    <w:rsid w:val="26CA17A3"/>
    <w:rsid w:val="26EE7EFE"/>
    <w:rsid w:val="27044A29"/>
    <w:rsid w:val="271433BD"/>
    <w:rsid w:val="271D34C8"/>
    <w:rsid w:val="274D5177"/>
    <w:rsid w:val="276142BF"/>
    <w:rsid w:val="276703C3"/>
    <w:rsid w:val="27725098"/>
    <w:rsid w:val="27783712"/>
    <w:rsid w:val="27907362"/>
    <w:rsid w:val="279C3009"/>
    <w:rsid w:val="27B57AFE"/>
    <w:rsid w:val="27E014F2"/>
    <w:rsid w:val="27E6523A"/>
    <w:rsid w:val="27EF7920"/>
    <w:rsid w:val="27FC632B"/>
    <w:rsid w:val="282D51B1"/>
    <w:rsid w:val="28333E1D"/>
    <w:rsid w:val="28454BD6"/>
    <w:rsid w:val="28455253"/>
    <w:rsid w:val="28551971"/>
    <w:rsid w:val="285B1C53"/>
    <w:rsid w:val="287D3B77"/>
    <w:rsid w:val="28926C90"/>
    <w:rsid w:val="289F7086"/>
    <w:rsid w:val="28AF46FE"/>
    <w:rsid w:val="28C32028"/>
    <w:rsid w:val="28C7479F"/>
    <w:rsid w:val="28CC490F"/>
    <w:rsid w:val="28D10C1C"/>
    <w:rsid w:val="28DE40AA"/>
    <w:rsid w:val="29345E77"/>
    <w:rsid w:val="294C65AD"/>
    <w:rsid w:val="29542CFA"/>
    <w:rsid w:val="295F68EE"/>
    <w:rsid w:val="29806583"/>
    <w:rsid w:val="298B3C4C"/>
    <w:rsid w:val="299B2824"/>
    <w:rsid w:val="29AC3D81"/>
    <w:rsid w:val="29F15C38"/>
    <w:rsid w:val="29F26D24"/>
    <w:rsid w:val="29F82B12"/>
    <w:rsid w:val="2A007C29"/>
    <w:rsid w:val="2A15033F"/>
    <w:rsid w:val="2A1662C1"/>
    <w:rsid w:val="2A187669"/>
    <w:rsid w:val="2A1C7367"/>
    <w:rsid w:val="2A1D6A2D"/>
    <w:rsid w:val="2A2815FA"/>
    <w:rsid w:val="2A6D6092"/>
    <w:rsid w:val="2A7D76B4"/>
    <w:rsid w:val="2A8D1F07"/>
    <w:rsid w:val="2AAD3CB8"/>
    <w:rsid w:val="2AEF3F25"/>
    <w:rsid w:val="2B437463"/>
    <w:rsid w:val="2B7807EE"/>
    <w:rsid w:val="2BBE1B4A"/>
    <w:rsid w:val="2BBF00EC"/>
    <w:rsid w:val="2BC37CFD"/>
    <w:rsid w:val="2BD5237F"/>
    <w:rsid w:val="2BE536CE"/>
    <w:rsid w:val="2BE758D9"/>
    <w:rsid w:val="2C09049E"/>
    <w:rsid w:val="2C0A653C"/>
    <w:rsid w:val="2C191F85"/>
    <w:rsid w:val="2C1945BB"/>
    <w:rsid w:val="2C3D7F30"/>
    <w:rsid w:val="2C451DAB"/>
    <w:rsid w:val="2C7426D2"/>
    <w:rsid w:val="2C7A3CC3"/>
    <w:rsid w:val="2C841377"/>
    <w:rsid w:val="2C9F7BCD"/>
    <w:rsid w:val="2CE82D6F"/>
    <w:rsid w:val="2D343236"/>
    <w:rsid w:val="2DA3549B"/>
    <w:rsid w:val="2DA74F8B"/>
    <w:rsid w:val="2DC03B59"/>
    <w:rsid w:val="2DD15014"/>
    <w:rsid w:val="2DE71976"/>
    <w:rsid w:val="2DF72DE4"/>
    <w:rsid w:val="2E0220AF"/>
    <w:rsid w:val="2E0777D8"/>
    <w:rsid w:val="2E4B082A"/>
    <w:rsid w:val="2E5D4E86"/>
    <w:rsid w:val="2E5D790B"/>
    <w:rsid w:val="2E6B420B"/>
    <w:rsid w:val="2E9A3C18"/>
    <w:rsid w:val="2EBB0FEE"/>
    <w:rsid w:val="2EC63002"/>
    <w:rsid w:val="2F0A6B38"/>
    <w:rsid w:val="2F6D7037"/>
    <w:rsid w:val="2F946CCB"/>
    <w:rsid w:val="2FC75471"/>
    <w:rsid w:val="2FD25781"/>
    <w:rsid w:val="2FDE5E55"/>
    <w:rsid w:val="2FE63DAE"/>
    <w:rsid w:val="2FFD7934"/>
    <w:rsid w:val="30224BA5"/>
    <w:rsid w:val="304E16EE"/>
    <w:rsid w:val="30546081"/>
    <w:rsid w:val="30733ACD"/>
    <w:rsid w:val="30754DF6"/>
    <w:rsid w:val="307750E9"/>
    <w:rsid w:val="308C3862"/>
    <w:rsid w:val="309379D8"/>
    <w:rsid w:val="30970232"/>
    <w:rsid w:val="30A270F7"/>
    <w:rsid w:val="30DF1478"/>
    <w:rsid w:val="30EC586F"/>
    <w:rsid w:val="311F308B"/>
    <w:rsid w:val="31327262"/>
    <w:rsid w:val="31666F0B"/>
    <w:rsid w:val="319C6071"/>
    <w:rsid w:val="31A72DB0"/>
    <w:rsid w:val="31AC537E"/>
    <w:rsid w:val="31E3679B"/>
    <w:rsid w:val="31E53D94"/>
    <w:rsid w:val="31E732FD"/>
    <w:rsid w:val="32517576"/>
    <w:rsid w:val="32582CF8"/>
    <w:rsid w:val="32BE5C2C"/>
    <w:rsid w:val="32FB6478"/>
    <w:rsid w:val="33263B3F"/>
    <w:rsid w:val="336963EB"/>
    <w:rsid w:val="33784CD4"/>
    <w:rsid w:val="33816EEB"/>
    <w:rsid w:val="33C57F19"/>
    <w:rsid w:val="33EB55CD"/>
    <w:rsid w:val="33EC4C02"/>
    <w:rsid w:val="33FD7B69"/>
    <w:rsid w:val="340D2360"/>
    <w:rsid w:val="3410665D"/>
    <w:rsid w:val="34211214"/>
    <w:rsid w:val="342E63AB"/>
    <w:rsid w:val="34694A7D"/>
    <w:rsid w:val="347100A1"/>
    <w:rsid w:val="34950E68"/>
    <w:rsid w:val="34986E94"/>
    <w:rsid w:val="349D271D"/>
    <w:rsid w:val="34A0681D"/>
    <w:rsid w:val="34AF62C9"/>
    <w:rsid w:val="34C55706"/>
    <w:rsid w:val="34CB4388"/>
    <w:rsid w:val="34FA6E12"/>
    <w:rsid w:val="351D1FD7"/>
    <w:rsid w:val="3529272A"/>
    <w:rsid w:val="358D5588"/>
    <w:rsid w:val="35D73F34"/>
    <w:rsid w:val="36154A5C"/>
    <w:rsid w:val="363611DD"/>
    <w:rsid w:val="363A3B40"/>
    <w:rsid w:val="36401AD9"/>
    <w:rsid w:val="365302AE"/>
    <w:rsid w:val="36607A0A"/>
    <w:rsid w:val="366E227C"/>
    <w:rsid w:val="366F2E0D"/>
    <w:rsid w:val="367B6A5C"/>
    <w:rsid w:val="368D0A96"/>
    <w:rsid w:val="36A74ADA"/>
    <w:rsid w:val="36AD60D5"/>
    <w:rsid w:val="36B224F9"/>
    <w:rsid w:val="36E27034"/>
    <w:rsid w:val="36EC0CC9"/>
    <w:rsid w:val="37284B97"/>
    <w:rsid w:val="372E4027"/>
    <w:rsid w:val="373F410B"/>
    <w:rsid w:val="37495387"/>
    <w:rsid w:val="37730DDA"/>
    <w:rsid w:val="37841E99"/>
    <w:rsid w:val="37976071"/>
    <w:rsid w:val="37EE7094"/>
    <w:rsid w:val="38296C89"/>
    <w:rsid w:val="383002EB"/>
    <w:rsid w:val="38586797"/>
    <w:rsid w:val="385C2E16"/>
    <w:rsid w:val="38B37AA7"/>
    <w:rsid w:val="38BC0149"/>
    <w:rsid w:val="38D87D1C"/>
    <w:rsid w:val="39636459"/>
    <w:rsid w:val="396B7F6C"/>
    <w:rsid w:val="399B02E5"/>
    <w:rsid w:val="39A46823"/>
    <w:rsid w:val="39AD0063"/>
    <w:rsid w:val="39B417A9"/>
    <w:rsid w:val="39B60304"/>
    <w:rsid w:val="39C368B9"/>
    <w:rsid w:val="39FC5695"/>
    <w:rsid w:val="3A006D8E"/>
    <w:rsid w:val="3A3556CD"/>
    <w:rsid w:val="3A3651E5"/>
    <w:rsid w:val="3A744481"/>
    <w:rsid w:val="3A8C7BEF"/>
    <w:rsid w:val="3A906246"/>
    <w:rsid w:val="3AAF547F"/>
    <w:rsid w:val="3AF80E99"/>
    <w:rsid w:val="3AF93785"/>
    <w:rsid w:val="3B2349B7"/>
    <w:rsid w:val="3B3D42C0"/>
    <w:rsid w:val="3B616CFF"/>
    <w:rsid w:val="3B6259F6"/>
    <w:rsid w:val="3B976654"/>
    <w:rsid w:val="3BC01EFC"/>
    <w:rsid w:val="3BCA786A"/>
    <w:rsid w:val="3BD31E2F"/>
    <w:rsid w:val="3BDF7FE6"/>
    <w:rsid w:val="3BF15831"/>
    <w:rsid w:val="3C105946"/>
    <w:rsid w:val="3C154B1E"/>
    <w:rsid w:val="3C236125"/>
    <w:rsid w:val="3C471448"/>
    <w:rsid w:val="3C5F759A"/>
    <w:rsid w:val="3C650C6F"/>
    <w:rsid w:val="3C6C525A"/>
    <w:rsid w:val="3CA60B04"/>
    <w:rsid w:val="3CCE23CB"/>
    <w:rsid w:val="3CD17D17"/>
    <w:rsid w:val="3D3C7F39"/>
    <w:rsid w:val="3D440F09"/>
    <w:rsid w:val="3D4504A0"/>
    <w:rsid w:val="3D695DB9"/>
    <w:rsid w:val="3D8734BB"/>
    <w:rsid w:val="3D9A11D4"/>
    <w:rsid w:val="3DA16D89"/>
    <w:rsid w:val="3DA364BE"/>
    <w:rsid w:val="3DD13731"/>
    <w:rsid w:val="3DE041CB"/>
    <w:rsid w:val="3DF5589F"/>
    <w:rsid w:val="3E0D48F6"/>
    <w:rsid w:val="3E1868B4"/>
    <w:rsid w:val="3E377251"/>
    <w:rsid w:val="3E42664B"/>
    <w:rsid w:val="3E5A7334"/>
    <w:rsid w:val="3E792FCD"/>
    <w:rsid w:val="3E7B5D6B"/>
    <w:rsid w:val="3E843E66"/>
    <w:rsid w:val="3E8D1F7B"/>
    <w:rsid w:val="3E8F51FE"/>
    <w:rsid w:val="3E926F87"/>
    <w:rsid w:val="3E9A59DE"/>
    <w:rsid w:val="3EAF4836"/>
    <w:rsid w:val="3EC33DFA"/>
    <w:rsid w:val="3EC82FB3"/>
    <w:rsid w:val="3EDC58B7"/>
    <w:rsid w:val="3EFE69D5"/>
    <w:rsid w:val="3F060E16"/>
    <w:rsid w:val="3F1D1096"/>
    <w:rsid w:val="3F2F0234"/>
    <w:rsid w:val="3F3453F5"/>
    <w:rsid w:val="3F6363FE"/>
    <w:rsid w:val="3F756B8F"/>
    <w:rsid w:val="3F95482B"/>
    <w:rsid w:val="3FB83028"/>
    <w:rsid w:val="3FE73C89"/>
    <w:rsid w:val="3FFC6AA9"/>
    <w:rsid w:val="4019356B"/>
    <w:rsid w:val="40305CDD"/>
    <w:rsid w:val="4047615A"/>
    <w:rsid w:val="40592157"/>
    <w:rsid w:val="406E1CAE"/>
    <w:rsid w:val="40A0133A"/>
    <w:rsid w:val="40BF1232"/>
    <w:rsid w:val="40C31A53"/>
    <w:rsid w:val="40C7284E"/>
    <w:rsid w:val="40FF545D"/>
    <w:rsid w:val="410067C8"/>
    <w:rsid w:val="418F0D2A"/>
    <w:rsid w:val="41D01505"/>
    <w:rsid w:val="41DD6D76"/>
    <w:rsid w:val="422E7FD5"/>
    <w:rsid w:val="42474939"/>
    <w:rsid w:val="424C3C57"/>
    <w:rsid w:val="42613FF3"/>
    <w:rsid w:val="42660D96"/>
    <w:rsid w:val="427A45C5"/>
    <w:rsid w:val="428667D2"/>
    <w:rsid w:val="428D6AB0"/>
    <w:rsid w:val="42901043"/>
    <w:rsid w:val="429A6A15"/>
    <w:rsid w:val="42CD1CE0"/>
    <w:rsid w:val="42E1381E"/>
    <w:rsid w:val="42ED6459"/>
    <w:rsid w:val="42FE58DD"/>
    <w:rsid w:val="43174B3D"/>
    <w:rsid w:val="434B790E"/>
    <w:rsid w:val="4360274F"/>
    <w:rsid w:val="4397230F"/>
    <w:rsid w:val="43977AB6"/>
    <w:rsid w:val="439D67BD"/>
    <w:rsid w:val="43A3342B"/>
    <w:rsid w:val="43C77C27"/>
    <w:rsid w:val="43DE09EE"/>
    <w:rsid w:val="43F4658F"/>
    <w:rsid w:val="44002FAD"/>
    <w:rsid w:val="442944F4"/>
    <w:rsid w:val="44416362"/>
    <w:rsid w:val="449101DD"/>
    <w:rsid w:val="44A479C5"/>
    <w:rsid w:val="44DE1391"/>
    <w:rsid w:val="451B225C"/>
    <w:rsid w:val="452410C9"/>
    <w:rsid w:val="45317DFB"/>
    <w:rsid w:val="45356766"/>
    <w:rsid w:val="45497F02"/>
    <w:rsid w:val="4554062E"/>
    <w:rsid w:val="456D3CE4"/>
    <w:rsid w:val="4579042C"/>
    <w:rsid w:val="457F0571"/>
    <w:rsid w:val="45851176"/>
    <w:rsid w:val="45C63B94"/>
    <w:rsid w:val="45CC5137"/>
    <w:rsid w:val="460E7DA5"/>
    <w:rsid w:val="4629258A"/>
    <w:rsid w:val="4642004E"/>
    <w:rsid w:val="46422483"/>
    <w:rsid w:val="4659254A"/>
    <w:rsid w:val="465B0637"/>
    <w:rsid w:val="465E3F0D"/>
    <w:rsid w:val="466A16E6"/>
    <w:rsid w:val="46893F2B"/>
    <w:rsid w:val="46A57943"/>
    <w:rsid w:val="46AB5755"/>
    <w:rsid w:val="46C4686E"/>
    <w:rsid w:val="46CB1893"/>
    <w:rsid w:val="46DB4B23"/>
    <w:rsid w:val="47295AED"/>
    <w:rsid w:val="47380B78"/>
    <w:rsid w:val="477B778F"/>
    <w:rsid w:val="478203EC"/>
    <w:rsid w:val="47B025FA"/>
    <w:rsid w:val="4809698F"/>
    <w:rsid w:val="480E77C6"/>
    <w:rsid w:val="4811697D"/>
    <w:rsid w:val="48375B97"/>
    <w:rsid w:val="4853140F"/>
    <w:rsid w:val="485756B9"/>
    <w:rsid w:val="487A3E25"/>
    <w:rsid w:val="488B5503"/>
    <w:rsid w:val="48937E21"/>
    <w:rsid w:val="489A0361"/>
    <w:rsid w:val="48B819A3"/>
    <w:rsid w:val="48B94FF3"/>
    <w:rsid w:val="48CE566A"/>
    <w:rsid w:val="48E37AAB"/>
    <w:rsid w:val="48FD4B4C"/>
    <w:rsid w:val="490A68E0"/>
    <w:rsid w:val="491055FE"/>
    <w:rsid w:val="49441489"/>
    <w:rsid w:val="495F5B3E"/>
    <w:rsid w:val="496F77D7"/>
    <w:rsid w:val="497654FD"/>
    <w:rsid w:val="49A44E86"/>
    <w:rsid w:val="49B64211"/>
    <w:rsid w:val="49D85C1F"/>
    <w:rsid w:val="49F25388"/>
    <w:rsid w:val="49F6167F"/>
    <w:rsid w:val="49FD6207"/>
    <w:rsid w:val="4A064FA0"/>
    <w:rsid w:val="4A16615C"/>
    <w:rsid w:val="4A2B43F6"/>
    <w:rsid w:val="4A4424D7"/>
    <w:rsid w:val="4A6313CC"/>
    <w:rsid w:val="4AB82D0F"/>
    <w:rsid w:val="4AEB7664"/>
    <w:rsid w:val="4AFD7C19"/>
    <w:rsid w:val="4B0567D1"/>
    <w:rsid w:val="4B0E78A9"/>
    <w:rsid w:val="4B1B26BD"/>
    <w:rsid w:val="4B236AAE"/>
    <w:rsid w:val="4B306168"/>
    <w:rsid w:val="4B425E9C"/>
    <w:rsid w:val="4B555BCF"/>
    <w:rsid w:val="4B707271"/>
    <w:rsid w:val="4B7507FF"/>
    <w:rsid w:val="4B9739F7"/>
    <w:rsid w:val="4BE72211"/>
    <w:rsid w:val="4BEE2503"/>
    <w:rsid w:val="4C245A30"/>
    <w:rsid w:val="4C3A4F0D"/>
    <w:rsid w:val="4C6C1422"/>
    <w:rsid w:val="4C7D53DD"/>
    <w:rsid w:val="4CA71F8A"/>
    <w:rsid w:val="4CB45444"/>
    <w:rsid w:val="4CB6685F"/>
    <w:rsid w:val="4CC367FE"/>
    <w:rsid w:val="4D077F3C"/>
    <w:rsid w:val="4D0D7B68"/>
    <w:rsid w:val="4D123355"/>
    <w:rsid w:val="4D2A3B31"/>
    <w:rsid w:val="4D312C52"/>
    <w:rsid w:val="4D905305"/>
    <w:rsid w:val="4D964A72"/>
    <w:rsid w:val="4D9C1254"/>
    <w:rsid w:val="4DB23688"/>
    <w:rsid w:val="4DFA2A5E"/>
    <w:rsid w:val="4E0062C6"/>
    <w:rsid w:val="4E6342B9"/>
    <w:rsid w:val="4E793892"/>
    <w:rsid w:val="4E800872"/>
    <w:rsid w:val="4E8D55B7"/>
    <w:rsid w:val="4EC569ED"/>
    <w:rsid w:val="4ED50EA1"/>
    <w:rsid w:val="4EEA4880"/>
    <w:rsid w:val="4EEC050C"/>
    <w:rsid w:val="4EF63225"/>
    <w:rsid w:val="4F104EC3"/>
    <w:rsid w:val="4F18038A"/>
    <w:rsid w:val="4F2644BE"/>
    <w:rsid w:val="4F3D0F3C"/>
    <w:rsid w:val="4F47354A"/>
    <w:rsid w:val="4F662DF2"/>
    <w:rsid w:val="4F911C54"/>
    <w:rsid w:val="4FE625E0"/>
    <w:rsid w:val="5021480F"/>
    <w:rsid w:val="50615DCE"/>
    <w:rsid w:val="506509A4"/>
    <w:rsid w:val="50962ECB"/>
    <w:rsid w:val="50A42E38"/>
    <w:rsid w:val="50A4577F"/>
    <w:rsid w:val="50B250DE"/>
    <w:rsid w:val="50B73D1F"/>
    <w:rsid w:val="50BD5BC9"/>
    <w:rsid w:val="50C11EEE"/>
    <w:rsid w:val="50E97CFC"/>
    <w:rsid w:val="50FA4028"/>
    <w:rsid w:val="510D65B7"/>
    <w:rsid w:val="511157AB"/>
    <w:rsid w:val="511A0A84"/>
    <w:rsid w:val="511F2F07"/>
    <w:rsid w:val="512B5A23"/>
    <w:rsid w:val="5142540C"/>
    <w:rsid w:val="518832C8"/>
    <w:rsid w:val="518A4659"/>
    <w:rsid w:val="51A0432A"/>
    <w:rsid w:val="51A86090"/>
    <w:rsid w:val="51B7396D"/>
    <w:rsid w:val="51CC4711"/>
    <w:rsid w:val="51F7178E"/>
    <w:rsid w:val="51FF3797"/>
    <w:rsid w:val="52020133"/>
    <w:rsid w:val="52147599"/>
    <w:rsid w:val="522E4CC3"/>
    <w:rsid w:val="5244713B"/>
    <w:rsid w:val="52615633"/>
    <w:rsid w:val="5296022B"/>
    <w:rsid w:val="52977FD4"/>
    <w:rsid w:val="52A25790"/>
    <w:rsid w:val="52A96B6F"/>
    <w:rsid w:val="52AC2512"/>
    <w:rsid w:val="52B45975"/>
    <w:rsid w:val="52D94AA4"/>
    <w:rsid w:val="52EA3A62"/>
    <w:rsid w:val="52F50BB8"/>
    <w:rsid w:val="53097272"/>
    <w:rsid w:val="532742F5"/>
    <w:rsid w:val="53544462"/>
    <w:rsid w:val="536966BB"/>
    <w:rsid w:val="536B49B0"/>
    <w:rsid w:val="53794425"/>
    <w:rsid w:val="5397158E"/>
    <w:rsid w:val="54013861"/>
    <w:rsid w:val="54203CF6"/>
    <w:rsid w:val="54487265"/>
    <w:rsid w:val="544D6070"/>
    <w:rsid w:val="54605E1E"/>
    <w:rsid w:val="54790B80"/>
    <w:rsid w:val="54855F02"/>
    <w:rsid w:val="54B3506A"/>
    <w:rsid w:val="54CA0D16"/>
    <w:rsid w:val="54D9517B"/>
    <w:rsid w:val="54DD4057"/>
    <w:rsid w:val="54E7490F"/>
    <w:rsid w:val="550764A4"/>
    <w:rsid w:val="550B2BF6"/>
    <w:rsid w:val="55101466"/>
    <w:rsid w:val="55214EB5"/>
    <w:rsid w:val="55364EFD"/>
    <w:rsid w:val="555D4828"/>
    <w:rsid w:val="557A4C8B"/>
    <w:rsid w:val="558931E1"/>
    <w:rsid w:val="55923347"/>
    <w:rsid w:val="55925180"/>
    <w:rsid w:val="55983B1B"/>
    <w:rsid w:val="55A8376B"/>
    <w:rsid w:val="55DC29B6"/>
    <w:rsid w:val="55DD4241"/>
    <w:rsid w:val="561B0185"/>
    <w:rsid w:val="564725B8"/>
    <w:rsid w:val="56521E02"/>
    <w:rsid w:val="566B6D1E"/>
    <w:rsid w:val="566F6A65"/>
    <w:rsid w:val="56814847"/>
    <w:rsid w:val="56867584"/>
    <w:rsid w:val="56A417B8"/>
    <w:rsid w:val="56B04601"/>
    <w:rsid w:val="57032A2C"/>
    <w:rsid w:val="570F5219"/>
    <w:rsid w:val="571E59B2"/>
    <w:rsid w:val="57437223"/>
    <w:rsid w:val="575D12B5"/>
    <w:rsid w:val="57610A87"/>
    <w:rsid w:val="5772567E"/>
    <w:rsid w:val="577B1140"/>
    <w:rsid w:val="577B7F21"/>
    <w:rsid w:val="577F181B"/>
    <w:rsid w:val="5788576C"/>
    <w:rsid w:val="57921984"/>
    <w:rsid w:val="579737F0"/>
    <w:rsid w:val="57A429A4"/>
    <w:rsid w:val="57AB7B30"/>
    <w:rsid w:val="57AF5251"/>
    <w:rsid w:val="57B26373"/>
    <w:rsid w:val="57B63F04"/>
    <w:rsid w:val="57CD20C2"/>
    <w:rsid w:val="57D675AB"/>
    <w:rsid w:val="57D95FDD"/>
    <w:rsid w:val="57EF678B"/>
    <w:rsid w:val="58044C05"/>
    <w:rsid w:val="58210955"/>
    <w:rsid w:val="58917D2F"/>
    <w:rsid w:val="5894085C"/>
    <w:rsid w:val="58AE4F0C"/>
    <w:rsid w:val="58B02697"/>
    <w:rsid w:val="58B33F35"/>
    <w:rsid w:val="58B85899"/>
    <w:rsid w:val="58E363A9"/>
    <w:rsid w:val="59162E41"/>
    <w:rsid w:val="595E1678"/>
    <w:rsid w:val="596D5BD4"/>
    <w:rsid w:val="597E3DD8"/>
    <w:rsid w:val="59896FA9"/>
    <w:rsid w:val="59A26483"/>
    <w:rsid w:val="59A32035"/>
    <w:rsid w:val="59B85CA7"/>
    <w:rsid w:val="59F80043"/>
    <w:rsid w:val="5A09252F"/>
    <w:rsid w:val="5A0B2778"/>
    <w:rsid w:val="5A2A7C7B"/>
    <w:rsid w:val="5A2C0443"/>
    <w:rsid w:val="5A3E2560"/>
    <w:rsid w:val="5A445628"/>
    <w:rsid w:val="5A5D3B6E"/>
    <w:rsid w:val="5A637A76"/>
    <w:rsid w:val="5A6D33BA"/>
    <w:rsid w:val="5A792B1F"/>
    <w:rsid w:val="5A874767"/>
    <w:rsid w:val="5A937721"/>
    <w:rsid w:val="5A987886"/>
    <w:rsid w:val="5AAD6F28"/>
    <w:rsid w:val="5AD63A24"/>
    <w:rsid w:val="5ADE798F"/>
    <w:rsid w:val="5AF002EE"/>
    <w:rsid w:val="5B1909C7"/>
    <w:rsid w:val="5B2E1A1D"/>
    <w:rsid w:val="5B815DA7"/>
    <w:rsid w:val="5B843A1C"/>
    <w:rsid w:val="5B873E3F"/>
    <w:rsid w:val="5BCB3758"/>
    <w:rsid w:val="5BFB631F"/>
    <w:rsid w:val="5C02690E"/>
    <w:rsid w:val="5C196DA7"/>
    <w:rsid w:val="5C2A048C"/>
    <w:rsid w:val="5C2D0C63"/>
    <w:rsid w:val="5C80234E"/>
    <w:rsid w:val="5C8A680C"/>
    <w:rsid w:val="5C904CB9"/>
    <w:rsid w:val="5CA644DC"/>
    <w:rsid w:val="5CBE6B97"/>
    <w:rsid w:val="5CDE3C1A"/>
    <w:rsid w:val="5CFD5EAA"/>
    <w:rsid w:val="5D016F91"/>
    <w:rsid w:val="5D094A6B"/>
    <w:rsid w:val="5D0C4701"/>
    <w:rsid w:val="5D0F0395"/>
    <w:rsid w:val="5D221076"/>
    <w:rsid w:val="5D397964"/>
    <w:rsid w:val="5D5A391C"/>
    <w:rsid w:val="5D5F10C0"/>
    <w:rsid w:val="5D891B7B"/>
    <w:rsid w:val="5D997B9D"/>
    <w:rsid w:val="5DAD38EE"/>
    <w:rsid w:val="5E006862"/>
    <w:rsid w:val="5E0207B9"/>
    <w:rsid w:val="5E0B6773"/>
    <w:rsid w:val="5E1834A1"/>
    <w:rsid w:val="5E261785"/>
    <w:rsid w:val="5E266C2D"/>
    <w:rsid w:val="5E4A7017"/>
    <w:rsid w:val="5E552BBA"/>
    <w:rsid w:val="5E611C10"/>
    <w:rsid w:val="5E8545C5"/>
    <w:rsid w:val="5E9112E5"/>
    <w:rsid w:val="5ED25D4D"/>
    <w:rsid w:val="5EDF0F7C"/>
    <w:rsid w:val="5EFC7377"/>
    <w:rsid w:val="5F005345"/>
    <w:rsid w:val="5F04138D"/>
    <w:rsid w:val="5F06174D"/>
    <w:rsid w:val="5F13397F"/>
    <w:rsid w:val="5F3A3602"/>
    <w:rsid w:val="5F3C4C84"/>
    <w:rsid w:val="5F6277C6"/>
    <w:rsid w:val="5F6D0B1D"/>
    <w:rsid w:val="5F8D0B82"/>
    <w:rsid w:val="5FA42829"/>
    <w:rsid w:val="5FCC5339"/>
    <w:rsid w:val="5FDA6D66"/>
    <w:rsid w:val="5FE34A5B"/>
    <w:rsid w:val="5FFE1E36"/>
    <w:rsid w:val="60232584"/>
    <w:rsid w:val="607330CE"/>
    <w:rsid w:val="607C75A8"/>
    <w:rsid w:val="60825176"/>
    <w:rsid w:val="608F56D7"/>
    <w:rsid w:val="609F2AC4"/>
    <w:rsid w:val="60AF1486"/>
    <w:rsid w:val="60FA2EE8"/>
    <w:rsid w:val="61054A27"/>
    <w:rsid w:val="610712C2"/>
    <w:rsid w:val="610A52BC"/>
    <w:rsid w:val="611D2366"/>
    <w:rsid w:val="61421856"/>
    <w:rsid w:val="615227C4"/>
    <w:rsid w:val="61641C99"/>
    <w:rsid w:val="61654E3F"/>
    <w:rsid w:val="6182292A"/>
    <w:rsid w:val="619F7F92"/>
    <w:rsid w:val="61A82AA5"/>
    <w:rsid w:val="61E93A54"/>
    <w:rsid w:val="61F57638"/>
    <w:rsid w:val="61F94C26"/>
    <w:rsid w:val="61FA4982"/>
    <w:rsid w:val="62000E56"/>
    <w:rsid w:val="624F3E49"/>
    <w:rsid w:val="62507252"/>
    <w:rsid w:val="62632286"/>
    <w:rsid w:val="62885958"/>
    <w:rsid w:val="629552F2"/>
    <w:rsid w:val="62DE6052"/>
    <w:rsid w:val="62E47B0C"/>
    <w:rsid w:val="62F40B65"/>
    <w:rsid w:val="62FC2CFE"/>
    <w:rsid w:val="63024505"/>
    <w:rsid w:val="6315263E"/>
    <w:rsid w:val="632223E3"/>
    <w:rsid w:val="633D5518"/>
    <w:rsid w:val="635B1DB5"/>
    <w:rsid w:val="636724EC"/>
    <w:rsid w:val="63711FED"/>
    <w:rsid w:val="63880DDC"/>
    <w:rsid w:val="638D750D"/>
    <w:rsid w:val="63AC6CC0"/>
    <w:rsid w:val="63B15515"/>
    <w:rsid w:val="63BC0727"/>
    <w:rsid w:val="63BF738F"/>
    <w:rsid w:val="64055776"/>
    <w:rsid w:val="64240056"/>
    <w:rsid w:val="64364A68"/>
    <w:rsid w:val="643E143A"/>
    <w:rsid w:val="6472739A"/>
    <w:rsid w:val="64774C83"/>
    <w:rsid w:val="648B6EEF"/>
    <w:rsid w:val="64C158BF"/>
    <w:rsid w:val="64C70065"/>
    <w:rsid w:val="64CE2EAA"/>
    <w:rsid w:val="64E9731B"/>
    <w:rsid w:val="653C3090"/>
    <w:rsid w:val="656211BC"/>
    <w:rsid w:val="65767CBF"/>
    <w:rsid w:val="65854376"/>
    <w:rsid w:val="658767BE"/>
    <w:rsid w:val="65892531"/>
    <w:rsid w:val="65D93276"/>
    <w:rsid w:val="660C143C"/>
    <w:rsid w:val="66195831"/>
    <w:rsid w:val="662E75B1"/>
    <w:rsid w:val="66342C2E"/>
    <w:rsid w:val="663E784C"/>
    <w:rsid w:val="668B6A45"/>
    <w:rsid w:val="66B6356E"/>
    <w:rsid w:val="66CA0DC7"/>
    <w:rsid w:val="67157571"/>
    <w:rsid w:val="672F3F24"/>
    <w:rsid w:val="673E055F"/>
    <w:rsid w:val="67551CE3"/>
    <w:rsid w:val="679B231C"/>
    <w:rsid w:val="67A22552"/>
    <w:rsid w:val="67B22DCC"/>
    <w:rsid w:val="67BE71AA"/>
    <w:rsid w:val="67D90273"/>
    <w:rsid w:val="67DE5875"/>
    <w:rsid w:val="67E55852"/>
    <w:rsid w:val="67EB1AB4"/>
    <w:rsid w:val="67F87BB6"/>
    <w:rsid w:val="67FA1285"/>
    <w:rsid w:val="68507F81"/>
    <w:rsid w:val="68551F4F"/>
    <w:rsid w:val="686E384F"/>
    <w:rsid w:val="68774F7F"/>
    <w:rsid w:val="687C10C9"/>
    <w:rsid w:val="68840C16"/>
    <w:rsid w:val="68876EFB"/>
    <w:rsid w:val="68884654"/>
    <w:rsid w:val="689915C3"/>
    <w:rsid w:val="689F444F"/>
    <w:rsid w:val="68B96DBB"/>
    <w:rsid w:val="68CA2805"/>
    <w:rsid w:val="68E937A3"/>
    <w:rsid w:val="693E15D3"/>
    <w:rsid w:val="69627681"/>
    <w:rsid w:val="6977531D"/>
    <w:rsid w:val="69822647"/>
    <w:rsid w:val="69BE2739"/>
    <w:rsid w:val="69C85C24"/>
    <w:rsid w:val="69CC2BFF"/>
    <w:rsid w:val="69FD55B8"/>
    <w:rsid w:val="6A0B1C62"/>
    <w:rsid w:val="6A2406C8"/>
    <w:rsid w:val="6A294057"/>
    <w:rsid w:val="6A4160F7"/>
    <w:rsid w:val="6A9E6E89"/>
    <w:rsid w:val="6ADE0BD1"/>
    <w:rsid w:val="6AE96859"/>
    <w:rsid w:val="6B147746"/>
    <w:rsid w:val="6B24787C"/>
    <w:rsid w:val="6B4A616F"/>
    <w:rsid w:val="6B573233"/>
    <w:rsid w:val="6B5B6274"/>
    <w:rsid w:val="6B601CFA"/>
    <w:rsid w:val="6B935D53"/>
    <w:rsid w:val="6B9F1A7E"/>
    <w:rsid w:val="6C196F71"/>
    <w:rsid w:val="6C226FCB"/>
    <w:rsid w:val="6C2A0FC0"/>
    <w:rsid w:val="6C31226F"/>
    <w:rsid w:val="6C552F0B"/>
    <w:rsid w:val="6C624D29"/>
    <w:rsid w:val="6C631E53"/>
    <w:rsid w:val="6C8C67B7"/>
    <w:rsid w:val="6C9D744C"/>
    <w:rsid w:val="6CAD4C26"/>
    <w:rsid w:val="6D167928"/>
    <w:rsid w:val="6D1D0745"/>
    <w:rsid w:val="6D26299B"/>
    <w:rsid w:val="6D4772EC"/>
    <w:rsid w:val="6D4C69DA"/>
    <w:rsid w:val="6D6249EE"/>
    <w:rsid w:val="6D714693"/>
    <w:rsid w:val="6D8A5754"/>
    <w:rsid w:val="6D9078AF"/>
    <w:rsid w:val="6DAA3FEF"/>
    <w:rsid w:val="6DC0172B"/>
    <w:rsid w:val="6DCB690C"/>
    <w:rsid w:val="6DD41A5B"/>
    <w:rsid w:val="6DE468C8"/>
    <w:rsid w:val="6DF43C2E"/>
    <w:rsid w:val="6DF51CA3"/>
    <w:rsid w:val="6E1E719C"/>
    <w:rsid w:val="6E8335BD"/>
    <w:rsid w:val="6E8E12EF"/>
    <w:rsid w:val="6E972936"/>
    <w:rsid w:val="6EA2087C"/>
    <w:rsid w:val="6EB65595"/>
    <w:rsid w:val="6ED446C5"/>
    <w:rsid w:val="6F1A6664"/>
    <w:rsid w:val="6F2A7D94"/>
    <w:rsid w:val="6F8331F1"/>
    <w:rsid w:val="6FAE1A09"/>
    <w:rsid w:val="6FD75BF8"/>
    <w:rsid w:val="707723D0"/>
    <w:rsid w:val="70783BE2"/>
    <w:rsid w:val="708466AB"/>
    <w:rsid w:val="70AA3C49"/>
    <w:rsid w:val="70DF1913"/>
    <w:rsid w:val="70F5661B"/>
    <w:rsid w:val="70FB773A"/>
    <w:rsid w:val="7100460E"/>
    <w:rsid w:val="71360107"/>
    <w:rsid w:val="713B688E"/>
    <w:rsid w:val="71D43752"/>
    <w:rsid w:val="71DB032D"/>
    <w:rsid w:val="71F1796A"/>
    <w:rsid w:val="72154626"/>
    <w:rsid w:val="72262B5D"/>
    <w:rsid w:val="72283FF7"/>
    <w:rsid w:val="722E7212"/>
    <w:rsid w:val="723A0474"/>
    <w:rsid w:val="724B4950"/>
    <w:rsid w:val="725923E4"/>
    <w:rsid w:val="726B7B33"/>
    <w:rsid w:val="72864BF7"/>
    <w:rsid w:val="729023FC"/>
    <w:rsid w:val="729130E1"/>
    <w:rsid w:val="72DE511D"/>
    <w:rsid w:val="732469F1"/>
    <w:rsid w:val="739F5A46"/>
    <w:rsid w:val="73C0646E"/>
    <w:rsid w:val="73F676A0"/>
    <w:rsid w:val="742222F5"/>
    <w:rsid w:val="74237BDB"/>
    <w:rsid w:val="74476126"/>
    <w:rsid w:val="745A0D15"/>
    <w:rsid w:val="74706664"/>
    <w:rsid w:val="747F3682"/>
    <w:rsid w:val="748C5DDE"/>
    <w:rsid w:val="74951ED7"/>
    <w:rsid w:val="749C4185"/>
    <w:rsid w:val="75067759"/>
    <w:rsid w:val="752E2E69"/>
    <w:rsid w:val="752E6DCD"/>
    <w:rsid w:val="7551380D"/>
    <w:rsid w:val="75523ECB"/>
    <w:rsid w:val="75600BE5"/>
    <w:rsid w:val="7564475C"/>
    <w:rsid w:val="757C7E77"/>
    <w:rsid w:val="7583797F"/>
    <w:rsid w:val="75970A0E"/>
    <w:rsid w:val="759E3629"/>
    <w:rsid w:val="75D20F1D"/>
    <w:rsid w:val="75DA2C18"/>
    <w:rsid w:val="75F54412"/>
    <w:rsid w:val="75F96FD3"/>
    <w:rsid w:val="761072A4"/>
    <w:rsid w:val="761D08E0"/>
    <w:rsid w:val="7621652A"/>
    <w:rsid w:val="762322A2"/>
    <w:rsid w:val="762D4ECF"/>
    <w:rsid w:val="765D347C"/>
    <w:rsid w:val="76826699"/>
    <w:rsid w:val="76C87133"/>
    <w:rsid w:val="76CD08D5"/>
    <w:rsid w:val="76DB4B92"/>
    <w:rsid w:val="77052AA4"/>
    <w:rsid w:val="77136511"/>
    <w:rsid w:val="77340A39"/>
    <w:rsid w:val="77351FD0"/>
    <w:rsid w:val="77472422"/>
    <w:rsid w:val="776E579F"/>
    <w:rsid w:val="777F31F2"/>
    <w:rsid w:val="778C1A27"/>
    <w:rsid w:val="77D1700D"/>
    <w:rsid w:val="77DD1CAC"/>
    <w:rsid w:val="77E87688"/>
    <w:rsid w:val="77EC04CC"/>
    <w:rsid w:val="782D11B6"/>
    <w:rsid w:val="78544995"/>
    <w:rsid w:val="78775729"/>
    <w:rsid w:val="78A42DB0"/>
    <w:rsid w:val="78A656AB"/>
    <w:rsid w:val="78B2245C"/>
    <w:rsid w:val="78E172CC"/>
    <w:rsid w:val="78EA1D1F"/>
    <w:rsid w:val="78FB12B4"/>
    <w:rsid w:val="7904172F"/>
    <w:rsid w:val="790F7E27"/>
    <w:rsid w:val="791B5115"/>
    <w:rsid w:val="791D56CF"/>
    <w:rsid w:val="79294073"/>
    <w:rsid w:val="792A231A"/>
    <w:rsid w:val="79316829"/>
    <w:rsid w:val="79440FF5"/>
    <w:rsid w:val="797E66A9"/>
    <w:rsid w:val="79823784"/>
    <w:rsid w:val="79935991"/>
    <w:rsid w:val="79A97383"/>
    <w:rsid w:val="79B73E5C"/>
    <w:rsid w:val="79DB7FFA"/>
    <w:rsid w:val="79DF2D87"/>
    <w:rsid w:val="79E27E8B"/>
    <w:rsid w:val="79EB1329"/>
    <w:rsid w:val="79F850CE"/>
    <w:rsid w:val="79FD443C"/>
    <w:rsid w:val="7A1D1975"/>
    <w:rsid w:val="7A28257D"/>
    <w:rsid w:val="7A340B5A"/>
    <w:rsid w:val="7A3E5150"/>
    <w:rsid w:val="7A3F7071"/>
    <w:rsid w:val="7A4670D6"/>
    <w:rsid w:val="7A534B63"/>
    <w:rsid w:val="7A5471AB"/>
    <w:rsid w:val="7A615382"/>
    <w:rsid w:val="7A67303B"/>
    <w:rsid w:val="7A960648"/>
    <w:rsid w:val="7AAB1D04"/>
    <w:rsid w:val="7AB61937"/>
    <w:rsid w:val="7ABA4368"/>
    <w:rsid w:val="7AD05746"/>
    <w:rsid w:val="7B014439"/>
    <w:rsid w:val="7B257FFD"/>
    <w:rsid w:val="7B343476"/>
    <w:rsid w:val="7B4D16C2"/>
    <w:rsid w:val="7B5A2978"/>
    <w:rsid w:val="7B5A7E4C"/>
    <w:rsid w:val="7B667AF9"/>
    <w:rsid w:val="7B7468F8"/>
    <w:rsid w:val="7BCA5401"/>
    <w:rsid w:val="7BEE0103"/>
    <w:rsid w:val="7C0A0FE4"/>
    <w:rsid w:val="7C254906"/>
    <w:rsid w:val="7C374CF9"/>
    <w:rsid w:val="7C590818"/>
    <w:rsid w:val="7C710688"/>
    <w:rsid w:val="7C7C10F6"/>
    <w:rsid w:val="7C853BEA"/>
    <w:rsid w:val="7C881368"/>
    <w:rsid w:val="7C9D7FDE"/>
    <w:rsid w:val="7CA4541E"/>
    <w:rsid w:val="7CE27788"/>
    <w:rsid w:val="7D0C32F1"/>
    <w:rsid w:val="7D0F408D"/>
    <w:rsid w:val="7D491C6C"/>
    <w:rsid w:val="7D5429C0"/>
    <w:rsid w:val="7D592A4D"/>
    <w:rsid w:val="7D6E6D43"/>
    <w:rsid w:val="7DB57A34"/>
    <w:rsid w:val="7DCF4ABD"/>
    <w:rsid w:val="7DE60973"/>
    <w:rsid w:val="7DE84174"/>
    <w:rsid w:val="7DEF0916"/>
    <w:rsid w:val="7E0C6649"/>
    <w:rsid w:val="7E1E5218"/>
    <w:rsid w:val="7E551467"/>
    <w:rsid w:val="7E9A4E1F"/>
    <w:rsid w:val="7EA7723A"/>
    <w:rsid w:val="7EC87E8B"/>
    <w:rsid w:val="7ED20D09"/>
    <w:rsid w:val="7ED6381B"/>
    <w:rsid w:val="7EE84089"/>
    <w:rsid w:val="7EF56FBB"/>
    <w:rsid w:val="7F0768EB"/>
    <w:rsid w:val="7F143BEC"/>
    <w:rsid w:val="7F715AF2"/>
    <w:rsid w:val="7F886E69"/>
    <w:rsid w:val="7FF50CD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9">
    <w:name w:val="Default Paragraph Font"/>
    <w:semiHidden/>
    <w:unhideWhenUsed/>
    <w:qFormat/>
    <w:uiPriority w:val="1"/>
  </w:style>
  <w:style w:type="table" w:default="1" w:styleId="7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table of authorities"/>
    <w:basedOn w:val="1"/>
    <w:next w:val="1"/>
    <w:qFormat/>
    <w:uiPriority w:val="0"/>
    <w:pPr>
      <w:ind w:left="420" w:leftChars="200"/>
    </w:pPr>
    <w:rPr>
      <w:rFonts w:eastAsia="宋体" w:cs="Times New Roman"/>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Balloon Text"/>
    <w:basedOn w:val="1"/>
    <w:next w:val="17"/>
    <w:link w:val="194"/>
    <w:qFormat/>
    <w:uiPriority w:val="0"/>
    <w:rPr>
      <w:sz w:val="18"/>
      <w:szCs w:val="18"/>
    </w:rPr>
  </w:style>
  <w:style w:type="paragraph" w:styleId="17">
    <w:name w:val="toc 8"/>
    <w:basedOn w:val="1"/>
    <w:next w:val="1"/>
    <w:qFormat/>
    <w:uiPriority w:val="0"/>
    <w:pPr>
      <w:ind w:left="2940" w:leftChars="1400"/>
    </w:pPr>
  </w:style>
  <w:style w:type="paragraph" w:styleId="18">
    <w:name w:val="Normal Indent"/>
    <w:basedOn w:val="1"/>
    <w:next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5"/>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8"/>
    <w:qFormat/>
    <w:uiPriority w:val="0"/>
    <w:pPr>
      <w:shd w:val="clear" w:color="auto" w:fill="000080"/>
    </w:pPr>
  </w:style>
  <w:style w:type="paragraph" w:styleId="22">
    <w:name w:val="annotation text"/>
    <w:basedOn w:val="1"/>
    <w:next w:val="23"/>
    <w:link w:val="350"/>
    <w:qFormat/>
    <w:uiPriority w:val="99"/>
    <w:pPr>
      <w:jc w:val="left"/>
    </w:pPr>
  </w:style>
  <w:style w:type="paragraph" w:customStyle="1" w:styleId="23">
    <w:name w:val="样式6"/>
    <w:basedOn w:val="24"/>
    <w:next w:val="25"/>
    <w:qFormat/>
    <w:uiPriority w:val="0"/>
    <w:pPr>
      <w:spacing w:line="460" w:lineRule="exact"/>
      <w:outlineLvl w:val="2"/>
    </w:pPr>
    <w:rPr>
      <w:rFonts w:ascii="FangSong_GB2312" w:hAnsi="宋体" w:eastAsia="FangSong_GB2312"/>
      <w:b/>
      <w:bCs/>
      <w:sz w:val="24"/>
      <w:szCs w:val="24"/>
    </w:rPr>
  </w:style>
  <w:style w:type="paragraph" w:styleId="24">
    <w:name w:val="Plain Text"/>
    <w:basedOn w:val="1"/>
    <w:next w:val="1"/>
    <w:link w:val="132"/>
    <w:qFormat/>
    <w:uiPriority w:val="0"/>
    <w:rPr>
      <w:rFonts w:ascii="宋体" w:hAnsi="Courier New" w:cs="Arial"/>
      <w:snapToGrid w:val="0"/>
      <w:szCs w:val="21"/>
    </w:rPr>
  </w:style>
  <w:style w:type="paragraph" w:styleId="25">
    <w:name w:val="Body Text 2"/>
    <w:basedOn w:val="1"/>
    <w:next w:val="26"/>
    <w:link w:val="308"/>
    <w:qFormat/>
    <w:uiPriority w:val="0"/>
    <w:pPr>
      <w:spacing w:after="120" w:line="480" w:lineRule="auto"/>
    </w:pPr>
  </w:style>
  <w:style w:type="paragraph" w:customStyle="1" w:styleId="26">
    <w:name w:val="默认段落字体 Para Char"/>
    <w:basedOn w:val="1"/>
    <w:next w:val="27"/>
    <w:qFormat/>
    <w:uiPriority w:val="0"/>
    <w:rPr>
      <w:rFonts w:ascii="Tahoma" w:hAnsi="Tahoma"/>
      <w:sz w:val="24"/>
      <w:szCs w:val="20"/>
    </w:rPr>
  </w:style>
  <w:style w:type="paragraph" w:customStyle="1" w:styleId="27">
    <w:name w:val="Char Char Char Char Char Char Char Char Char Char Char Char Char Char Char Char"/>
    <w:basedOn w:val="1"/>
    <w:next w:val="28"/>
    <w:qFormat/>
    <w:uiPriority w:val="0"/>
  </w:style>
  <w:style w:type="paragraph" w:customStyle="1" w:styleId="28">
    <w:name w:val="列出段落1"/>
    <w:basedOn w:val="1"/>
    <w:next w:val="29"/>
    <w:qFormat/>
    <w:uiPriority w:val="0"/>
    <w:pPr>
      <w:adjustRightInd/>
      <w:spacing w:line="360" w:lineRule="auto"/>
      <w:ind w:firstLine="420" w:firstLineChars="200"/>
    </w:pPr>
    <w:rPr>
      <w:rFonts w:ascii="Calibri" w:hAnsi="Calibri"/>
      <w:sz w:val="24"/>
      <w:szCs w:val="22"/>
    </w:rPr>
  </w:style>
  <w:style w:type="paragraph" w:customStyle="1" w:styleId="29">
    <w:name w:val="Char"/>
    <w:basedOn w:val="1"/>
    <w:next w:val="30"/>
    <w:qFormat/>
    <w:uiPriority w:val="0"/>
    <w:rPr>
      <w:rFonts w:ascii="FangSong_GB2312" w:eastAsia="FangSong_GB2312"/>
      <w:b/>
      <w:sz w:val="32"/>
      <w:szCs w:val="32"/>
    </w:rPr>
  </w:style>
  <w:style w:type="paragraph" w:customStyle="1" w:styleId="30">
    <w:name w:val="p0"/>
    <w:basedOn w:val="1"/>
    <w:qFormat/>
    <w:uiPriority w:val="0"/>
    <w:pPr>
      <w:widowControl/>
      <w:adjustRightInd/>
    </w:pPr>
    <w:rPr>
      <w:kern w:val="0"/>
      <w:szCs w:val="21"/>
    </w:rPr>
  </w:style>
  <w:style w:type="paragraph" w:styleId="31">
    <w:name w:val="Salutation"/>
    <w:basedOn w:val="1"/>
    <w:next w:val="1"/>
    <w:link w:val="304"/>
    <w:qFormat/>
    <w:uiPriority w:val="0"/>
    <w:rPr>
      <w:rFonts w:ascii="FangSong_GB2312" w:eastAsia="FangSong_GB2312"/>
      <w:sz w:val="28"/>
      <w:szCs w:val="20"/>
    </w:rPr>
  </w:style>
  <w:style w:type="paragraph" w:styleId="32">
    <w:name w:val="Body Text 3"/>
    <w:basedOn w:val="1"/>
    <w:link w:val="336"/>
    <w:qFormat/>
    <w:uiPriority w:val="0"/>
    <w:pPr>
      <w:jc w:val="center"/>
    </w:pPr>
    <w:rPr>
      <w:szCs w:val="20"/>
    </w:rPr>
  </w:style>
  <w:style w:type="paragraph" w:styleId="33">
    <w:name w:val="List Bullet 3"/>
    <w:basedOn w:val="1"/>
    <w:unhideWhenUsed/>
    <w:qFormat/>
    <w:uiPriority w:val="0"/>
    <w:pPr>
      <w:snapToGrid w:val="0"/>
      <w:spacing w:line="360" w:lineRule="auto"/>
      <w:ind w:left="360" w:right="238" w:hanging="360"/>
      <w:contextualSpacing/>
    </w:pPr>
    <w:rPr>
      <w:sz w:val="24"/>
    </w:rPr>
  </w:style>
  <w:style w:type="paragraph" w:styleId="34">
    <w:name w:val="Body Text"/>
    <w:basedOn w:val="1"/>
    <w:link w:val="436"/>
    <w:qFormat/>
    <w:uiPriority w:val="0"/>
    <w:pPr>
      <w:autoSpaceDE w:val="0"/>
      <w:autoSpaceDN w:val="0"/>
      <w:spacing w:line="360" w:lineRule="auto"/>
    </w:pPr>
    <w:rPr>
      <w:rFonts w:ascii="宋体" w:hAnsi="Arial" w:cs="Arial"/>
      <w:snapToGrid w:val="0"/>
      <w:sz w:val="24"/>
      <w:szCs w:val="21"/>
      <w:lang w:val="zh-CN"/>
    </w:rPr>
  </w:style>
  <w:style w:type="paragraph" w:styleId="35">
    <w:name w:val="Body Text Indent"/>
    <w:basedOn w:val="1"/>
    <w:next w:val="36"/>
    <w:link w:val="271"/>
    <w:qFormat/>
    <w:uiPriority w:val="0"/>
    <w:pPr>
      <w:spacing w:line="480" w:lineRule="exact"/>
      <w:ind w:firstLine="480" w:firstLineChars="200"/>
    </w:pPr>
    <w:rPr>
      <w:rFonts w:ascii="宋体" w:hAnsi="宋体"/>
      <w:sz w:val="24"/>
    </w:rPr>
  </w:style>
  <w:style w:type="paragraph" w:customStyle="1" w:styleId="36">
    <w:name w:val="正文文本首行缩进 2"/>
    <w:basedOn w:val="35"/>
    <w:qFormat/>
    <w:uiPriority w:val="0"/>
    <w:pPr>
      <w:ind w:firstLine="420" w:firstLineChars="200"/>
    </w:pPr>
  </w:style>
  <w:style w:type="paragraph" w:styleId="3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8">
    <w:name w:val="List 2"/>
    <w:basedOn w:val="1"/>
    <w:qFormat/>
    <w:uiPriority w:val="0"/>
    <w:pPr>
      <w:adjustRightInd/>
      <w:spacing w:line="360" w:lineRule="auto"/>
      <w:ind w:left="100" w:leftChars="200" w:hanging="200" w:hangingChars="200"/>
    </w:pPr>
    <w:rPr>
      <w:rFonts w:eastAsia="微软雅黑"/>
    </w:rPr>
  </w:style>
  <w:style w:type="paragraph" w:styleId="39">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40">
    <w:name w:val="List Bullet 2"/>
    <w:basedOn w:val="1"/>
    <w:qFormat/>
    <w:uiPriority w:val="0"/>
    <w:pPr>
      <w:autoSpaceDE w:val="0"/>
      <w:autoSpaceDN w:val="0"/>
      <w:ind w:left="420"/>
      <w:jc w:val="left"/>
    </w:pPr>
    <w:rPr>
      <w:rFonts w:ascii="宋体" w:hAnsi="宋体"/>
      <w:color w:val="000000"/>
      <w:kern w:val="0"/>
      <w:sz w:val="24"/>
      <w:szCs w:val="20"/>
    </w:rPr>
  </w:style>
  <w:style w:type="paragraph" w:styleId="41">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42">
    <w:name w:val="toc 5"/>
    <w:basedOn w:val="1"/>
    <w:next w:val="1"/>
    <w:qFormat/>
    <w:uiPriority w:val="0"/>
    <w:pPr>
      <w:ind w:left="1680" w:leftChars="800"/>
    </w:pPr>
  </w:style>
  <w:style w:type="paragraph" w:styleId="4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5">
    <w:name w:val="Date"/>
    <w:basedOn w:val="1"/>
    <w:next w:val="1"/>
    <w:link w:val="187"/>
    <w:qFormat/>
    <w:uiPriority w:val="0"/>
    <w:pPr>
      <w:ind w:left="100" w:leftChars="2500"/>
    </w:pPr>
    <w:rPr>
      <w:rFonts w:ascii="宋体"/>
      <w:sz w:val="24"/>
      <w:szCs w:val="21"/>
      <w:lang w:val="zh-CN"/>
    </w:rPr>
  </w:style>
  <w:style w:type="paragraph" w:styleId="46">
    <w:name w:val="Body Text Indent 2"/>
    <w:basedOn w:val="1"/>
    <w:link w:val="314"/>
    <w:qFormat/>
    <w:uiPriority w:val="0"/>
    <w:pPr>
      <w:spacing w:line="360" w:lineRule="auto"/>
      <w:ind w:firstLine="601"/>
      <w:textAlignment w:val="baseline"/>
    </w:pPr>
    <w:rPr>
      <w:rFonts w:ascii="宋体"/>
      <w:kern w:val="0"/>
      <w:sz w:val="28"/>
      <w:szCs w:val="20"/>
    </w:rPr>
  </w:style>
  <w:style w:type="paragraph" w:styleId="47">
    <w:name w:val="endnote text"/>
    <w:basedOn w:val="1"/>
    <w:link w:val="932"/>
    <w:qFormat/>
    <w:uiPriority w:val="0"/>
    <w:rPr>
      <w:lang w:val="zh-CN"/>
    </w:rPr>
  </w:style>
  <w:style w:type="paragraph" w:styleId="48">
    <w:name w:val="footer"/>
    <w:basedOn w:val="1"/>
    <w:link w:val="389"/>
    <w:qFormat/>
    <w:uiPriority w:val="99"/>
    <w:pPr>
      <w:tabs>
        <w:tab w:val="center" w:pos="4153"/>
        <w:tab w:val="right" w:pos="8306"/>
      </w:tabs>
      <w:snapToGrid w:val="0"/>
      <w:jc w:val="left"/>
    </w:pPr>
    <w:rPr>
      <w:sz w:val="18"/>
      <w:szCs w:val="18"/>
    </w:rPr>
  </w:style>
  <w:style w:type="paragraph" w:styleId="49">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50">
    <w:name w:val="Signature"/>
    <w:basedOn w:val="1"/>
    <w:link w:val="351"/>
    <w:qFormat/>
    <w:uiPriority w:val="0"/>
    <w:pPr>
      <w:spacing w:after="600" w:line="312" w:lineRule="atLeast"/>
      <w:jc w:val="center"/>
      <w:textAlignment w:val="baseline"/>
    </w:pPr>
    <w:rPr>
      <w:rFonts w:eastAsia="FangSong_GB2312"/>
      <w:kern w:val="0"/>
      <w:sz w:val="24"/>
      <w:szCs w:val="20"/>
    </w:rPr>
  </w:style>
  <w:style w:type="paragraph" w:styleId="51">
    <w:name w:val="toc 1"/>
    <w:basedOn w:val="1"/>
    <w:next w:val="1"/>
    <w:qFormat/>
    <w:uiPriority w:val="0"/>
  </w:style>
  <w:style w:type="paragraph" w:styleId="52">
    <w:name w:val="toc 4"/>
    <w:basedOn w:val="1"/>
    <w:next w:val="1"/>
    <w:qFormat/>
    <w:uiPriority w:val="0"/>
    <w:pPr>
      <w:ind w:left="1260" w:leftChars="600"/>
    </w:pPr>
  </w:style>
  <w:style w:type="paragraph" w:styleId="53">
    <w:name w:val="index heading"/>
    <w:basedOn w:val="1"/>
    <w:next w:val="54"/>
    <w:qFormat/>
    <w:uiPriority w:val="0"/>
    <w:pPr>
      <w:adjustRightInd/>
      <w:ind w:firstLine="200" w:firstLineChars="200"/>
    </w:pPr>
  </w:style>
  <w:style w:type="paragraph" w:styleId="54">
    <w:name w:val="index 1"/>
    <w:basedOn w:val="1"/>
    <w:next w:val="1"/>
    <w:qFormat/>
    <w:uiPriority w:val="0"/>
    <w:pPr>
      <w:adjustRightInd/>
      <w:spacing w:line="360" w:lineRule="auto"/>
      <w:ind w:firstLine="200" w:firstLineChars="200"/>
      <w:jc w:val="center"/>
    </w:pPr>
    <w:rPr>
      <w:sz w:val="24"/>
      <w:szCs w:val="20"/>
    </w:rPr>
  </w:style>
  <w:style w:type="paragraph" w:styleId="55">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6">
    <w:name w:val="List Number 5"/>
    <w:basedOn w:val="1"/>
    <w:qFormat/>
    <w:uiPriority w:val="0"/>
    <w:pPr>
      <w:tabs>
        <w:tab w:val="left" w:pos="902"/>
      </w:tabs>
      <w:adjustRightInd/>
      <w:spacing w:line="400" w:lineRule="exact"/>
      <w:ind w:left="902" w:hanging="420"/>
    </w:pPr>
    <w:rPr>
      <w:sz w:val="24"/>
      <w:szCs w:val="20"/>
    </w:rPr>
  </w:style>
  <w:style w:type="paragraph" w:styleId="57">
    <w:name w:val="List"/>
    <w:basedOn w:val="1"/>
    <w:qFormat/>
    <w:uiPriority w:val="0"/>
    <w:pPr>
      <w:ind w:left="200" w:hanging="200" w:hangingChars="200"/>
    </w:pPr>
  </w:style>
  <w:style w:type="paragraph" w:styleId="58">
    <w:name w:val="footnote text"/>
    <w:basedOn w:val="18"/>
    <w:link w:val="316"/>
    <w:qFormat/>
    <w:uiPriority w:val="0"/>
    <w:pPr>
      <w:adjustRightInd/>
      <w:snapToGrid/>
      <w:spacing w:before="60" w:after="60" w:line="300" w:lineRule="exact"/>
      <w:ind w:firstLine="0"/>
    </w:pPr>
    <w:rPr>
      <w:rFonts w:ascii="Calibri"/>
      <w:snapToGrid/>
      <w:color w:val="0000FF"/>
      <w:kern w:val="0"/>
      <w:sz w:val="21"/>
    </w:rPr>
  </w:style>
  <w:style w:type="paragraph" w:styleId="59">
    <w:name w:val="toc 6"/>
    <w:basedOn w:val="1"/>
    <w:next w:val="1"/>
    <w:qFormat/>
    <w:uiPriority w:val="0"/>
    <w:pPr>
      <w:ind w:left="2100" w:leftChars="1000"/>
    </w:pPr>
  </w:style>
  <w:style w:type="paragraph" w:styleId="60">
    <w:name w:val="List 5"/>
    <w:basedOn w:val="1"/>
    <w:qFormat/>
    <w:uiPriority w:val="0"/>
    <w:pPr>
      <w:adjustRightInd/>
      <w:ind w:left="100" w:leftChars="800" w:hanging="200" w:hangingChars="200"/>
    </w:pPr>
  </w:style>
  <w:style w:type="paragraph" w:styleId="61">
    <w:name w:val="Body Text Indent 3"/>
    <w:basedOn w:val="1"/>
    <w:link w:val="381"/>
    <w:qFormat/>
    <w:uiPriority w:val="0"/>
    <w:pPr>
      <w:spacing w:line="360" w:lineRule="auto"/>
      <w:ind w:firstLine="420"/>
    </w:pPr>
    <w:rPr>
      <w:sz w:val="24"/>
      <w:szCs w:val="20"/>
    </w:rPr>
  </w:style>
  <w:style w:type="paragraph" w:styleId="62">
    <w:name w:val="toc 2"/>
    <w:basedOn w:val="1"/>
    <w:next w:val="1"/>
    <w:qFormat/>
    <w:uiPriority w:val="0"/>
    <w:pPr>
      <w:ind w:left="420" w:leftChars="200"/>
    </w:pPr>
  </w:style>
  <w:style w:type="paragraph" w:styleId="63">
    <w:name w:val="toc 9"/>
    <w:basedOn w:val="1"/>
    <w:next w:val="1"/>
    <w:qFormat/>
    <w:uiPriority w:val="0"/>
    <w:pPr>
      <w:ind w:left="3360" w:leftChars="1600"/>
    </w:pPr>
  </w:style>
  <w:style w:type="paragraph" w:styleId="64">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5">
    <w:name w:val="Normal (Web)"/>
    <w:basedOn w:val="1"/>
    <w:next w:val="66"/>
    <w:qFormat/>
    <w:uiPriority w:val="99"/>
    <w:pPr>
      <w:widowControl/>
      <w:spacing w:before="100" w:beforeAutospacing="1" w:after="100" w:afterAutospacing="1"/>
      <w:jc w:val="left"/>
    </w:pPr>
    <w:rPr>
      <w:rFonts w:ascii="宋体" w:hAnsi="宋体"/>
      <w:kern w:val="0"/>
      <w:sz w:val="24"/>
    </w:rPr>
  </w:style>
  <w:style w:type="paragraph" w:customStyle="1" w:styleId="66">
    <w:name w:val="Char Char Char"/>
    <w:basedOn w:val="1"/>
    <w:next w:val="67"/>
    <w:qFormat/>
    <w:uiPriority w:val="0"/>
    <w:rPr>
      <w:rFonts w:ascii="Tahoma" w:hAnsi="Tahoma"/>
      <w:sz w:val="24"/>
      <w:szCs w:val="20"/>
    </w:rPr>
  </w:style>
  <w:style w:type="paragraph" w:customStyle="1" w:styleId="67">
    <w:name w:val="正文2"/>
    <w:basedOn w:val="1"/>
    <w:next w:val="22"/>
    <w:link w:val="137"/>
    <w:qFormat/>
    <w:uiPriority w:val="0"/>
    <w:pPr>
      <w:spacing w:before="156" w:line="360" w:lineRule="auto"/>
      <w:ind w:firstLine="510" w:firstLineChars="200"/>
    </w:pPr>
    <w:rPr>
      <w:sz w:val="24"/>
      <w:szCs w:val="20"/>
    </w:rPr>
  </w:style>
  <w:style w:type="paragraph" w:styleId="68">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9">
    <w:name w:val="annotation subject"/>
    <w:basedOn w:val="22"/>
    <w:next w:val="22"/>
    <w:link w:val="103"/>
    <w:qFormat/>
    <w:uiPriority w:val="0"/>
    <w:rPr>
      <w:b/>
      <w:bCs/>
    </w:rPr>
  </w:style>
  <w:style w:type="paragraph" w:styleId="70">
    <w:name w:val="Body Text First Indent"/>
    <w:basedOn w:val="34"/>
    <w:next w:val="1"/>
    <w:link w:val="327"/>
    <w:qFormat/>
    <w:uiPriority w:val="0"/>
    <w:pPr>
      <w:ind w:firstLine="420"/>
    </w:pPr>
    <w:rPr>
      <w:rFonts w:hAnsi="Calibri" w:cs="Times New Roman"/>
      <w:snapToGrid/>
      <w:szCs w:val="20"/>
    </w:rPr>
  </w:style>
  <w:style w:type="paragraph" w:styleId="71">
    <w:name w:val="Body Text First Indent 2"/>
    <w:basedOn w:val="35"/>
    <w:link w:val="128"/>
    <w:qFormat/>
    <w:uiPriority w:val="0"/>
    <w:pPr>
      <w:adjustRightInd/>
      <w:spacing w:after="120" w:line="240" w:lineRule="auto"/>
      <w:ind w:left="420" w:leftChars="200" w:firstLine="210"/>
    </w:pPr>
    <w:rPr>
      <w:sz w:val="21"/>
    </w:rPr>
  </w:style>
  <w:style w:type="table" w:styleId="73">
    <w:name w:val="Table Grid"/>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4">
    <w:name w:val="Table Theme"/>
    <w:basedOn w:val="7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5">
    <w:name w:val="Table Elegant"/>
    <w:basedOn w:val="7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6">
    <w:name w:val="Table Grid 5"/>
    <w:basedOn w:val="7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7">
    <w:name w:val="Table Grid 8"/>
    <w:basedOn w:val="7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8">
    <w:name w:val="Table Professional"/>
    <w:basedOn w:val="7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80">
    <w:name w:val="Strong"/>
    <w:qFormat/>
    <w:uiPriority w:val="22"/>
    <w:rPr>
      <w:b/>
      <w:bCs/>
    </w:rPr>
  </w:style>
  <w:style w:type="character" w:styleId="81">
    <w:name w:val="endnote reference"/>
    <w:qFormat/>
    <w:uiPriority w:val="0"/>
    <w:rPr>
      <w:vertAlign w:val="superscript"/>
    </w:rPr>
  </w:style>
  <w:style w:type="character" w:styleId="82">
    <w:name w:val="page number"/>
    <w:basedOn w:val="79"/>
    <w:qFormat/>
    <w:uiPriority w:val="0"/>
    <w:rPr>
      <w:rFonts w:ascii="Arial" w:hAnsi="Arial" w:eastAsia="黑体" w:cs="Arial"/>
      <w:snapToGrid w:val="0"/>
      <w:kern w:val="0"/>
      <w:szCs w:val="21"/>
    </w:rPr>
  </w:style>
  <w:style w:type="character" w:styleId="83">
    <w:name w:val="FollowedHyperlink"/>
    <w:qFormat/>
    <w:uiPriority w:val="99"/>
    <w:rPr>
      <w:rFonts w:ascii="Arial" w:hAnsi="Arial" w:eastAsia="黑体" w:cs="Arial"/>
      <w:snapToGrid w:val="0"/>
      <w:color w:val="000000"/>
      <w:kern w:val="0"/>
      <w:sz w:val="18"/>
      <w:szCs w:val="18"/>
      <w:u w:val="none"/>
    </w:rPr>
  </w:style>
  <w:style w:type="character" w:styleId="84">
    <w:name w:val="Emphasis"/>
    <w:qFormat/>
    <w:uiPriority w:val="20"/>
    <w:rPr>
      <w:color w:val="CC0033"/>
    </w:rPr>
  </w:style>
  <w:style w:type="character" w:styleId="85">
    <w:name w:val="line number"/>
    <w:basedOn w:val="79"/>
    <w:qFormat/>
    <w:uiPriority w:val="0"/>
    <w:rPr>
      <w:rFonts w:ascii="Arial" w:hAnsi="Arial" w:eastAsia="黑体" w:cs="Arial"/>
      <w:snapToGrid w:val="0"/>
      <w:kern w:val="0"/>
      <w:szCs w:val="21"/>
    </w:rPr>
  </w:style>
  <w:style w:type="character" w:styleId="86">
    <w:name w:val="Hyperlink"/>
    <w:qFormat/>
    <w:uiPriority w:val="99"/>
    <w:rPr>
      <w:rFonts w:ascii="Arial" w:hAnsi="Arial" w:eastAsia="黑体" w:cs="Arial"/>
      <w:snapToGrid w:val="0"/>
      <w:color w:val="000000"/>
      <w:kern w:val="0"/>
      <w:sz w:val="18"/>
      <w:szCs w:val="18"/>
      <w:u w:val="none"/>
    </w:rPr>
  </w:style>
  <w:style w:type="character" w:styleId="87">
    <w:name w:val="HTML Code"/>
    <w:qFormat/>
    <w:uiPriority w:val="0"/>
    <w:rPr>
      <w:rFonts w:ascii="黑体" w:hAnsi="Courier New" w:eastAsia="黑体" w:cs="楷体_GB2312"/>
      <w:sz w:val="20"/>
      <w:szCs w:val="20"/>
    </w:rPr>
  </w:style>
  <w:style w:type="character" w:styleId="88">
    <w:name w:val="annotation reference"/>
    <w:qFormat/>
    <w:uiPriority w:val="99"/>
    <w:rPr>
      <w:sz w:val="21"/>
      <w:szCs w:val="21"/>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FangSong_GB2312" w:hAnsi="FangSong_GB2312" w:eastAsia="FangSong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Char1"/>
    <w:link w:val="69"/>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FangSong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FangSong_GB2312" w:hAnsi="微软雅黑" w:eastAsia="FangSong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FangSong_GB2312" w:hAnsi="宋体" w:eastAsia="FangSong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FangSong_GB2312" w:eastAsia="FangSong_GB2312"/>
      <w:b/>
      <w:bCs/>
      <w:kern w:val="2"/>
      <w:sz w:val="24"/>
      <w:szCs w:val="24"/>
      <w:lang w:val="zh-CN" w:eastAsia="zh-CN" w:bidi="ar-SA"/>
    </w:rPr>
  </w:style>
  <w:style w:type="character" w:customStyle="1" w:styleId="128">
    <w:name w:val="正文首行缩进 2 Char"/>
    <w:link w:val="71"/>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9"/>
    <w:qFormat/>
    <w:uiPriority w:val="0"/>
    <w:rPr>
      <w:rFonts w:ascii="Arial" w:hAnsi="Arial" w:eastAsia="黑体" w:cs="Arial"/>
      <w:snapToGrid w:val="0"/>
      <w:kern w:val="0"/>
      <w:szCs w:val="21"/>
    </w:rPr>
  </w:style>
  <w:style w:type="character" w:customStyle="1" w:styleId="132">
    <w:name w:val="纯文本 Char"/>
    <w:link w:val="24"/>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FangSong_GB2312" w:hAnsi="仿宋" w:eastAsia="FangSong_GB2312"/>
      <w:kern w:val="2"/>
      <w:sz w:val="24"/>
      <w:szCs w:val="24"/>
    </w:rPr>
  </w:style>
  <w:style w:type="character" w:customStyle="1" w:styleId="135">
    <w:name w:val="样式4 Char"/>
    <w:qFormat/>
    <w:uiPriority w:val="0"/>
    <w:rPr>
      <w:rFonts w:ascii="FangSong_GB2312" w:hAnsi="仿宋" w:eastAsia="FangSong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67"/>
    <w:qFormat/>
    <w:uiPriority w:val="0"/>
    <w:rPr>
      <w:rFonts w:eastAsia="宋体"/>
      <w:kern w:val="2"/>
      <w:sz w:val="24"/>
      <w:lang w:val="en-US" w:eastAsia="zh-CN" w:bidi="ar-SA"/>
    </w:rPr>
  </w:style>
  <w:style w:type="character" w:customStyle="1" w:styleId="138">
    <w:name w:val="Char Char24"/>
    <w:qFormat/>
    <w:uiPriority w:val="6"/>
    <w:rPr>
      <w:kern w:val="1"/>
      <w:sz w:val="21"/>
    </w:rPr>
  </w:style>
  <w:style w:type="character" w:customStyle="1" w:styleId="139">
    <w:name w:val="副标题 Char"/>
    <w:link w:val="55"/>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FangSong_GB2312" w:hAnsi="仿宋" w:eastAsia="FangSong_GB2312"/>
      <w:b/>
      <w:kern w:val="2"/>
      <w:sz w:val="24"/>
      <w:szCs w:val="24"/>
    </w:rPr>
  </w:style>
  <w:style w:type="character" w:customStyle="1" w:styleId="148">
    <w:name w:val="font12gray1"/>
    <w:qFormat/>
    <w:uiPriority w:val="0"/>
    <w:rPr>
      <w:rFonts w:ascii="FangSong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FangSong_GB2312" w:eastAsia="FangSong_GB2312" w:cs="FangSong_GB2312"/>
      <w:color w:val="000000"/>
      <w:sz w:val="22"/>
      <w:szCs w:val="22"/>
      <w:u w:val="none"/>
    </w:rPr>
  </w:style>
  <w:style w:type="character" w:customStyle="1" w:styleId="153">
    <w:name w:val="标题 6 Char"/>
    <w:link w:val="7"/>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FangSong_GB2312" w:hAnsi="FangSong_GB2312" w:eastAsia="FangSong_GB2312"/>
      <w:kern w:val="2"/>
      <w:sz w:val="24"/>
      <w:lang w:bidi="ar-SA"/>
    </w:rPr>
  </w:style>
  <w:style w:type="character" w:customStyle="1" w:styleId="159">
    <w:name w:val="正文 项目 Char"/>
    <w:qFormat/>
    <w:uiPriority w:val="0"/>
    <w:rPr>
      <w:rFonts w:ascii="FangSong_GB2312" w:hAnsi="FangSong_GB2312" w:eastAsia="FangSong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FangSong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99"/>
    <w:rPr>
      <w:rFonts w:eastAsia="FangSong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FangSong_GB2312" w:hAnsi="Times New Roman" w:eastAsia="FangSong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FangSong_GB2312" w:hAnsi="仿宋" w:eastAsia="FangSong_GB2312" w:cs="FangSong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2"/>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45"/>
    <w:qFormat/>
    <w:uiPriority w:val="0"/>
    <w:rPr>
      <w:rFonts w:ascii="宋体"/>
      <w:kern w:val="2"/>
      <w:sz w:val="24"/>
      <w:szCs w:val="21"/>
      <w:lang w:val="zh-CN"/>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16"/>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FangSong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8"/>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FangSong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FangSong_GB2312" w:eastAsia="微软雅黑"/>
      <w:b/>
      <w:kern w:val="2"/>
      <w:sz w:val="32"/>
      <w:szCs w:val="32"/>
      <w:lang w:val="en-US" w:eastAsia="zh-CN" w:bidi="ar-SA"/>
    </w:rPr>
  </w:style>
  <w:style w:type="character" w:customStyle="1" w:styleId="208">
    <w:name w:val="文档结构图 Char1"/>
    <w:link w:val="21"/>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FangSong_GB2312" w:hAnsi="仿宋" w:eastAsia="FangSong_GB2312" w:cs="FangSong_GB2312"/>
      <w:sz w:val="32"/>
      <w:szCs w:val="30"/>
      <w:lang w:val="zh-CN"/>
    </w:rPr>
  </w:style>
  <w:style w:type="character" w:customStyle="1" w:styleId="225">
    <w:name w:val="HTML 地址 Char"/>
    <w:link w:val="4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FangSong_GB2312" w:eastAsia="FangSong_GB2312"/>
      <w:b/>
      <w:bCs/>
      <w:kern w:val="2"/>
      <w:sz w:val="24"/>
      <w:szCs w:val="24"/>
      <w:lang w:val="zh-CN" w:eastAsia="zh-CN" w:bidi="ar-SA"/>
    </w:rPr>
  </w:style>
  <w:style w:type="character" w:customStyle="1" w:styleId="235">
    <w:name w:val="题注 Char"/>
    <w:link w:val="19"/>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FangSong_GB2312" w:eastAsia="FangSong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FangSong_GB2312" w:eastAsia="FangSong_GB2312" w:cs="FangSong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FangSong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FangSong_GB2312" w:eastAsia="FangSong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FangSong_GB2312" w:hAnsi="FangSong_GB2312" w:eastAsia="FangSong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qFormat/>
    <w:uiPriority w:val="34"/>
    <w:pPr>
      <w:spacing w:line="360" w:lineRule="auto"/>
      <w:ind w:firstLine="200" w:firstLineChars="200"/>
    </w:pPr>
    <w:rPr>
      <w:rFonts w:eastAsia="楷体_GB2312" w:cs="Lucida Sans"/>
      <w:sz w:val="24"/>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FangSong_GB2312" w:eastAsia="FangSong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35"/>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qFormat/>
    <w:uiPriority w:val="0"/>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Char"/>
    <w:link w:val="3"/>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Char2"/>
    <w:link w:val="68"/>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FangSong_GB2312" w:eastAsia="微软雅黑"/>
      <w:b/>
      <w:kern w:val="2"/>
      <w:sz w:val="23"/>
      <w:szCs w:val="23"/>
      <w:lang w:val="en-US" w:eastAsia="zh-CN" w:bidi="ar-SA"/>
    </w:rPr>
  </w:style>
  <w:style w:type="character" w:customStyle="1" w:styleId="296">
    <w:name w:val="样式8 Char"/>
    <w:qFormat/>
    <w:uiPriority w:val="0"/>
    <w:rPr>
      <w:rFonts w:ascii="FangSong_GB2312" w:hAnsi="宋体" w:eastAsia="FangSong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Char"/>
    <w:link w:val="6"/>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FangSong_GB2312" w:eastAsia="FangSong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Char"/>
    <w:link w:val="31"/>
    <w:qFormat/>
    <w:uiPriority w:val="0"/>
    <w:rPr>
      <w:rFonts w:ascii="FangSong_GB2312" w:eastAsia="FangSong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Char"/>
    <w:link w:val="64"/>
    <w:qFormat/>
    <w:uiPriority w:val="0"/>
    <w:rPr>
      <w:rFonts w:ascii="黑体" w:hAnsi="Courier New" w:eastAsia="黑体"/>
    </w:rPr>
  </w:style>
  <w:style w:type="character" w:customStyle="1" w:styleId="308">
    <w:name w:val="正文文本 2 Char1"/>
    <w:link w:val="25"/>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5"/>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Char"/>
    <w:link w:val="8"/>
    <w:qFormat/>
    <w:uiPriority w:val="0"/>
    <w:rPr>
      <w:b/>
      <w:bCs/>
      <w:kern w:val="2"/>
      <w:sz w:val="24"/>
      <w:szCs w:val="24"/>
    </w:rPr>
  </w:style>
  <w:style w:type="character" w:customStyle="1" w:styleId="314">
    <w:name w:val="正文文本缩进 2 Char"/>
    <w:link w:val="46"/>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58"/>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首行缩进 Char"/>
    <w:link w:val="70"/>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Char2"/>
    <w:link w:val="5"/>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Char"/>
    <w:link w:val="32"/>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FangSong_GB2312" w:eastAsia="FangSong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FangSong_GB2312" w:hAnsi="Courier New" w:eastAsia="FangSong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Char1"/>
    <w:link w:val="22"/>
    <w:qFormat/>
    <w:uiPriority w:val="0"/>
    <w:rPr>
      <w:kern w:val="2"/>
      <w:sz w:val="21"/>
      <w:szCs w:val="24"/>
    </w:rPr>
  </w:style>
  <w:style w:type="character" w:customStyle="1" w:styleId="351">
    <w:name w:val="签名 Char"/>
    <w:link w:val="50"/>
    <w:qFormat/>
    <w:uiPriority w:val="0"/>
    <w:rPr>
      <w:rFonts w:eastAsia="FangSong_GB2312"/>
      <w:sz w:val="24"/>
    </w:rPr>
  </w:style>
  <w:style w:type="character" w:customStyle="1" w:styleId="352">
    <w:name w:val="hui3"/>
    <w:qFormat/>
    <w:uiPriority w:val="0"/>
    <w:rPr>
      <w:color w:val="333333"/>
    </w:rPr>
  </w:style>
  <w:style w:type="character" w:customStyle="1" w:styleId="353">
    <w:name w:val="Char Char17"/>
    <w:qFormat/>
    <w:uiPriority w:val="6"/>
    <w:rPr>
      <w:rFonts w:eastAsia="FangSong_GB2312"/>
      <w:sz w:val="24"/>
    </w:rPr>
  </w:style>
  <w:style w:type="character" w:customStyle="1" w:styleId="354">
    <w:name w:val="标题 4 字符"/>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FangSong_GB2312" w:eastAsia="FangSong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FangSong_GB2312" w:eastAsia="FangSong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9"/>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FangSong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Char"/>
    <w:link w:val="61"/>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FangSong_GB2312" w:eastAsia="FangSong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Char2"/>
    <w:link w:val="48"/>
    <w:qFormat/>
    <w:locked/>
    <w:uiPriority w:val="99"/>
    <w:rPr>
      <w:kern w:val="2"/>
      <w:sz w:val="18"/>
      <w:szCs w:val="18"/>
    </w:rPr>
  </w:style>
  <w:style w:type="character" w:customStyle="1" w:styleId="390">
    <w:name w:val="Char Char36"/>
    <w:qFormat/>
    <w:uiPriority w:val="6"/>
    <w:rPr>
      <w:rFonts w:ascii="FangSong_GB2312" w:hAnsi="FangSong_GB2312" w:eastAsia="FangSong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Char2"/>
    <w:link w:val="49"/>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FangSong_GB2312" w:eastAsia="FangSong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FangSong_GB2312" w:eastAsia="FangSong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9"/>
    <w:qFormat/>
    <w:uiPriority w:val="0"/>
    <w:rPr>
      <w:rFonts w:ascii="Arial" w:hAnsi="Arial" w:eastAsia="黑体" w:cs="Arial"/>
      <w:snapToGrid w:val="0"/>
      <w:kern w:val="0"/>
      <w:szCs w:val="21"/>
    </w:rPr>
  </w:style>
  <w:style w:type="character" w:customStyle="1" w:styleId="428">
    <w:name w:val="pt9"/>
    <w:qFormat/>
    <w:uiPriority w:val="0"/>
    <w:rPr>
      <w:rFonts w:ascii="FangSong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18"/>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34"/>
    <w:qFormat/>
    <w:uiPriority w:val="0"/>
    <w:rPr>
      <w:rFonts w:ascii="宋体" w:hAnsi="Arial" w:eastAsia="宋体" w:cs="Arial"/>
      <w:snapToGrid w:val="0"/>
      <w:kern w:val="2"/>
      <w:sz w:val="24"/>
      <w:szCs w:val="21"/>
      <w:lang w:val="zh-CN" w:eastAsia="zh-CN" w:bidi="ar-SA"/>
    </w:rPr>
  </w:style>
  <w:style w:type="character" w:customStyle="1" w:styleId="437">
    <w:name w:val="gray6"/>
    <w:basedOn w:val="79"/>
    <w:qFormat/>
    <w:uiPriority w:val="0"/>
    <w:rPr>
      <w:rFonts w:ascii="Arial" w:hAnsi="Arial" w:eastAsia="黑体" w:cs="Arial"/>
      <w:snapToGrid w:val="0"/>
      <w:kern w:val="0"/>
      <w:szCs w:val="21"/>
    </w:rPr>
  </w:style>
  <w:style w:type="character" w:customStyle="1" w:styleId="438">
    <w:name w:val="hui"/>
    <w:basedOn w:val="79"/>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35"/>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5"/>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65">
    <w:name w:val="样式3"/>
    <w:basedOn w:val="466"/>
    <w:qFormat/>
    <w:uiPriority w:val="0"/>
    <w:pPr>
      <w:tabs>
        <w:tab w:val="left" w:pos="2790"/>
        <w:tab w:val="left" w:pos="4230"/>
      </w:tabs>
      <w:spacing w:beforeLines="100"/>
      <w:jc w:val="left"/>
    </w:pPr>
  </w:style>
  <w:style w:type="paragraph" w:customStyle="1" w:styleId="466">
    <w:name w:val="样式2"/>
    <w:basedOn w:val="34"/>
    <w:qFormat/>
    <w:uiPriority w:val="0"/>
    <w:pPr>
      <w:tabs>
        <w:tab w:val="left" w:pos="2790"/>
        <w:tab w:val="left" w:pos="4230"/>
      </w:tabs>
      <w:snapToGrid w:val="0"/>
      <w:jc w:val="center"/>
      <w:outlineLvl w:val="1"/>
    </w:pPr>
    <w:rPr>
      <w:rFonts w:ascii="FangSong_GB2312" w:hAnsi="仿宋" w:eastAsia="FangSong_GB2312"/>
      <w:b/>
      <w:bCs/>
      <w:kern w:val="0"/>
      <w:sz w:val="32"/>
      <w:szCs w:val="30"/>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FangSong_GB2312" w:eastAsia="FangSong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outlineLvl w:val="5"/>
    </w:pPr>
  </w:style>
  <w:style w:type="paragraph" w:customStyle="1" w:styleId="480">
    <w:name w:val="5级标题"/>
    <w:basedOn w:val="481"/>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1">
    <w:name w:val="4级标题"/>
    <w:basedOn w:val="2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FangSong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3"/>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FangSong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2"/>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FangSong_GB2312" w:eastAsia="FangSong_GB2312"/>
      <w:b/>
      <w:sz w:val="32"/>
      <w:szCs w:val="32"/>
    </w:rPr>
  </w:style>
  <w:style w:type="paragraph" w:customStyle="1" w:styleId="49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FangSong_GB2312" w:eastAsia="FangSong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FangSong_GB2312" w:eastAsia="FangSong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FangSong_GB2312" w:eastAsia="FangSong_GB2312"/>
      <w:b/>
      <w:sz w:val="32"/>
      <w:szCs w:val="32"/>
    </w:rPr>
  </w:style>
  <w:style w:type="paragraph" w:customStyle="1" w:styleId="508">
    <w:name w:val="Char2 Char Char Char1"/>
    <w:basedOn w:val="1"/>
    <w:qFormat/>
    <w:uiPriority w:val="6"/>
    <w:rPr>
      <w:rFonts w:ascii="FangSong_GB2312" w:eastAsia="FangSong_GB2312"/>
      <w:b/>
      <w:sz w:val="32"/>
      <w:szCs w:val="32"/>
    </w:rPr>
  </w:style>
  <w:style w:type="paragraph" w:customStyle="1" w:styleId="509">
    <w:name w:val="默认段落样式"/>
    <w:basedOn w:val="67"/>
    <w:qFormat/>
    <w:uiPriority w:val="0"/>
    <w:pPr>
      <w:spacing w:before="0"/>
      <w:ind w:firstLine="480"/>
      <w:outlineLvl w:val="2"/>
    </w:pPr>
    <w:rPr>
      <w:rFonts w:ascii="FangSong_GB2312" w:hAnsi="宋体" w:eastAsia="FangSong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1"/>
    <w:pPr>
      <w:adjustRightInd/>
      <w:ind w:firstLine="420" w:firstLineChars="200"/>
    </w:pPr>
    <w:rPr>
      <w:rFonts w:eastAsia="FangSong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7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FangSong_GB2312" w:eastAsia="FangSong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FangSong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Lines="50"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1"/>
    <w:next w:val="241"/>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54">
    <w:name w:val="正文文字 2"/>
    <w:basedOn w:val="241"/>
    <w:next w:val="241"/>
    <w:qFormat/>
    <w:uiPriority w:val="0"/>
    <w:rPr>
      <w:rFonts w:ascii="宋体" w:eastAsia="宋体" w:cs="Times New Roman"/>
      <w:color w:val="auto"/>
    </w:rPr>
  </w:style>
  <w:style w:type="paragraph" w:customStyle="1" w:styleId="55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FangSong_GB2312" w:eastAsia="FangSong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FangSong_GB2312" w:eastAsia="FangSong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FangSong_GB2312" w:hAnsi="仿宋" w:eastAsia="FangSong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3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FangSong_GB2312" w:eastAsia="FangSong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FangSong_GB2312" w:eastAsia="FangSong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3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25"/>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FangSong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FangSong_GB2312" w:eastAsia="FangSong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FangSong_GB2312" w:eastAsia="FangSong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4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FangSong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FangSong_GB2312" w:eastAsia="FangSong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3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FangSong_GB2312" w:eastAsia="FangSong_GB2312"/>
      <w:b/>
      <w:sz w:val="32"/>
      <w:szCs w:val="32"/>
    </w:rPr>
  </w:style>
  <w:style w:type="paragraph" w:customStyle="1" w:styleId="704">
    <w:name w:val="正文缩进1"/>
    <w:basedOn w:val="1"/>
    <w:next w:val="3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FangSong_GB2312" w:eastAsia="FangSong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24">
    <w:name w:val="4"/>
    <w:basedOn w:val="1"/>
    <w:next w:val="4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FangSong_GB2312" w:eastAsia="FangSong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FangSong_GB2312" w:eastAsia="FangSong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FangSong_GB2312" w:hAnsi="宋体" w:eastAsia="FangSong_GB2312"/>
      <w:b/>
      <w:bCs/>
      <w:sz w:val="24"/>
    </w:rPr>
  </w:style>
  <w:style w:type="paragraph" w:customStyle="1" w:styleId="763">
    <w:name w:val="_Style 5"/>
    <w:basedOn w:val="1"/>
    <w:qFormat/>
    <w:uiPriority w:val="34"/>
    <w:pPr>
      <w:adjustRightInd/>
      <w:ind w:firstLine="420" w:firstLineChars="200"/>
    </w:pPr>
    <w:rPr>
      <w:rFonts w:eastAsia="FangSong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3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Char6"/>
    <w:basedOn w:val="1"/>
    <w:qFormat/>
    <w:uiPriority w:val="0"/>
    <w:rPr>
      <w:rFonts w:ascii="FangSong_GB2312" w:eastAsia="FangSong_GB2312"/>
      <w:b/>
      <w:sz w:val="32"/>
      <w:szCs w:val="32"/>
    </w:rPr>
  </w:style>
  <w:style w:type="paragraph" w:customStyle="1" w:styleId="787">
    <w:name w:val="Char111"/>
    <w:basedOn w:val="1"/>
    <w:qFormat/>
    <w:uiPriority w:val="0"/>
    <w:rPr>
      <w:rFonts w:ascii="FangSong_GB2312" w:eastAsia="FangSong_GB2312"/>
      <w:b/>
      <w:sz w:val="32"/>
      <w:szCs w:val="32"/>
    </w:rPr>
  </w:style>
  <w:style w:type="paragraph" w:customStyle="1" w:styleId="788">
    <w:name w:val="标题3"/>
    <w:basedOn w:val="4"/>
    <w:next w:val="61"/>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FangSong_GB2312" w:eastAsia="FangSong_GB2312"/>
      <w:b/>
      <w:sz w:val="32"/>
      <w:szCs w:val="32"/>
    </w:rPr>
  </w:style>
  <w:style w:type="paragraph" w:customStyle="1" w:styleId="794">
    <w:name w:val="五级条标题"/>
    <w:basedOn w:val="795"/>
    <w:next w:val="642"/>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7"/>
    <w:next w:val="642"/>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FangSong_GB2312" w:eastAsia="FangSong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6"/>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3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FangSong_GB2312" w:eastAsia="FangSong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2"/>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FangSong_GB2312"/>
      <w:sz w:val="24"/>
      <w:szCs w:val="20"/>
    </w:rPr>
  </w:style>
  <w:style w:type="paragraph" w:customStyle="1" w:styleId="840">
    <w:name w:val="正文1"/>
    <w:basedOn w:val="43"/>
    <w:qFormat/>
    <w:uiPriority w:val="0"/>
    <w:pPr>
      <w:ind w:left="0" w:leftChars="0" w:firstLine="480" w:firstLineChars="200"/>
    </w:pPr>
    <w:rPr>
      <w:rFonts w:ascii="FangSong_GB2312" w:hAnsi="Courier New" w:eastAsia="FangSong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5"/>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FangSong_GB2312" w:eastAsia="FangSong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FangSong_GB2312" w:eastAsia="FangSong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FangSong_GB2312" w:eastAsia="FangSong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FangSong_GB2312"/>
      <w:sz w:val="28"/>
    </w:rPr>
  </w:style>
  <w:style w:type="paragraph" w:customStyle="1" w:styleId="861">
    <w:name w:val="Char21"/>
    <w:basedOn w:val="1"/>
    <w:qFormat/>
    <w:uiPriority w:val="0"/>
    <w:pPr>
      <w:adjustRightInd/>
      <w:ind w:firstLine="200" w:firstLineChars="200"/>
    </w:pPr>
    <w:rPr>
      <w:rFonts w:ascii="FangSong_GB2312" w:eastAsia="FangSong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FangSong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FangSong_GB2312" w:eastAsia="FangSong_GB2312"/>
      <w:b/>
      <w:sz w:val="32"/>
      <w:szCs w:val="32"/>
    </w:rPr>
  </w:style>
  <w:style w:type="paragraph" w:customStyle="1" w:styleId="886">
    <w:name w:val="正文箭头"/>
    <w:basedOn w:val="543"/>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FangSong_GB2312"/>
      <w:sz w:val="28"/>
    </w:rPr>
  </w:style>
  <w:style w:type="paragraph" w:customStyle="1" w:styleId="893">
    <w:name w:val="表格 内容"/>
    <w:basedOn w:val="731"/>
    <w:qFormat/>
    <w:uiPriority w:val="0"/>
    <w:rPr>
      <w:b w:val="0"/>
      <w:sz w:val="20"/>
    </w:rPr>
  </w:style>
  <w:style w:type="paragraph" w:customStyle="1" w:styleId="894">
    <w:name w:val="正文首行缩进1"/>
    <w:basedOn w:val="3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FangSong_GB2312"/>
      <w:sz w:val="28"/>
    </w:rPr>
  </w:style>
  <w:style w:type="paragraph" w:customStyle="1" w:styleId="906">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7">
    <w:name w:val="_Style 8"/>
    <w:basedOn w:val="1"/>
    <w:qFormat/>
    <w:uiPriority w:val="34"/>
    <w:pPr>
      <w:adjustRightInd/>
      <w:ind w:firstLine="420" w:firstLineChars="200"/>
    </w:pPr>
    <w:rPr>
      <w:rFonts w:eastAsia="FangSong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FangSong_GB2312"/>
      <w:sz w:val="28"/>
    </w:rPr>
  </w:style>
  <w:style w:type="paragraph" w:customStyle="1" w:styleId="914">
    <w:name w:val="正文 图"/>
    <w:basedOn w:val="449"/>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6"/>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7"/>
    <w:qFormat/>
    <w:uiPriority w:val="0"/>
    <w:rPr>
      <w:kern w:val="2"/>
      <w:sz w:val="21"/>
      <w:szCs w:val="24"/>
      <w:lang w:val="zh-CN"/>
    </w:rPr>
  </w:style>
  <w:style w:type="character" w:customStyle="1" w:styleId="933">
    <w:name w:val="无间隔 Char"/>
    <w:link w:val="488"/>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4"/>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NormalCharacter"/>
    <w:link w:val="965"/>
    <w:qFormat/>
    <w:uiPriority w:val="0"/>
    <w:rPr>
      <w:rFonts w:ascii="Tahoma" w:hAnsi="Tahoma"/>
      <w:kern w:val="2"/>
      <w:sz w:val="24"/>
      <w:szCs w:val="24"/>
    </w:rPr>
  </w:style>
  <w:style w:type="paragraph" w:customStyle="1" w:styleId="965">
    <w:name w:val="UserStyle_13"/>
    <w:basedOn w:val="1"/>
    <w:link w:val="964"/>
    <w:qFormat/>
    <w:uiPriority w:val="0"/>
    <w:pPr>
      <w:widowControl/>
      <w:adjustRightInd/>
      <w:spacing w:line="360" w:lineRule="auto"/>
      <w:ind w:firstLine="200" w:firstLineChars="200"/>
    </w:pPr>
    <w:rPr>
      <w:rFonts w:ascii="Tahoma" w:hAnsi="Tahoma"/>
      <w:sz w:val="24"/>
    </w:rPr>
  </w:style>
  <w:style w:type="paragraph" w:customStyle="1" w:styleId="966">
    <w:name w:val="表格01"/>
    <w:basedOn w:val="1"/>
    <w:qFormat/>
    <w:uiPriority w:val="0"/>
    <w:pPr>
      <w:spacing w:line="360" w:lineRule="auto"/>
      <w:jc w:val="center"/>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19646-3B08-4489-83AC-2A8DF2E281E6}">
  <ds:schemaRefs/>
</ds:datastoreItem>
</file>

<file path=docProps/app.xml><?xml version="1.0" encoding="utf-8"?>
<Properties xmlns="http://schemas.openxmlformats.org/officeDocument/2006/extended-properties" xmlns:vt="http://schemas.openxmlformats.org/officeDocument/2006/docPropsVTypes">
  <Template>Normal</Template>
  <Pages>65</Pages>
  <Words>29792</Words>
  <Characters>31484</Characters>
  <Lines>33</Lines>
  <Paragraphs>62</Paragraphs>
  <TotalTime>102</TotalTime>
  <ScaleCrop>false</ScaleCrop>
  <LinksUpToDate>false</LinksUpToDate>
  <CharactersWithSpaces>32833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2023-03-01T00:22:00Z</dcterms:created>
  <dc:creator>Administrator.20180320-173244</dc:creator>
  <cp:lastModifiedBy>子小口鸟先森</cp:lastModifiedBy>
  <cp:lastPrinted>2024-04-28T02:24:00Z</cp:lastPrinted>
  <dcterms:modified xsi:type="dcterms:W3CDTF">2024-06-06T07:46:38Z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0BF50D72D84847A698B31D2238573635_13</vt:lpwstr>
  </property>
</Properties>
</file>