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宋体" w:hAnsi="宋体" w:eastAsia="宋体" w:cs="宋体"/>
          <w:sz w:val="48"/>
          <w:szCs w:val="48"/>
        </w:rPr>
      </w:pPr>
    </w:p>
    <w:p>
      <w:pPr>
        <w:adjustRightInd/>
        <w:spacing w:line="360" w:lineRule="auto"/>
        <w:jc w:val="center"/>
        <w:rPr>
          <w:rFonts w:hint="eastAsia" w:ascii="宋体" w:hAnsi="宋体" w:eastAsia="宋体" w:cs="宋体"/>
          <w:sz w:val="48"/>
          <w:szCs w:val="48"/>
        </w:rPr>
      </w:pPr>
      <w:r>
        <w:rPr>
          <w:rFonts w:hint="eastAsia" w:ascii="宋体" w:hAnsi="宋体" w:cs="宋体"/>
          <w:sz w:val="52"/>
          <w:szCs w:val="52"/>
          <w:lang w:eastAsia="zh-CN"/>
        </w:rPr>
        <w:t>2024-2026年桐庐县生猪价格指数保险采购项目</w:t>
      </w:r>
    </w:p>
    <w:p>
      <w:pPr>
        <w:adjustRightInd/>
        <w:spacing w:line="360" w:lineRule="auto"/>
        <w:jc w:val="center"/>
        <w:rPr>
          <w:rFonts w:hint="eastAsia" w:ascii="宋体" w:hAnsi="宋体" w:cs="宋体"/>
          <w:sz w:val="48"/>
          <w:szCs w:val="48"/>
          <w:lang w:eastAsia="zh-CN"/>
        </w:rPr>
      </w:pPr>
    </w:p>
    <w:p>
      <w:pPr>
        <w:adjustRightInd/>
        <w:spacing w:line="360" w:lineRule="auto"/>
        <w:jc w:val="center"/>
        <w:rPr>
          <w:rFonts w:hint="eastAsia" w:ascii="宋体" w:hAnsi="宋体" w:eastAsia="宋体" w:cs="宋体"/>
          <w:sz w:val="48"/>
          <w:szCs w:val="48"/>
        </w:rPr>
      </w:pPr>
      <w:r>
        <w:rPr>
          <w:rFonts w:hint="eastAsia" w:ascii="宋体" w:hAnsi="宋体" w:cs="宋体"/>
          <w:sz w:val="48"/>
          <w:szCs w:val="48"/>
          <w:lang w:eastAsia="zh-CN"/>
        </w:rPr>
        <w:t>公开</w:t>
      </w:r>
      <w:r>
        <w:rPr>
          <w:rFonts w:hint="eastAsia" w:ascii="宋体" w:hAnsi="宋体" w:eastAsia="宋体" w:cs="宋体"/>
          <w:sz w:val="48"/>
          <w:szCs w:val="48"/>
        </w:rPr>
        <w:t>招标文件</w:t>
      </w:r>
    </w:p>
    <w:p>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lang w:eastAsia="zh-CN"/>
        </w:rPr>
        <w:t>采购</w:t>
      </w:r>
      <w:r>
        <w:rPr>
          <w:rFonts w:hint="eastAsia" w:ascii="宋体" w:hAnsi="宋体" w:eastAsia="宋体" w:cs="宋体"/>
          <w:sz w:val="30"/>
          <w:szCs w:val="30"/>
        </w:rPr>
        <w:t>编号:（HZZC-TL2024GK-0</w:t>
      </w:r>
      <w:r>
        <w:rPr>
          <w:rFonts w:hint="eastAsia" w:ascii="宋体" w:hAnsi="宋体" w:cs="宋体"/>
          <w:sz w:val="30"/>
          <w:szCs w:val="30"/>
          <w:lang w:val="en-US" w:eastAsia="zh-CN"/>
        </w:rPr>
        <w:t>10</w:t>
      </w:r>
      <w:r>
        <w:rPr>
          <w:rFonts w:hint="eastAsia" w:ascii="宋体" w:hAnsi="宋体" w:eastAsia="宋体" w:cs="宋体"/>
          <w:sz w:val="30"/>
          <w:szCs w:val="30"/>
        </w:rPr>
        <w:t>）</w:t>
      </w:r>
    </w:p>
    <w:p>
      <w:pPr>
        <w:adjustRightInd/>
        <w:spacing w:line="360" w:lineRule="auto"/>
        <w:rPr>
          <w:rFonts w:hint="eastAsia" w:ascii="宋体" w:hAnsi="宋体" w:eastAsia="宋体" w:cs="宋体"/>
          <w:sz w:val="28"/>
          <w:szCs w:val="20"/>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 w:val="32"/>
          <w:szCs w:val="32"/>
        </w:rPr>
      </w:pPr>
    </w:p>
    <w:p>
      <w:pPr>
        <w:spacing w:line="360" w:lineRule="auto"/>
        <w:jc w:val="center"/>
        <w:rPr>
          <w:rFonts w:hint="eastAsia" w:ascii="宋体" w:hAnsi="宋体" w:cs="宋体"/>
          <w:sz w:val="32"/>
          <w:szCs w:val="32"/>
          <w:lang w:eastAsia="zh-CN"/>
        </w:rPr>
      </w:pPr>
      <w:r>
        <w:rPr>
          <w:rFonts w:hint="eastAsia" w:ascii="宋体" w:hAnsi="宋体" w:eastAsia="宋体" w:cs="宋体"/>
          <w:sz w:val="32"/>
          <w:szCs w:val="32"/>
        </w:rPr>
        <w:t>采购人</w:t>
      </w:r>
      <w:r>
        <w:rPr>
          <w:rFonts w:hint="eastAsia" w:ascii="宋体" w:hAnsi="宋体" w:eastAsia="宋体" w:cs="宋体"/>
          <w:sz w:val="32"/>
          <w:szCs w:val="32"/>
          <w:lang w:eastAsia="zh-CN"/>
        </w:rPr>
        <w:t>：</w:t>
      </w:r>
      <w:r>
        <w:rPr>
          <w:rFonts w:hint="eastAsia" w:ascii="宋体" w:hAnsi="宋体" w:cs="宋体"/>
          <w:sz w:val="32"/>
          <w:szCs w:val="32"/>
          <w:lang w:eastAsia="zh-CN"/>
        </w:rPr>
        <w:t>桐庐县供销合作总社</w:t>
      </w:r>
    </w:p>
    <w:p>
      <w:pPr>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采购代理机构</w:t>
      </w:r>
      <w:r>
        <w:rPr>
          <w:rFonts w:hint="eastAsia" w:ascii="宋体" w:hAnsi="宋体" w:eastAsia="宋体" w:cs="宋体"/>
          <w:bCs/>
          <w:sz w:val="32"/>
          <w:szCs w:val="32"/>
          <w:lang w:eastAsia="zh-CN"/>
        </w:rPr>
        <w:t>：</w:t>
      </w:r>
      <w:r>
        <w:rPr>
          <w:rFonts w:hint="eastAsia" w:ascii="宋体" w:hAnsi="宋体" w:eastAsia="宋体" w:cs="宋体"/>
          <w:bCs/>
          <w:sz w:val="32"/>
          <w:szCs w:val="32"/>
        </w:rPr>
        <w:t>杭州智诚工程管理有限公司</w:t>
      </w:r>
    </w:p>
    <w:p>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lang w:val="en-US" w:eastAsia="zh-CN"/>
        </w:rPr>
        <w:t>202</w:t>
      </w:r>
      <w:r>
        <w:rPr>
          <w:rFonts w:hint="eastAsia" w:ascii="宋体" w:hAnsi="宋体" w:cs="宋体"/>
          <w:bCs/>
          <w:sz w:val="32"/>
          <w:szCs w:val="32"/>
          <w:lang w:val="en-US" w:eastAsia="zh-CN"/>
        </w:rPr>
        <w:t>4</w:t>
      </w:r>
      <w:r>
        <w:rPr>
          <w:rFonts w:hint="eastAsia" w:ascii="宋体" w:hAnsi="宋体" w:eastAsia="宋体" w:cs="宋体"/>
          <w:bCs/>
          <w:sz w:val="32"/>
          <w:szCs w:val="32"/>
        </w:rPr>
        <w:t>年</w:t>
      </w:r>
      <w:r>
        <w:rPr>
          <w:rFonts w:hint="eastAsia" w:ascii="宋体" w:hAnsi="宋体" w:cs="宋体"/>
          <w:bCs/>
          <w:sz w:val="32"/>
          <w:szCs w:val="32"/>
          <w:lang w:val="en-US" w:eastAsia="zh-CN"/>
        </w:rPr>
        <w:t>08</w:t>
      </w:r>
      <w:r>
        <w:rPr>
          <w:rFonts w:hint="eastAsia" w:ascii="宋体" w:hAnsi="宋体" w:eastAsia="宋体" w:cs="宋体"/>
          <w:bCs/>
          <w:sz w:val="32"/>
          <w:szCs w:val="32"/>
        </w:rPr>
        <w:t>月</w:t>
      </w:r>
    </w:p>
    <w:p>
      <w:pPr>
        <w:pStyle w:val="7"/>
        <w:rPr>
          <w:rFonts w:hint="eastAsia" w:ascii="宋体" w:hAnsi="宋体" w:eastAsia="宋体" w:cs="宋体"/>
          <w:bCs/>
          <w:sz w:val="32"/>
          <w:szCs w:val="32"/>
        </w:rPr>
      </w:pPr>
    </w:p>
    <w:p>
      <w:pPr>
        <w:rPr>
          <w:rFonts w:hint="eastAsia" w:ascii="宋体" w:hAnsi="宋体" w:eastAsia="宋体" w:cs="宋体"/>
          <w:bCs/>
          <w:sz w:val="32"/>
          <w:szCs w:val="32"/>
        </w:rPr>
      </w:pPr>
    </w:p>
    <w:p>
      <w:pPr>
        <w:spacing w:line="360" w:lineRule="auto"/>
        <w:jc w:val="both"/>
        <w:rPr>
          <w:rFonts w:hint="eastAsia" w:ascii="宋体" w:hAnsi="宋体" w:eastAsia="宋体" w:cs="宋体"/>
          <w:b/>
          <w:sz w:val="48"/>
          <w:szCs w:val="48"/>
        </w:rPr>
        <w:sectPr>
          <w:headerReference r:id="rId4" w:type="first"/>
          <w:headerReference r:id="rId3"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pPr>
        <w:pStyle w:val="4"/>
        <w:rPr>
          <w:rFonts w:hint="eastAsia"/>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0" w:name="_Hlt91233176"/>
      <w:bookmarkEnd w:id="0"/>
      <w:bookmarkStart w:id="1"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pStyle w:val="7"/>
        <w:rPr>
          <w:rFonts w:hint="eastAsia" w:ascii="宋体" w:hAnsi="宋体" w:eastAsia="宋体" w:cs="宋体"/>
          <w:sz w:val="24"/>
        </w:rPr>
      </w:pPr>
    </w:p>
    <w:p>
      <w:pPr>
        <w:rPr>
          <w:rFonts w:hint="eastAsia" w:ascii="宋体" w:hAnsi="宋体" w:eastAsia="宋体" w:cs="宋体"/>
          <w:sz w:val="24"/>
        </w:rPr>
      </w:pPr>
    </w:p>
    <w:bookmarkEnd w:id="1"/>
    <w:p>
      <w:pPr>
        <w:adjustRightInd/>
        <w:spacing w:line="360" w:lineRule="auto"/>
        <w:jc w:val="both"/>
        <w:outlineLvl w:val="0"/>
        <w:rPr>
          <w:rFonts w:hint="eastAsia" w:ascii="宋体" w:hAnsi="宋体" w:eastAsia="宋体" w:cs="宋体"/>
          <w:b/>
          <w:sz w:val="36"/>
          <w:szCs w:val="20"/>
        </w:rPr>
      </w:pPr>
      <w:bookmarkStart w:id="2" w:name="_Hlt74649545"/>
      <w:bookmarkEnd w:id="2"/>
      <w:bookmarkStart w:id="3" w:name="_Hlt74707423"/>
      <w:bookmarkEnd w:id="3"/>
      <w:bookmarkStart w:id="4" w:name="_Hlt74729822"/>
      <w:bookmarkEnd w:id="4"/>
      <w:bookmarkStart w:id="5" w:name="_Hlt74728647"/>
      <w:bookmarkEnd w:id="5"/>
      <w:bookmarkStart w:id="6" w:name="第二部分"/>
      <w:bookmarkStart w:id="7" w:name="_Toc91899870"/>
      <w:bookmarkStart w:id="8" w:name="_Toc91899871"/>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sectPr>
          <w:footerReference r:id="rId6" w:type="firs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2024-2026年桐庐县生猪价格指数保险采购项目</w:t>
      </w:r>
      <w:r>
        <w:rPr>
          <w:rFonts w:hint="eastAsia" w:ascii="宋体" w:hAnsi="宋体" w:cs="宋体"/>
          <w:sz w:val="24"/>
          <w:u w:val="single"/>
          <w:lang w:val="en-US" w:eastAsia="zh-CN"/>
        </w:rPr>
        <w:t xml:space="preserve"> </w:t>
      </w:r>
      <w:r>
        <w:rPr>
          <w:rFonts w:hint="eastAsia" w:ascii="宋体" w:hAnsi="宋体" w:eastAsia="宋体" w:cs="宋体"/>
          <w:sz w:val="24"/>
        </w:rPr>
        <w:t>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r>
        <w:rPr>
          <w:rFonts w:hint="eastAsia" w:ascii="宋体" w:hAnsi="宋体" w:eastAsia="宋体" w:cs="宋体"/>
          <w:bCs/>
          <w:sz w:val="24"/>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递交（上传）投标文件。</w:t>
      </w:r>
    </w:p>
    <w:p>
      <w:pPr>
        <w:spacing w:line="360" w:lineRule="auto"/>
        <w:rPr>
          <w:rFonts w:hint="eastAsia" w:ascii="宋体" w:hAnsi="宋体" w:eastAsia="宋体" w:cs="宋体"/>
          <w:b/>
          <w:sz w:val="24"/>
        </w:rPr>
      </w:pPr>
      <w:r>
        <w:rPr>
          <w:rFonts w:hint="eastAsia" w:ascii="宋体" w:hAnsi="宋体" w:eastAsia="宋体" w:cs="宋体"/>
          <w:b/>
          <w:sz w:val="24"/>
        </w:rPr>
        <w:t xml:space="preserve">一、项目基本情况                                            </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eastAsia="宋体" w:cs="宋体"/>
          <w:sz w:val="24"/>
        </w:rPr>
        <w:t>HZZC-TL2024GK-0</w:t>
      </w:r>
      <w:r>
        <w:rPr>
          <w:rFonts w:hint="eastAsia" w:ascii="宋体" w:hAnsi="宋体" w:cs="宋体"/>
          <w:sz w:val="24"/>
          <w:lang w:val="en-US" w:eastAsia="zh-CN"/>
        </w:rPr>
        <w:t>10</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 xml:space="preserve"> 项目名称：</w:t>
      </w:r>
      <w:r>
        <w:rPr>
          <w:rFonts w:hint="eastAsia" w:ascii="宋体" w:hAnsi="宋体" w:cs="宋体"/>
          <w:sz w:val="24"/>
          <w:lang w:eastAsia="zh-CN"/>
        </w:rPr>
        <w:t>2024-2026年桐庐县生猪价格指数保险采购项目</w:t>
      </w:r>
    </w:p>
    <w:p>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预算金额：</w:t>
      </w:r>
      <w:r>
        <w:rPr>
          <w:rFonts w:hint="eastAsia" w:ascii="宋体" w:hAnsi="宋体" w:cs="宋体"/>
          <w:bCs/>
          <w:color w:val="auto"/>
          <w:sz w:val="24"/>
          <w:highlight w:val="none"/>
          <w:lang w:val="en-US" w:eastAsia="zh-CN"/>
        </w:rPr>
        <w:t>734.4万元</w:t>
      </w:r>
    </w:p>
    <w:p>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w:t>
      </w:r>
      <w:r>
        <w:rPr>
          <w:rFonts w:hint="eastAsia" w:ascii="宋体" w:hAnsi="宋体" w:cs="宋体"/>
          <w:bCs/>
          <w:color w:val="auto"/>
          <w:sz w:val="24"/>
          <w:highlight w:val="none"/>
          <w:lang w:val="en-US" w:eastAsia="zh-CN"/>
        </w:rPr>
        <w:t>保险费率6%</w:t>
      </w:r>
    </w:p>
    <w:p>
      <w:pPr>
        <w:spacing w:line="360" w:lineRule="auto"/>
        <w:ind w:firstLine="480"/>
        <w:rPr>
          <w:rFonts w:hint="eastAsia" w:hAnsi="宋体" w:cs="宋体"/>
          <w:b/>
          <w:bCs/>
          <w:color w:val="auto"/>
          <w:sz w:val="24"/>
          <w:highlight w:val="none"/>
        </w:rPr>
      </w:pPr>
      <w:r>
        <w:rPr>
          <w:rFonts w:hint="eastAsia" w:ascii="宋体" w:hAnsi="宋体" w:cs="宋体"/>
          <w:b/>
          <w:bCs/>
          <w:color w:val="auto"/>
          <w:kern w:val="0"/>
          <w:sz w:val="24"/>
          <w:highlight w:val="none"/>
          <w:lang w:val="en-US" w:eastAsia="zh-CN"/>
        </w:rPr>
        <w:t>注：本保险险种</w:t>
      </w:r>
      <w:r>
        <w:rPr>
          <w:rFonts w:hint="eastAsia" w:ascii="宋体" w:hAnsi="宋体" w:eastAsia="宋体" w:cs="宋体"/>
          <w:b/>
          <w:bCs/>
          <w:color w:val="auto"/>
          <w:kern w:val="0"/>
          <w:sz w:val="24"/>
          <w:highlight w:val="none"/>
          <w:lang w:eastAsia="zh-CN"/>
        </w:rPr>
        <w:t>由市级财政补贴</w:t>
      </w:r>
      <w:r>
        <w:rPr>
          <w:rFonts w:hint="eastAsia" w:ascii="宋体" w:hAnsi="宋体" w:eastAsia="宋体" w:cs="宋体"/>
          <w:b/>
          <w:bCs/>
          <w:color w:val="auto"/>
          <w:kern w:val="0"/>
          <w:sz w:val="24"/>
          <w:highlight w:val="none"/>
          <w:lang w:val="en-US" w:eastAsia="zh-CN"/>
        </w:rPr>
        <w:t>35</w:t>
      </w:r>
      <w:r>
        <w:rPr>
          <w:rFonts w:hint="eastAsia" w:ascii="宋体" w:hAnsi="宋体" w:eastAsia="宋体" w:cs="宋体"/>
          <w:b/>
          <w:bCs/>
          <w:color w:val="auto"/>
          <w:kern w:val="0"/>
          <w:sz w:val="24"/>
          <w:highlight w:val="none"/>
          <w:lang w:eastAsia="zh-CN"/>
        </w:rPr>
        <w:t>%，县级财政补贴</w:t>
      </w:r>
      <w:r>
        <w:rPr>
          <w:rFonts w:hint="eastAsia" w:ascii="宋体" w:hAnsi="宋体" w:eastAsia="宋体" w:cs="宋体"/>
          <w:b/>
          <w:bCs/>
          <w:color w:val="auto"/>
          <w:kern w:val="0"/>
          <w:sz w:val="24"/>
          <w:highlight w:val="none"/>
          <w:lang w:val="en-US" w:eastAsia="zh-CN"/>
        </w:rPr>
        <w:t>35</w:t>
      </w:r>
      <w:r>
        <w:rPr>
          <w:rFonts w:hint="eastAsia" w:ascii="宋体" w:hAnsi="宋体" w:eastAsia="宋体" w:cs="宋体"/>
          <w:b/>
          <w:bCs/>
          <w:color w:val="auto"/>
          <w:kern w:val="0"/>
          <w:sz w:val="24"/>
          <w:highlight w:val="none"/>
          <w:lang w:eastAsia="zh-CN"/>
        </w:rPr>
        <w:t>%，农户自缴</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lang w:eastAsia="zh-CN"/>
        </w:rPr>
        <w:t>0%</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共计</w:t>
      </w:r>
      <w:r>
        <w:rPr>
          <w:rFonts w:hint="eastAsia" w:ascii="宋体" w:hAnsi="宋体" w:cs="宋体"/>
          <w:b/>
          <w:bCs/>
          <w:color w:val="auto"/>
          <w:sz w:val="24"/>
          <w:highlight w:val="none"/>
          <w:lang w:val="en-US" w:eastAsia="zh-CN"/>
        </w:rPr>
        <w:t>244.8</w:t>
      </w:r>
      <w:r>
        <w:rPr>
          <w:rFonts w:hint="eastAsia" w:ascii="宋体" w:hAnsi="宋体" w:cs="宋体"/>
          <w:b/>
          <w:bCs/>
          <w:color w:val="auto"/>
          <w:kern w:val="0"/>
          <w:sz w:val="24"/>
          <w:highlight w:val="none"/>
          <w:lang w:val="en-US" w:eastAsia="zh-CN"/>
        </w:rPr>
        <w:t>万元</w:t>
      </w:r>
      <w:r>
        <w:rPr>
          <w:rFonts w:hint="eastAsia" w:ascii="宋体" w:hAnsi="宋体" w:cs="宋体"/>
          <w:b/>
          <w:bCs/>
          <w:color w:val="auto"/>
          <w:sz w:val="24"/>
          <w:highlight w:val="none"/>
          <w:lang w:val="en-US" w:eastAsia="zh-CN"/>
        </w:rPr>
        <w:t>/年</w:t>
      </w:r>
      <w:r>
        <w:rPr>
          <w:rFonts w:hint="eastAsia" w:ascii="宋体" w:hAnsi="宋体" w:cs="宋体"/>
          <w:b/>
          <w:bCs/>
          <w:color w:val="auto"/>
          <w:kern w:val="0"/>
          <w:sz w:val="24"/>
          <w:highlight w:val="none"/>
          <w:lang w:val="en-US" w:eastAsia="zh-CN"/>
        </w:rPr>
        <w:t>。</w:t>
      </w:r>
    </w:p>
    <w:p>
      <w:pPr>
        <w:pStyle w:val="2"/>
        <w:spacing w:line="360" w:lineRule="auto"/>
        <w:ind w:firstLine="480"/>
        <w:rPr>
          <w:rFonts w:hint="eastAsia" w:ascii="宋体" w:hAnsi="宋体" w:eastAsia="宋体" w:cs="宋体"/>
          <w:b/>
          <w:color w:val="auto"/>
          <w:sz w:val="24"/>
        </w:rPr>
      </w:pPr>
      <w:r>
        <w:rPr>
          <w:rFonts w:hint="eastAsia" w:hAnsi="宋体" w:cs="宋体"/>
          <w:b/>
          <w:color w:val="auto"/>
          <w:sz w:val="24"/>
        </w:rPr>
        <w:t>采购需求：</w:t>
      </w:r>
      <w:r>
        <w:rPr>
          <w:rFonts w:hint="eastAsia" w:hAnsi="宋体" w:cs="宋体"/>
          <w:bCs/>
          <w:color w:val="auto"/>
          <w:sz w:val="24"/>
        </w:rPr>
        <w:t>主要内容</w:t>
      </w:r>
      <w:r>
        <w:rPr>
          <w:rFonts w:hint="eastAsia" w:hAnsi="宋体" w:cs="宋体"/>
          <w:bCs/>
          <w:color w:val="auto"/>
          <w:sz w:val="24"/>
          <w:lang w:eastAsia="zh-CN"/>
        </w:rPr>
        <w:t>为</w:t>
      </w:r>
      <w:r>
        <w:rPr>
          <w:rFonts w:hint="eastAsia" w:hAnsi="宋体" w:cs="宋体"/>
          <w:bCs/>
          <w:color w:val="auto"/>
          <w:sz w:val="24"/>
        </w:rPr>
        <w:t>生猪价格指数保险服务</w:t>
      </w:r>
      <w:r>
        <w:rPr>
          <w:rFonts w:hint="eastAsia" w:hAnsi="宋体" w:cs="宋体"/>
          <w:bCs/>
          <w:color w:val="auto"/>
          <w:sz w:val="24"/>
          <w:lang w:eastAsia="zh-CN"/>
        </w:rPr>
        <w:t>开发并承保</w:t>
      </w:r>
      <w:r>
        <w:rPr>
          <w:rFonts w:hint="eastAsia" w:hAnsi="宋体" w:cs="宋体"/>
          <w:bCs/>
          <w:color w:val="auto"/>
          <w:sz w:val="24"/>
        </w:rPr>
        <w:t>。具体以招标文件第三部分采购需求为准，供应商可点击本公告下方“浏览采购文件”查看采购需求。</w:t>
      </w:r>
    </w:p>
    <w:p>
      <w:pPr>
        <w:pStyle w:val="2"/>
        <w:spacing w:line="360" w:lineRule="auto"/>
        <w:ind w:firstLine="480"/>
        <w:rPr>
          <w:rFonts w:hAnsi="宋体" w:cs="宋体"/>
          <w:bCs/>
          <w:color w:val="auto"/>
          <w:sz w:val="24"/>
        </w:rPr>
      </w:pPr>
      <w:r>
        <w:rPr>
          <w:rFonts w:hint="eastAsia" w:hAnsi="宋体" w:cs="宋体"/>
          <w:b/>
          <w:color w:val="auto"/>
          <w:sz w:val="24"/>
        </w:rPr>
        <w:t>合同履约期限：</w:t>
      </w:r>
      <w:r>
        <w:rPr>
          <w:rFonts w:hint="eastAsia" w:hAnsi="宋体" w:cs="宋体"/>
          <w:bCs/>
          <w:color w:val="000000" w:themeColor="text1"/>
          <w:sz w:val="24"/>
          <w:lang w:eastAsia="zh-CN"/>
          <w14:textFill>
            <w14:solidFill>
              <w14:schemeClr w14:val="tx1"/>
            </w14:solidFill>
          </w14:textFill>
        </w:rPr>
        <w:t>服务期三年，自合同签订生效之日起计算。合同签订实行一年一考核一签合同的办法，当第一年合同结束，经过考核评价合格的，可以按原合同价续签一年。</w:t>
      </w:r>
    </w:p>
    <w:p>
      <w:pPr>
        <w:pStyle w:val="2"/>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pStyle w:val="2"/>
        <w:spacing w:line="360" w:lineRule="auto"/>
        <w:ind w:firstLine="480"/>
        <w:rPr>
          <w:rFonts w:hint="eastAsia" w:ascii="宋体" w:hAnsi="宋体" w:eastAsia="宋体" w:cs="宋体"/>
          <w:b/>
          <w:color w:val="auto"/>
          <w:sz w:val="24"/>
          <w:highlight w:val="none"/>
          <w:lang w:eastAsia="zh-CN"/>
        </w:rPr>
      </w:pPr>
      <w:r>
        <w:rPr>
          <w:rFonts w:hint="eastAsia" w:hAnsi="宋体" w:cs="宋体"/>
          <w:color w:val="auto"/>
          <w:kern w:val="0"/>
          <w:sz w:val="24"/>
          <w:highlight w:val="none"/>
          <w:lang w:eastAsia="zh-CN"/>
        </w:rPr>
        <w:t>（注：组成联合体的参与投标机构数量</w:t>
      </w:r>
      <w:r>
        <w:rPr>
          <w:rFonts w:hint="eastAsia" w:ascii="宋体" w:hAnsi="宋体" w:eastAsia="宋体" w:cs="宋体"/>
          <w:color w:val="auto"/>
          <w:kern w:val="0"/>
          <w:sz w:val="24"/>
          <w:highlight w:val="none"/>
          <w:lang w:val="en-US" w:eastAsia="zh-CN"/>
        </w:rPr>
        <w:t>不超过2家</w:t>
      </w:r>
      <w:r>
        <w:rPr>
          <w:rFonts w:hint="eastAsia" w:ascii="宋体" w:hAnsi="宋体" w:eastAsia="宋体" w:cs="宋体"/>
          <w:color w:val="auto"/>
          <w:kern w:val="0"/>
          <w:sz w:val="24"/>
          <w:highlight w:val="none"/>
          <w:lang w:eastAsia="zh-CN"/>
        </w:rPr>
        <w:t>）</w:t>
      </w:r>
    </w:p>
    <w:p>
      <w:pPr>
        <w:spacing w:line="360" w:lineRule="auto"/>
        <w:rPr>
          <w:rFonts w:hint="eastAsia" w:ascii="宋体" w:hAnsi="宋体" w:eastAsia="宋体" w:cs="宋体"/>
          <w:b/>
          <w:sz w:val="24"/>
        </w:rPr>
      </w:pPr>
      <w:r>
        <w:rPr>
          <w:rFonts w:hint="eastAsia" w:ascii="宋体" w:hAnsi="宋体" w:eastAsia="宋体" w:cs="宋体"/>
          <w:b/>
          <w:sz w:val="24"/>
        </w:rPr>
        <w:t>二、申请人的资格要求：</w:t>
      </w:r>
      <w:r>
        <w:rPr>
          <w:rFonts w:hint="eastAsia" w:ascii="宋体" w:hAnsi="宋体" w:cs="宋体"/>
          <w:color w:val="FF0000"/>
          <w:sz w:val="24"/>
          <w:highlight w:val="yellow"/>
          <w:lang w:eastAsia="zh-CN"/>
        </w:rPr>
        <w:t>（若为联合体，联合体各方均需具备）</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以联合体形式投标的，提供联合协议(本项目</w:t>
      </w:r>
      <w:r>
        <w:rPr>
          <w:rFonts w:hint="eastAsia" w:ascii="宋体" w:hAnsi="宋体" w:cs="宋体"/>
          <w:sz w:val="24"/>
          <w:szCs w:val="24"/>
          <w:lang w:eastAsia="zh-CN"/>
        </w:rPr>
        <w:t>不</w:t>
      </w:r>
      <w:r>
        <w:rPr>
          <w:rFonts w:hint="eastAsia" w:ascii="宋体" w:hAnsi="宋体" w:eastAsia="宋体" w:cs="宋体"/>
          <w:sz w:val="24"/>
          <w:szCs w:val="24"/>
        </w:rPr>
        <w:t>接受联合体投标或者投标人不以联合体形式投标的，则不需要提供) ；</w:t>
      </w:r>
    </w:p>
    <w:p>
      <w:pPr>
        <w:spacing w:line="360" w:lineRule="auto"/>
        <w:ind w:firstLine="480" w:firstLineChars="200"/>
        <w:rPr>
          <w:rFonts w:hint="eastAsia" w:ascii="宋体" w:hAnsi="宋体" w:eastAsia="宋体" w:cs="宋体"/>
          <w:snapToGrid w:val="0"/>
          <w:kern w:val="28"/>
          <w:sz w:val="24"/>
          <w:szCs w:val="20"/>
        </w:rPr>
      </w:pPr>
      <w:r>
        <w:rPr>
          <w:rFonts w:hint="eastAsia" w:ascii="宋体" w:hAnsi="宋体" w:cs="宋体"/>
          <w:snapToGrid w:val="0"/>
          <w:kern w:val="28"/>
          <w:sz w:val="24"/>
          <w:szCs w:val="20"/>
          <w:lang w:val="en-US" w:eastAsia="zh-CN"/>
        </w:rPr>
        <w:t>3</w:t>
      </w:r>
      <w:r>
        <w:rPr>
          <w:rFonts w:hint="eastAsia" w:ascii="宋体" w:hAnsi="宋体" w:eastAsia="宋体" w:cs="宋体"/>
          <w:snapToGrid w:val="0"/>
          <w:kern w:val="28"/>
          <w:sz w:val="24"/>
          <w:szCs w:val="20"/>
        </w:rPr>
        <w:t>.</w:t>
      </w:r>
      <w:r>
        <w:rPr>
          <w:rFonts w:hint="eastAsia" w:ascii="宋体" w:hAnsi="宋体" w:cs="宋体"/>
          <w:snapToGrid w:val="0"/>
          <w:kern w:val="28"/>
          <w:sz w:val="24"/>
          <w:szCs w:val="20"/>
          <w:lang w:val="en-US" w:eastAsia="zh-CN"/>
        </w:rPr>
        <w:t xml:space="preserve"> </w:t>
      </w:r>
      <w:r>
        <w:rPr>
          <w:rFonts w:hint="eastAsia" w:ascii="宋体" w:hAnsi="宋体" w:eastAsia="宋体" w:cs="宋体"/>
          <w:snapToGrid w:val="0"/>
          <w:kern w:val="28"/>
          <w:sz w:val="24"/>
          <w:szCs w:val="20"/>
        </w:rPr>
        <w:t>落实政府采购政策需满足的资格要求：</w:t>
      </w:r>
    </w:p>
    <w:p>
      <w:pPr>
        <w:spacing w:line="360" w:lineRule="auto"/>
        <w:ind w:firstLine="480"/>
        <w:rPr>
          <w:rFonts w:hint="eastAsia"/>
        </w:rPr>
      </w:pPr>
      <w:sdt>
        <w:sdtPr>
          <w:rPr>
            <w:rFonts w:hint="eastAsia" w:ascii="仿宋" w:hAnsi="仿宋" w:eastAsia="仿宋" w:cs="仿宋_GB2312"/>
            <w:snapToGrid w:val="0"/>
            <w:kern w:val="28"/>
            <w:sz w:val="24"/>
            <w:szCs w:val="20"/>
          </w:rPr>
          <w:id w:val="1928616923"/>
          <w14:checkbox>
            <w14:checked w14:val="1"/>
            <w14:checkedState w14:val="00FE" w14:font="Wingdings"/>
            <w14:uncheckedState w14:val="2610" w14:font="MS Gothic"/>
          </w14:checkbox>
        </w:sdtPr>
        <w:sdtEndPr>
          <w:rPr>
            <w:rFonts w:hint="eastAsia" w:ascii="仿宋" w:hAnsi="仿宋" w:eastAsia="仿宋" w:cs="仿宋_GB2312"/>
            <w:snapToGrid w:val="0"/>
            <w:kern w:val="28"/>
            <w:sz w:val="24"/>
            <w:szCs w:val="20"/>
          </w:rPr>
        </w:sdtEndPr>
        <w:sdtContent>
          <w:r>
            <w:rPr>
              <w:rFonts w:hint="eastAsia" w:ascii="Wingdings" w:hAnsi="Wingdings" w:eastAsia="仿宋" w:cs="仿宋_GB2312"/>
              <w:snapToGrid w:val="0"/>
              <w:kern w:val="28"/>
              <w:sz w:val="24"/>
              <w:szCs w:val="20"/>
              <w:lang w:val="en-US" w:eastAsia="zh-CN" w:bidi="ar-SA"/>
            </w:rPr>
            <w:t>þ</w:t>
          </w:r>
        </w:sdtContent>
      </w:sdt>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专门面向中小企业</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货物全部由符合政策要求的中小企业制造，提供中小企业声明函；</w:t>
      </w:r>
    </w:p>
    <w:p>
      <w:pPr>
        <w:spacing w:line="360" w:lineRule="auto"/>
        <w:ind w:firstLine="480" w:firstLineChars="200"/>
        <w:rPr>
          <w:rFonts w:hint="eastAsia"/>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numPr>
          <w:ilvl w:val="0"/>
          <w:numId w:val="0"/>
        </w:num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（若为联合体，联合体各方均需具备）</w:t>
      </w:r>
    </w:p>
    <w:p>
      <w:pPr>
        <w:spacing w:line="360" w:lineRule="auto"/>
        <w:ind w:firstLine="512" w:firstLineChars="200"/>
        <w:rPr>
          <w:rFonts w:hint="eastAsia" w:ascii="宋体" w:hAnsi="宋体" w:eastAsia="宋体" w:cs="宋体"/>
          <w:color w:val="auto"/>
          <w:spacing w:val="8"/>
          <w:kern w:val="0"/>
          <w:sz w:val="24"/>
          <w:highlight w:val="none"/>
          <w:lang w:eastAsia="zh-CN"/>
        </w:rPr>
      </w:pPr>
      <w:r>
        <w:rPr>
          <w:rFonts w:hint="eastAsia" w:ascii="宋体" w:hAnsi="宋体" w:eastAsia="宋体" w:cs="宋体"/>
          <w:color w:val="auto"/>
          <w:spacing w:val="8"/>
          <w:kern w:val="0"/>
          <w:sz w:val="24"/>
          <w:highlight w:val="none"/>
          <w:lang w:eastAsia="zh-CN"/>
        </w:rPr>
        <w:t>（</w:t>
      </w:r>
      <w:r>
        <w:rPr>
          <w:rFonts w:hint="eastAsia" w:ascii="宋体" w:hAnsi="宋体" w:eastAsia="宋体" w:cs="宋体"/>
          <w:color w:val="auto"/>
          <w:spacing w:val="8"/>
          <w:kern w:val="0"/>
          <w:sz w:val="24"/>
          <w:highlight w:val="none"/>
          <w:lang w:val="en-US" w:eastAsia="zh-CN"/>
        </w:rPr>
        <w:t>1</w:t>
      </w:r>
      <w:r>
        <w:rPr>
          <w:rFonts w:hint="eastAsia" w:ascii="宋体" w:hAnsi="宋体" w:eastAsia="宋体" w:cs="宋体"/>
          <w:color w:val="auto"/>
          <w:spacing w:val="8"/>
          <w:kern w:val="0"/>
          <w:sz w:val="24"/>
          <w:highlight w:val="none"/>
          <w:lang w:eastAsia="zh-CN"/>
        </w:rPr>
        <w:t>）</w:t>
      </w:r>
      <w:r>
        <w:rPr>
          <w:rFonts w:hint="eastAsia" w:ascii="宋体" w:hAnsi="宋体" w:eastAsia="宋体" w:cs="宋体"/>
          <w:color w:val="auto"/>
          <w:spacing w:val="8"/>
          <w:kern w:val="0"/>
          <w:sz w:val="24"/>
          <w:highlight w:val="none"/>
        </w:rPr>
        <w:t>无独立法人资格的分公司</w:t>
      </w:r>
      <w:r>
        <w:rPr>
          <w:rFonts w:hint="eastAsia" w:ascii="宋体" w:hAnsi="宋体" w:eastAsia="宋体" w:cs="宋体"/>
          <w:color w:val="auto"/>
          <w:spacing w:val="8"/>
          <w:kern w:val="0"/>
          <w:sz w:val="24"/>
          <w:highlight w:val="none"/>
          <w:lang w:eastAsia="zh-CN"/>
        </w:rPr>
        <w:t>（</w:t>
      </w:r>
      <w:r>
        <w:rPr>
          <w:rFonts w:hint="eastAsia" w:ascii="宋体" w:hAnsi="宋体" w:eastAsia="宋体" w:cs="宋体"/>
          <w:color w:val="auto"/>
          <w:spacing w:val="8"/>
          <w:kern w:val="0"/>
          <w:sz w:val="24"/>
          <w:highlight w:val="none"/>
        </w:rPr>
        <w:t>保险等特定行业的全国性企业所设立的区域性分支机构</w:t>
      </w:r>
      <w:r>
        <w:rPr>
          <w:rFonts w:hint="eastAsia" w:ascii="宋体" w:hAnsi="宋体" w:eastAsia="宋体" w:cs="宋体"/>
          <w:color w:val="auto"/>
          <w:spacing w:val="8"/>
          <w:kern w:val="0"/>
          <w:sz w:val="24"/>
          <w:highlight w:val="none"/>
          <w:lang w:eastAsia="zh-CN"/>
        </w:rPr>
        <w:t>）</w:t>
      </w:r>
      <w:r>
        <w:rPr>
          <w:rFonts w:hint="eastAsia" w:ascii="宋体" w:hAnsi="宋体" w:eastAsia="宋体" w:cs="宋体"/>
          <w:color w:val="auto"/>
          <w:spacing w:val="8"/>
          <w:kern w:val="0"/>
          <w:sz w:val="24"/>
          <w:highlight w:val="none"/>
        </w:rPr>
        <w:t>参加投标的，可以在获得具有法人资格的总公司授权后，独立参加政府采购活动</w:t>
      </w:r>
      <w:r>
        <w:rPr>
          <w:rFonts w:hint="eastAsia" w:ascii="宋体" w:hAnsi="宋体" w:eastAsia="宋体" w:cs="宋体"/>
          <w:color w:val="auto"/>
          <w:spacing w:val="8"/>
          <w:kern w:val="0"/>
          <w:sz w:val="24"/>
          <w:highlight w:val="none"/>
          <w:lang w:eastAsia="zh-CN"/>
        </w:rPr>
        <w:t>；</w:t>
      </w:r>
    </w:p>
    <w:p>
      <w:pPr>
        <w:spacing w:line="360" w:lineRule="auto"/>
        <w:ind w:firstLine="512" w:firstLineChars="200"/>
        <w:rPr>
          <w:rFonts w:hint="eastAsia" w:ascii="宋体" w:hAnsi="宋体" w:eastAsia="宋体" w:cs="宋体"/>
          <w:color w:val="auto"/>
          <w:spacing w:val="8"/>
          <w:kern w:val="0"/>
          <w:sz w:val="24"/>
          <w:highlight w:val="none"/>
          <w:lang w:eastAsia="zh-CN"/>
        </w:rPr>
      </w:pPr>
      <w:r>
        <w:rPr>
          <w:rFonts w:hint="eastAsia" w:ascii="宋体" w:hAnsi="宋体" w:eastAsia="宋体" w:cs="宋体"/>
          <w:color w:val="auto"/>
          <w:spacing w:val="8"/>
          <w:kern w:val="0"/>
          <w:sz w:val="24"/>
          <w:highlight w:val="none"/>
          <w:lang w:eastAsia="zh-CN"/>
        </w:rPr>
        <w:t>（</w:t>
      </w:r>
      <w:r>
        <w:rPr>
          <w:rFonts w:hint="eastAsia" w:ascii="宋体" w:hAnsi="宋体" w:eastAsia="宋体" w:cs="宋体"/>
          <w:color w:val="auto"/>
          <w:spacing w:val="8"/>
          <w:kern w:val="0"/>
          <w:sz w:val="24"/>
          <w:highlight w:val="none"/>
          <w:lang w:val="en-US" w:eastAsia="zh-CN"/>
        </w:rPr>
        <w:t>2</w:t>
      </w:r>
      <w:r>
        <w:rPr>
          <w:rFonts w:hint="eastAsia" w:ascii="宋体" w:hAnsi="宋体" w:eastAsia="宋体" w:cs="宋体"/>
          <w:color w:val="auto"/>
          <w:spacing w:val="8"/>
          <w:kern w:val="0"/>
          <w:sz w:val="24"/>
          <w:highlight w:val="none"/>
          <w:lang w:eastAsia="zh-CN"/>
        </w:rPr>
        <w:t>）</w:t>
      </w:r>
      <w:r>
        <w:rPr>
          <w:rFonts w:hint="eastAsia" w:ascii="宋体" w:hAnsi="宋体" w:eastAsia="宋体" w:cs="宋体"/>
          <w:color w:val="auto"/>
          <w:spacing w:val="8"/>
          <w:kern w:val="0"/>
          <w:sz w:val="24"/>
          <w:highlight w:val="none"/>
        </w:rPr>
        <w:t>投标人必须为经国家保险监督管理机构批准在中华人民共和国境内设立和营业的，并具有《</w:t>
      </w:r>
      <w:r>
        <w:rPr>
          <w:rFonts w:hint="eastAsia" w:ascii="宋体" w:hAnsi="宋体" w:eastAsia="宋体" w:cs="宋体"/>
          <w:color w:val="auto"/>
          <w:spacing w:val="8"/>
          <w:kern w:val="0"/>
          <w:sz w:val="24"/>
          <w:highlight w:val="none"/>
          <w:lang w:val="en-US" w:eastAsia="zh-CN"/>
        </w:rPr>
        <w:t>保险</w:t>
      </w:r>
      <w:r>
        <w:rPr>
          <w:rFonts w:hint="eastAsia" w:ascii="宋体" w:hAnsi="宋体" w:eastAsia="宋体" w:cs="宋体"/>
          <w:color w:val="auto"/>
          <w:spacing w:val="8"/>
          <w:kern w:val="0"/>
          <w:sz w:val="24"/>
          <w:highlight w:val="none"/>
        </w:rPr>
        <w:t>许可证》</w:t>
      </w:r>
      <w:r>
        <w:rPr>
          <w:rFonts w:hint="eastAsia" w:ascii="宋体" w:hAnsi="宋体" w:eastAsia="宋体" w:cs="宋体"/>
          <w:color w:val="auto"/>
          <w:spacing w:val="8"/>
          <w:kern w:val="0"/>
          <w:sz w:val="24"/>
          <w:highlight w:val="none"/>
          <w:lang w:eastAsia="zh-CN"/>
        </w:rPr>
        <w:t>；</w:t>
      </w:r>
    </w:p>
    <w:p>
      <w:pPr>
        <w:keepNext w:val="0"/>
        <w:keepLines w:val="0"/>
        <w:pageBreakBefore w:val="0"/>
        <w:kinsoku/>
        <w:wordWrap/>
        <w:overflowPunct/>
        <w:topLinePunct w:val="0"/>
        <w:autoSpaceDE/>
        <w:autoSpaceDN/>
        <w:bidi w:val="0"/>
        <w:spacing w:line="360" w:lineRule="auto"/>
        <w:ind w:firstLine="512" w:firstLineChars="200"/>
        <w:textAlignment w:val="auto"/>
        <w:rPr>
          <w:rFonts w:ascii="宋体" w:hAnsi="宋体" w:cs="宋体"/>
          <w:color w:val="auto"/>
          <w:sz w:val="24"/>
          <w:highlight w:val="none"/>
        </w:rPr>
      </w:pPr>
      <w:r>
        <w:rPr>
          <w:rFonts w:hint="eastAsia" w:ascii="宋体" w:hAnsi="宋体" w:eastAsia="宋体" w:cs="宋体"/>
          <w:color w:val="auto"/>
          <w:spacing w:val="8"/>
          <w:kern w:val="0"/>
          <w:sz w:val="24"/>
          <w:highlight w:val="none"/>
          <w:lang w:eastAsia="zh-CN"/>
        </w:rPr>
        <w:t>（</w:t>
      </w:r>
      <w:r>
        <w:rPr>
          <w:rFonts w:hint="eastAsia" w:ascii="宋体" w:hAnsi="宋体" w:eastAsia="宋体" w:cs="宋体"/>
          <w:color w:val="auto"/>
          <w:spacing w:val="8"/>
          <w:kern w:val="0"/>
          <w:sz w:val="24"/>
          <w:highlight w:val="none"/>
          <w:lang w:val="en-US" w:eastAsia="zh-CN"/>
        </w:rPr>
        <w:t>3</w:t>
      </w:r>
      <w:r>
        <w:rPr>
          <w:rFonts w:hint="eastAsia" w:ascii="宋体" w:hAnsi="宋体" w:eastAsia="宋体" w:cs="宋体"/>
          <w:color w:val="auto"/>
          <w:spacing w:val="8"/>
          <w:kern w:val="0"/>
          <w:sz w:val="24"/>
          <w:highlight w:val="none"/>
          <w:lang w:eastAsia="zh-CN"/>
        </w:rPr>
        <w:t>）</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国家金融监督管理总局浙江监管局（原中国银行保险监督管理委员会浙江监管局）</w:t>
      </w:r>
      <w:r>
        <w:rPr>
          <w:rFonts w:hint="eastAsia" w:ascii="宋体" w:hAnsi="宋体" w:eastAsia="宋体" w:cs="宋体"/>
          <w:color w:val="auto"/>
          <w:kern w:val="0"/>
          <w:sz w:val="24"/>
          <w:szCs w:val="24"/>
          <w:highlight w:val="none"/>
        </w:rPr>
        <w:t>公布的符合农业保险业务经营条件的保险机构目录内</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（4）近3年内未因农业保险业务受到重大行政处罚；</w:t>
      </w:r>
    </w:p>
    <w:p>
      <w:pPr>
        <w:numPr>
          <w:ilvl w:val="0"/>
          <w:numId w:val="0"/>
        </w:num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 xml:space="preserve">5. </w:t>
      </w:r>
      <w:r>
        <w:rPr>
          <w:rFonts w:hint="eastAsia" w:ascii="宋体" w:hAnsi="宋体"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日</w:t>
      </w:r>
      <w:r>
        <w:rPr>
          <w:rFonts w:hint="eastAsia" w:ascii="宋体" w:hAnsi="宋体" w:eastAsia="宋体" w:cs="宋体"/>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rPr>
        <w:t>提交投标文件截止时间：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r>
        <w:rPr>
          <w:rFonts w:hint="eastAsia" w:ascii="宋体" w:hAnsi="宋体" w:eastAsia="宋体" w:cs="宋体"/>
          <w:sz w:val="24"/>
          <w:highlight w:val="none"/>
        </w:rPr>
        <w:t>（北京时间）</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eastAsia="宋体" w:cs="宋体"/>
          <w:sz w:val="24"/>
          <w:highlight w:val="none"/>
          <w:u w:val="single"/>
        </w:rPr>
        <w:t>分</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pacing w:line="360" w:lineRule="auto"/>
        <w:rPr>
          <w:rFonts w:hint="eastAsia" w:ascii="宋体" w:hAnsi="宋体" w:eastAsia="宋体" w:cs="宋体"/>
          <w:b/>
          <w:sz w:val="24"/>
        </w:rPr>
      </w:pPr>
      <w:r>
        <w:rPr>
          <w:rFonts w:hint="eastAsia" w:ascii="宋体" w:hAnsi="宋体" w:eastAsia="宋体" w:cs="宋体"/>
          <w:b/>
          <w:sz w:val="24"/>
        </w:rPr>
        <w:t>六、其他补充事宜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eastAsia="宋体" w:cs="宋体"/>
          <w:sz w:val="24"/>
        </w:rPr>
        <w:t xml:space="preserve">  </w:t>
      </w:r>
      <w:r>
        <w:rPr>
          <w:rFonts w:hint="eastAsia" w:ascii="宋体" w:hAnsi="宋体" w:cs="宋体"/>
          <w:sz w:val="24"/>
        </w:rPr>
        <w:t xml:space="preserve">  1.采购人信息</w:t>
      </w:r>
    </w:p>
    <w:p>
      <w:pPr>
        <w:spacing w:line="360" w:lineRule="auto"/>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color w:val="auto"/>
          <w:sz w:val="24"/>
          <w:highlight w:val="none"/>
        </w:rPr>
        <w:t xml:space="preserve">   名    称：桐庐县供销合作总社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址：桐庐县城南街道金东路388号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唐女士</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0571-58569117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质疑联系人：李女士</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质疑联系方式：0571-58569118</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2.采购代理机构信息            </w:t>
      </w:r>
    </w:p>
    <w:p>
      <w:pPr>
        <w:spacing w:line="360" w:lineRule="auto"/>
        <w:ind w:firstLine="480"/>
        <w:rPr>
          <w:rFonts w:hint="eastAsia" w:ascii="宋体" w:hAnsi="宋体" w:eastAsia="宋体" w:cs="宋体"/>
          <w:sz w:val="24"/>
        </w:rPr>
      </w:pPr>
      <w:r>
        <w:rPr>
          <w:rFonts w:hint="eastAsia" w:ascii="宋体" w:hAnsi="宋体" w:eastAsia="宋体" w:cs="宋体"/>
          <w:sz w:val="24"/>
        </w:rPr>
        <w:t>名    称：杭州智诚工程管理有限公司</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地    址：桐庐县迎春南路39号建业大厦21楼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eastAsia="宋体" w:cs="宋体"/>
          <w:sz w:val="24"/>
          <w:lang w:eastAsia="zh-CN"/>
        </w:rPr>
        <w:t>陈泽安</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eastAsia="宋体" w:cs="宋体"/>
          <w:sz w:val="24"/>
          <w:lang w:val="en-US" w:eastAsia="zh-CN"/>
        </w:rPr>
        <w:t>13868082573</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eastAsia="宋体" w:cs="宋体"/>
          <w:sz w:val="24"/>
          <w:lang w:eastAsia="zh-CN"/>
        </w:rPr>
        <w:t>王诗琦</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质疑联系方式：0571-64219946</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3.同级政府采购监督管理部门            </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名    称：</w:t>
      </w:r>
      <w:r>
        <w:rPr>
          <w:rFonts w:hint="eastAsia" w:ascii="宋体" w:hAnsi="宋体" w:cs="宋体"/>
          <w:sz w:val="24"/>
          <w:lang w:eastAsia="zh-CN"/>
        </w:rPr>
        <w:t>桐庐县财政局、浙江省政府采购行政裁决服务中心（杭州）</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地    址：</w:t>
      </w:r>
      <w:r>
        <w:rPr>
          <w:rFonts w:hint="eastAsia" w:ascii="宋体" w:hAnsi="宋体" w:cs="宋体"/>
          <w:sz w:val="24"/>
          <w:lang w:eastAsia="zh-CN"/>
        </w:rPr>
        <w:t>杭州市上城区四季青街道新业路市民之家</w:t>
      </w:r>
      <w:r>
        <w:rPr>
          <w:rFonts w:hint="eastAsia" w:ascii="宋体" w:hAnsi="宋体" w:cs="宋体"/>
          <w:sz w:val="24"/>
          <w:lang w:val="en-US" w:eastAsia="zh-CN"/>
        </w:rPr>
        <w:t>G03办公室（快递仅限ems或顺丰）</w:t>
      </w:r>
    </w:p>
    <w:p>
      <w:pPr>
        <w:spacing w:line="360" w:lineRule="auto"/>
        <w:rPr>
          <w:rFonts w:hint="eastAsia" w:ascii="宋体" w:hAnsi="宋体" w:eastAsia="宋体" w:cs="宋体"/>
          <w:sz w:val="24"/>
        </w:rPr>
      </w:pPr>
      <w:r>
        <w:rPr>
          <w:rFonts w:hint="eastAsia" w:ascii="宋体" w:hAnsi="宋体" w:eastAsia="宋体" w:cs="宋体"/>
          <w:sz w:val="24"/>
        </w:rPr>
        <w:t xml:space="preserve">    联系人 ：</w:t>
      </w:r>
      <w:r>
        <w:rPr>
          <w:rFonts w:hint="eastAsia" w:ascii="宋体" w:hAnsi="宋体" w:cs="宋体"/>
          <w:sz w:val="24"/>
          <w:lang w:eastAsia="zh-CN"/>
        </w:rPr>
        <w:t>朱女士、王女士</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监督投诉电话：0571-</w:t>
      </w:r>
      <w:r>
        <w:rPr>
          <w:rFonts w:hint="eastAsia" w:ascii="宋体" w:hAnsi="宋体" w:cs="宋体"/>
          <w:sz w:val="24"/>
          <w:lang w:val="en-US" w:eastAsia="zh-CN"/>
        </w:rPr>
        <w:t>85252453</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 xml:space="preserve">                              </w:t>
      </w: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6"/>
      <w:r>
        <w:rPr>
          <w:rFonts w:hint="eastAsia" w:ascii="宋体" w:hAnsi="宋体" w:eastAsia="宋体" w:cs="宋体"/>
          <w:b/>
          <w:sz w:val="36"/>
          <w:szCs w:val="20"/>
        </w:rPr>
        <w:t xml:space="preserve"> 投标人须知</w:t>
      </w:r>
      <w:bookmarkEnd w:id="7"/>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9450" w:type="dxa"/>
        <w:tblInd w:w="-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76"/>
        <w:gridCol w:w="1843"/>
        <w:gridCol w:w="6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分包</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pPr>
              <w:spacing w:line="360" w:lineRule="auto"/>
              <w:rPr>
                <w:rFonts w:hint="eastAsia" w:ascii="宋体" w:hAnsi="宋体" w:eastAsia="宋体" w:cs="宋体"/>
                <w:sz w:val="24"/>
              </w:rPr>
            </w:pPr>
            <w:sdt>
              <w:sdtPr>
                <w:rPr>
                  <w:rFonts w:hint="eastAsia" w:ascii="宋体" w:hAnsi="宋体" w:eastAsia="宋体" w:cs="宋体"/>
                  <w:kern w:val="0"/>
                  <w:sz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 xml:space="preserve"> B</w:t>
            </w:r>
            <w:r>
              <w:rPr>
                <w:rFonts w:hint="eastAsia" w:ascii="宋体" w:hAnsi="宋体" w:eastAsia="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73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673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szCs w:val="20"/>
              </w:rPr>
            </w:pPr>
            <w:sdt>
              <w:sdtPr>
                <w:rPr>
                  <w:rFonts w:hint="eastAsia" w:ascii="宋体" w:hAnsi="宋体" w:eastAsia="宋体" w:cs="宋体"/>
                  <w:kern w:val="0"/>
                  <w:sz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w:t>
            </w:r>
            <w:r>
              <w:rPr>
                <w:rFonts w:hint="eastAsia" w:ascii="宋体" w:hAnsi="宋体" w:eastAsia="宋体" w:cs="宋体"/>
                <w:sz w:val="24"/>
              </w:rPr>
              <w:t>不要求提供。</w:t>
            </w:r>
          </w:p>
          <w:p>
            <w:pPr>
              <w:spacing w:line="360" w:lineRule="auto"/>
              <w:rPr>
                <w:rFonts w:hint="eastAsia" w:ascii="宋体" w:hAnsi="宋体" w:eastAsia="宋体" w:cs="宋体"/>
                <w:b/>
                <w:sz w:val="24"/>
              </w:rPr>
            </w:pPr>
            <w:sdt>
              <w:sdtPr>
                <w:rPr>
                  <w:rFonts w:hint="eastAsia" w:ascii="宋体" w:hAnsi="宋体" w:eastAsia="宋体" w:cs="宋体"/>
                  <w:kern w:val="0"/>
                  <w:sz w:val="24"/>
                </w:rPr>
                <w:id w:val="147456406"/>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b w:val="0"/>
                <w:bCs w:val="0"/>
                <w:kern w:val="0"/>
                <w:sz w:val="24"/>
              </w:rPr>
              <w:t>B 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highlight w:val="yellow"/>
              </w:rPr>
            </w:pPr>
            <w:r>
              <w:rPr>
                <w:rFonts w:hint="eastAsia" w:ascii="宋体" w:hAnsi="宋体" w:eastAsia="宋体" w:cs="宋体"/>
                <w:b/>
                <w:sz w:val="24"/>
                <w:highlight w:val="none"/>
              </w:rPr>
              <w:t>方案讲解演示</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rPr>
            </w:pPr>
            <w:sdt>
              <w:sdtPr>
                <w:rPr>
                  <w:rFonts w:hint="eastAsia" w:ascii="宋体" w:hAnsi="宋体" w:eastAsia="宋体" w:cs="宋体"/>
                  <w:kern w:val="0"/>
                  <w:sz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1872786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cs="宋体"/>
                <w:sz w:val="24"/>
                <w:u w:val="single"/>
                <w:lang w:val="en-US" w:eastAsia="zh-CN"/>
              </w:rPr>
              <w:t>/</w:t>
            </w:r>
            <w:r>
              <w:rPr>
                <w:rFonts w:hint="eastAsia" w:ascii="宋体" w:hAnsi="宋体" w:eastAsia="宋体" w:cs="宋体"/>
                <w:sz w:val="24"/>
              </w:rPr>
              <w:t>。</w:t>
            </w:r>
          </w:p>
          <w:p>
            <w:pPr>
              <w:spacing w:line="360" w:lineRule="auto"/>
              <w:rPr>
                <w:rFonts w:hint="eastAsia" w:ascii="宋体" w:hAnsi="宋体" w:eastAsia="宋体" w:cs="宋体"/>
                <w:sz w:val="24"/>
              </w:rPr>
            </w:pPr>
            <w:sdt>
              <w:sdtPr>
                <w:rPr>
                  <w:rFonts w:hint="eastAsia" w:ascii="宋体" w:hAnsi="宋体" w:eastAsia="宋体" w:cs="宋体"/>
                  <w:kern w:val="0"/>
                  <w:sz w:val="24"/>
                </w:rPr>
                <w:id w:val="474885559"/>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B</w:t>
            </w:r>
            <w:r>
              <w:rPr>
                <w:rFonts w:hint="eastAsia" w:ascii="宋体" w:hAnsi="宋体" w:eastAsia="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both"/>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cs="宋体"/>
                <w:kern w:val="0"/>
                <w:sz w:val="24"/>
                <w:lang w:val="en-US" w:eastAsia="zh-CN"/>
              </w:rPr>
              <w:t>1</w:t>
            </w:r>
            <w:r>
              <w:rPr>
                <w:rFonts w:hint="eastAsia" w:ascii="宋体" w:hAnsi="宋体" w:eastAsia="宋体" w:cs="宋体"/>
                <w:kern w:val="0"/>
                <w:sz w:val="24"/>
              </w:rPr>
              <w:t>：</w:t>
            </w:r>
            <w:r>
              <w:rPr>
                <w:rFonts w:hint="eastAsia" w:ascii="宋体" w:hAnsi="宋体" w:eastAsia="宋体" w:cs="宋体"/>
                <w:kern w:val="0"/>
                <w:sz w:val="24"/>
                <w:u w:val="single"/>
              </w:rPr>
              <w:t>2024-2026年桐庐县生猪价格指数保险采购项目</w:t>
            </w:r>
            <w:r>
              <w:rPr>
                <w:rFonts w:hint="eastAsia" w:ascii="宋体" w:hAnsi="宋体" w:eastAsia="宋体" w:cs="宋体"/>
                <w:kern w:val="0"/>
                <w:sz w:val="24"/>
              </w:rPr>
              <w:t>，属于</w:t>
            </w:r>
            <w:r>
              <w:rPr>
                <w:rFonts w:hint="eastAsia" w:ascii="宋体" w:hAnsi="宋体" w:cs="宋体"/>
                <w:kern w:val="0"/>
                <w:sz w:val="24"/>
                <w:u w:val="single"/>
                <w:lang w:eastAsia="zh-CN"/>
              </w:rPr>
              <w:t>租赁和商务服务业</w:t>
            </w:r>
            <w:r>
              <w:rPr>
                <w:rFonts w:hint="eastAsia" w:ascii="宋体" w:hAnsi="宋体" w:eastAsia="宋体" w:cs="宋体"/>
                <w:kern w:val="0"/>
                <w:sz w:val="24"/>
              </w:rPr>
              <w:t>；</w:t>
            </w:r>
          </w:p>
          <w:p>
            <w:pPr>
              <w:snapToGrid w:val="0"/>
              <w:spacing w:line="360" w:lineRule="auto"/>
              <w:jc w:val="both"/>
              <w:rPr>
                <w:rFonts w:hint="eastAsia" w:ascii="宋体" w:hAnsi="宋体" w:eastAsia="宋体" w:cs="宋体"/>
                <w:lang w:val="en-US"/>
              </w:rPr>
            </w:pPr>
            <w:r>
              <w:rPr>
                <w:rFonts w:hint="eastAsia" w:ascii="宋体" w:hAnsi="宋体" w:cs="宋体"/>
                <w:kern w:val="0"/>
                <w:sz w:val="24"/>
                <w:lang w:val="en-US" w:eastAsia="zh-CN"/>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73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宋体" w:hAnsi="宋体" w:eastAsia="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rPr>
                <w:rFonts w:hint="eastAsia" w:ascii="宋体" w:hAnsi="宋体" w:eastAsia="宋体" w:cs="宋体"/>
              </w:rPr>
            </w:pPr>
          </w:p>
        </w:tc>
        <w:tc>
          <w:tcPr>
            <w:tcW w:w="673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731"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kern w:val="28"/>
                <w:sz w:val="24"/>
              </w:rPr>
            </w:pPr>
            <w:r>
              <w:rPr>
                <w:rFonts w:hint="eastAsia" w:ascii="宋体" w:hAnsi="宋体" w:eastAsia="宋体" w:cs="宋体"/>
                <w:kern w:val="28"/>
                <w:sz w:val="24"/>
                <w:szCs w:val="24"/>
              </w:rPr>
              <w:t>备份投标文件送达地点：</w:t>
            </w:r>
            <w:r>
              <w:rPr>
                <w:rFonts w:hint="eastAsia" w:ascii="宋体" w:hAnsi="宋体" w:eastAsia="宋体" w:cs="宋体"/>
                <w:sz w:val="24"/>
                <w:u w:val="single"/>
              </w:rPr>
              <w:t>桐庐县迎春南路39号建业大厦21楼</w:t>
            </w:r>
            <w:r>
              <w:rPr>
                <w:rFonts w:hint="eastAsia" w:ascii="宋体" w:hAnsi="宋体" w:eastAsia="宋体" w:cs="宋体"/>
                <w:kern w:val="28"/>
                <w:sz w:val="24"/>
                <w:szCs w:val="24"/>
              </w:rPr>
              <w:t>；备份投标文件签收人员</w:t>
            </w:r>
            <w:r>
              <w:rPr>
                <w:rFonts w:hint="eastAsia" w:hAnsi="宋体" w:cs="宋体"/>
                <w:kern w:val="28"/>
                <w:sz w:val="24"/>
                <w:szCs w:val="24"/>
                <w:lang w:eastAsia="zh-CN"/>
              </w:rPr>
              <w:t>：</w:t>
            </w:r>
            <w:r>
              <w:rPr>
                <w:rFonts w:hint="eastAsia" w:hAnsi="宋体" w:cs="宋体"/>
                <w:kern w:val="28"/>
                <w:sz w:val="24"/>
                <w:szCs w:val="24"/>
                <w:u w:val="single"/>
                <w:lang w:eastAsia="zh-CN"/>
              </w:rPr>
              <w:t>陈泽安</w:t>
            </w:r>
            <w:r>
              <w:rPr>
                <w:rFonts w:hint="eastAsia" w:hAnsi="宋体" w:cs="宋体"/>
                <w:kern w:val="28"/>
                <w:sz w:val="24"/>
                <w:szCs w:val="24"/>
                <w:u w:val="none"/>
                <w:lang w:eastAsia="zh-CN"/>
              </w:rPr>
              <w:t>，</w:t>
            </w:r>
            <w:r>
              <w:rPr>
                <w:rFonts w:hint="eastAsia" w:ascii="宋体" w:hAnsi="宋体" w:eastAsia="宋体" w:cs="宋体"/>
                <w:kern w:val="28"/>
                <w:sz w:val="24"/>
                <w:szCs w:val="24"/>
              </w:rPr>
              <w:t>联系电话：</w:t>
            </w:r>
            <w:r>
              <w:rPr>
                <w:rFonts w:hint="eastAsia" w:ascii="宋体" w:hAnsi="宋体" w:eastAsia="宋体" w:cs="宋体"/>
                <w:sz w:val="24"/>
                <w:u w:val="single"/>
                <w:lang w:val="en-US" w:eastAsia="zh-CN"/>
              </w:rPr>
              <w:t>13868082573</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宋体" w:hAnsi="宋体" w:eastAsia="宋体" w:cs="宋体"/>
                <w:b/>
                <w:sz w:val="24"/>
              </w:rPr>
            </w:pPr>
            <w:r>
              <w:rPr>
                <w:rFonts w:hint="eastAsia" w:ascii="宋体" w:hAnsi="宋体" w:eastAsia="宋体" w:cs="宋体"/>
                <w:b/>
                <w:bCs/>
                <w:sz w:val="24"/>
                <w:lang w:eastAsia="zh-CN"/>
              </w:rPr>
              <w:t>代理服务费</w:t>
            </w:r>
          </w:p>
        </w:tc>
        <w:tc>
          <w:tcPr>
            <w:tcW w:w="6731"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jc w:val="left"/>
              <w:rPr>
                <w:rFonts w:hint="eastAsia" w:ascii="宋体" w:hAnsi="宋体" w:eastAsia="宋体" w:cs="宋体"/>
                <w:bCs/>
                <w:sz w:val="24"/>
              </w:rPr>
            </w:pPr>
            <w:r>
              <w:rPr>
                <w:rFonts w:hint="eastAsia" w:ascii="宋体" w:hAnsi="宋体" w:eastAsia="宋体" w:cs="宋体"/>
                <w:bCs/>
                <w:sz w:val="24"/>
              </w:rPr>
              <w:t>本次采购的代理服务费按中标金额的</w:t>
            </w:r>
            <w:r>
              <w:rPr>
                <w:rFonts w:hint="eastAsia" w:ascii="宋体" w:hAnsi="宋体" w:cs="宋体"/>
                <w:bCs/>
                <w:sz w:val="24"/>
                <w:lang w:val="en-US" w:eastAsia="zh-CN"/>
              </w:rPr>
              <w:t>0.9</w:t>
            </w:r>
            <w:r>
              <w:rPr>
                <w:rFonts w:hint="eastAsia" w:ascii="宋体" w:hAnsi="宋体" w:eastAsia="宋体" w:cs="宋体"/>
                <w:bCs/>
                <w:sz w:val="24"/>
              </w:rPr>
              <w:t>%收取；由中标（成交）供应商在领取中标通知书前一次性支付给代理公司</w:t>
            </w:r>
            <w:r>
              <w:rPr>
                <w:rFonts w:hint="eastAsia" w:ascii="宋体" w:hAnsi="宋体" w:eastAsia="宋体" w:cs="宋体"/>
                <w:bCs/>
                <w:sz w:val="24"/>
                <w:lang w:eastAsia="zh-CN"/>
              </w:rPr>
              <w:t>，费用应含在投标报价中（不得单独列项），供应商在投标报价中考虑上述费用</w:t>
            </w:r>
            <w:r>
              <w:rPr>
                <w:rFonts w:hint="eastAsia" w:ascii="宋体" w:hAnsi="宋体" w:eastAsia="宋体" w:cs="宋体"/>
                <w:bCs/>
                <w:sz w:val="24"/>
              </w:rPr>
              <w:t>。</w:t>
            </w:r>
          </w:p>
          <w:p>
            <w:pPr>
              <w:widowControl/>
              <w:spacing w:line="360" w:lineRule="auto"/>
              <w:jc w:val="left"/>
              <w:rPr>
                <w:rFonts w:hint="eastAsia" w:ascii="宋体" w:hAnsi="宋体" w:eastAsia="宋体" w:cs="宋体"/>
                <w:bCs/>
                <w:sz w:val="24"/>
              </w:rPr>
            </w:pPr>
            <w:r>
              <w:rPr>
                <w:rFonts w:hint="eastAsia" w:ascii="宋体" w:hAnsi="宋体" w:eastAsia="宋体" w:cs="宋体"/>
                <w:bCs/>
                <w:sz w:val="24"/>
              </w:rPr>
              <w:t>收款单位名称：杭州智诚工程管理有限公司</w:t>
            </w:r>
          </w:p>
          <w:p>
            <w:pPr>
              <w:widowControl/>
              <w:spacing w:line="360" w:lineRule="auto"/>
              <w:jc w:val="left"/>
              <w:rPr>
                <w:rFonts w:hint="eastAsia" w:ascii="宋体" w:hAnsi="宋体" w:eastAsia="宋体" w:cs="宋体"/>
                <w:bCs/>
                <w:sz w:val="24"/>
              </w:rPr>
            </w:pPr>
            <w:r>
              <w:rPr>
                <w:rFonts w:hint="eastAsia" w:ascii="宋体" w:hAnsi="宋体" w:eastAsia="宋体" w:cs="宋体"/>
                <w:bCs/>
                <w:sz w:val="24"/>
              </w:rPr>
              <w:t>帐号：201000216190648</w:t>
            </w:r>
          </w:p>
          <w:p>
            <w:pPr>
              <w:widowControl/>
              <w:spacing w:line="360" w:lineRule="auto"/>
              <w:jc w:val="left"/>
              <w:rPr>
                <w:rFonts w:hint="eastAsia" w:ascii="宋体" w:hAnsi="宋体" w:eastAsia="宋体" w:cs="宋体"/>
                <w:bCs/>
                <w:sz w:val="24"/>
              </w:rPr>
            </w:pPr>
            <w:r>
              <w:rPr>
                <w:rFonts w:hint="eastAsia" w:ascii="宋体" w:hAnsi="宋体" w:eastAsia="宋体" w:cs="宋体"/>
                <w:bCs/>
                <w:sz w:val="24"/>
              </w:rPr>
              <w:t>开户行：浙江桐庐农村商业银行开源支行</w:t>
            </w:r>
          </w:p>
          <w:p>
            <w:pPr>
              <w:widowControl/>
              <w:spacing w:line="360" w:lineRule="auto"/>
              <w:jc w:val="left"/>
              <w:rPr>
                <w:rFonts w:hint="eastAsia" w:ascii="宋体" w:hAnsi="宋体" w:eastAsia="宋体" w:cs="宋体"/>
                <w:bCs/>
                <w:sz w:val="24"/>
              </w:rPr>
            </w:pPr>
            <w:r>
              <w:rPr>
                <w:rFonts w:hint="eastAsia" w:ascii="宋体" w:hAnsi="宋体" w:eastAsia="宋体" w:cs="宋体"/>
                <w:bCs/>
                <w:sz w:val="24"/>
              </w:rPr>
              <w:t>（税号）统一社会信用代码：91330122MA27XKJB28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876"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bCs w:val="0"/>
                <w:sz w:val="24"/>
              </w:rPr>
              <w:t>特别说明</w:t>
            </w:r>
          </w:p>
        </w:tc>
        <w:tc>
          <w:tcPr>
            <w:tcW w:w="6731"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jc w:val="left"/>
              <w:rPr>
                <w:rFonts w:hint="eastAsia" w:ascii="宋体" w:hAnsi="宋体" w:eastAsia="宋体" w:cs="宋体"/>
                <w:bCs/>
                <w:sz w:val="24"/>
                <w:lang w:eastAsia="zh-CN"/>
              </w:rPr>
            </w:pPr>
            <w:r>
              <w:rPr>
                <w:rFonts w:hint="eastAsia" w:ascii="宋体" w:hAnsi="宋体" w:cs="宋体"/>
                <w:b w:val="0"/>
                <w:bCs w:val="0"/>
                <w:kern w:val="0"/>
                <w:sz w:val="24"/>
                <w:szCs w:val="24"/>
                <w:lang w:val="zh-CN"/>
              </w:rPr>
              <w:t>中标单位在领取中标通知书时，向采购机构提供本项目纸质投标文件（“资格文件”、“报价文件”和“商务技术文件”）二份。</w:t>
            </w:r>
          </w:p>
        </w:tc>
      </w:tr>
      <w:bookmarkEnd w:id="8"/>
    </w:tbl>
    <w:p>
      <w:pPr>
        <w:adjustRightInd/>
        <w:spacing w:line="360" w:lineRule="auto"/>
        <w:jc w:val="center"/>
        <w:outlineLvl w:val="0"/>
        <w:rPr>
          <w:rFonts w:hint="eastAsia" w:ascii="宋体" w:hAnsi="宋体" w:eastAsia="宋体" w:cs="宋体"/>
          <w:b/>
          <w:sz w:val="32"/>
          <w:szCs w:val="20"/>
        </w:rPr>
      </w:pPr>
      <w:bookmarkStart w:id="9" w:name="第三部分"/>
      <w:bookmarkStart w:id="10" w:name="_Toc164416483"/>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4"/>
          <w:highlight w:val="none"/>
          <w:lang w:val="en-US" w:eastAsia="zh-CN"/>
        </w:rPr>
        <w:t>2</w:t>
      </w:r>
      <w:r>
        <w:rPr>
          <w:rFonts w:hint="eastAsia" w:ascii="宋体" w:hAnsi="宋体" w:eastAsia="宋体" w:cs="宋体"/>
          <w:sz w:val="24"/>
          <w:highlight w:val="none"/>
        </w:rPr>
        <w:t>0%的扣除，用扣除后的价格参与评审。</w:t>
      </w:r>
      <w:r>
        <w:rPr>
          <w:rFonts w:hint="eastAsia" w:ascii="宋体" w:hAnsi="宋体" w:eastAsia="宋体" w:cs="宋体"/>
          <w:sz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lang w:val="en-US" w:eastAsia="zh-CN"/>
        </w:rPr>
        <w:t>6</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b/>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rPr>
        <w:cr/>
      </w:r>
      <w:r>
        <w:rPr>
          <w:rFonts w:hint="eastAsia" w:ascii="宋体" w:hAnsi="宋体" w:eastAsia="宋体" w:cs="宋体"/>
          <w:b/>
          <w:sz w:val="24"/>
        </w:rPr>
        <w:t>4. 询问、质疑、投诉</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4.2.2.3对采购结果提出质疑的，质疑期限自采购结果公告期限届满之日起计算。</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pPr>
        <w:pStyle w:val="35"/>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pPr>
        <w:pStyle w:val="35"/>
        <w:spacing w:line="360" w:lineRule="auto"/>
        <w:ind w:firstLine="480" w:firstLineChars="200"/>
        <w:rPr>
          <w:rFonts w:hint="eastAsia" w:ascii="宋体" w:hAnsi="宋体" w:eastAsia="宋体" w:cs="宋体"/>
        </w:rPr>
      </w:pPr>
      <w:r>
        <w:rPr>
          <w:rFonts w:hint="eastAsia" w:ascii="宋体" w:hAnsi="宋体" w:eastAsia="宋体" w:cs="宋体"/>
          <w:kern w:val="0"/>
          <w:sz w:val="24"/>
          <w:lang w:val="zh-CN"/>
        </w:rPr>
        <w:t>供应商提交的质疑函需一式三份。供应商为自然人的，应</w:t>
      </w:r>
      <w:r>
        <w:rPr>
          <w:rFonts w:hint="eastAsia" w:ascii="宋体" w:hAnsi="宋体" w:eastAsia="宋体" w:cs="宋体"/>
        </w:rPr>
        <w:t>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132"/>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5"/>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32"/>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pPr>
        <w:pStyle w:val="132"/>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2"/>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b/>
          <w:sz w:val="24"/>
          <w:lang w:eastAsia="zh-CN"/>
        </w:rPr>
        <w:t>（若为联合体，联合体各方均需具备）</w:t>
      </w:r>
    </w:p>
    <w:p>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11.1.1提供有效的营业执照(或事业法人登记证或其他工商等登记证明材料)；</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符合参加政府采购活动应当具备的一般条件的承诺函；</w:t>
      </w:r>
    </w:p>
    <w:p>
      <w:pPr>
        <w:snapToGrid w:val="0"/>
        <w:spacing w:line="360" w:lineRule="auto"/>
        <w:ind w:firstLine="960" w:firstLineChars="4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本项目的特定资格要求。</w:t>
      </w:r>
    </w:p>
    <w:p>
      <w:pPr>
        <w:snapToGrid w:val="0"/>
        <w:spacing w:line="360" w:lineRule="auto"/>
        <w:ind w:firstLine="960" w:firstLineChars="4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无独立法人资格的分公司</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保险等特定行业的全国性企业所设立的区域性分支机构</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参加投标的，</w:t>
      </w:r>
      <w:r>
        <w:rPr>
          <w:rFonts w:hint="eastAsia" w:asciiTheme="minorEastAsia" w:hAnsiTheme="minorEastAsia" w:eastAsiaTheme="minorEastAsia" w:cstheme="minorEastAsia"/>
          <w:sz w:val="24"/>
          <w:lang w:eastAsia="zh-CN"/>
        </w:rPr>
        <w:t>提供</w:t>
      </w:r>
      <w:r>
        <w:rPr>
          <w:rFonts w:hint="eastAsia" w:asciiTheme="minorEastAsia" w:hAnsiTheme="minorEastAsia" w:eastAsiaTheme="minorEastAsia" w:cstheme="minorEastAsia"/>
          <w:sz w:val="24"/>
        </w:rPr>
        <w:t>总公司授权</w:t>
      </w:r>
      <w:r>
        <w:rPr>
          <w:rFonts w:hint="eastAsia" w:asciiTheme="minorEastAsia" w:hAnsiTheme="minorEastAsia" w:eastAsiaTheme="minorEastAsia" w:cstheme="minorEastAsia"/>
          <w:sz w:val="24"/>
          <w:lang w:eastAsia="zh-CN"/>
        </w:rPr>
        <w:t>书；</w:t>
      </w:r>
    </w:p>
    <w:p>
      <w:pPr>
        <w:snapToGrid w:val="0"/>
        <w:spacing w:line="360" w:lineRule="auto"/>
        <w:ind w:firstLine="960" w:firstLineChars="4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投标人必须为经国家保险监督管理机构批准在中华人民共和国境内设立和营业的，并具有《</w:t>
      </w:r>
      <w:r>
        <w:rPr>
          <w:rFonts w:hint="eastAsia" w:asciiTheme="minorEastAsia" w:hAnsiTheme="minorEastAsia" w:eastAsiaTheme="minorEastAsia" w:cstheme="minorEastAsia"/>
          <w:sz w:val="24"/>
          <w:lang w:val="en-US" w:eastAsia="zh-CN"/>
        </w:rPr>
        <w:t>保险</w:t>
      </w:r>
      <w:r>
        <w:rPr>
          <w:rFonts w:hint="eastAsia" w:asciiTheme="minorEastAsia" w:hAnsiTheme="minorEastAsia" w:eastAsiaTheme="minorEastAsia" w:cstheme="minorEastAsia"/>
          <w:sz w:val="24"/>
        </w:rPr>
        <w:t>许可证》</w:t>
      </w:r>
      <w:r>
        <w:rPr>
          <w:rFonts w:hint="eastAsia" w:asciiTheme="minorEastAsia" w:hAnsiTheme="minorEastAsia" w:eastAsiaTheme="minorEastAsia" w:cstheme="minorEastAsia"/>
          <w:sz w:val="24"/>
          <w:lang w:eastAsia="zh-CN"/>
        </w:rPr>
        <w:t>；</w:t>
      </w:r>
    </w:p>
    <w:p>
      <w:pPr>
        <w:snapToGrid w:val="0"/>
        <w:spacing w:line="360" w:lineRule="auto"/>
        <w:ind w:firstLine="960" w:firstLineChars="400"/>
        <w:rPr>
          <w:rFonts w:hint="eastAsia" w:ascii="宋体" w:hAnsi="宋体" w:eastAsia="宋体" w:cs="宋体"/>
          <w:b/>
          <w:bCs/>
          <w:sz w:val="24"/>
          <w:lang w:val="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在</w:t>
      </w:r>
      <w:r>
        <w:rPr>
          <w:rFonts w:hint="eastAsia" w:asciiTheme="minorEastAsia" w:hAnsiTheme="minorEastAsia" w:eastAsiaTheme="minorEastAsia" w:cstheme="minorEastAsia"/>
          <w:sz w:val="24"/>
          <w:lang w:val="en-US" w:eastAsia="zh-CN"/>
        </w:rPr>
        <w:t>国家金融监督管理总局浙江监管局（原中国银行保险监督管理委员会浙江监管局）</w:t>
      </w:r>
      <w:r>
        <w:rPr>
          <w:rFonts w:hint="eastAsia" w:asciiTheme="minorEastAsia" w:hAnsiTheme="minorEastAsia" w:eastAsiaTheme="minorEastAsia" w:cstheme="minorEastAsia"/>
          <w:sz w:val="24"/>
        </w:rPr>
        <w:t>公布的符合农业保险业务经营条件的保险机构目录内</w:t>
      </w:r>
      <w:r>
        <w:rPr>
          <w:rFonts w:hint="eastAsia" w:asciiTheme="minorEastAsia" w:hAnsiTheme="minorEastAsia" w:eastAsiaTheme="minorEastAsia" w:cstheme="minorEastAsia"/>
          <w:sz w:val="24"/>
          <w:lang w:eastAsia="zh-CN"/>
        </w:rPr>
        <w:t>的证明材料</w:t>
      </w:r>
      <w:r>
        <w:rPr>
          <w:rFonts w:hint="eastAsia" w:asciiTheme="minorEastAsia" w:hAnsiTheme="minorEastAsia" w:eastAsiaTheme="minorEastAsia" w:cstheme="minorEastAsia"/>
          <w:sz w:val="24"/>
        </w:rPr>
        <w:t>；</w:t>
      </w:r>
    </w:p>
    <w:p>
      <w:pPr>
        <w:snapToGrid w:val="0"/>
        <w:spacing w:line="360" w:lineRule="auto"/>
        <w:ind w:firstLine="960" w:firstLineChars="400"/>
        <w:rPr>
          <w:rFonts w:hint="eastAsia" w:ascii="宋体" w:hAnsi="宋体" w:eastAsia="宋体" w:cs="宋体"/>
          <w:b/>
          <w:bCs/>
          <w:sz w:val="24"/>
          <w:lang w:val="zh-CN"/>
        </w:rPr>
      </w:pPr>
      <w:r>
        <w:rPr>
          <w:rFonts w:hint="eastAsia" w:asciiTheme="minorEastAsia" w:hAnsiTheme="minorEastAsia" w:eastAsiaTheme="minorEastAsia" w:cstheme="minorEastAsia"/>
          <w:sz w:val="24"/>
          <w:lang w:val="en-US" w:eastAsia="zh-CN"/>
        </w:rPr>
        <w:t>（4）近3年内未因农业保险业务受到重大行政处罚的声明函；</w:t>
      </w:r>
    </w:p>
    <w:p>
      <w:pPr>
        <w:snapToGrid w:val="0"/>
        <w:spacing w:line="360" w:lineRule="auto"/>
        <w:ind w:firstLine="960" w:firstLineChars="400"/>
        <w:rPr>
          <w:rFonts w:hint="eastAsia" w:ascii="宋体" w:hAnsi="宋体" w:eastAsia="宋体" w:cs="宋体"/>
          <w:b/>
          <w:bCs/>
          <w:sz w:val="24"/>
          <w:lang w:val="zh-CN"/>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联合体协议（如果有）</w:t>
      </w:r>
      <w:r>
        <w:rPr>
          <w:rFonts w:hint="eastAsia" w:asciiTheme="minorEastAsia" w:hAnsiTheme="minorEastAsia" w:eastAsiaTheme="minorEastAsia" w:cstheme="minorEastAsia"/>
          <w:sz w:val="24"/>
        </w:rPr>
        <w:t>。</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评标标准相应的商务技术资料；</w:t>
      </w:r>
    </w:p>
    <w:p>
      <w:pPr>
        <w:snapToGrid w:val="0"/>
        <w:spacing w:line="360" w:lineRule="auto"/>
        <w:ind w:firstLine="960" w:firstLineChars="4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投标标的清单</w:t>
      </w:r>
      <w:r>
        <w:rPr>
          <w:rFonts w:hint="eastAsia" w:cs="宋体" w:asciiTheme="minorEastAsia" w:hAnsiTheme="minorEastAsia" w:eastAsiaTheme="minorEastAsia"/>
          <w:sz w:val="24"/>
          <w:lang w:eastAsia="zh-CN"/>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pPr>
        <w:pStyle w:val="132"/>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rPr>
        <w:t>▲</w:t>
      </w:r>
      <w:r>
        <w:rPr>
          <w:rFonts w:hint="eastAsia" w:ascii="宋体" w:hAnsi="宋体" w:eastAsia="宋体" w:cs="宋体"/>
          <w:b/>
          <w:kern w:val="2"/>
          <w:sz w:val="24"/>
          <w:szCs w:val="20"/>
          <w:lang w:val="en-US" w:eastAsia="zh-CN" w:bidi="ar-SA"/>
        </w:rPr>
        <w:t>投标文件未按规定的格式编制的，投标无效；</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132"/>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32"/>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132"/>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2"/>
        <w:snapToGrid w:val="0"/>
        <w:spacing w:before="0"/>
        <w:ind w:firstLine="480"/>
        <w:rPr>
          <w:rFonts w:hint="eastAsia" w:ascii="宋体" w:hAnsi="宋体" w:eastAsia="宋体" w:cs="宋体"/>
        </w:rPr>
      </w:pPr>
      <w:r>
        <w:rPr>
          <w:rFonts w:hint="eastAsia" w:ascii="宋体" w:hAnsi="宋体" w:eastAsia="宋体" w:cs="宋体"/>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5"/>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pPr>
        <w:pStyle w:val="35"/>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lang w:eastAsia="zh-CN"/>
        </w:rPr>
        <w:t>或</w:t>
      </w:r>
      <w:r>
        <w:rPr>
          <w:rFonts w:hint="eastAsia" w:ascii="宋体" w:hAnsi="宋体" w:eastAsia="宋体" w:cs="宋体"/>
          <w:sz w:val="24"/>
          <w:lang w:val="en-US" w:eastAsia="zh-CN"/>
        </w:rPr>
        <w:t>U盘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27"/>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32"/>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32"/>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left="0" w:leftChars="0" w:firstLine="0" w:firstLineChars="0"/>
        <w:rPr>
          <w:rFonts w:hint="eastAsia" w:ascii="宋体" w:hAnsi="宋体" w:eastAsia="宋体" w:cs="宋体"/>
          <w:b/>
          <w:sz w:val="32"/>
        </w:rPr>
      </w:pPr>
    </w:p>
    <w:p>
      <w:pPr>
        <w:pStyle w:val="132"/>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pPr>
        <w:pStyle w:val="557"/>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557"/>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pStyle w:val="557"/>
        <w:spacing w:before="0" w:line="360" w:lineRule="auto"/>
        <w:ind w:left="0" w:leftChars="0" w:firstLine="0" w:firstLineChars="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pPr>
        <w:pStyle w:val="132"/>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13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pPr>
        <w:pStyle w:val="13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snapToGrid w:val="0"/>
        <w:spacing w:line="360" w:lineRule="auto"/>
        <w:jc w:val="center"/>
        <w:outlineLvl w:val="0"/>
        <w:rPr>
          <w:rFonts w:hint="eastAsia" w:ascii="宋体" w:hAnsi="宋体" w:eastAsia="宋体" w:cs="宋体"/>
          <w:b/>
          <w:sz w:val="36"/>
          <w:szCs w:val="36"/>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pPr>
        <w:spacing w:line="360" w:lineRule="auto"/>
        <w:rPr>
          <w:rFonts w:hint="eastAsia" w:ascii="宋体" w:hAnsi="宋体" w:eastAsia="宋体" w:cs="宋体"/>
          <w:b/>
          <w:sz w:val="24"/>
        </w:rPr>
      </w:pPr>
      <w:bookmarkStart w:id="11"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27"/>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132"/>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pPr>
        <w:pStyle w:val="132"/>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snapToGrid w:val="0"/>
        <w:spacing w:line="360" w:lineRule="auto"/>
        <w:ind w:left="120" w:leftChars="57" w:firstLine="482" w:firstLineChars="150"/>
        <w:jc w:val="center"/>
        <w:rPr>
          <w:rFonts w:hint="eastAsia" w:ascii="宋体" w:hAnsi="宋体" w:eastAsia="宋体" w:cs="宋体"/>
          <w:b/>
          <w:sz w:val="32"/>
        </w:rPr>
      </w:pPr>
    </w:p>
    <w:p>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pPr>
        <w:pStyle w:val="27"/>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27"/>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2"/>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132"/>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27"/>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pPr>
        <w:tabs>
          <w:tab w:val="left" w:pos="0"/>
        </w:tabs>
        <w:spacing w:line="360" w:lineRule="auto"/>
        <w:ind w:firstLine="482"/>
        <w:rPr>
          <w:rFonts w:hint="eastAsia" w:ascii="宋体" w:hAnsi="宋体" w:eastAsia="宋体" w:cs="宋体"/>
          <w:b/>
          <w:color w:val="auto"/>
          <w:sz w:val="24"/>
        </w:rPr>
      </w:pPr>
      <w:r>
        <w:rPr>
          <w:rFonts w:hint="eastAsia" w:ascii="宋体" w:hAnsi="宋体" w:cs="宋体"/>
          <w:kern w:val="0"/>
          <w:sz w:val="24"/>
        </w:rPr>
        <w:t>本项目无需缴纳履约保证金</w:t>
      </w:r>
      <w:r>
        <w:rPr>
          <w:rFonts w:hint="eastAsia" w:ascii="宋体" w:hAnsi="宋体" w:eastAsia="宋体" w:cs="宋体"/>
          <w:color w:val="auto"/>
          <w:sz w:val="24"/>
        </w:rPr>
        <w:t>。</w:t>
      </w:r>
    </w:p>
    <w:p>
      <w:pPr>
        <w:snapToGrid w:val="0"/>
        <w:spacing w:line="360" w:lineRule="auto"/>
        <w:rPr>
          <w:rFonts w:hint="eastAsia" w:ascii="宋体" w:hAnsi="宋体" w:eastAsia="宋体" w:cs="宋体"/>
          <w:b/>
          <w:sz w:val="32"/>
        </w:rPr>
      </w:pPr>
    </w:p>
    <w:p>
      <w:pPr>
        <w:snapToGrid w:val="0"/>
        <w:spacing w:line="360" w:lineRule="auto"/>
        <w:jc w:val="center"/>
        <w:rPr>
          <w:rFonts w:hint="eastAsia" w:ascii="宋体" w:hAnsi="宋体" w:eastAsia="宋体" w:cs="宋体"/>
          <w:b/>
          <w:bCs w:val="0"/>
          <w:sz w:val="24"/>
        </w:rPr>
      </w:pPr>
      <w:r>
        <w:rPr>
          <w:rFonts w:hint="eastAsia" w:ascii="宋体" w:hAnsi="宋体" w:eastAsia="宋体" w:cs="宋体"/>
          <w:b/>
          <w:bCs w:val="0"/>
          <w:sz w:val="32"/>
        </w:rPr>
        <w:t>八、电子交易活动的中止</w:t>
      </w:r>
    </w:p>
    <w:p>
      <w:pPr>
        <w:pStyle w:val="132"/>
        <w:snapToGrid w:val="0"/>
        <w:spacing w:before="0"/>
        <w:ind w:firstLine="0" w:firstLineChars="0"/>
        <w:rPr>
          <w:rFonts w:hint="eastAsia" w:ascii="宋体" w:hAnsi="宋体" w:eastAsia="宋体" w:cs="宋体"/>
        </w:rPr>
      </w:pPr>
      <w:r>
        <w:rPr>
          <w:rFonts w:hint="eastAsia" w:ascii="宋体" w:hAnsi="宋体" w:eastAsia="宋体" w:cs="宋体"/>
          <w:b/>
          <w:bCs w:val="0"/>
        </w:rPr>
        <w:t>2</w:t>
      </w:r>
      <w:r>
        <w:rPr>
          <w:rFonts w:hint="eastAsia" w:ascii="宋体" w:hAnsi="宋体" w:eastAsia="宋体" w:cs="宋体"/>
          <w:b/>
          <w:bCs w:val="0"/>
          <w:szCs w:val="24"/>
        </w:rPr>
        <w:t>7. 电子交易</w:t>
      </w:r>
      <w:r>
        <w:rPr>
          <w:rFonts w:hint="eastAsia" w:ascii="宋体" w:hAnsi="宋体" w:eastAsia="宋体" w:cs="宋体"/>
          <w:b/>
          <w:szCs w:val="24"/>
        </w:rPr>
        <w:t>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pPr>
        <w:pStyle w:val="132"/>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pPr>
        <w:pStyle w:val="132"/>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pPr>
        <w:pStyle w:val="132"/>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pPr>
        <w:pStyle w:val="132"/>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pPr>
        <w:pStyle w:val="132"/>
        <w:snapToGrid w:val="0"/>
        <w:spacing w:before="0"/>
        <w:ind w:firstLine="0" w:firstLineChars="0"/>
        <w:rPr>
          <w:rFonts w:hint="eastAsia" w:ascii="宋体" w:hAnsi="宋体" w:eastAsia="宋体" w:cs="宋体"/>
          <w:sz w:val="24"/>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both"/>
        <w:rPr>
          <w:rFonts w:hint="eastAsia" w:ascii="宋体" w:hAnsi="宋体" w:eastAsia="宋体" w:cs="宋体"/>
          <w:b/>
          <w:sz w:val="32"/>
        </w:rPr>
      </w:pPr>
    </w:p>
    <w:p>
      <w:pPr>
        <w:snapToGrid w:val="0"/>
        <w:spacing w:line="360" w:lineRule="auto"/>
        <w:jc w:val="center"/>
        <w:rPr>
          <w:rFonts w:hint="eastAsia" w:ascii="宋体" w:hAnsi="宋体" w:eastAsia="宋体" w:cs="宋体"/>
          <w:b/>
          <w:sz w:val="32"/>
        </w:rPr>
      </w:pPr>
    </w:p>
    <w:p>
      <w:pPr>
        <w:snapToGrid w:val="0"/>
        <w:spacing w:line="360" w:lineRule="auto"/>
        <w:jc w:val="center"/>
        <w:rPr>
          <w:rFonts w:hint="eastAsia" w:ascii="宋体" w:hAnsi="宋体" w:eastAsia="宋体" w:cs="宋体"/>
          <w:b/>
          <w:sz w:val="32"/>
        </w:rPr>
      </w:pPr>
      <w:r>
        <w:rPr>
          <w:rFonts w:hint="eastAsia" w:ascii="宋体" w:hAnsi="宋体" w:eastAsia="宋体" w:cs="宋体"/>
          <w:b/>
          <w:sz w:val="32"/>
        </w:rPr>
        <w:t>九、验收</w:t>
      </w:r>
    </w:p>
    <w:p>
      <w:pPr>
        <w:pStyle w:val="27"/>
        <w:spacing w:line="360" w:lineRule="auto"/>
        <w:ind w:firstLine="0" w:firstLineChars="0"/>
        <w:rPr>
          <w:rFonts w:hint="eastAsia" w:ascii="宋体" w:hAnsi="宋体" w:eastAsia="宋体" w:cs="宋体"/>
          <w:b/>
        </w:rPr>
      </w:pPr>
      <w:r>
        <w:rPr>
          <w:rFonts w:hint="eastAsia" w:ascii="宋体" w:hAnsi="宋体" w:eastAsia="宋体" w:cs="宋体"/>
          <w:b/>
        </w:rPr>
        <w:t>29.验收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hint="eastAsia" w:ascii="宋体" w:hAnsi="宋体" w:eastAsia="宋体" w:cs="宋体"/>
          <w:kern w:val="0"/>
          <w:sz w:val="24"/>
        </w:rPr>
        <w:sectPr>
          <w:footerReference r:id="rId8" w:type="first"/>
          <w:footerReference r:id="rId7"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12" w:name="_Hlt68403820"/>
      <w:bookmarkEnd w:id="12"/>
      <w:bookmarkStart w:id="13" w:name="_Hlt68073093"/>
      <w:bookmarkEnd w:id="13"/>
      <w:bookmarkStart w:id="14" w:name="_Hlt74729768"/>
      <w:bookmarkEnd w:id="14"/>
      <w:bookmarkStart w:id="15" w:name="_Hlt75236011"/>
      <w:bookmarkEnd w:id="15"/>
      <w:bookmarkStart w:id="16" w:name="_Hlt74714665"/>
      <w:bookmarkEnd w:id="16"/>
      <w:bookmarkStart w:id="17" w:name="_Hlt74730295"/>
      <w:bookmarkEnd w:id="17"/>
      <w:bookmarkStart w:id="18" w:name="_Hlt68072990"/>
      <w:bookmarkEnd w:id="18"/>
      <w:bookmarkStart w:id="19" w:name="_Hlt75236290"/>
      <w:bookmarkEnd w:id="19"/>
      <w:bookmarkStart w:id="20" w:name="_Hlt74707468"/>
      <w:bookmarkEnd w:id="20"/>
      <w:bookmarkStart w:id="21" w:name="_Hlt68072998"/>
      <w:bookmarkEnd w:id="21"/>
      <w:bookmarkStart w:id="22" w:name="_Hlt75236101"/>
      <w:bookmarkEnd w:id="22"/>
      <w:bookmarkStart w:id="23" w:name="_Hlt68057669"/>
      <w:bookmarkEnd w:id="23"/>
    </w:p>
    <w:bookmarkEnd w:id="9"/>
    <w:bookmarkEnd w:id="10"/>
    <w:p>
      <w:pPr>
        <w:spacing w:line="360" w:lineRule="auto"/>
        <w:jc w:val="center"/>
        <w:outlineLvl w:val="0"/>
        <w:rPr>
          <w:rFonts w:hint="eastAsia" w:ascii="宋体" w:hAnsi="宋体" w:eastAsia="宋体" w:cs="宋体"/>
          <w:b/>
          <w:sz w:val="36"/>
          <w:szCs w:val="36"/>
        </w:rPr>
      </w:pPr>
      <w:bookmarkStart w:id="24" w:name="第四部分"/>
      <w:r>
        <w:rPr>
          <w:rFonts w:hint="eastAsia" w:ascii="宋体" w:hAnsi="宋体" w:eastAsia="宋体" w:cs="宋体"/>
          <w:b/>
          <w:sz w:val="36"/>
          <w:szCs w:val="36"/>
        </w:rPr>
        <w:t>第三部分   采购需求</w:t>
      </w:r>
    </w:p>
    <w:p>
      <w:pPr>
        <w:tabs>
          <w:tab w:val="left" w:pos="0"/>
        </w:tabs>
        <w:spacing w:line="360" w:lineRule="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一、项目概述</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我国是世界上最大的生猪生产国及猪肉消费国。近年来，受多方面因素影响，产业长年饱受“猪周期”困扰。猪肉价格“过山车”式的变化，不仅加大了养殖户及养殖企业生产、经营的不确定性，也对猪肉的消费造成不利影响。</w:t>
      </w:r>
    </w:p>
    <w:p>
      <w:pPr>
        <w:tabs>
          <w:tab w:val="left" w:pos="0"/>
        </w:tabs>
        <w:spacing w:line="360" w:lineRule="auto"/>
        <w:ind w:firstLine="480"/>
        <w:rPr>
          <w:rFonts w:hint="eastAsia" w:ascii="宋体" w:hAnsi="宋体" w:eastAsia="宋体" w:cs="宋体"/>
          <w:b/>
          <w:bCs/>
          <w:kern w:val="0"/>
          <w:sz w:val="28"/>
          <w:szCs w:val="28"/>
          <w:lang w:val="en-US" w:eastAsia="zh-CN"/>
        </w:rPr>
      </w:pPr>
      <w:r>
        <w:rPr>
          <w:rFonts w:hint="eastAsia" w:ascii="宋体" w:hAnsi="宋体" w:eastAsia="宋体" w:cs="宋体"/>
          <w:kern w:val="0"/>
          <w:sz w:val="24"/>
          <w:lang w:val="en-US" w:eastAsia="zh-CN"/>
        </w:rPr>
        <w:t>为贯彻落实桐庐县政府稳定生猪生产要求，助力稳定猪肉市场供应，发挥财政资金引导放大效应，提高财政资金使用效率，同时帮助养殖户分散转移风险，调动养殖户的积极性，促进地方生猪养殖产业持续健康稳定发展，开展生猪价格指数保险工作。采购险种：生猪价格指数保险。</w:t>
      </w:r>
    </w:p>
    <w:p>
      <w:pPr>
        <w:tabs>
          <w:tab w:val="left" w:pos="0"/>
        </w:tabs>
        <w:spacing w:line="360" w:lineRule="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二、招标内容</w:t>
      </w:r>
    </w:p>
    <w:tbl>
      <w:tblPr>
        <w:tblStyle w:val="63"/>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2160"/>
        <w:gridCol w:w="1070"/>
        <w:gridCol w:w="1185"/>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项目名称</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主要服务技术要求</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数量</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单位</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9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before="0" w:beforeLines="50" w:after="0" w:line="360" w:lineRule="auto"/>
              <w:jc w:val="center"/>
              <w:textAlignment w:val="auto"/>
              <w:rPr>
                <w:rFonts w:ascii="宋体" w:hAnsi="宋体" w:cs="宋体"/>
                <w:sz w:val="24"/>
                <w:szCs w:val="24"/>
                <w:highlight w:val="none"/>
              </w:rPr>
            </w:pPr>
            <w:r>
              <w:rPr>
                <w:rFonts w:hint="eastAsia" w:ascii="宋体" w:hAnsi="宋体" w:eastAsia="宋体" w:cs="宋体"/>
                <w:kern w:val="0"/>
                <w:sz w:val="24"/>
                <w:lang w:val="en-US" w:eastAsia="zh-CN"/>
              </w:rPr>
              <w:t>2024-2026年桐庐县生猪价格指数保险采购项目</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详见采购需求</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年</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244.8</w:t>
            </w:r>
            <w:r>
              <w:rPr>
                <w:rFonts w:hint="eastAsia" w:ascii="宋体" w:hAnsi="宋体" w:eastAsia="宋体" w:cs="宋体"/>
                <w:sz w:val="24"/>
                <w:szCs w:val="24"/>
                <w:highlight w:val="none"/>
                <w:lang w:eastAsia="zh-CN"/>
              </w:rPr>
              <w:t>万</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246" w:type="dxa"/>
            <w:gridSpan w:val="5"/>
            <w:tcBorders>
              <w:top w:val="single" w:color="auto" w:sz="4" w:space="0"/>
              <w:left w:val="single" w:color="auto" w:sz="4" w:space="0"/>
              <w:right w:val="single" w:color="auto" w:sz="4" w:space="0"/>
            </w:tcBorders>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预算总价：</w:t>
            </w:r>
            <w:r>
              <w:rPr>
                <w:rFonts w:hint="eastAsia" w:ascii="宋体" w:hAnsi="宋体" w:cs="宋体"/>
                <w:sz w:val="24"/>
                <w:szCs w:val="24"/>
                <w:highlight w:val="none"/>
                <w:lang w:val="en-US" w:eastAsia="zh-CN"/>
              </w:rPr>
              <w:t>734.4万元</w:t>
            </w:r>
          </w:p>
        </w:tc>
      </w:tr>
    </w:tbl>
    <w:p>
      <w:pPr>
        <w:keepNext w:val="0"/>
        <w:keepLines w:val="0"/>
        <w:pageBreakBefore w:val="0"/>
        <w:widowControl w:val="0"/>
        <w:kinsoku/>
        <w:wordWrap/>
        <w:overflowPunct/>
        <w:topLinePunct w:val="0"/>
        <w:autoSpaceDE/>
        <w:autoSpaceDN/>
        <w:bidi w:val="0"/>
        <w:adjustRightInd w:val="0"/>
        <w:snapToGrid/>
        <w:spacing w:before="0" w:beforeLines="50" w:line="360" w:lineRule="auto"/>
        <w:ind w:firstLine="482"/>
        <w:textAlignment w:val="auto"/>
        <w:rPr>
          <w:rFonts w:hint="eastAsia" w:ascii="宋体" w:hAnsi="宋体" w:eastAsia="宋体" w:cs="宋体"/>
          <w:b/>
          <w:bCs/>
          <w:kern w:val="0"/>
          <w:sz w:val="28"/>
          <w:szCs w:val="28"/>
          <w:lang w:val="en-US" w:eastAsia="zh-CN" w:bidi="ar-SA"/>
        </w:rPr>
      </w:pPr>
      <w:r>
        <w:rPr>
          <w:rFonts w:hint="eastAsia" w:ascii="宋体" w:hAnsi="宋体" w:cs="宋体"/>
          <w:b w:val="0"/>
          <w:bCs w:val="0"/>
          <w:sz w:val="24"/>
          <w:szCs w:val="24"/>
          <w:highlight w:val="none"/>
        </w:rPr>
        <w:t>注：以上金额包括人工工资、交通费、保险、税金、管理费、服务酬金、验收、辅助工作及售后服务等完成本项目的所有费用。</w:t>
      </w:r>
      <w:r>
        <w:rPr>
          <w:rFonts w:hint="eastAsia" w:ascii="宋体" w:hAnsi="宋体" w:cs="宋体"/>
          <w:b w:val="0"/>
          <w:bCs w:val="0"/>
          <w:sz w:val="24"/>
          <w:szCs w:val="24"/>
          <w:highlight w:val="none"/>
          <w:lang w:val="en-US" w:eastAsia="zh-CN"/>
        </w:rPr>
        <w:t>本保险险种</w:t>
      </w:r>
      <w:r>
        <w:rPr>
          <w:rFonts w:hint="eastAsia" w:ascii="宋体" w:hAnsi="宋体" w:cs="宋体"/>
          <w:b w:val="0"/>
          <w:bCs w:val="0"/>
          <w:sz w:val="24"/>
          <w:szCs w:val="24"/>
          <w:highlight w:val="none"/>
          <w:lang w:eastAsia="zh-CN"/>
        </w:rPr>
        <w:t>由市级财政补贴</w:t>
      </w:r>
      <w:r>
        <w:rPr>
          <w:rFonts w:hint="eastAsia" w:ascii="宋体" w:hAnsi="宋体" w:cs="宋体"/>
          <w:b w:val="0"/>
          <w:bCs w:val="0"/>
          <w:sz w:val="24"/>
          <w:szCs w:val="24"/>
          <w:highlight w:val="none"/>
          <w:lang w:val="en-US" w:eastAsia="zh-CN"/>
        </w:rPr>
        <w:t>35</w:t>
      </w:r>
      <w:r>
        <w:rPr>
          <w:rFonts w:hint="eastAsia" w:ascii="宋体" w:hAnsi="宋体" w:cs="宋体"/>
          <w:b w:val="0"/>
          <w:bCs w:val="0"/>
          <w:sz w:val="24"/>
          <w:szCs w:val="24"/>
          <w:highlight w:val="none"/>
          <w:lang w:eastAsia="zh-CN"/>
        </w:rPr>
        <w:t>%，县级财政补贴</w:t>
      </w:r>
      <w:r>
        <w:rPr>
          <w:rFonts w:hint="eastAsia" w:ascii="宋体" w:hAnsi="宋体" w:cs="宋体"/>
          <w:b w:val="0"/>
          <w:bCs w:val="0"/>
          <w:sz w:val="24"/>
          <w:szCs w:val="24"/>
          <w:highlight w:val="none"/>
          <w:lang w:val="en-US" w:eastAsia="zh-CN"/>
        </w:rPr>
        <w:t>35</w:t>
      </w:r>
      <w:r>
        <w:rPr>
          <w:rFonts w:hint="eastAsia" w:ascii="宋体" w:hAnsi="宋体" w:cs="宋体"/>
          <w:b w:val="0"/>
          <w:bCs w:val="0"/>
          <w:sz w:val="24"/>
          <w:szCs w:val="24"/>
          <w:highlight w:val="none"/>
          <w:lang w:eastAsia="zh-CN"/>
        </w:rPr>
        <w:t>%，农户自缴</w:t>
      </w: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lang w:eastAsia="zh-CN"/>
        </w:rPr>
        <w:t>0%，</w:t>
      </w:r>
      <w:r>
        <w:rPr>
          <w:rFonts w:hint="eastAsia" w:ascii="宋体" w:hAnsi="宋体" w:cs="宋体"/>
          <w:b w:val="0"/>
          <w:bCs w:val="0"/>
          <w:sz w:val="24"/>
          <w:szCs w:val="24"/>
          <w:highlight w:val="none"/>
          <w:lang w:val="en-US" w:eastAsia="zh-CN"/>
        </w:rPr>
        <w:t>共计</w:t>
      </w:r>
      <w:r>
        <w:rPr>
          <w:rFonts w:hint="eastAsia" w:ascii="宋体" w:hAnsi="宋体" w:cs="宋体"/>
          <w:sz w:val="24"/>
          <w:szCs w:val="24"/>
          <w:highlight w:val="none"/>
          <w:lang w:val="en-US" w:eastAsia="zh-CN"/>
        </w:rPr>
        <w:t>244.8</w:t>
      </w:r>
      <w:r>
        <w:rPr>
          <w:rFonts w:hint="eastAsia" w:ascii="宋体" w:hAnsi="宋体" w:cs="宋体"/>
          <w:b w:val="0"/>
          <w:bCs w:val="0"/>
          <w:sz w:val="24"/>
          <w:szCs w:val="24"/>
          <w:highlight w:val="none"/>
          <w:lang w:val="en-US" w:eastAsia="zh-CN"/>
        </w:rPr>
        <w:t>万</w:t>
      </w:r>
      <w:r>
        <w:rPr>
          <w:rFonts w:hint="eastAsia" w:ascii="宋体" w:hAnsi="宋体" w:cs="宋体"/>
          <w:b w:val="0"/>
          <w:bCs w:val="0"/>
          <w:sz w:val="24"/>
          <w:szCs w:val="24"/>
          <w:highlight w:val="none"/>
        </w:rPr>
        <w:t>元</w:t>
      </w:r>
      <w:r>
        <w:rPr>
          <w:rFonts w:hint="eastAsia" w:ascii="宋体" w:hAnsi="宋体" w:cs="宋体"/>
          <w:b w:val="0"/>
          <w:bCs w:val="0"/>
          <w:sz w:val="24"/>
          <w:szCs w:val="24"/>
          <w:highlight w:val="none"/>
          <w:lang w:val="en-US" w:eastAsia="zh-CN"/>
        </w:rPr>
        <w:t>/年。</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三、采购险种</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生猪价格指数保险</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（一）保险标的</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同时符合下列条件的生猪可作为本保险合同的保险标的（以下简称“保险生猪”），可进行投保：</w:t>
      </w:r>
    </w:p>
    <w:p>
      <w:pPr>
        <w:tabs>
          <w:tab w:val="left" w:pos="0"/>
        </w:tabs>
        <w:spacing w:line="360" w:lineRule="auto"/>
        <w:ind w:firstLine="48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1、在当地饲养，经畜牧兽医部门验明无伤残，无生猪养殖险责任范围内的疾病；</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2、管理制度健全、饲养圈舍卫生，能按桐庐县动物防疫部门审定的免疫程序接种且有记录。</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3、投保生猪已投保政策性生猪养殖保险；</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4、屠宰上市的育肥猪。</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（二）投保对象</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同时符合下列条件的养殖场（户）可作为本保险合同的被保险人：</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1、饲养场所在当地洪水水位线以上的非蓄洪、行洪区，场内建筑物布局符合当地畜牧兽医部门要求；</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2、管理制度健全、饲养圈舍卫生，能按规定做好重大动物疾病防控。</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3、养殖场在保险期间内持续养殖，且保险生猪生产和管理正常；</w:t>
      </w:r>
    </w:p>
    <w:p>
      <w:pPr>
        <w:tabs>
          <w:tab w:val="left" w:pos="0"/>
        </w:tabs>
        <w:spacing w:line="360" w:lineRule="auto"/>
        <w:ind w:firstLine="48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4、具有动物防疫条件合格证。</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（三）保险责任及保险价格</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在保险期间内，由于市场价格波动造成保险生猪实际月平均出栏价格低于约定目标价格时，视为保险事故发生，保险人按照本保险合同的约定负责赔偿。</w:t>
      </w:r>
    </w:p>
    <w:p>
      <w:pPr>
        <w:tabs>
          <w:tab w:val="left" w:pos="0"/>
        </w:tabs>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保险生猪的实际月平均出栏价格以“浙江省发展和改革委员会”官方网站每个自然月在“信息价格栏目-生猪成本信息”发布的生猪出栏价格为准。若某一自然月未发布“生猪出栏价格”，则参照下一个自然月发布的《浙江省生猪生产成本收益预警信息表》表中“上月”一栏数据，如下一个自然月仍未发布，则本月数据参照本月前一个自然月已发布的数值进行理赔结算。</w:t>
      </w:r>
    </w:p>
    <w:p>
      <w:pPr>
        <w:tabs>
          <w:tab w:val="left" w:pos="0"/>
        </w:tabs>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约定目标价格根据桐庐县近三年生猪平均养殖成本数据和变化趋势进行测算，试点期间保险价格暂定为17元/公斤。</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（四）保险期间</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除另有约定外，本保险合同的保险期间为一年，具体起讫时间以保险单载明为准。</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（五）保险金额</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本保险单个保险期间的试点规模暂定2万头生猪。每头保险金额参照生猪饲养成本等因素，每头保险金额</w:t>
      </w:r>
      <w:r>
        <w:rPr>
          <w:rFonts w:hint="eastAsia" w:ascii="宋体" w:hAnsi="宋体" w:cs="宋体"/>
          <w:kern w:val="0"/>
          <w:sz w:val="24"/>
          <w:lang w:val="en-US" w:eastAsia="zh-CN"/>
        </w:rPr>
        <w:t>暂定</w:t>
      </w:r>
      <w:r>
        <w:rPr>
          <w:rFonts w:hint="eastAsia" w:ascii="宋体" w:hAnsi="宋体" w:eastAsia="宋体" w:cs="宋体"/>
          <w:kern w:val="0"/>
          <w:sz w:val="24"/>
          <w:lang w:val="en-US" w:eastAsia="zh-CN"/>
        </w:rPr>
        <w:t>为2040元/头，由投标人与保险人协商确定，并在保险单中载明：</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单位保险金额=保险价格（元/公斤）×每头生猪约定平均出栏重量（公斤/头）</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每头生猪约定平均出栏重量为120公斤。</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单位保险金额=17元/公斤×120公斤=2040元/头</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总保险金额=单位保险金额×保险数量（头）</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投标时，投保人与保险人约定每自然月保险数量，并在保险单中载明，保险数量等于所有自然月保险数量之和。</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（六）保险费率及保费补贴标准</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1、保险费率</w:t>
      </w:r>
      <w:r>
        <w:rPr>
          <w:rFonts w:hint="eastAsia" w:ascii="宋体" w:hAnsi="宋体" w:cs="宋体"/>
          <w:kern w:val="0"/>
          <w:sz w:val="24"/>
          <w:lang w:val="en-US" w:eastAsia="zh-CN"/>
        </w:rPr>
        <w:t>暂定为</w:t>
      </w:r>
      <w:r>
        <w:rPr>
          <w:rFonts w:hint="eastAsia" w:ascii="宋体" w:hAnsi="宋体" w:eastAsia="宋体" w:cs="宋体"/>
          <w:kern w:val="0"/>
          <w:sz w:val="24"/>
          <w:lang w:val="en-US" w:eastAsia="zh-CN"/>
        </w:rPr>
        <w:t>6%</w:t>
      </w:r>
      <w:r>
        <w:rPr>
          <w:rFonts w:hint="eastAsia" w:ascii="宋体" w:hAnsi="宋体" w:cs="宋体"/>
          <w:kern w:val="0"/>
          <w:sz w:val="24"/>
          <w:lang w:val="en-US" w:eastAsia="zh-CN"/>
        </w:rPr>
        <w:t>（</w:t>
      </w:r>
      <w:r>
        <w:rPr>
          <w:rFonts w:hint="eastAsia" w:ascii="宋体" w:hAnsi="宋体" w:eastAsia="宋体" w:cs="宋体"/>
          <w:kern w:val="0"/>
          <w:sz w:val="24"/>
          <w:lang w:val="en-US" w:eastAsia="zh-CN"/>
        </w:rPr>
        <w:t>每头保费为122.4元</w:t>
      </w:r>
      <w:r>
        <w:rPr>
          <w:rFonts w:hint="eastAsia" w:ascii="宋体" w:hAnsi="宋体" w:cs="宋体"/>
          <w:kern w:val="0"/>
          <w:sz w:val="24"/>
          <w:lang w:val="en-US" w:eastAsia="zh-CN"/>
        </w:rPr>
        <w:t>）</w:t>
      </w:r>
      <w:r>
        <w:rPr>
          <w:rFonts w:hint="eastAsia" w:ascii="宋体" w:hAnsi="宋体" w:eastAsia="宋体" w:cs="宋体"/>
          <w:kern w:val="0"/>
          <w:sz w:val="24"/>
          <w:lang w:val="en-US" w:eastAsia="zh-CN"/>
        </w:rPr>
        <w:t>。</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2、保险费=总保险金额×保险费率</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3、财政补贴70%</w:t>
      </w:r>
      <w:r>
        <w:rPr>
          <w:rFonts w:hint="eastAsia" w:ascii="宋体" w:hAnsi="宋体" w:cs="宋体"/>
          <w:kern w:val="0"/>
          <w:sz w:val="24"/>
          <w:lang w:val="en-US" w:eastAsia="zh-CN"/>
        </w:rPr>
        <w:t>（</w:t>
      </w:r>
      <w:r>
        <w:rPr>
          <w:rFonts w:hint="eastAsia" w:ascii="宋体" w:hAnsi="宋体" w:cs="宋体"/>
          <w:b w:val="0"/>
          <w:bCs w:val="0"/>
          <w:sz w:val="24"/>
          <w:szCs w:val="24"/>
          <w:highlight w:val="none"/>
          <w:lang w:eastAsia="zh-CN"/>
        </w:rPr>
        <w:t>市级财政补贴</w:t>
      </w:r>
      <w:r>
        <w:rPr>
          <w:rFonts w:hint="eastAsia" w:ascii="宋体" w:hAnsi="宋体" w:cs="宋体"/>
          <w:b w:val="0"/>
          <w:bCs w:val="0"/>
          <w:sz w:val="24"/>
          <w:szCs w:val="24"/>
          <w:highlight w:val="none"/>
          <w:lang w:val="en-US" w:eastAsia="zh-CN"/>
        </w:rPr>
        <w:t>35</w:t>
      </w:r>
      <w:r>
        <w:rPr>
          <w:rFonts w:hint="eastAsia" w:ascii="宋体" w:hAnsi="宋体" w:cs="宋体"/>
          <w:b w:val="0"/>
          <w:bCs w:val="0"/>
          <w:sz w:val="24"/>
          <w:szCs w:val="24"/>
          <w:highlight w:val="none"/>
          <w:lang w:eastAsia="zh-CN"/>
        </w:rPr>
        <w:t>%，县级财政补贴</w:t>
      </w:r>
      <w:r>
        <w:rPr>
          <w:rFonts w:hint="eastAsia" w:ascii="宋体" w:hAnsi="宋体" w:cs="宋体"/>
          <w:b w:val="0"/>
          <w:bCs w:val="0"/>
          <w:sz w:val="24"/>
          <w:szCs w:val="24"/>
          <w:highlight w:val="none"/>
          <w:lang w:val="en-US" w:eastAsia="zh-CN"/>
        </w:rPr>
        <w:t>35</w:t>
      </w:r>
      <w:r>
        <w:rPr>
          <w:rFonts w:hint="eastAsia" w:ascii="宋体" w:hAnsi="宋体" w:cs="宋体"/>
          <w:b w:val="0"/>
          <w:bCs w:val="0"/>
          <w:sz w:val="24"/>
          <w:szCs w:val="24"/>
          <w:highlight w:val="none"/>
          <w:lang w:eastAsia="zh-CN"/>
        </w:rPr>
        <w:t>%</w:t>
      </w:r>
      <w:r>
        <w:rPr>
          <w:rFonts w:hint="eastAsia" w:ascii="宋体" w:hAnsi="宋体" w:cs="宋体"/>
          <w:kern w:val="0"/>
          <w:sz w:val="24"/>
          <w:lang w:val="en-US" w:eastAsia="zh-CN"/>
        </w:rPr>
        <w:t>）</w:t>
      </w:r>
      <w:r>
        <w:rPr>
          <w:rFonts w:hint="eastAsia" w:ascii="宋体" w:hAnsi="宋体" w:eastAsia="宋体" w:cs="宋体"/>
          <w:kern w:val="0"/>
          <w:sz w:val="24"/>
          <w:lang w:val="en-US" w:eastAsia="zh-CN"/>
        </w:rPr>
        <w:t>，投保人自缴30%（农户在参保时自缴）。保费构成如下：</w:t>
      </w:r>
    </w:p>
    <w:tbl>
      <w:tblPr>
        <w:tblStyle w:val="63"/>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2160"/>
        <w:gridCol w:w="2255"/>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3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每头保险金额</w:t>
            </w:r>
          </w:p>
          <w:p>
            <w:pPr>
              <w:tabs>
                <w:tab w:val="left" w:pos="0"/>
              </w:tabs>
              <w:spacing w:line="240" w:lineRule="auto"/>
              <w:jc w:val="center"/>
              <w:rPr>
                <w:rFonts w:ascii="宋体" w:hAnsi="宋体" w:cs="宋体"/>
                <w:sz w:val="24"/>
                <w:szCs w:val="24"/>
                <w:highlight w:val="none"/>
              </w:rPr>
            </w:pPr>
            <w:r>
              <w:rPr>
                <w:rFonts w:hint="eastAsia" w:ascii="宋体" w:hAnsi="宋体" w:eastAsia="宋体" w:cs="宋体"/>
                <w:kern w:val="0"/>
                <w:sz w:val="24"/>
                <w:lang w:val="en-US" w:eastAsia="zh-CN"/>
              </w:rPr>
              <w:t>（元/头）</w:t>
            </w:r>
          </w:p>
        </w:tc>
        <w:tc>
          <w:tcPr>
            <w:tcW w:w="216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每头保险费</w:t>
            </w:r>
          </w:p>
          <w:p>
            <w:pPr>
              <w:tabs>
                <w:tab w:val="left" w:pos="0"/>
              </w:tabs>
              <w:spacing w:line="240" w:lineRule="auto"/>
              <w:jc w:val="center"/>
              <w:rPr>
                <w:rFonts w:ascii="宋体" w:hAnsi="宋体" w:cs="宋体"/>
                <w:sz w:val="24"/>
                <w:szCs w:val="24"/>
                <w:highlight w:val="none"/>
              </w:rPr>
            </w:pPr>
            <w:r>
              <w:rPr>
                <w:rFonts w:hint="eastAsia" w:ascii="宋体" w:hAnsi="宋体" w:eastAsia="宋体" w:cs="宋体"/>
                <w:kern w:val="0"/>
                <w:sz w:val="24"/>
                <w:lang w:val="en-US" w:eastAsia="zh-CN"/>
              </w:rPr>
              <w:t>（元/头）</w:t>
            </w:r>
          </w:p>
        </w:tc>
        <w:tc>
          <w:tcPr>
            <w:tcW w:w="225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财政补贴</w:t>
            </w:r>
          </w:p>
          <w:p>
            <w:pPr>
              <w:tabs>
                <w:tab w:val="left" w:pos="0"/>
              </w:tabs>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lang w:val="en-US" w:eastAsia="zh-CN"/>
              </w:rPr>
              <w:t>（元/头）</w:t>
            </w: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农户自缴</w:t>
            </w:r>
          </w:p>
          <w:p>
            <w:pPr>
              <w:tabs>
                <w:tab w:val="left" w:pos="0"/>
              </w:tabs>
              <w:spacing w:line="240" w:lineRule="auto"/>
              <w:jc w:val="center"/>
              <w:rPr>
                <w:rFonts w:hint="eastAsia" w:ascii="宋体" w:hAnsi="宋体" w:eastAsia="宋体" w:cs="宋体"/>
                <w:sz w:val="24"/>
                <w:szCs w:val="24"/>
                <w:highlight w:val="none"/>
              </w:rPr>
            </w:pPr>
            <w:r>
              <w:rPr>
                <w:rFonts w:hint="eastAsia" w:ascii="宋体" w:hAnsi="宋体" w:eastAsia="宋体" w:cs="宋体"/>
                <w:kern w:val="0"/>
                <w:sz w:val="24"/>
                <w:lang w:val="en-US" w:eastAsia="zh-CN"/>
              </w:rPr>
              <w:t>（元/头）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93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auto"/>
              <w:jc w:val="center"/>
              <w:rPr>
                <w:rFonts w:ascii="宋体" w:hAnsi="宋体" w:cs="宋体"/>
                <w:sz w:val="24"/>
                <w:szCs w:val="24"/>
                <w:highlight w:val="none"/>
              </w:rPr>
            </w:pPr>
            <w:r>
              <w:rPr>
                <w:rFonts w:hint="eastAsia" w:ascii="宋体" w:hAnsi="宋体" w:eastAsia="宋体" w:cs="宋体"/>
                <w:kern w:val="0"/>
                <w:sz w:val="24"/>
                <w:lang w:val="en-US" w:eastAsia="zh-CN"/>
              </w:rPr>
              <w:t>2040</w:t>
            </w:r>
          </w:p>
        </w:tc>
        <w:tc>
          <w:tcPr>
            <w:tcW w:w="216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auto"/>
              <w:jc w:val="center"/>
              <w:rPr>
                <w:rFonts w:ascii="宋体" w:hAnsi="宋体" w:cs="宋体"/>
                <w:sz w:val="24"/>
                <w:szCs w:val="24"/>
                <w:highlight w:val="none"/>
              </w:rPr>
            </w:pPr>
            <w:r>
              <w:rPr>
                <w:rFonts w:hint="eastAsia" w:ascii="宋体" w:hAnsi="宋体" w:eastAsia="宋体" w:cs="宋体"/>
                <w:kern w:val="0"/>
                <w:sz w:val="24"/>
                <w:lang w:val="en-US" w:eastAsia="zh-CN"/>
              </w:rPr>
              <w:t>122.4</w:t>
            </w:r>
          </w:p>
        </w:tc>
        <w:tc>
          <w:tcPr>
            <w:tcW w:w="225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lang w:val="en-US" w:eastAsia="zh-CN"/>
              </w:rPr>
              <w:t>85.68</w:t>
            </w: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kern w:val="0"/>
                <w:sz w:val="24"/>
                <w:lang w:val="en-US" w:eastAsia="zh-CN"/>
              </w:rPr>
              <w:t>3</w:t>
            </w:r>
            <w:r>
              <w:rPr>
                <w:rFonts w:hint="eastAsia" w:ascii="宋体" w:hAnsi="宋体" w:cs="宋体"/>
                <w:kern w:val="0"/>
                <w:sz w:val="24"/>
                <w:lang w:val="en-US" w:eastAsia="zh-CN"/>
              </w:rPr>
              <w:t>6</w:t>
            </w:r>
            <w:r>
              <w:rPr>
                <w:rFonts w:hint="eastAsia" w:ascii="宋体" w:hAnsi="宋体" w:eastAsia="宋体" w:cs="宋体"/>
                <w:kern w:val="0"/>
                <w:sz w:val="24"/>
                <w:lang w:val="en-US" w:eastAsia="zh-CN"/>
              </w:rPr>
              <w:t>.72</w:t>
            </w:r>
          </w:p>
        </w:tc>
      </w:tr>
    </w:tbl>
    <w:p>
      <w:pPr>
        <w:tabs>
          <w:tab w:val="left" w:pos="0"/>
        </w:tabs>
        <w:spacing w:line="360" w:lineRule="auto"/>
        <w:ind w:firstLine="240" w:firstLine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（七）理赔处理</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保险生猪发生保险责任范围内的损失，保险人按以下方式计算赔偿: </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每自然月赔偿金额=(约定目标价格-实际月平均出栏价格)×每自然月理赔数量×约定平均出栏重量</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赔偿金额=</w:t>
      </w:r>
      <w:r>
        <w:rPr>
          <w:rFonts w:hint="eastAsia" w:ascii="宋体" w:hAnsi="宋体" w:eastAsia="宋体" w:cs="宋体"/>
          <w:color w:val="000000"/>
          <w:sz w:val="24"/>
          <w:szCs w:val="24"/>
        </w:rPr>
        <w:t>Σ</w:t>
      </w:r>
      <w:r>
        <w:rPr>
          <w:rFonts w:hint="eastAsia" w:ascii="宋体" w:hAnsi="宋体" w:eastAsia="宋体" w:cs="宋体"/>
          <w:kern w:val="0"/>
          <w:sz w:val="24"/>
          <w:lang w:val="en-US" w:eastAsia="zh-CN"/>
        </w:rPr>
        <w:t>每自然月赔偿金额</w:t>
      </w:r>
      <w:r>
        <w:rPr>
          <w:rFonts w:hint="eastAsia" w:ascii="宋体" w:hAnsi="宋体" w:eastAsia="宋体" w:cs="宋体"/>
          <w:color w:val="000000"/>
          <w:sz w:val="24"/>
          <w:szCs w:val="24"/>
        </w:rPr>
        <w:t>（元）</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每自然月理赔数量在以下两种模式中选择其一，由投保人与保险人协商确定，并在保险单中载明： </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模式一：按自然月采价，按自然月支付赔款。每自然月实际出栏数量以实际检疫出栏为准，每自然月理赔数量不超过被保险人与保险人保单上约定的每自然月保险数量。每自然月实际出栏数量(每个月无论是否触发理赔，当地畜牧管理部门均按照实际出栏情况提供检疫证，以检疫证上载明的出栏数量累计值为准)达到或高于当月约定的保险数量时，当月不再进行理赔。 </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模式二：按自然月采价计算赔款金额，累计至全年一次性支付赔款。当全年保险数量&lt;全年实际出栏数量，则每自然月理赔数量为保险数量平均至每自然月；当全年保险数量&gt;全年实际出栏数量，则每自然月理赔数量为全年实际出栏数量平均至每自然月；若无法整除的，余数部分纳入保险期间最后一个自然月计算。若投保养殖场(户)在保险期间内申请退保，理赔自然月数按照已过自然月数确定。当全年保险数量&lt;已过自然月实际出栏数量，则每自然月理赔数量为全年保险数量/已过自然月数；当全年保险数量&gt;已过自然月实际出栏数量，则每自然月理赔数量为已过自然月实际出栏数量/已过自然月数；若无法整除的，余数部分纳入申请退保前一个自然月计算。</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理赔模式由保险人与投保人约定，并在保单中载明。实际出栏数量由当地畜牧管理部门出具相关证明。</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单位赔偿金额</w:t>
      </w:r>
      <w:r>
        <w:rPr>
          <w:rFonts w:hint="eastAsia" w:ascii="宋体" w:hAnsi="宋体" w:cs="宋体"/>
          <w:kern w:val="0"/>
          <w:sz w:val="24"/>
          <w:lang w:val="en-US" w:eastAsia="zh-CN"/>
        </w:rPr>
        <w:t>（暂定）</w:t>
      </w:r>
    </w:p>
    <w:tbl>
      <w:tblPr>
        <w:tblStyle w:val="64"/>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7"/>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7"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价格下跌值（X）</w:t>
            </w:r>
          </w:p>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（元/公斤）</w:t>
            </w:r>
          </w:p>
        </w:tc>
        <w:tc>
          <w:tcPr>
            <w:tcW w:w="4305"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单位赔偿金额（Y）</w:t>
            </w:r>
          </w:p>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7"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（0,1]</w:t>
            </w:r>
          </w:p>
        </w:tc>
        <w:tc>
          <w:tcPr>
            <w:tcW w:w="4305"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Y=X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7"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(1,2]</w:t>
            </w:r>
          </w:p>
        </w:tc>
        <w:tc>
          <w:tcPr>
            <w:tcW w:w="4305"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Y=1+（X-1）×75%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7"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(2,4]</w:t>
            </w:r>
          </w:p>
        </w:tc>
        <w:tc>
          <w:tcPr>
            <w:tcW w:w="4305"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Y=1.75+（X-2）×60%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7"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(4,保险价格×0.588]</w:t>
            </w:r>
          </w:p>
        </w:tc>
        <w:tc>
          <w:tcPr>
            <w:tcW w:w="4305"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Y=2.95+（X-4）×40%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7"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(保险价格×0.588，保险价格]</w:t>
            </w:r>
          </w:p>
        </w:tc>
        <w:tc>
          <w:tcPr>
            <w:tcW w:w="4305"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Y=X</w:t>
            </w:r>
          </w:p>
        </w:tc>
      </w:tr>
    </w:tbl>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注：</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(1)小括号表示不包含，中括号表示包含</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(2)价格下跌值=保险价格-市场价格</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养殖成本调整系数表</w:t>
      </w:r>
      <w:r>
        <w:rPr>
          <w:rFonts w:hint="eastAsia" w:ascii="宋体" w:hAnsi="宋体" w:cs="宋体"/>
          <w:kern w:val="0"/>
          <w:sz w:val="24"/>
          <w:lang w:val="en-US" w:eastAsia="zh-CN"/>
        </w:rPr>
        <w:t>（暂定）</w:t>
      </w:r>
    </w:p>
    <w:tbl>
      <w:tblPr>
        <w:tblStyle w:val="64"/>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7"/>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7"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猪粮比</w:t>
            </w:r>
          </w:p>
        </w:tc>
        <w:tc>
          <w:tcPr>
            <w:tcW w:w="4350"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7"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理赔采价期间内月平均猪粮比≥6.0</w:t>
            </w:r>
          </w:p>
        </w:tc>
        <w:tc>
          <w:tcPr>
            <w:tcW w:w="4350"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7"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理赔采价期间内月平均猪粮比＜6.0</w:t>
            </w:r>
          </w:p>
        </w:tc>
        <w:tc>
          <w:tcPr>
            <w:tcW w:w="4350"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w:t>
            </w:r>
          </w:p>
        </w:tc>
      </w:tr>
    </w:tbl>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说明：猪粮比6.0为养殖盈亏平衡点，若高于6.0说明猪肉价格涨幅高于玉米价格涨幅，养殖场盈利，因此成本补偿少一些；反之，说明养殖场不盈利，因此成本补偿多一些。</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猪粮比和保险生猪市场价格数据来源：杭州市发展和改革委员会网站价格管理专题专栏中每月生猪生产成本收益预警信息的生猪收购价格及猪粮比。</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（八）退保处理</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1.在保险期间内，投保人在生猪养殖正常延续的情况下， 原则上不允许退保； </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2.全年实际出栏数量未达到保险数量部分不予退保； </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3.在保险期间内，投保养殖场(户)发生重大动物疫病或其他不可抗力等因素导致投保养殖场(户)清栏，经主管部门核实后，可办理退保手续，退保保费=(保险数量-已出栏数量) x每头保险金额×保险费率；若投保养殖场(户)提出退保申请时，出栏数量已达到保险数量，则不允许退保。</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四、</w:t>
      </w:r>
      <w:r>
        <w:rPr>
          <w:rFonts w:hint="eastAsia" w:ascii="宋体" w:hAnsi="宋体" w:cs="宋体"/>
          <w:b/>
          <w:bCs/>
          <w:kern w:val="0"/>
          <w:sz w:val="28"/>
          <w:szCs w:val="28"/>
          <w:lang w:val="en-US" w:eastAsia="zh-CN" w:bidi="ar-SA"/>
        </w:rPr>
        <w:t>服务</w:t>
      </w:r>
      <w:r>
        <w:rPr>
          <w:rFonts w:hint="eastAsia" w:ascii="宋体" w:hAnsi="宋体" w:eastAsia="宋体" w:cs="宋体"/>
          <w:b/>
          <w:bCs/>
          <w:kern w:val="0"/>
          <w:sz w:val="28"/>
          <w:szCs w:val="28"/>
          <w:lang w:val="en-US" w:eastAsia="zh-CN" w:bidi="ar-SA"/>
        </w:rPr>
        <w:t>期限</w:t>
      </w:r>
    </w:p>
    <w:p>
      <w:pPr>
        <w:tabs>
          <w:tab w:val="left" w:pos="0"/>
        </w:tabs>
        <w:spacing w:line="360" w:lineRule="auto"/>
        <w:ind w:firstLine="480"/>
        <w:rPr>
          <w:rFonts w:hint="eastAsia" w:ascii="宋体" w:hAnsi="宋体" w:eastAsia="宋体" w:cs="宋体"/>
          <w:b/>
          <w:bCs/>
          <w:kern w:val="0"/>
          <w:sz w:val="28"/>
          <w:szCs w:val="28"/>
          <w:lang w:val="en-US" w:eastAsia="zh-CN" w:bidi="ar-SA"/>
        </w:rPr>
      </w:pPr>
      <w:r>
        <w:rPr>
          <w:rFonts w:hint="eastAsia" w:ascii="宋体" w:hAnsi="宋体" w:eastAsia="宋体" w:cs="宋体"/>
          <w:kern w:val="0"/>
          <w:sz w:val="24"/>
          <w:lang w:val="en-US" w:eastAsia="zh-CN"/>
        </w:rPr>
        <w:t>该险种</w:t>
      </w:r>
      <w:r>
        <w:rPr>
          <w:rFonts w:hint="eastAsia" w:hAnsi="宋体" w:cs="宋体"/>
          <w:bCs/>
          <w:color w:val="000000" w:themeColor="text1"/>
          <w:sz w:val="24"/>
          <w:lang w:eastAsia="zh-CN"/>
          <w14:textFill>
            <w14:solidFill>
              <w14:schemeClr w14:val="tx1"/>
            </w14:solidFill>
          </w14:textFill>
        </w:rPr>
        <w:t>服务期三年，自合同签订生效之日起计算。合同签订实行一年一考核一签合同的办法，当第一年合同结束，经过考核评价合格的，可以按原合同价续签一年。</w:t>
      </w:r>
      <w:r>
        <w:rPr>
          <w:rFonts w:hint="eastAsia" w:ascii="宋体" w:hAnsi="宋体" w:eastAsia="宋体" w:cs="宋体"/>
          <w:kern w:val="0"/>
          <w:sz w:val="24"/>
          <w:lang w:val="en-US" w:eastAsia="zh-CN"/>
        </w:rPr>
        <w:t>（如遇政策性调整，则以上级政策要求为准。）</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五、服务要求</w:t>
      </w:r>
    </w:p>
    <w:p>
      <w:pPr>
        <w:tabs>
          <w:tab w:val="left" w:pos="0"/>
        </w:tabs>
        <w:spacing w:line="360" w:lineRule="auto"/>
        <w:ind w:firstLine="48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1.中标人应根据保险需求，制订完善的保险方案，包括保障内容、保险金额的确定、保险费率等；根据需求确定投保流程、理赔流程。</w:t>
      </w:r>
    </w:p>
    <w:p>
      <w:pPr>
        <w:tabs>
          <w:tab w:val="left" w:pos="0"/>
        </w:tabs>
        <w:spacing w:line="360" w:lineRule="auto"/>
        <w:ind w:firstLine="48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2.中标人应和</w:t>
      </w:r>
      <w:r>
        <w:rPr>
          <w:rFonts w:hint="eastAsia" w:ascii="宋体" w:hAnsi="宋体" w:eastAsia="宋体" w:cs="宋体"/>
          <w:kern w:val="0"/>
          <w:sz w:val="24"/>
          <w:lang w:val="en-US" w:eastAsia="zh-CN"/>
        </w:rPr>
        <w:t>桐庐县</w:t>
      </w:r>
      <w:r>
        <w:rPr>
          <w:rFonts w:hint="default" w:ascii="宋体" w:hAnsi="宋体" w:eastAsia="宋体" w:cs="宋体"/>
          <w:kern w:val="0"/>
          <w:sz w:val="24"/>
          <w:lang w:val="en-US" w:eastAsia="zh-CN"/>
        </w:rPr>
        <w:t>政府农业管理部门建立资源互享、人员互通、信息互用的联系工作机制，共同制定有关制度、协议、技术规范和标准。</w:t>
      </w:r>
    </w:p>
    <w:p>
      <w:pPr>
        <w:tabs>
          <w:tab w:val="left" w:pos="0"/>
        </w:tabs>
        <w:spacing w:line="360" w:lineRule="auto"/>
        <w:ind w:firstLine="48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3.中标人要做好</w:t>
      </w:r>
      <w:r>
        <w:rPr>
          <w:rFonts w:hint="eastAsia" w:ascii="宋体" w:hAnsi="宋体" w:eastAsia="宋体" w:cs="宋体"/>
          <w:kern w:val="0"/>
          <w:sz w:val="24"/>
          <w:lang w:val="en-US" w:eastAsia="zh-CN"/>
        </w:rPr>
        <w:t>农</w:t>
      </w:r>
      <w:r>
        <w:rPr>
          <w:rFonts w:hint="default" w:ascii="宋体" w:hAnsi="宋体" w:eastAsia="宋体" w:cs="宋体"/>
          <w:kern w:val="0"/>
          <w:sz w:val="24"/>
          <w:lang w:val="en-US" w:eastAsia="zh-CN"/>
        </w:rPr>
        <w:t>户档案资料的收集、审核、保存和管理工作，建立农户参保资料数字化信息登记管理制度，确保档案资料的真实、完整性；加强承保、防灾防损、查勘定损、理赔等专业化服务，及时做好有关统计、报送、核算工作。</w:t>
      </w:r>
    </w:p>
    <w:p>
      <w:pPr>
        <w:tabs>
          <w:tab w:val="left" w:pos="0"/>
        </w:tabs>
        <w:spacing w:line="360" w:lineRule="auto"/>
        <w:ind w:firstLine="480"/>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4.中标人要不断加大宣传力度，充分利用电视、电台、报刊、网络等新闻媒体，通过召开专题会议、编印、张贴、发放宣传资料等多种形式，广泛宣传</w:t>
      </w:r>
      <w:r>
        <w:rPr>
          <w:rFonts w:hint="eastAsia" w:ascii="宋体" w:hAnsi="宋体" w:eastAsia="宋体" w:cs="宋体"/>
          <w:kern w:val="0"/>
          <w:sz w:val="24"/>
          <w:lang w:val="en-US" w:eastAsia="zh-CN"/>
        </w:rPr>
        <w:t>生猪价格指数保险</w:t>
      </w:r>
      <w:r>
        <w:rPr>
          <w:rFonts w:hint="default" w:ascii="宋体" w:hAnsi="宋体" w:eastAsia="宋体" w:cs="宋体"/>
          <w:kern w:val="0"/>
          <w:sz w:val="24"/>
          <w:lang w:val="en-US" w:eastAsia="zh-CN"/>
        </w:rPr>
        <w:t>的重要意义和政策内容，增强广大</w:t>
      </w:r>
      <w:r>
        <w:rPr>
          <w:rFonts w:hint="eastAsia" w:ascii="宋体" w:hAnsi="宋体" w:eastAsia="宋体" w:cs="宋体"/>
          <w:kern w:val="0"/>
          <w:sz w:val="24"/>
          <w:lang w:val="en-US" w:eastAsia="zh-CN"/>
        </w:rPr>
        <w:t>农</w:t>
      </w:r>
      <w:r>
        <w:rPr>
          <w:rFonts w:hint="default" w:ascii="宋体" w:hAnsi="宋体" w:eastAsia="宋体" w:cs="宋体"/>
          <w:kern w:val="0"/>
          <w:sz w:val="24"/>
          <w:lang w:val="en-US" w:eastAsia="zh-CN"/>
        </w:rPr>
        <w:t>户的保险意识、风险防范意识，引导</w:t>
      </w:r>
      <w:r>
        <w:rPr>
          <w:rFonts w:hint="eastAsia" w:ascii="宋体" w:hAnsi="宋体" w:eastAsia="宋体" w:cs="宋体"/>
          <w:kern w:val="0"/>
          <w:sz w:val="24"/>
          <w:lang w:val="en-US" w:eastAsia="zh-CN"/>
        </w:rPr>
        <w:t>农</w:t>
      </w:r>
      <w:r>
        <w:rPr>
          <w:rFonts w:hint="default" w:ascii="宋体" w:hAnsi="宋体" w:eastAsia="宋体" w:cs="宋体"/>
          <w:kern w:val="0"/>
          <w:sz w:val="24"/>
          <w:lang w:val="en-US" w:eastAsia="zh-CN"/>
        </w:rPr>
        <w:t>户积极主动投保。</w:t>
      </w:r>
    </w:p>
    <w:p>
      <w:pPr>
        <w:tabs>
          <w:tab w:val="left" w:pos="0"/>
        </w:tabs>
        <w:spacing w:line="360" w:lineRule="auto"/>
        <w:ind w:firstLine="480"/>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5.中标人应加强</w:t>
      </w:r>
      <w:r>
        <w:rPr>
          <w:rFonts w:hint="eastAsia" w:ascii="宋体" w:hAnsi="宋体" w:eastAsia="宋体" w:cs="宋体"/>
          <w:kern w:val="0"/>
          <w:sz w:val="24"/>
          <w:lang w:val="en-US" w:eastAsia="zh-CN"/>
        </w:rPr>
        <w:t>生猪价格指数保险</w:t>
      </w:r>
      <w:r>
        <w:rPr>
          <w:rFonts w:hint="default" w:ascii="宋体" w:hAnsi="宋体" w:eastAsia="宋体" w:cs="宋体"/>
          <w:kern w:val="0"/>
          <w:sz w:val="24"/>
          <w:lang w:val="en-US" w:eastAsia="zh-CN"/>
        </w:rPr>
        <w:t>网点和服务队伍建设，提高理赔效率。</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六、商务要求</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1.保费补贴款结算</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按财政部、浙江省财政厅、桐庐县农险办有关农业保险保费补贴管理办法等规定和要求执行。最终费用以实际承保数量结算。</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2.报价要求</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本项目固定报价。</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服务标准</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投标人提供的服务应符合国家、地方及相关政府管理部门和行业与本项目有关的各项服务标准、规范、规章要求，并满足采购人实际需求，标准、规范等不一致的，以要求高的为准。</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4.验收要求</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本项目验收将由采购人根据采购需求及相关规定对供应商完成的服务质量进行验收。</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七、其他</w:t>
      </w:r>
      <w:r>
        <w:rPr>
          <w:rFonts w:hint="eastAsia" w:ascii="宋体" w:hAnsi="宋体" w:cs="宋体"/>
          <w:b/>
          <w:bCs/>
          <w:kern w:val="0"/>
          <w:sz w:val="28"/>
          <w:szCs w:val="28"/>
          <w:lang w:val="en-US" w:eastAsia="zh-CN" w:bidi="ar-SA"/>
        </w:rPr>
        <w:t>要求</w:t>
      </w:r>
    </w:p>
    <w:p>
      <w:pPr>
        <w:tabs>
          <w:tab w:val="left" w:pos="0"/>
        </w:tabs>
        <w:spacing w:line="360" w:lineRule="auto"/>
        <w:ind w:firstLine="480"/>
        <w:rPr>
          <w:rFonts w:hint="eastAsia" w:ascii="宋体" w:hAnsi="宋体" w:eastAsia="宋体" w:cs="宋体"/>
          <w:b/>
          <w:sz w:val="36"/>
          <w:szCs w:val="36"/>
        </w:rPr>
      </w:pPr>
      <w:r>
        <w:rPr>
          <w:rFonts w:hint="eastAsia" w:ascii="宋体" w:hAnsi="宋体" w:cs="宋体"/>
          <w:kern w:val="0"/>
          <w:sz w:val="24"/>
          <w:lang w:val="en-US" w:eastAsia="zh-CN"/>
        </w:rPr>
        <w:t>以上保险暂定事项及</w:t>
      </w:r>
      <w:r>
        <w:rPr>
          <w:rFonts w:hint="eastAsia" w:ascii="宋体" w:hAnsi="宋体" w:eastAsia="宋体" w:cs="宋体"/>
          <w:kern w:val="0"/>
          <w:sz w:val="24"/>
          <w:lang w:val="en-US" w:eastAsia="zh-CN"/>
        </w:rPr>
        <w:t>具体保险条款最终以国家金融监督管理总局</w:t>
      </w:r>
      <w:r>
        <w:rPr>
          <w:rFonts w:hint="eastAsia" w:ascii="宋体" w:hAnsi="宋体" w:cs="宋体"/>
          <w:kern w:val="0"/>
          <w:sz w:val="24"/>
          <w:lang w:val="en-US" w:eastAsia="zh-CN"/>
        </w:rPr>
        <w:t>审批</w:t>
      </w:r>
      <w:r>
        <w:rPr>
          <w:rFonts w:hint="eastAsia" w:ascii="宋体" w:hAnsi="宋体" w:eastAsia="宋体" w:cs="宋体"/>
          <w:kern w:val="0"/>
          <w:sz w:val="24"/>
          <w:lang w:val="en-US" w:eastAsia="zh-CN"/>
        </w:rPr>
        <w:t>为准。</w:t>
      </w:r>
    </w:p>
    <w:p>
      <w:pPr>
        <w:pStyle w:val="5"/>
        <w:keepNext/>
        <w:keepLines/>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八、绩效考核</w:t>
      </w:r>
      <w:r>
        <w:rPr>
          <w:rFonts w:hint="eastAsia" w:ascii="宋体" w:hAnsi="宋体" w:cs="宋体"/>
          <w:b/>
          <w:bCs/>
          <w:kern w:val="0"/>
          <w:sz w:val="28"/>
          <w:szCs w:val="28"/>
          <w:lang w:val="en-US" w:eastAsia="zh-CN" w:bidi="ar-SA"/>
        </w:rPr>
        <w:t>（具体以合同签订为准）</w:t>
      </w:r>
    </w:p>
    <w:p>
      <w:pPr>
        <w:tabs>
          <w:tab w:val="left" w:pos="0"/>
        </w:tabs>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采购人每年对中标供应商的服务进行考核，满分为100分，采用扣分方式。年考核得分≥80分的，续签下一年度的合同；年考核得分＜80分，采购人有权终止合同。</w:t>
      </w:r>
    </w:p>
    <w:p>
      <w:pPr>
        <w:tabs>
          <w:tab w:val="left" w:pos="0"/>
        </w:tabs>
        <w:spacing w:line="360" w:lineRule="auto"/>
        <w:ind w:firstLine="48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农业保险服务机构考核表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4489"/>
        <w:gridCol w:w="1014"/>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考核指标</w:t>
            </w:r>
          </w:p>
        </w:tc>
        <w:tc>
          <w:tcPr>
            <w:tcW w:w="4489"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细分指标</w:t>
            </w:r>
          </w:p>
        </w:tc>
        <w:tc>
          <w:tcPr>
            <w:tcW w:w="1014"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分值</w:t>
            </w:r>
          </w:p>
        </w:tc>
        <w:tc>
          <w:tcPr>
            <w:tcW w:w="1295"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vMerge w:val="restart"/>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服务创新</w:t>
            </w:r>
          </w:p>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（20分）</w:t>
            </w:r>
          </w:p>
        </w:tc>
        <w:tc>
          <w:tcPr>
            <w:tcW w:w="4489" w:type="dxa"/>
            <w:vAlign w:val="center"/>
          </w:tcPr>
          <w:p>
            <w:pPr>
              <w:tabs>
                <w:tab w:val="left" w:pos="0"/>
              </w:tabs>
              <w:spacing w:line="24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改造提升保险条款、承保理赔新技术运用</w:t>
            </w:r>
          </w:p>
        </w:tc>
        <w:tc>
          <w:tcPr>
            <w:tcW w:w="1014"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w:t>
            </w:r>
          </w:p>
        </w:tc>
        <w:tc>
          <w:tcPr>
            <w:tcW w:w="1295" w:type="dxa"/>
            <w:vAlign w:val="center"/>
          </w:tcPr>
          <w:p>
            <w:pPr>
              <w:tabs>
                <w:tab w:val="left" w:pos="0"/>
              </w:tabs>
              <w:spacing w:line="240" w:lineRule="auto"/>
              <w:jc w:val="center"/>
              <w:rPr>
                <w:rFonts w:hint="eastAsia" w:ascii="宋体" w:hAnsi="宋体" w:eastAsia="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vMerge w:val="continue"/>
            <w:vAlign w:val="center"/>
          </w:tcPr>
          <w:p>
            <w:pPr>
              <w:tabs>
                <w:tab w:val="left" w:pos="0"/>
              </w:tabs>
              <w:spacing w:line="240" w:lineRule="auto"/>
              <w:jc w:val="center"/>
              <w:rPr>
                <w:rFonts w:hint="eastAsia" w:ascii="宋体" w:hAnsi="宋体" w:eastAsia="宋体" w:cs="宋体"/>
                <w:kern w:val="0"/>
                <w:sz w:val="24"/>
                <w:lang w:val="en-US" w:eastAsia="zh-CN"/>
              </w:rPr>
            </w:pPr>
          </w:p>
        </w:tc>
        <w:tc>
          <w:tcPr>
            <w:tcW w:w="4489" w:type="dxa"/>
            <w:vAlign w:val="center"/>
          </w:tcPr>
          <w:p>
            <w:pPr>
              <w:tabs>
                <w:tab w:val="left" w:pos="0"/>
              </w:tabs>
              <w:spacing w:line="24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开展有效宣传</w:t>
            </w:r>
          </w:p>
        </w:tc>
        <w:tc>
          <w:tcPr>
            <w:tcW w:w="1014"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w:t>
            </w:r>
          </w:p>
        </w:tc>
        <w:tc>
          <w:tcPr>
            <w:tcW w:w="1295" w:type="dxa"/>
            <w:vAlign w:val="center"/>
          </w:tcPr>
          <w:p>
            <w:pPr>
              <w:tabs>
                <w:tab w:val="left" w:pos="0"/>
              </w:tabs>
              <w:spacing w:line="240" w:lineRule="auto"/>
              <w:jc w:val="center"/>
              <w:rPr>
                <w:rFonts w:hint="eastAsia" w:ascii="宋体" w:hAnsi="宋体" w:eastAsia="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vMerge w:val="restart"/>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风险管理</w:t>
            </w:r>
          </w:p>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（20分）</w:t>
            </w:r>
          </w:p>
        </w:tc>
        <w:tc>
          <w:tcPr>
            <w:tcW w:w="4489" w:type="dxa"/>
            <w:vAlign w:val="center"/>
          </w:tcPr>
          <w:p>
            <w:pPr>
              <w:tabs>
                <w:tab w:val="left" w:pos="0"/>
              </w:tabs>
              <w:spacing w:line="24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内控制度</w:t>
            </w:r>
          </w:p>
        </w:tc>
        <w:tc>
          <w:tcPr>
            <w:tcW w:w="1014"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w:t>
            </w:r>
          </w:p>
        </w:tc>
        <w:tc>
          <w:tcPr>
            <w:tcW w:w="1295" w:type="dxa"/>
            <w:vAlign w:val="center"/>
          </w:tcPr>
          <w:p>
            <w:pPr>
              <w:tabs>
                <w:tab w:val="left" w:pos="0"/>
              </w:tabs>
              <w:spacing w:line="240" w:lineRule="auto"/>
              <w:jc w:val="center"/>
              <w:rPr>
                <w:rFonts w:hint="eastAsia" w:ascii="宋体" w:hAnsi="宋体" w:eastAsia="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vMerge w:val="continue"/>
            <w:vAlign w:val="center"/>
          </w:tcPr>
          <w:p>
            <w:pPr>
              <w:tabs>
                <w:tab w:val="left" w:pos="0"/>
              </w:tabs>
              <w:spacing w:line="240" w:lineRule="auto"/>
              <w:jc w:val="center"/>
              <w:rPr>
                <w:rFonts w:hint="eastAsia" w:ascii="宋体" w:hAnsi="宋体" w:eastAsia="宋体" w:cs="宋体"/>
                <w:kern w:val="0"/>
                <w:sz w:val="24"/>
                <w:lang w:val="en-US" w:eastAsia="zh-CN"/>
              </w:rPr>
            </w:pPr>
          </w:p>
        </w:tc>
        <w:tc>
          <w:tcPr>
            <w:tcW w:w="4489" w:type="dxa"/>
            <w:vAlign w:val="center"/>
          </w:tcPr>
          <w:p>
            <w:pPr>
              <w:tabs>
                <w:tab w:val="left" w:pos="0"/>
              </w:tabs>
              <w:spacing w:line="24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数据报送及信息化管理</w:t>
            </w:r>
          </w:p>
        </w:tc>
        <w:tc>
          <w:tcPr>
            <w:tcW w:w="1014"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w:t>
            </w:r>
          </w:p>
        </w:tc>
        <w:tc>
          <w:tcPr>
            <w:tcW w:w="1295" w:type="dxa"/>
            <w:vAlign w:val="center"/>
          </w:tcPr>
          <w:p>
            <w:pPr>
              <w:tabs>
                <w:tab w:val="left" w:pos="0"/>
              </w:tabs>
              <w:spacing w:line="240" w:lineRule="auto"/>
              <w:jc w:val="center"/>
              <w:rPr>
                <w:rFonts w:hint="eastAsia" w:ascii="宋体" w:hAnsi="宋体" w:eastAsia="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vMerge w:val="restart"/>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合规经营</w:t>
            </w:r>
          </w:p>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（60分）</w:t>
            </w:r>
          </w:p>
        </w:tc>
        <w:tc>
          <w:tcPr>
            <w:tcW w:w="4489" w:type="dxa"/>
            <w:vAlign w:val="center"/>
          </w:tcPr>
          <w:p>
            <w:pPr>
              <w:tabs>
                <w:tab w:val="left" w:pos="0"/>
              </w:tabs>
              <w:spacing w:line="24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承保理赔合规性</w:t>
            </w:r>
          </w:p>
        </w:tc>
        <w:tc>
          <w:tcPr>
            <w:tcW w:w="1014"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w:t>
            </w:r>
          </w:p>
        </w:tc>
        <w:tc>
          <w:tcPr>
            <w:tcW w:w="1295" w:type="dxa"/>
            <w:vAlign w:val="center"/>
          </w:tcPr>
          <w:p>
            <w:pPr>
              <w:tabs>
                <w:tab w:val="left" w:pos="0"/>
              </w:tabs>
              <w:spacing w:line="240" w:lineRule="auto"/>
              <w:jc w:val="center"/>
              <w:rPr>
                <w:rFonts w:hint="eastAsia" w:ascii="宋体" w:hAnsi="宋体" w:eastAsia="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vMerge w:val="continue"/>
            <w:vAlign w:val="center"/>
          </w:tcPr>
          <w:p>
            <w:pPr>
              <w:tabs>
                <w:tab w:val="left" w:pos="0"/>
              </w:tabs>
              <w:spacing w:line="240" w:lineRule="auto"/>
              <w:jc w:val="center"/>
              <w:rPr>
                <w:rFonts w:hint="eastAsia" w:ascii="宋体" w:hAnsi="宋体" w:eastAsia="宋体" w:cs="宋体"/>
                <w:kern w:val="0"/>
                <w:sz w:val="24"/>
                <w:lang w:val="en-US" w:eastAsia="zh-CN"/>
              </w:rPr>
            </w:pPr>
          </w:p>
        </w:tc>
        <w:tc>
          <w:tcPr>
            <w:tcW w:w="4489" w:type="dxa"/>
            <w:vAlign w:val="center"/>
          </w:tcPr>
          <w:p>
            <w:pPr>
              <w:tabs>
                <w:tab w:val="left" w:pos="0"/>
              </w:tabs>
              <w:spacing w:line="24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理赔和退保服务</w:t>
            </w:r>
          </w:p>
        </w:tc>
        <w:tc>
          <w:tcPr>
            <w:tcW w:w="1014"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w:t>
            </w:r>
          </w:p>
        </w:tc>
        <w:tc>
          <w:tcPr>
            <w:tcW w:w="1295" w:type="dxa"/>
            <w:vAlign w:val="center"/>
          </w:tcPr>
          <w:p>
            <w:pPr>
              <w:tabs>
                <w:tab w:val="left" w:pos="0"/>
              </w:tabs>
              <w:spacing w:line="240" w:lineRule="auto"/>
              <w:jc w:val="center"/>
              <w:rPr>
                <w:rFonts w:hint="eastAsia" w:ascii="宋体" w:hAnsi="宋体" w:eastAsia="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0" w:type="dxa"/>
            <w:vMerge w:val="continue"/>
            <w:vAlign w:val="center"/>
          </w:tcPr>
          <w:p>
            <w:pPr>
              <w:tabs>
                <w:tab w:val="left" w:pos="0"/>
              </w:tabs>
              <w:spacing w:line="240" w:lineRule="auto"/>
              <w:jc w:val="center"/>
              <w:rPr>
                <w:rFonts w:hint="eastAsia" w:ascii="宋体" w:hAnsi="宋体" w:eastAsia="宋体" w:cs="宋体"/>
                <w:kern w:val="0"/>
                <w:sz w:val="24"/>
                <w:lang w:val="en-US" w:eastAsia="zh-CN"/>
              </w:rPr>
            </w:pPr>
          </w:p>
        </w:tc>
        <w:tc>
          <w:tcPr>
            <w:tcW w:w="4489" w:type="dxa"/>
            <w:vAlign w:val="center"/>
          </w:tcPr>
          <w:p>
            <w:pPr>
              <w:tabs>
                <w:tab w:val="left" w:pos="0"/>
              </w:tabs>
              <w:spacing w:line="240" w:lineRule="auto"/>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农户满意度测评</w:t>
            </w:r>
          </w:p>
        </w:tc>
        <w:tc>
          <w:tcPr>
            <w:tcW w:w="1014"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20</w:t>
            </w:r>
          </w:p>
        </w:tc>
        <w:tc>
          <w:tcPr>
            <w:tcW w:w="1295" w:type="dxa"/>
            <w:vAlign w:val="center"/>
          </w:tcPr>
          <w:p>
            <w:pPr>
              <w:tabs>
                <w:tab w:val="left" w:pos="0"/>
              </w:tabs>
              <w:spacing w:line="240" w:lineRule="auto"/>
              <w:jc w:val="center"/>
              <w:rPr>
                <w:rFonts w:hint="eastAsia" w:ascii="宋体" w:hAnsi="宋体" w:eastAsia="宋体"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49" w:type="dxa"/>
            <w:gridSpan w:val="2"/>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总  分</w:t>
            </w:r>
          </w:p>
        </w:tc>
        <w:tc>
          <w:tcPr>
            <w:tcW w:w="1014" w:type="dxa"/>
            <w:vAlign w:val="center"/>
          </w:tcPr>
          <w:p>
            <w:pPr>
              <w:tabs>
                <w:tab w:val="left" w:pos="0"/>
              </w:tabs>
              <w:spacing w:line="24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100</w:t>
            </w:r>
          </w:p>
        </w:tc>
        <w:tc>
          <w:tcPr>
            <w:tcW w:w="1295" w:type="dxa"/>
            <w:vAlign w:val="center"/>
          </w:tcPr>
          <w:p>
            <w:pPr>
              <w:tabs>
                <w:tab w:val="left" w:pos="0"/>
              </w:tabs>
              <w:spacing w:line="240" w:lineRule="auto"/>
              <w:jc w:val="center"/>
              <w:rPr>
                <w:rFonts w:hint="eastAsia" w:ascii="宋体" w:hAnsi="宋体" w:eastAsia="宋体" w:cs="宋体"/>
                <w:kern w:val="0"/>
                <w:sz w:val="24"/>
                <w:lang w:val="en-US" w:eastAsia="zh-CN"/>
              </w:rPr>
            </w:pPr>
          </w:p>
        </w:tc>
      </w:tr>
    </w:tbl>
    <w:p>
      <w:pPr>
        <w:tabs>
          <w:tab w:val="left" w:pos="0"/>
        </w:tabs>
        <w:spacing w:line="360" w:lineRule="auto"/>
        <w:ind w:firstLine="48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考核指标</w:t>
      </w:r>
    </w:p>
    <w:p>
      <w:pPr>
        <w:tabs>
          <w:tab w:val="left" w:pos="0"/>
        </w:tabs>
        <w:spacing w:line="360" w:lineRule="auto"/>
        <w:ind w:firstLine="480"/>
        <w:jc w:val="left"/>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一</w:t>
      </w:r>
      <w:r>
        <w:rPr>
          <w:rFonts w:hint="eastAsia" w:ascii="宋体" w:hAnsi="宋体" w:eastAsia="宋体" w:cs="宋体"/>
          <w:kern w:val="0"/>
          <w:sz w:val="24"/>
          <w:lang w:val="zh-CN" w:eastAsia="zh-CN"/>
        </w:rPr>
        <w:t>）服务创新指标（</w:t>
      </w:r>
      <w:r>
        <w:rPr>
          <w:rFonts w:hint="eastAsia" w:ascii="宋体" w:hAnsi="宋体" w:eastAsia="宋体" w:cs="宋体"/>
          <w:kern w:val="0"/>
          <w:sz w:val="24"/>
          <w:lang w:val="en-US" w:eastAsia="zh-CN"/>
        </w:rPr>
        <w:t>20分</w:t>
      </w:r>
      <w:r>
        <w:rPr>
          <w:rFonts w:hint="eastAsia" w:ascii="宋体" w:hAnsi="宋体" w:eastAsia="宋体" w:cs="宋体"/>
          <w:kern w:val="0"/>
          <w:sz w:val="24"/>
          <w:lang w:val="zh-CN" w:eastAsia="zh-CN"/>
        </w:rPr>
        <w:t>）</w:t>
      </w:r>
    </w:p>
    <w:p>
      <w:pPr>
        <w:tabs>
          <w:tab w:val="left" w:pos="0"/>
        </w:tabs>
        <w:spacing w:line="360" w:lineRule="auto"/>
        <w:ind w:firstLine="480"/>
        <w:jc w:val="left"/>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w:t>
      </w:r>
      <w:r>
        <w:rPr>
          <w:rFonts w:hint="eastAsia" w:ascii="宋体" w:hAnsi="宋体" w:eastAsia="宋体" w:cs="宋体"/>
          <w:kern w:val="0"/>
          <w:sz w:val="24"/>
          <w:lang w:val="zh-CN" w:eastAsia="zh-CN"/>
        </w:rPr>
        <w:t>改造提升保险条款、承保理赔新技术运用（</w:t>
      </w:r>
      <w:r>
        <w:rPr>
          <w:rFonts w:hint="eastAsia" w:ascii="宋体" w:hAnsi="宋体" w:eastAsia="宋体" w:cs="宋体"/>
          <w:kern w:val="0"/>
          <w:sz w:val="24"/>
          <w:lang w:val="en-US" w:eastAsia="zh-CN"/>
        </w:rPr>
        <w:t>10</w:t>
      </w:r>
      <w:r>
        <w:rPr>
          <w:rFonts w:hint="eastAsia" w:ascii="宋体" w:hAnsi="宋体" w:eastAsia="宋体" w:cs="宋体"/>
          <w:kern w:val="0"/>
          <w:sz w:val="24"/>
          <w:lang w:val="zh-CN" w:eastAsia="zh-CN"/>
        </w:rPr>
        <w:t>分）：服务公司单独、合作对产品开展技术改造攻关，与原条款相比有重大技术进步，促进农户参保率明显提升的，得</w:t>
      </w: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4</w:t>
      </w:r>
      <w:r>
        <w:rPr>
          <w:rFonts w:hint="eastAsia" w:ascii="宋体" w:hAnsi="宋体" w:eastAsia="宋体" w:cs="宋体"/>
          <w:kern w:val="0"/>
          <w:sz w:val="24"/>
          <w:lang w:val="zh-CN" w:eastAsia="zh-CN"/>
        </w:rPr>
        <w:t>分；采用卫星遥感、物联网、无人机、生物DNA鉴定等新技术实际运用并取得明显成果的，由服务机构提出报告申请并经市农险办评估赋分，最高得</w:t>
      </w:r>
      <w:r>
        <w:rPr>
          <w:rFonts w:hint="eastAsia" w:ascii="宋体" w:hAnsi="宋体" w:eastAsia="宋体" w:cs="宋体"/>
          <w:kern w:val="0"/>
          <w:sz w:val="24"/>
          <w:lang w:val="en-US" w:eastAsia="zh-CN"/>
        </w:rPr>
        <w:t>10</w:t>
      </w:r>
      <w:r>
        <w:rPr>
          <w:rFonts w:hint="eastAsia" w:ascii="宋体" w:hAnsi="宋体" w:eastAsia="宋体" w:cs="宋体"/>
          <w:kern w:val="0"/>
          <w:sz w:val="24"/>
          <w:lang w:val="zh-CN" w:eastAsia="zh-CN"/>
        </w:rPr>
        <w:t>分。</w:t>
      </w:r>
    </w:p>
    <w:p>
      <w:pPr>
        <w:tabs>
          <w:tab w:val="left" w:pos="0"/>
        </w:tabs>
        <w:spacing w:line="360" w:lineRule="auto"/>
        <w:ind w:firstLine="480"/>
        <w:jc w:val="left"/>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、开展有效宣传（</w:t>
      </w:r>
      <w:r>
        <w:rPr>
          <w:rFonts w:hint="eastAsia" w:ascii="宋体" w:hAnsi="宋体" w:eastAsia="宋体" w:cs="宋体"/>
          <w:kern w:val="0"/>
          <w:sz w:val="24"/>
          <w:lang w:val="en-US" w:eastAsia="zh-CN"/>
        </w:rPr>
        <w:t>10</w:t>
      </w:r>
      <w:r>
        <w:rPr>
          <w:rFonts w:hint="eastAsia" w:ascii="宋体" w:hAnsi="宋体" w:eastAsia="宋体" w:cs="宋体"/>
          <w:kern w:val="0"/>
          <w:sz w:val="24"/>
          <w:lang w:val="zh-CN" w:eastAsia="zh-CN"/>
        </w:rPr>
        <w:t>分）：服务机构市（省）级公司制定年度工作计划及宣传计划，并报送市农险办，得</w:t>
      </w:r>
      <w:r>
        <w:rPr>
          <w:rFonts w:hint="eastAsia" w:ascii="宋体" w:hAnsi="宋体" w:eastAsia="宋体" w:cs="宋体"/>
          <w:kern w:val="0"/>
          <w:sz w:val="24"/>
          <w:lang w:val="en-US" w:eastAsia="zh-CN"/>
        </w:rPr>
        <w:t>4</w:t>
      </w:r>
      <w:r>
        <w:rPr>
          <w:rFonts w:hint="eastAsia" w:ascii="宋体" w:hAnsi="宋体" w:eastAsia="宋体" w:cs="宋体"/>
          <w:kern w:val="0"/>
          <w:sz w:val="24"/>
          <w:lang w:val="zh-CN" w:eastAsia="zh-CN"/>
        </w:rPr>
        <w:t>分。在县级及以上主流媒体上获得正面报道，酌情赋分，最高</w:t>
      </w:r>
      <w:r>
        <w:rPr>
          <w:rFonts w:hint="eastAsia" w:ascii="宋体" w:hAnsi="宋体" w:eastAsia="宋体" w:cs="宋体"/>
          <w:kern w:val="0"/>
          <w:sz w:val="24"/>
          <w:lang w:val="en-US" w:eastAsia="zh-CN"/>
        </w:rPr>
        <w:t>6</w:t>
      </w:r>
      <w:r>
        <w:rPr>
          <w:rFonts w:hint="eastAsia" w:ascii="宋体" w:hAnsi="宋体" w:eastAsia="宋体" w:cs="宋体"/>
          <w:kern w:val="0"/>
          <w:sz w:val="24"/>
          <w:lang w:val="zh-CN" w:eastAsia="zh-CN"/>
        </w:rPr>
        <w:t>分。</w:t>
      </w:r>
    </w:p>
    <w:p>
      <w:pPr>
        <w:tabs>
          <w:tab w:val="left" w:pos="0"/>
        </w:tabs>
        <w:spacing w:line="360" w:lineRule="auto"/>
        <w:ind w:firstLine="480"/>
        <w:jc w:val="left"/>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二</w:t>
      </w:r>
      <w:r>
        <w:rPr>
          <w:rFonts w:hint="eastAsia" w:ascii="宋体" w:hAnsi="宋体" w:eastAsia="宋体" w:cs="宋体"/>
          <w:kern w:val="0"/>
          <w:sz w:val="24"/>
          <w:lang w:val="zh-CN" w:eastAsia="zh-CN"/>
        </w:rPr>
        <w:t>）风险管理指标（</w:t>
      </w:r>
      <w:r>
        <w:rPr>
          <w:rFonts w:hint="eastAsia" w:ascii="宋体" w:hAnsi="宋体" w:eastAsia="宋体" w:cs="宋体"/>
          <w:kern w:val="0"/>
          <w:sz w:val="24"/>
          <w:lang w:val="en-US" w:eastAsia="zh-CN"/>
        </w:rPr>
        <w:t>20</w:t>
      </w:r>
      <w:r>
        <w:rPr>
          <w:rFonts w:hint="eastAsia" w:ascii="宋体" w:hAnsi="宋体" w:eastAsia="宋体" w:cs="宋体"/>
          <w:kern w:val="0"/>
          <w:sz w:val="24"/>
          <w:lang w:val="zh-CN" w:eastAsia="zh-CN"/>
        </w:rPr>
        <w:t>分）</w:t>
      </w:r>
    </w:p>
    <w:p>
      <w:pPr>
        <w:tabs>
          <w:tab w:val="left" w:pos="0"/>
        </w:tabs>
        <w:spacing w:line="360" w:lineRule="auto"/>
        <w:ind w:firstLine="480"/>
        <w:jc w:val="left"/>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1、内控制度（</w:t>
      </w:r>
      <w:r>
        <w:rPr>
          <w:rFonts w:hint="eastAsia" w:ascii="宋体" w:hAnsi="宋体" w:eastAsia="宋体" w:cs="宋体"/>
          <w:kern w:val="0"/>
          <w:sz w:val="24"/>
          <w:lang w:val="en-US" w:eastAsia="zh-CN"/>
        </w:rPr>
        <w:t>10</w:t>
      </w:r>
      <w:r>
        <w:rPr>
          <w:rFonts w:hint="eastAsia" w:ascii="宋体" w:hAnsi="宋体" w:eastAsia="宋体" w:cs="宋体"/>
          <w:kern w:val="0"/>
          <w:sz w:val="24"/>
          <w:lang w:val="zh-CN" w:eastAsia="zh-CN"/>
        </w:rPr>
        <w:t>分）：农业保险实行单独核算，建立农业保险业务规章制度、大灾风险准备金制度及相关政策扶持机制，建立并开展内部稽核，得</w:t>
      </w:r>
      <w:r>
        <w:rPr>
          <w:rFonts w:hint="eastAsia" w:ascii="宋体" w:hAnsi="宋体" w:eastAsia="宋体" w:cs="宋体"/>
          <w:kern w:val="0"/>
          <w:sz w:val="24"/>
          <w:lang w:val="en-US" w:eastAsia="zh-CN"/>
        </w:rPr>
        <w:t>10</w:t>
      </w:r>
      <w:r>
        <w:rPr>
          <w:rFonts w:hint="eastAsia" w:ascii="宋体" w:hAnsi="宋体" w:eastAsia="宋体" w:cs="宋体"/>
          <w:kern w:val="0"/>
          <w:sz w:val="24"/>
          <w:lang w:val="zh-CN" w:eastAsia="zh-CN"/>
        </w:rPr>
        <w:t>分。</w:t>
      </w:r>
    </w:p>
    <w:p>
      <w:pPr>
        <w:tabs>
          <w:tab w:val="left" w:pos="0"/>
        </w:tabs>
        <w:spacing w:line="360" w:lineRule="auto"/>
        <w:ind w:firstLine="480"/>
        <w:jc w:val="left"/>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2、数据报送及信息化管理（</w:t>
      </w:r>
      <w:r>
        <w:rPr>
          <w:rFonts w:hint="eastAsia" w:ascii="宋体" w:hAnsi="宋体" w:eastAsia="宋体" w:cs="宋体"/>
          <w:kern w:val="0"/>
          <w:sz w:val="24"/>
          <w:lang w:val="en-US" w:eastAsia="zh-CN"/>
        </w:rPr>
        <w:t>10</w:t>
      </w:r>
      <w:r>
        <w:rPr>
          <w:rFonts w:hint="eastAsia" w:ascii="宋体" w:hAnsi="宋体" w:eastAsia="宋体" w:cs="宋体"/>
          <w:kern w:val="0"/>
          <w:sz w:val="24"/>
          <w:lang w:val="zh-CN" w:eastAsia="zh-CN"/>
        </w:rPr>
        <w:t>分）：按要求及时上报业务报表、年度总结，且上报资料数据准确、真实，得</w:t>
      </w:r>
      <w:r>
        <w:rPr>
          <w:rFonts w:hint="eastAsia" w:ascii="宋体" w:hAnsi="宋体" w:eastAsia="宋体" w:cs="宋体"/>
          <w:kern w:val="0"/>
          <w:sz w:val="24"/>
          <w:lang w:val="en-US" w:eastAsia="zh-CN"/>
        </w:rPr>
        <w:t>4</w:t>
      </w:r>
      <w:r>
        <w:rPr>
          <w:rFonts w:hint="eastAsia" w:ascii="宋体" w:hAnsi="宋体" w:eastAsia="宋体" w:cs="宋体"/>
          <w:kern w:val="0"/>
          <w:sz w:val="24"/>
          <w:lang w:val="zh-CN" w:eastAsia="zh-CN"/>
        </w:rPr>
        <w:t>分。实现全流程信息化，核心业务系统录入的信息完整准确，业务和财务报表准确反映经营情况，得</w:t>
      </w:r>
      <w:r>
        <w:rPr>
          <w:rFonts w:hint="eastAsia" w:ascii="宋体" w:hAnsi="宋体" w:eastAsia="宋体" w:cs="宋体"/>
          <w:kern w:val="0"/>
          <w:sz w:val="24"/>
          <w:lang w:val="en-US" w:eastAsia="zh-CN"/>
        </w:rPr>
        <w:t>4</w:t>
      </w:r>
      <w:r>
        <w:rPr>
          <w:rFonts w:hint="eastAsia" w:ascii="宋体" w:hAnsi="宋体" w:eastAsia="宋体" w:cs="宋体"/>
          <w:kern w:val="0"/>
          <w:sz w:val="24"/>
          <w:lang w:val="zh-CN" w:eastAsia="zh-CN"/>
        </w:rPr>
        <w:t>分。建设与维护杭州市农险信息化管理服务平台，建立保险机构以及行业主管部门数据共享机制，得</w:t>
      </w: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分。</w:t>
      </w:r>
    </w:p>
    <w:p>
      <w:pPr>
        <w:tabs>
          <w:tab w:val="left" w:pos="0"/>
        </w:tabs>
        <w:spacing w:line="360" w:lineRule="auto"/>
        <w:ind w:firstLine="480"/>
        <w:jc w:val="left"/>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三</w:t>
      </w:r>
      <w:r>
        <w:rPr>
          <w:rFonts w:hint="eastAsia" w:ascii="宋体" w:hAnsi="宋体" w:eastAsia="宋体" w:cs="宋体"/>
          <w:kern w:val="0"/>
          <w:sz w:val="24"/>
          <w:lang w:val="zh-CN" w:eastAsia="zh-CN"/>
        </w:rPr>
        <w:t>）合规经营指标（</w:t>
      </w:r>
      <w:r>
        <w:rPr>
          <w:rFonts w:hint="eastAsia" w:ascii="宋体" w:hAnsi="宋体" w:eastAsia="宋体" w:cs="宋体"/>
          <w:kern w:val="0"/>
          <w:sz w:val="24"/>
          <w:lang w:val="en-US" w:eastAsia="zh-CN"/>
        </w:rPr>
        <w:t>60</w:t>
      </w:r>
      <w:r>
        <w:rPr>
          <w:rFonts w:hint="eastAsia" w:ascii="宋体" w:hAnsi="宋体" w:eastAsia="宋体" w:cs="宋体"/>
          <w:kern w:val="0"/>
          <w:sz w:val="24"/>
          <w:lang w:val="zh-CN" w:eastAsia="zh-CN"/>
        </w:rPr>
        <w:t>分）</w:t>
      </w:r>
    </w:p>
    <w:p>
      <w:pPr>
        <w:tabs>
          <w:tab w:val="left" w:pos="0"/>
        </w:tabs>
        <w:spacing w:line="360" w:lineRule="auto"/>
        <w:ind w:firstLine="480"/>
        <w:jc w:val="left"/>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1、承保理赔合规性（</w:t>
      </w: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0分）：发现存在虚增承保数量、虚假承保理赔、虚假费用套取财政资金，欺骗或强迫农户投保，发现一起扣</w:t>
      </w:r>
      <w:r>
        <w:rPr>
          <w:rFonts w:hint="eastAsia" w:ascii="宋体" w:hAnsi="宋体" w:eastAsia="宋体" w:cs="宋体"/>
          <w:kern w:val="0"/>
          <w:sz w:val="24"/>
          <w:lang w:val="en-US" w:eastAsia="zh-CN"/>
        </w:rPr>
        <w:t>10</w:t>
      </w:r>
      <w:r>
        <w:rPr>
          <w:rFonts w:hint="eastAsia" w:ascii="宋体" w:hAnsi="宋体" w:eastAsia="宋体" w:cs="宋体"/>
          <w:kern w:val="0"/>
          <w:sz w:val="24"/>
          <w:lang w:val="zh-CN" w:eastAsia="zh-CN"/>
        </w:rPr>
        <w:t>分；承保理赔未到户，封顶赔付、平均分配、二次分配理赔金，政策性业务提取手续费和佣金等违规行为，每发现一起扣</w:t>
      </w:r>
      <w:r>
        <w:rPr>
          <w:rFonts w:hint="eastAsia" w:ascii="宋体" w:hAnsi="宋体" w:eastAsia="宋体" w:cs="宋体"/>
          <w:kern w:val="0"/>
          <w:sz w:val="24"/>
          <w:lang w:val="en-US" w:eastAsia="zh-CN"/>
        </w:rPr>
        <w:t>10</w:t>
      </w:r>
      <w:r>
        <w:rPr>
          <w:rFonts w:hint="eastAsia" w:ascii="宋体" w:hAnsi="宋体" w:eastAsia="宋体" w:cs="宋体"/>
          <w:kern w:val="0"/>
          <w:sz w:val="24"/>
          <w:lang w:val="zh-CN" w:eastAsia="zh-CN"/>
        </w:rPr>
        <w:t>分；在年度第三方审计中发现数据与实际情况不符等问题，其它未执行保监、财政等部门合规要求的行为，酌情扣分。</w:t>
      </w:r>
    </w:p>
    <w:p>
      <w:pPr>
        <w:tabs>
          <w:tab w:val="left" w:pos="0"/>
        </w:tabs>
        <w:spacing w:line="360" w:lineRule="auto"/>
        <w:ind w:firstLine="480"/>
        <w:jc w:val="left"/>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w:t>
      </w:r>
      <w:r>
        <w:rPr>
          <w:rFonts w:hint="eastAsia" w:ascii="宋体" w:hAnsi="宋体" w:eastAsia="宋体" w:cs="宋体"/>
          <w:kern w:val="0"/>
          <w:sz w:val="24"/>
          <w:lang w:val="en-US" w:eastAsia="zh-CN"/>
        </w:rPr>
        <w:t>理赔和退保</w:t>
      </w:r>
      <w:r>
        <w:rPr>
          <w:rFonts w:hint="eastAsia" w:ascii="宋体" w:hAnsi="宋体" w:eastAsia="宋体" w:cs="宋体"/>
          <w:kern w:val="0"/>
          <w:sz w:val="24"/>
          <w:lang w:val="zh-CN" w:eastAsia="zh-CN"/>
        </w:rPr>
        <w:t>服务（</w:t>
      </w: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0分）：</w:t>
      </w:r>
      <w:r>
        <w:rPr>
          <w:rFonts w:hint="eastAsia" w:ascii="宋体" w:hAnsi="宋体" w:eastAsia="宋体" w:cs="宋体"/>
          <w:kern w:val="0"/>
          <w:sz w:val="24"/>
          <w:lang w:val="en-US" w:eastAsia="zh-CN"/>
        </w:rPr>
        <w:t>理赔服务应</w:t>
      </w:r>
      <w:r>
        <w:rPr>
          <w:rFonts w:hint="eastAsia" w:ascii="宋体" w:hAnsi="宋体" w:eastAsia="宋体" w:cs="宋体"/>
          <w:kern w:val="0"/>
          <w:sz w:val="24"/>
          <w:lang w:val="zh-CN" w:eastAsia="zh-CN"/>
        </w:rPr>
        <w:t>及时</w:t>
      </w:r>
      <w:r>
        <w:rPr>
          <w:rFonts w:hint="eastAsia" w:ascii="宋体" w:hAnsi="宋体" w:eastAsia="宋体" w:cs="宋体"/>
          <w:kern w:val="0"/>
          <w:sz w:val="24"/>
          <w:lang w:val="en-US" w:eastAsia="zh-CN"/>
        </w:rPr>
        <w:t>公正</w:t>
      </w:r>
      <w:r>
        <w:rPr>
          <w:rFonts w:hint="eastAsia" w:ascii="宋体" w:hAnsi="宋体" w:eastAsia="宋体" w:cs="宋体"/>
          <w:kern w:val="0"/>
          <w:sz w:val="24"/>
          <w:lang w:val="zh-CN" w:eastAsia="zh-CN"/>
        </w:rPr>
        <w:t>到户，</w:t>
      </w:r>
      <w:r>
        <w:rPr>
          <w:rFonts w:hint="eastAsia" w:ascii="宋体" w:hAnsi="宋体" w:eastAsia="宋体" w:cs="宋体"/>
          <w:kern w:val="0"/>
          <w:sz w:val="24"/>
          <w:lang w:val="en-US" w:eastAsia="zh-CN"/>
        </w:rPr>
        <w:t>对</w:t>
      </w:r>
      <w:r>
        <w:rPr>
          <w:rFonts w:hint="eastAsia" w:ascii="宋体" w:hAnsi="宋体" w:eastAsia="宋体" w:cs="宋体"/>
          <w:kern w:val="0"/>
          <w:sz w:val="24"/>
          <w:lang w:val="zh-CN" w:eastAsia="zh-CN"/>
        </w:rPr>
        <w:t>不及时、不到户、不公正等</w:t>
      </w:r>
      <w:r>
        <w:rPr>
          <w:rFonts w:hint="eastAsia" w:ascii="宋体" w:hAnsi="宋体" w:eastAsia="宋体" w:cs="宋体"/>
          <w:kern w:val="0"/>
          <w:sz w:val="24"/>
          <w:lang w:val="en-US" w:eastAsia="zh-CN"/>
        </w:rPr>
        <w:t>情况，每发现一起扣5分；</w:t>
      </w:r>
      <w:r>
        <w:rPr>
          <w:rFonts w:hint="eastAsia" w:ascii="宋体" w:hAnsi="宋体" w:eastAsia="宋体" w:cs="宋体"/>
          <w:kern w:val="0"/>
          <w:sz w:val="24"/>
          <w:lang w:val="zh-CN" w:eastAsia="zh-CN"/>
        </w:rPr>
        <w:t>在应对</w:t>
      </w:r>
      <w:r>
        <w:rPr>
          <w:rFonts w:hint="eastAsia" w:ascii="宋体" w:hAnsi="宋体" w:eastAsia="宋体" w:cs="宋体"/>
          <w:kern w:val="0"/>
          <w:sz w:val="24"/>
          <w:lang w:val="en-US" w:eastAsia="zh-CN"/>
        </w:rPr>
        <w:t>不可抗拒力</w:t>
      </w:r>
      <w:r>
        <w:rPr>
          <w:rFonts w:hint="eastAsia" w:ascii="宋体" w:hAnsi="宋体" w:eastAsia="宋体" w:cs="宋体"/>
          <w:kern w:val="0"/>
          <w:sz w:val="24"/>
          <w:lang w:val="zh-CN" w:eastAsia="zh-CN"/>
        </w:rPr>
        <w:t>等</w:t>
      </w:r>
      <w:r>
        <w:rPr>
          <w:rFonts w:hint="eastAsia" w:ascii="宋体" w:hAnsi="宋体" w:eastAsia="宋体" w:cs="宋体"/>
          <w:kern w:val="0"/>
          <w:sz w:val="24"/>
          <w:lang w:val="en-US" w:eastAsia="zh-CN"/>
        </w:rPr>
        <w:t>退保服务</w:t>
      </w:r>
      <w:r>
        <w:rPr>
          <w:rFonts w:hint="eastAsia" w:ascii="宋体" w:hAnsi="宋体" w:eastAsia="宋体" w:cs="宋体"/>
          <w:kern w:val="0"/>
          <w:sz w:val="24"/>
          <w:lang w:val="zh-CN" w:eastAsia="zh-CN"/>
        </w:rPr>
        <w:t>中，发现未能及时启动</w:t>
      </w:r>
      <w:r>
        <w:rPr>
          <w:rFonts w:hint="eastAsia" w:ascii="宋体" w:hAnsi="宋体" w:eastAsia="宋体" w:cs="宋体"/>
          <w:kern w:val="0"/>
          <w:sz w:val="24"/>
          <w:lang w:val="en-US" w:eastAsia="zh-CN"/>
        </w:rPr>
        <w:t>退保程序</w:t>
      </w:r>
      <w:r>
        <w:rPr>
          <w:rFonts w:hint="eastAsia" w:ascii="宋体" w:hAnsi="宋体" w:eastAsia="宋体" w:cs="宋体"/>
          <w:kern w:val="0"/>
          <w:sz w:val="24"/>
          <w:lang w:val="zh-CN" w:eastAsia="zh-CN"/>
        </w:rPr>
        <w:t>，</w:t>
      </w:r>
      <w:r>
        <w:rPr>
          <w:rFonts w:hint="eastAsia" w:ascii="宋体" w:hAnsi="宋体" w:eastAsia="宋体" w:cs="宋体"/>
          <w:kern w:val="0"/>
          <w:sz w:val="24"/>
          <w:lang w:val="en-US" w:eastAsia="zh-CN"/>
        </w:rPr>
        <w:t>退保</w:t>
      </w:r>
      <w:r>
        <w:rPr>
          <w:rFonts w:hint="eastAsia" w:ascii="宋体" w:hAnsi="宋体" w:eastAsia="宋体" w:cs="宋体"/>
          <w:kern w:val="0"/>
          <w:sz w:val="24"/>
          <w:lang w:val="zh-CN" w:eastAsia="zh-CN"/>
        </w:rPr>
        <w:t>不及时、不到户、不公正等情况的，每发现一起扣</w:t>
      </w:r>
      <w:r>
        <w:rPr>
          <w:rFonts w:hint="eastAsia" w:ascii="宋体" w:hAnsi="宋体" w:eastAsia="宋体" w:cs="宋体"/>
          <w:kern w:val="0"/>
          <w:sz w:val="24"/>
          <w:lang w:val="en-US" w:eastAsia="zh-CN"/>
        </w:rPr>
        <w:t>5</w:t>
      </w:r>
      <w:r>
        <w:rPr>
          <w:rFonts w:hint="eastAsia" w:ascii="宋体" w:hAnsi="宋体" w:eastAsia="宋体" w:cs="宋体"/>
          <w:kern w:val="0"/>
          <w:sz w:val="24"/>
          <w:lang w:val="zh-CN" w:eastAsia="zh-CN"/>
        </w:rPr>
        <w:t>分。在紧急情况下，不按照要求，</w:t>
      </w:r>
      <w:r>
        <w:rPr>
          <w:rFonts w:hint="eastAsia" w:ascii="宋体" w:hAnsi="宋体" w:eastAsia="宋体" w:cs="宋体"/>
          <w:kern w:val="0"/>
          <w:sz w:val="24"/>
          <w:lang w:val="en-US" w:eastAsia="zh-CN"/>
        </w:rPr>
        <w:t>开展理赔和退保服务</w:t>
      </w:r>
      <w:r>
        <w:rPr>
          <w:rFonts w:hint="eastAsia" w:ascii="宋体" w:hAnsi="宋体" w:eastAsia="宋体" w:cs="宋体"/>
          <w:kern w:val="0"/>
          <w:sz w:val="24"/>
          <w:lang w:val="zh-CN" w:eastAsia="zh-CN"/>
        </w:rPr>
        <w:t>的，酌情扣分。</w:t>
      </w:r>
    </w:p>
    <w:p>
      <w:pPr>
        <w:tabs>
          <w:tab w:val="left" w:pos="0"/>
        </w:tabs>
        <w:spacing w:line="360" w:lineRule="auto"/>
        <w:ind w:firstLine="480"/>
        <w:jc w:val="left"/>
        <w:rPr>
          <w:rFonts w:hint="eastAsia" w:ascii="宋体" w:hAnsi="宋体" w:eastAsia="宋体" w:cs="宋体"/>
          <w:kern w:val="0"/>
          <w:sz w:val="24"/>
          <w:lang w:val="en-US" w:eastAsia="zh-CN"/>
        </w:rPr>
      </w:pPr>
      <w:r>
        <w:rPr>
          <w:rFonts w:hint="eastAsia" w:ascii="宋体" w:hAnsi="宋体" w:eastAsia="宋体" w:cs="宋体"/>
          <w:kern w:val="0"/>
          <w:sz w:val="24"/>
          <w:lang w:val="zh-CN" w:eastAsia="zh-CN"/>
        </w:rPr>
        <w:t>3、农户满意度测评（</w:t>
      </w: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0分）：在第三方独立调查中，对农险产品、机构服务态度及服务能力开展参保农户评价（抽取保费100万元以上、50-100万元、10万元-50万元农户各</w:t>
      </w:r>
      <w:r>
        <w:rPr>
          <w:rFonts w:hint="eastAsia" w:ascii="宋体" w:hAnsi="宋体" w:eastAsia="宋体" w:cs="宋体"/>
          <w:kern w:val="0"/>
          <w:sz w:val="24"/>
          <w:lang w:val="en-US" w:eastAsia="zh-CN"/>
        </w:rPr>
        <w:t>3</w:t>
      </w:r>
      <w:r>
        <w:rPr>
          <w:rFonts w:hint="eastAsia" w:ascii="宋体" w:hAnsi="宋体" w:eastAsia="宋体" w:cs="宋体"/>
          <w:kern w:val="0"/>
          <w:sz w:val="24"/>
          <w:lang w:val="zh-CN" w:eastAsia="zh-CN"/>
        </w:rPr>
        <w:t>户）、市农险</w:t>
      </w:r>
      <w:r>
        <w:rPr>
          <w:rFonts w:hint="eastAsia" w:ascii="宋体" w:hAnsi="宋体" w:eastAsia="宋体" w:cs="宋体"/>
          <w:kern w:val="0"/>
          <w:sz w:val="24"/>
          <w:lang w:val="en-US" w:eastAsia="zh-CN"/>
        </w:rPr>
        <w:t>领导</w:t>
      </w:r>
      <w:r>
        <w:rPr>
          <w:rFonts w:hint="eastAsia" w:ascii="宋体" w:hAnsi="宋体" w:eastAsia="宋体" w:cs="宋体"/>
          <w:kern w:val="0"/>
          <w:sz w:val="24"/>
          <w:lang w:val="zh-CN" w:eastAsia="zh-CN"/>
        </w:rPr>
        <w:t>小组成员单位</w:t>
      </w:r>
      <w:r>
        <w:rPr>
          <w:rFonts w:hint="eastAsia" w:ascii="宋体" w:hAnsi="宋体" w:eastAsia="宋体" w:cs="宋体"/>
          <w:kern w:val="0"/>
          <w:sz w:val="24"/>
          <w:lang w:val="en-US" w:eastAsia="zh-CN"/>
        </w:rPr>
        <w:t>及</w:t>
      </w:r>
      <w:r>
        <w:rPr>
          <w:rFonts w:hint="eastAsia" w:ascii="宋体" w:hAnsi="宋体" w:eastAsia="宋体" w:cs="宋体"/>
          <w:kern w:val="0"/>
          <w:sz w:val="24"/>
          <w:lang w:val="zh-CN" w:eastAsia="zh-CN"/>
        </w:rPr>
        <w:t>主管部门评价、农险服务机构互评，并分别按</w:t>
      </w:r>
      <w:r>
        <w:rPr>
          <w:rFonts w:hint="eastAsia" w:ascii="宋体" w:hAnsi="宋体" w:eastAsia="宋体" w:cs="宋体"/>
          <w:kern w:val="0"/>
          <w:sz w:val="24"/>
          <w:lang w:val="en-US" w:eastAsia="zh-CN"/>
        </w:rPr>
        <w:t>10</w:t>
      </w:r>
      <w:r>
        <w:rPr>
          <w:rFonts w:hint="eastAsia" w:ascii="宋体" w:hAnsi="宋体" w:eastAsia="宋体" w:cs="宋体"/>
          <w:kern w:val="0"/>
          <w:sz w:val="24"/>
          <w:lang w:val="zh-CN" w:eastAsia="zh-CN"/>
        </w:rPr>
        <w:t>分、</w:t>
      </w:r>
      <w:r>
        <w:rPr>
          <w:rFonts w:hint="eastAsia" w:ascii="宋体" w:hAnsi="宋体" w:eastAsia="宋体" w:cs="宋体"/>
          <w:kern w:val="0"/>
          <w:sz w:val="24"/>
          <w:lang w:val="en-US" w:eastAsia="zh-CN"/>
        </w:rPr>
        <w:t>8</w:t>
      </w:r>
      <w:r>
        <w:rPr>
          <w:rFonts w:hint="eastAsia" w:ascii="宋体" w:hAnsi="宋体" w:eastAsia="宋体" w:cs="宋体"/>
          <w:kern w:val="0"/>
          <w:sz w:val="24"/>
          <w:lang w:val="zh-CN" w:eastAsia="zh-CN"/>
        </w:rPr>
        <w:t>分、</w:t>
      </w: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分进行赋分。发生农业保险重大投诉、群体事件或负面报导，未能及时正确处置，造成重大负面影响的，本项不得分，影响较小、情节较轻、及时正确处置的，酌情扣分。</w:t>
      </w:r>
    </w:p>
    <w:p>
      <w:pPr>
        <w:tabs>
          <w:tab w:val="left" w:pos="0"/>
        </w:tabs>
        <w:spacing w:line="360" w:lineRule="auto"/>
        <w:ind w:firstLine="480"/>
        <w:jc w:val="left"/>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（四）其他要求</w:t>
      </w:r>
    </w:p>
    <w:p>
      <w:pPr>
        <w:tabs>
          <w:tab w:val="left" w:pos="0"/>
        </w:tabs>
        <w:spacing w:line="360" w:lineRule="auto"/>
        <w:ind w:firstLine="480"/>
        <w:jc w:val="left"/>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w:t>
      </w:r>
      <w:r>
        <w:rPr>
          <w:rFonts w:hint="eastAsia" w:ascii="宋体" w:hAnsi="宋体" w:eastAsia="宋体" w:cs="宋体"/>
          <w:kern w:val="0"/>
          <w:sz w:val="24"/>
          <w:lang w:val="zh-CN" w:eastAsia="zh-CN"/>
        </w:rPr>
        <w:t>承保数量要求，要求承保完成试点数量100%满分，每减少10%扣两分；</w:t>
      </w:r>
    </w:p>
    <w:p>
      <w:pPr>
        <w:tabs>
          <w:tab w:val="left" w:pos="0"/>
        </w:tabs>
        <w:spacing w:line="360" w:lineRule="auto"/>
        <w:ind w:firstLine="480"/>
        <w:jc w:val="left"/>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服从农险办管理，</w:t>
      </w:r>
      <w:r>
        <w:rPr>
          <w:rFonts w:hint="eastAsia" w:ascii="宋体" w:hAnsi="宋体" w:cs="宋体"/>
          <w:sz w:val="24"/>
          <w:szCs w:val="24"/>
          <w:highlight w:val="none"/>
          <w:lang w:val="en-US" w:eastAsia="zh-CN"/>
        </w:rPr>
        <w:t>当农户与承保机构就理赔结果产生争议时，应服从农险办协调处理，不服从处理的每次扣5分。</w:t>
      </w:r>
      <w:r>
        <w:rPr>
          <w:rFonts w:hint="eastAsia" w:ascii="宋体" w:hAnsi="宋体" w:eastAsia="宋体" w:cs="宋体"/>
          <w:kern w:val="0"/>
          <w:sz w:val="24"/>
          <w:lang w:val="zh-CN" w:eastAsia="zh-CN"/>
        </w:rPr>
        <w:t>农险办书面应急响应要求未响应，</w:t>
      </w:r>
      <w:r>
        <w:rPr>
          <w:rFonts w:hint="eastAsia" w:ascii="宋体" w:hAnsi="宋体" w:cs="宋体"/>
          <w:sz w:val="24"/>
          <w:szCs w:val="24"/>
          <w:highlight w:val="none"/>
          <w:lang w:val="en-US" w:eastAsia="zh-CN"/>
        </w:rPr>
        <w:t>每次扣5分。</w:t>
      </w:r>
    </w:p>
    <w:p>
      <w:pPr>
        <w:snapToGrid w:val="0"/>
        <w:spacing w:line="360" w:lineRule="auto"/>
        <w:jc w:val="center"/>
        <w:rPr>
          <w:rFonts w:hint="eastAsia" w:ascii="宋体" w:hAnsi="宋体" w:eastAsia="宋体" w:cs="宋体"/>
          <w:b/>
          <w:sz w:val="36"/>
          <w:szCs w:val="36"/>
        </w:rPr>
      </w:pPr>
    </w:p>
    <w:p>
      <w:pPr>
        <w:snapToGrid w:val="0"/>
        <w:spacing w:line="360" w:lineRule="auto"/>
        <w:jc w:val="both"/>
        <w:rPr>
          <w:rFonts w:hint="eastAsia" w:ascii="宋体" w:hAnsi="宋体" w:eastAsia="宋体" w:cs="宋体"/>
          <w:b/>
          <w:sz w:val="36"/>
          <w:szCs w:val="36"/>
        </w:rPr>
      </w:pP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6"/>
          <w:szCs w:val="36"/>
        </w:rPr>
        <w:t xml:space="preserve">第四部分   </w:t>
      </w:r>
      <w:bookmarkStart w:id="25" w:name="_Toc184313270"/>
      <w:bookmarkEnd w:id="25"/>
      <w:bookmarkStart w:id="26" w:name="_Toc184308047"/>
      <w:bookmarkEnd w:id="26"/>
      <w:bookmarkStart w:id="27" w:name="_Toc184314439"/>
      <w:bookmarkEnd w:id="27"/>
      <w:bookmarkStart w:id="28" w:name="_Toc184312122"/>
      <w:bookmarkEnd w:id="28"/>
      <w:bookmarkStart w:id="29" w:name="_Toc184313285"/>
      <w:bookmarkEnd w:id="29"/>
      <w:bookmarkStart w:id="30" w:name="_Toc184312134"/>
      <w:bookmarkEnd w:id="30"/>
      <w:bookmarkStart w:id="31" w:name="_Toc184313247"/>
      <w:bookmarkEnd w:id="31"/>
      <w:bookmarkStart w:id="32" w:name="_Toc184308105"/>
      <w:bookmarkEnd w:id="32"/>
      <w:bookmarkStart w:id="33" w:name="_Toc184310305"/>
      <w:bookmarkEnd w:id="33"/>
      <w:bookmarkStart w:id="34" w:name="_Toc184308100"/>
      <w:bookmarkEnd w:id="34"/>
      <w:bookmarkStart w:id="35" w:name="_Toc184308057"/>
      <w:bookmarkEnd w:id="35"/>
      <w:bookmarkStart w:id="36" w:name="_Toc184308074"/>
      <w:bookmarkEnd w:id="36"/>
      <w:bookmarkStart w:id="37" w:name="_Toc184314457"/>
      <w:bookmarkEnd w:id="37"/>
      <w:bookmarkStart w:id="38" w:name="_Toc184312130"/>
      <w:bookmarkEnd w:id="38"/>
      <w:bookmarkStart w:id="39" w:name="_Toc184313281"/>
      <w:bookmarkEnd w:id="39"/>
      <w:bookmarkStart w:id="40" w:name="_Toc184312093"/>
      <w:bookmarkEnd w:id="40"/>
      <w:bookmarkStart w:id="41" w:name="_Toc184312090"/>
      <w:bookmarkEnd w:id="41"/>
      <w:bookmarkStart w:id="42" w:name="_Toc184313269"/>
      <w:bookmarkEnd w:id="42"/>
      <w:bookmarkStart w:id="43" w:name="_Toc184308085"/>
      <w:bookmarkEnd w:id="43"/>
      <w:bookmarkStart w:id="44" w:name="_Toc184313244"/>
      <w:bookmarkEnd w:id="44"/>
      <w:bookmarkStart w:id="45" w:name="_Toc184312094"/>
      <w:bookmarkEnd w:id="45"/>
      <w:bookmarkStart w:id="46" w:name="_Toc184310289"/>
      <w:bookmarkEnd w:id="46"/>
      <w:bookmarkStart w:id="47" w:name="_Toc184310274"/>
      <w:bookmarkEnd w:id="47"/>
      <w:bookmarkStart w:id="48" w:name="_Toc184308103"/>
      <w:bookmarkEnd w:id="48"/>
      <w:bookmarkStart w:id="49" w:name="_Toc184314430"/>
      <w:bookmarkEnd w:id="49"/>
      <w:bookmarkStart w:id="50" w:name="_Toc184314414"/>
      <w:bookmarkEnd w:id="50"/>
      <w:bookmarkStart w:id="51" w:name="_Toc184313276"/>
      <w:bookmarkEnd w:id="51"/>
      <w:bookmarkStart w:id="52" w:name="_Toc184314434"/>
      <w:bookmarkEnd w:id="52"/>
      <w:bookmarkStart w:id="53" w:name="_Toc184312079"/>
      <w:bookmarkEnd w:id="53"/>
      <w:bookmarkStart w:id="54" w:name="_Toc184310302"/>
      <w:bookmarkEnd w:id="54"/>
      <w:bookmarkStart w:id="55" w:name="_Toc184308108"/>
      <w:bookmarkEnd w:id="55"/>
      <w:bookmarkStart w:id="56" w:name="_Toc184313306"/>
      <w:bookmarkEnd w:id="56"/>
      <w:bookmarkStart w:id="57" w:name="_Toc184308073"/>
      <w:bookmarkEnd w:id="57"/>
      <w:bookmarkStart w:id="58" w:name="_Toc184310311"/>
      <w:bookmarkEnd w:id="58"/>
      <w:bookmarkStart w:id="59" w:name="_Toc184310315"/>
      <w:bookmarkEnd w:id="59"/>
      <w:bookmarkStart w:id="60" w:name="_Toc184313282"/>
      <w:bookmarkEnd w:id="60"/>
      <w:bookmarkStart w:id="61" w:name="_Toc184312100"/>
      <w:bookmarkEnd w:id="61"/>
      <w:bookmarkStart w:id="62" w:name="_Toc184310338"/>
      <w:bookmarkEnd w:id="62"/>
      <w:bookmarkStart w:id="63" w:name="_Toc184310326"/>
      <w:bookmarkEnd w:id="63"/>
      <w:bookmarkStart w:id="64" w:name="_Toc184310344"/>
      <w:bookmarkEnd w:id="64"/>
      <w:bookmarkStart w:id="65" w:name="_Toc184313246"/>
      <w:bookmarkEnd w:id="65"/>
      <w:bookmarkStart w:id="66" w:name="_Toc184312067"/>
      <w:bookmarkEnd w:id="66"/>
      <w:bookmarkStart w:id="67" w:name="_Toc184313278"/>
      <w:bookmarkEnd w:id="67"/>
      <w:bookmarkStart w:id="68" w:name="_Toc184313263"/>
      <w:bookmarkEnd w:id="68"/>
      <w:bookmarkStart w:id="69" w:name="_Toc184314438"/>
      <w:bookmarkEnd w:id="69"/>
      <w:bookmarkStart w:id="70" w:name="_Toc184314465"/>
      <w:bookmarkEnd w:id="70"/>
      <w:bookmarkStart w:id="71" w:name="_Toc184313309"/>
      <w:bookmarkEnd w:id="71"/>
      <w:bookmarkStart w:id="72" w:name="_Toc184308099"/>
      <w:bookmarkEnd w:id="72"/>
      <w:bookmarkStart w:id="73" w:name="_Toc184312082"/>
      <w:bookmarkEnd w:id="73"/>
      <w:bookmarkStart w:id="74" w:name="_Toc184312087"/>
      <w:bookmarkEnd w:id="74"/>
      <w:bookmarkStart w:id="75" w:name="_Toc184312117"/>
      <w:bookmarkEnd w:id="75"/>
      <w:bookmarkStart w:id="76" w:name="_Toc184310308"/>
      <w:bookmarkEnd w:id="76"/>
      <w:bookmarkStart w:id="77" w:name="_Toc184314454"/>
      <w:bookmarkEnd w:id="77"/>
      <w:bookmarkStart w:id="78" w:name="_Toc184313295"/>
      <w:bookmarkEnd w:id="78"/>
      <w:bookmarkStart w:id="79" w:name="_Toc184314481"/>
      <w:bookmarkEnd w:id="79"/>
      <w:bookmarkStart w:id="80" w:name="_Toc184313242"/>
      <w:bookmarkEnd w:id="80"/>
      <w:bookmarkStart w:id="81" w:name="_Toc184314425"/>
      <w:bookmarkEnd w:id="81"/>
      <w:bookmarkStart w:id="82" w:name="_Toc184308088"/>
      <w:bookmarkEnd w:id="82"/>
      <w:bookmarkStart w:id="83" w:name="_Toc184313258"/>
      <w:bookmarkEnd w:id="83"/>
      <w:bookmarkStart w:id="84" w:name="_Toc184312103"/>
      <w:bookmarkEnd w:id="84"/>
      <w:bookmarkStart w:id="85" w:name="_Toc184310296"/>
      <w:bookmarkEnd w:id="85"/>
      <w:bookmarkStart w:id="86" w:name="_Toc184313239"/>
      <w:bookmarkEnd w:id="86"/>
      <w:bookmarkStart w:id="87" w:name="_Toc184310278"/>
      <w:bookmarkEnd w:id="87"/>
      <w:bookmarkStart w:id="88" w:name="_Toc184312075"/>
      <w:bookmarkEnd w:id="88"/>
      <w:bookmarkStart w:id="89" w:name="_Toc184313305"/>
      <w:bookmarkEnd w:id="89"/>
      <w:bookmarkStart w:id="90" w:name="_Toc184313288"/>
      <w:bookmarkEnd w:id="90"/>
      <w:bookmarkStart w:id="91" w:name="_Toc184312105"/>
      <w:bookmarkEnd w:id="91"/>
      <w:bookmarkStart w:id="92" w:name="_Toc184313294"/>
      <w:bookmarkEnd w:id="92"/>
      <w:bookmarkStart w:id="93" w:name="_Toc184313284"/>
      <w:bookmarkEnd w:id="93"/>
      <w:bookmarkStart w:id="94" w:name="_Toc184313283"/>
      <w:bookmarkEnd w:id="94"/>
      <w:bookmarkStart w:id="95" w:name="_Toc184314453"/>
      <w:bookmarkEnd w:id="95"/>
      <w:bookmarkStart w:id="96" w:name="_Toc184312132"/>
      <w:bookmarkEnd w:id="96"/>
      <w:bookmarkStart w:id="97" w:name="_Toc184310318"/>
      <w:bookmarkEnd w:id="97"/>
      <w:bookmarkStart w:id="98" w:name="_Toc184310290"/>
      <w:bookmarkEnd w:id="98"/>
      <w:bookmarkStart w:id="99" w:name="_Toc184308059"/>
      <w:bookmarkEnd w:id="99"/>
      <w:bookmarkStart w:id="100" w:name="_Toc184310294"/>
      <w:bookmarkEnd w:id="100"/>
      <w:bookmarkStart w:id="101" w:name="_Toc184310320"/>
      <w:bookmarkEnd w:id="101"/>
      <w:bookmarkStart w:id="102" w:name="_Toc184308055"/>
      <w:bookmarkEnd w:id="102"/>
      <w:bookmarkStart w:id="103" w:name="_Toc184308078"/>
      <w:bookmarkEnd w:id="103"/>
      <w:bookmarkStart w:id="104" w:name="_Toc184313277"/>
      <w:bookmarkEnd w:id="104"/>
      <w:bookmarkStart w:id="105" w:name="_Toc184312097"/>
      <w:bookmarkEnd w:id="105"/>
      <w:bookmarkStart w:id="106" w:name="_Toc184308045"/>
      <w:bookmarkEnd w:id="106"/>
      <w:bookmarkStart w:id="107" w:name="_Toc184314432"/>
      <w:bookmarkEnd w:id="107"/>
      <w:bookmarkStart w:id="108" w:name="_Toc184313280"/>
      <w:bookmarkEnd w:id="108"/>
      <w:bookmarkStart w:id="109" w:name="_Toc184314419"/>
      <w:bookmarkEnd w:id="109"/>
      <w:bookmarkStart w:id="110" w:name="_Toc184314422"/>
      <w:bookmarkEnd w:id="110"/>
      <w:bookmarkStart w:id="111" w:name="_Toc184310330"/>
      <w:bookmarkEnd w:id="111"/>
      <w:bookmarkStart w:id="112" w:name="_Toc184312099"/>
      <w:bookmarkEnd w:id="112"/>
      <w:bookmarkStart w:id="113" w:name="_Toc184308049"/>
      <w:bookmarkEnd w:id="113"/>
      <w:bookmarkStart w:id="114" w:name="_Toc184310272"/>
      <w:bookmarkEnd w:id="114"/>
      <w:bookmarkStart w:id="115" w:name="_Toc184314460"/>
      <w:bookmarkEnd w:id="115"/>
      <w:bookmarkStart w:id="116" w:name="_Toc184314440"/>
      <w:bookmarkEnd w:id="116"/>
      <w:bookmarkStart w:id="117" w:name="_Toc184314441"/>
      <w:bookmarkEnd w:id="117"/>
      <w:bookmarkStart w:id="118" w:name="_Toc184308082"/>
      <w:bookmarkEnd w:id="118"/>
      <w:bookmarkStart w:id="119" w:name="_Toc184313251"/>
      <w:bookmarkEnd w:id="119"/>
      <w:bookmarkStart w:id="120" w:name="_Toc184314413"/>
      <w:bookmarkEnd w:id="120"/>
      <w:bookmarkStart w:id="121" w:name="_Toc184313267"/>
      <w:bookmarkEnd w:id="121"/>
      <w:bookmarkStart w:id="122" w:name="_Toc184313301"/>
      <w:bookmarkEnd w:id="122"/>
      <w:bookmarkStart w:id="123" w:name="_Toc184314448"/>
      <w:bookmarkEnd w:id="123"/>
      <w:bookmarkStart w:id="124" w:name="_Toc184310336"/>
      <w:bookmarkEnd w:id="124"/>
      <w:bookmarkStart w:id="125" w:name="_Toc184308075"/>
      <w:bookmarkEnd w:id="125"/>
      <w:bookmarkStart w:id="126" w:name="_Toc184312086"/>
      <w:bookmarkEnd w:id="126"/>
      <w:bookmarkStart w:id="127" w:name="_Toc184313287"/>
      <w:bookmarkEnd w:id="127"/>
      <w:bookmarkStart w:id="128" w:name="_Toc184308083"/>
      <w:bookmarkEnd w:id="128"/>
      <w:bookmarkStart w:id="129" w:name="_Toc184313272"/>
      <w:bookmarkEnd w:id="129"/>
      <w:bookmarkStart w:id="130" w:name="_Toc184308036"/>
      <w:bookmarkEnd w:id="130"/>
      <w:bookmarkStart w:id="131" w:name="_Toc184312106"/>
      <w:bookmarkEnd w:id="131"/>
      <w:bookmarkStart w:id="132" w:name="_Toc184308077"/>
      <w:bookmarkEnd w:id="132"/>
      <w:bookmarkStart w:id="133" w:name="_Toc184308056"/>
      <w:bookmarkEnd w:id="133"/>
      <w:bookmarkStart w:id="134" w:name="_Toc184308098"/>
      <w:bookmarkEnd w:id="134"/>
      <w:bookmarkStart w:id="135" w:name="_Toc184308043"/>
      <w:bookmarkEnd w:id="135"/>
      <w:bookmarkStart w:id="136" w:name="_Toc184308040"/>
      <w:bookmarkEnd w:id="136"/>
      <w:bookmarkStart w:id="137" w:name="_Toc184310332"/>
      <w:bookmarkEnd w:id="137"/>
      <w:bookmarkStart w:id="138" w:name="_Toc184312119"/>
      <w:bookmarkEnd w:id="138"/>
      <w:bookmarkStart w:id="139" w:name="_Toc184314431"/>
      <w:bookmarkEnd w:id="139"/>
      <w:bookmarkStart w:id="140" w:name="_Toc184308092"/>
      <w:bookmarkEnd w:id="140"/>
      <w:bookmarkStart w:id="141" w:name="_Toc184313255"/>
      <w:bookmarkEnd w:id="141"/>
      <w:bookmarkStart w:id="142" w:name="_Toc184314471"/>
      <w:bookmarkEnd w:id="142"/>
      <w:bookmarkStart w:id="143" w:name="_Toc184314435"/>
      <w:bookmarkEnd w:id="143"/>
      <w:bookmarkStart w:id="144" w:name="_Toc184313308"/>
      <w:bookmarkEnd w:id="144"/>
      <w:bookmarkStart w:id="145" w:name="_Toc184308094"/>
      <w:bookmarkEnd w:id="145"/>
      <w:bookmarkStart w:id="146" w:name="_Toc184310295"/>
      <w:bookmarkEnd w:id="146"/>
      <w:bookmarkStart w:id="147" w:name="_Toc184308067"/>
      <w:bookmarkEnd w:id="147"/>
      <w:bookmarkStart w:id="148" w:name="_Toc184308106"/>
      <w:bookmarkEnd w:id="148"/>
      <w:bookmarkStart w:id="149" w:name="_Toc184312081"/>
      <w:bookmarkEnd w:id="149"/>
      <w:bookmarkStart w:id="150" w:name="_Toc184312135"/>
      <w:bookmarkEnd w:id="150"/>
      <w:bookmarkStart w:id="151" w:name="_Toc184308076"/>
      <w:bookmarkEnd w:id="151"/>
      <w:bookmarkStart w:id="152" w:name="_Toc184308053"/>
      <w:bookmarkEnd w:id="152"/>
      <w:bookmarkStart w:id="153" w:name="_Toc184310300"/>
      <w:bookmarkEnd w:id="153"/>
      <w:bookmarkStart w:id="154" w:name="_Toc184308069"/>
      <w:bookmarkEnd w:id="154"/>
      <w:bookmarkStart w:id="155" w:name="_Toc184308064"/>
      <w:bookmarkEnd w:id="155"/>
      <w:bookmarkStart w:id="156" w:name="_Toc184313252"/>
      <w:bookmarkEnd w:id="156"/>
      <w:bookmarkStart w:id="157" w:name="_Toc184312136"/>
      <w:bookmarkEnd w:id="157"/>
      <w:bookmarkStart w:id="158" w:name="_Toc184312127"/>
      <w:bookmarkEnd w:id="158"/>
      <w:bookmarkStart w:id="159" w:name="_Toc184310276"/>
      <w:bookmarkEnd w:id="159"/>
      <w:bookmarkStart w:id="160" w:name="_Toc184310282"/>
      <w:bookmarkEnd w:id="160"/>
      <w:bookmarkStart w:id="161" w:name="_Toc184312101"/>
      <w:bookmarkEnd w:id="161"/>
      <w:bookmarkStart w:id="162" w:name="_Toc184314463"/>
      <w:bookmarkEnd w:id="162"/>
      <w:bookmarkStart w:id="163" w:name="_Toc184312112"/>
      <w:bookmarkEnd w:id="163"/>
      <w:bookmarkStart w:id="164" w:name="_Toc184312084"/>
      <w:bookmarkEnd w:id="164"/>
      <w:bookmarkStart w:id="165" w:name="_Toc184313299"/>
      <w:bookmarkEnd w:id="165"/>
      <w:bookmarkStart w:id="166" w:name="_Toc184308038"/>
      <w:bookmarkEnd w:id="166"/>
      <w:bookmarkStart w:id="167" w:name="_Toc184308054"/>
      <w:bookmarkEnd w:id="167"/>
      <w:bookmarkStart w:id="168" w:name="_Toc184308068"/>
      <w:bookmarkEnd w:id="168"/>
      <w:bookmarkStart w:id="169" w:name="_Toc184314458"/>
      <w:bookmarkEnd w:id="169"/>
      <w:bookmarkStart w:id="170" w:name="_Toc184314467"/>
      <w:bookmarkEnd w:id="170"/>
      <w:bookmarkStart w:id="171" w:name="_Toc184314427"/>
      <w:bookmarkEnd w:id="171"/>
      <w:bookmarkStart w:id="172" w:name="_Toc184314436"/>
      <w:bookmarkEnd w:id="172"/>
      <w:bookmarkStart w:id="173" w:name="_Toc184313293"/>
      <w:bookmarkEnd w:id="173"/>
      <w:bookmarkStart w:id="174" w:name="_Toc184310328"/>
      <w:bookmarkEnd w:id="174"/>
      <w:bookmarkStart w:id="175" w:name="_Toc184313257"/>
      <w:bookmarkEnd w:id="175"/>
      <w:bookmarkStart w:id="176" w:name="_Toc184310275"/>
      <w:bookmarkEnd w:id="176"/>
      <w:bookmarkStart w:id="177" w:name="_Toc184312083"/>
      <w:bookmarkEnd w:id="177"/>
      <w:bookmarkStart w:id="178" w:name="_Toc184308060"/>
      <w:bookmarkEnd w:id="178"/>
      <w:bookmarkStart w:id="179" w:name="_Toc184312126"/>
      <w:bookmarkEnd w:id="179"/>
      <w:bookmarkStart w:id="180" w:name="_Toc184310322"/>
      <w:bookmarkEnd w:id="180"/>
      <w:bookmarkStart w:id="181" w:name="_Toc184310341"/>
      <w:bookmarkEnd w:id="181"/>
      <w:bookmarkStart w:id="182" w:name="_Toc184313307"/>
      <w:bookmarkEnd w:id="182"/>
      <w:bookmarkStart w:id="183" w:name="_Toc184312139"/>
      <w:bookmarkEnd w:id="183"/>
      <w:bookmarkStart w:id="184" w:name="_Toc184308096"/>
      <w:bookmarkEnd w:id="184"/>
      <w:bookmarkStart w:id="185" w:name="_Toc184312107"/>
      <w:bookmarkEnd w:id="185"/>
      <w:bookmarkStart w:id="186" w:name="_Toc184310288"/>
      <w:bookmarkEnd w:id="186"/>
      <w:bookmarkStart w:id="187" w:name="_Toc184308102"/>
      <w:bookmarkEnd w:id="187"/>
      <w:bookmarkStart w:id="188" w:name="_Toc184313273"/>
      <w:bookmarkEnd w:id="188"/>
      <w:bookmarkStart w:id="189" w:name="_Toc184313249"/>
      <w:bookmarkEnd w:id="189"/>
      <w:bookmarkStart w:id="190" w:name="_Toc184308087"/>
      <w:bookmarkEnd w:id="190"/>
      <w:bookmarkStart w:id="191" w:name="_Toc184310343"/>
      <w:bookmarkEnd w:id="191"/>
      <w:bookmarkStart w:id="192" w:name="_Toc184314482"/>
      <w:bookmarkEnd w:id="192"/>
      <w:bookmarkStart w:id="193" w:name="_Toc184310299"/>
      <w:bookmarkEnd w:id="193"/>
      <w:bookmarkStart w:id="194" w:name="_Toc184310312"/>
      <w:bookmarkEnd w:id="194"/>
      <w:bookmarkStart w:id="195" w:name="_Toc184314415"/>
      <w:bookmarkEnd w:id="195"/>
      <w:bookmarkStart w:id="196" w:name="_Toc184314417"/>
      <w:bookmarkEnd w:id="196"/>
      <w:bookmarkStart w:id="197" w:name="_Toc184312118"/>
      <w:bookmarkEnd w:id="197"/>
      <w:bookmarkStart w:id="198" w:name="_Toc184314446"/>
      <w:bookmarkEnd w:id="198"/>
      <w:bookmarkStart w:id="199" w:name="_Toc184314418"/>
      <w:bookmarkEnd w:id="199"/>
      <w:bookmarkStart w:id="200" w:name="_Toc184312121"/>
      <w:bookmarkEnd w:id="200"/>
      <w:bookmarkStart w:id="201" w:name="_Toc184310304"/>
      <w:bookmarkEnd w:id="201"/>
      <w:bookmarkStart w:id="202" w:name="_Toc184313262"/>
      <w:bookmarkEnd w:id="202"/>
      <w:bookmarkStart w:id="203" w:name="_Toc184313254"/>
      <w:bookmarkEnd w:id="203"/>
      <w:bookmarkStart w:id="204" w:name="_Toc184308051"/>
      <w:bookmarkEnd w:id="204"/>
      <w:bookmarkStart w:id="205" w:name="_Toc184314464"/>
      <w:bookmarkEnd w:id="205"/>
      <w:bookmarkStart w:id="206" w:name="_Toc184313291"/>
      <w:bookmarkEnd w:id="206"/>
      <w:bookmarkStart w:id="207" w:name="_Toc184312070"/>
      <w:bookmarkEnd w:id="207"/>
      <w:bookmarkStart w:id="208" w:name="_Toc184308081"/>
      <w:bookmarkEnd w:id="208"/>
      <w:bookmarkStart w:id="209" w:name="_Toc184313265"/>
      <w:bookmarkEnd w:id="209"/>
      <w:bookmarkStart w:id="210" w:name="_Toc184310286"/>
      <w:bookmarkEnd w:id="210"/>
      <w:bookmarkStart w:id="211" w:name="_Toc184308089"/>
      <w:bookmarkEnd w:id="211"/>
      <w:bookmarkStart w:id="212" w:name="_Toc184314475"/>
      <w:bookmarkEnd w:id="212"/>
      <w:bookmarkStart w:id="213" w:name="_Toc184308063"/>
      <w:bookmarkEnd w:id="213"/>
      <w:bookmarkStart w:id="214" w:name="_Toc184310309"/>
      <w:bookmarkEnd w:id="214"/>
      <w:bookmarkStart w:id="215" w:name="_Toc184312120"/>
      <w:bookmarkEnd w:id="215"/>
      <w:bookmarkStart w:id="216" w:name="_Toc184312068"/>
      <w:bookmarkEnd w:id="216"/>
      <w:bookmarkStart w:id="217" w:name="_Toc184314426"/>
      <w:bookmarkEnd w:id="217"/>
      <w:bookmarkStart w:id="218" w:name="_Toc184313253"/>
      <w:bookmarkEnd w:id="218"/>
      <w:bookmarkStart w:id="219" w:name="_Toc184308107"/>
      <w:bookmarkEnd w:id="219"/>
      <w:bookmarkStart w:id="220" w:name="_Toc184314421"/>
      <w:bookmarkEnd w:id="220"/>
      <w:bookmarkStart w:id="221" w:name="_Toc184313274"/>
      <w:bookmarkEnd w:id="221"/>
      <w:bookmarkStart w:id="222" w:name="_Toc184310287"/>
      <w:bookmarkEnd w:id="222"/>
      <w:bookmarkStart w:id="223" w:name="_Toc184310317"/>
      <w:bookmarkEnd w:id="223"/>
      <w:bookmarkStart w:id="224" w:name="_Toc184312110"/>
      <w:bookmarkEnd w:id="224"/>
      <w:bookmarkStart w:id="225" w:name="_Toc184314472"/>
      <w:bookmarkEnd w:id="225"/>
      <w:bookmarkStart w:id="226" w:name="_Toc184310307"/>
      <w:bookmarkEnd w:id="226"/>
      <w:bookmarkStart w:id="227" w:name="_Toc184313300"/>
      <w:bookmarkEnd w:id="227"/>
      <w:bookmarkStart w:id="228" w:name="_Toc184314420"/>
      <w:bookmarkEnd w:id="228"/>
      <w:bookmarkStart w:id="229" w:name="_Toc184314469"/>
      <w:bookmarkEnd w:id="229"/>
      <w:bookmarkStart w:id="230" w:name="_Toc184314466"/>
      <w:bookmarkEnd w:id="230"/>
      <w:bookmarkStart w:id="231" w:name="_Toc184313250"/>
      <w:bookmarkEnd w:id="231"/>
      <w:bookmarkStart w:id="232" w:name="_Toc184313238"/>
      <w:bookmarkEnd w:id="232"/>
      <w:bookmarkStart w:id="233" w:name="_Toc184310314"/>
      <w:bookmarkEnd w:id="233"/>
      <w:bookmarkStart w:id="234" w:name="_Toc184313260"/>
      <w:bookmarkEnd w:id="234"/>
      <w:bookmarkStart w:id="235" w:name="_Toc184312074"/>
      <w:bookmarkEnd w:id="235"/>
      <w:bookmarkStart w:id="236" w:name="_Toc184308086"/>
      <w:bookmarkEnd w:id="236"/>
      <w:bookmarkStart w:id="237" w:name="_Toc184308039"/>
      <w:bookmarkEnd w:id="237"/>
      <w:bookmarkStart w:id="238" w:name="_Toc184312125"/>
      <w:bookmarkEnd w:id="238"/>
      <w:bookmarkStart w:id="239" w:name="_Toc184310327"/>
      <w:bookmarkEnd w:id="239"/>
      <w:bookmarkStart w:id="240" w:name="_Toc184313256"/>
      <w:bookmarkEnd w:id="240"/>
      <w:bookmarkStart w:id="241" w:name="_Toc184308037"/>
      <w:bookmarkEnd w:id="241"/>
      <w:bookmarkStart w:id="242" w:name="_Toc184313292"/>
      <w:bookmarkEnd w:id="242"/>
      <w:bookmarkStart w:id="243" w:name="_Toc184310277"/>
      <w:bookmarkEnd w:id="243"/>
      <w:bookmarkStart w:id="244" w:name="_Toc184313241"/>
      <w:bookmarkEnd w:id="244"/>
      <w:bookmarkStart w:id="245" w:name="_Toc184310293"/>
      <w:bookmarkEnd w:id="245"/>
      <w:bookmarkStart w:id="246" w:name="_Toc184310313"/>
      <w:bookmarkEnd w:id="246"/>
      <w:bookmarkStart w:id="247" w:name="_Toc184313275"/>
      <w:bookmarkEnd w:id="247"/>
      <w:bookmarkStart w:id="248" w:name="_Toc184308065"/>
      <w:bookmarkEnd w:id="248"/>
      <w:bookmarkStart w:id="249" w:name="_Toc184310298"/>
      <w:bookmarkEnd w:id="249"/>
      <w:bookmarkStart w:id="250" w:name="_Toc184312088"/>
      <w:bookmarkEnd w:id="250"/>
      <w:bookmarkStart w:id="251" w:name="_Toc184310324"/>
      <w:bookmarkEnd w:id="251"/>
      <w:bookmarkStart w:id="252" w:name="_Toc184312104"/>
      <w:bookmarkEnd w:id="252"/>
      <w:bookmarkStart w:id="253" w:name="_Toc184312115"/>
      <w:bookmarkEnd w:id="253"/>
      <w:bookmarkStart w:id="254" w:name="_Toc184314456"/>
      <w:bookmarkEnd w:id="254"/>
      <w:bookmarkStart w:id="255" w:name="_Toc184313290"/>
      <w:bookmarkEnd w:id="255"/>
      <w:bookmarkStart w:id="256" w:name="_Toc184310310"/>
      <w:bookmarkEnd w:id="256"/>
      <w:bookmarkStart w:id="257" w:name="_Toc184310292"/>
      <w:bookmarkEnd w:id="257"/>
      <w:bookmarkStart w:id="258" w:name="_Toc184313279"/>
      <w:bookmarkEnd w:id="258"/>
      <w:bookmarkStart w:id="259" w:name="_Toc184308062"/>
      <w:bookmarkEnd w:id="259"/>
      <w:bookmarkStart w:id="260" w:name="_Toc184314423"/>
      <w:bookmarkEnd w:id="260"/>
      <w:bookmarkStart w:id="261" w:name="_Toc184312131"/>
      <w:bookmarkEnd w:id="261"/>
      <w:bookmarkStart w:id="262" w:name="_Toc184314437"/>
      <w:bookmarkEnd w:id="262"/>
      <w:bookmarkStart w:id="263" w:name="_Toc184313297"/>
      <w:bookmarkEnd w:id="263"/>
      <w:bookmarkStart w:id="264" w:name="_Toc184312116"/>
      <w:bookmarkEnd w:id="264"/>
      <w:bookmarkStart w:id="265" w:name="_Toc184310329"/>
      <w:bookmarkEnd w:id="265"/>
      <w:bookmarkStart w:id="266" w:name="_Toc184314424"/>
      <w:bookmarkEnd w:id="266"/>
      <w:bookmarkStart w:id="267" w:name="_Toc184314429"/>
      <w:bookmarkEnd w:id="267"/>
      <w:bookmarkStart w:id="268" w:name="_Toc184314478"/>
      <w:bookmarkEnd w:id="268"/>
      <w:bookmarkStart w:id="269" w:name="_Toc184312095"/>
      <w:bookmarkEnd w:id="269"/>
      <w:bookmarkStart w:id="270" w:name="_Toc184314444"/>
      <w:bookmarkEnd w:id="270"/>
      <w:bookmarkStart w:id="271" w:name="_Toc184310342"/>
      <w:bookmarkEnd w:id="271"/>
      <w:bookmarkStart w:id="272" w:name="_Toc184312123"/>
      <w:bookmarkEnd w:id="272"/>
      <w:bookmarkStart w:id="273" w:name="_Toc184314428"/>
      <w:bookmarkEnd w:id="273"/>
      <w:bookmarkStart w:id="274" w:name="_Toc184312102"/>
      <w:bookmarkEnd w:id="274"/>
      <w:bookmarkStart w:id="275" w:name="_Toc184313268"/>
      <w:bookmarkEnd w:id="275"/>
      <w:bookmarkStart w:id="276" w:name="_Toc184314479"/>
      <w:bookmarkEnd w:id="276"/>
      <w:bookmarkStart w:id="277" w:name="_Toc184312069"/>
      <w:bookmarkEnd w:id="277"/>
      <w:bookmarkStart w:id="278" w:name="_Toc184308046"/>
      <w:bookmarkEnd w:id="278"/>
      <w:bookmarkStart w:id="279" w:name="_Toc184312071"/>
      <w:bookmarkEnd w:id="279"/>
      <w:bookmarkStart w:id="280" w:name="_Toc184313243"/>
      <w:bookmarkEnd w:id="280"/>
      <w:bookmarkStart w:id="281" w:name="_Toc184314443"/>
      <w:bookmarkEnd w:id="281"/>
      <w:bookmarkStart w:id="282" w:name="_Toc184310297"/>
      <w:bookmarkEnd w:id="282"/>
      <w:bookmarkStart w:id="283" w:name="_Toc184312092"/>
      <w:bookmarkEnd w:id="283"/>
      <w:bookmarkStart w:id="284" w:name="_Toc184314474"/>
      <w:bookmarkEnd w:id="284"/>
      <w:bookmarkStart w:id="285" w:name="_Toc184310303"/>
      <w:bookmarkEnd w:id="285"/>
      <w:bookmarkStart w:id="286" w:name="_Toc184312111"/>
      <w:bookmarkEnd w:id="286"/>
      <w:bookmarkStart w:id="287" w:name="_Toc184312124"/>
      <w:bookmarkEnd w:id="287"/>
      <w:bookmarkStart w:id="288" w:name="_Toc184312113"/>
      <w:bookmarkEnd w:id="288"/>
      <w:bookmarkStart w:id="289" w:name="_Toc184313304"/>
      <w:bookmarkEnd w:id="289"/>
      <w:bookmarkStart w:id="290" w:name="_Toc184310339"/>
      <w:bookmarkEnd w:id="290"/>
      <w:bookmarkStart w:id="291" w:name="_Toc184310340"/>
      <w:bookmarkEnd w:id="291"/>
      <w:bookmarkStart w:id="292" w:name="_Toc184310273"/>
      <w:bookmarkEnd w:id="292"/>
      <w:bookmarkStart w:id="293" w:name="_Toc184312098"/>
      <w:bookmarkEnd w:id="293"/>
      <w:bookmarkStart w:id="294" w:name="_Toc184314470"/>
      <w:bookmarkEnd w:id="294"/>
      <w:bookmarkStart w:id="295" w:name="_Toc184310321"/>
      <w:bookmarkEnd w:id="295"/>
      <w:bookmarkStart w:id="296" w:name="_Toc184313248"/>
      <w:bookmarkEnd w:id="296"/>
      <w:bookmarkStart w:id="297" w:name="_Toc184308091"/>
      <w:bookmarkEnd w:id="297"/>
      <w:bookmarkStart w:id="298" w:name="_Toc184308042"/>
      <w:bookmarkEnd w:id="298"/>
      <w:bookmarkStart w:id="299" w:name="_Toc184314433"/>
      <w:bookmarkEnd w:id="299"/>
      <w:bookmarkStart w:id="300" w:name="_Toc184314452"/>
      <w:bookmarkEnd w:id="300"/>
      <w:bookmarkStart w:id="301" w:name="_Toc184313245"/>
      <w:bookmarkEnd w:id="301"/>
      <w:bookmarkStart w:id="302" w:name="_Toc184310325"/>
      <w:bookmarkEnd w:id="302"/>
      <w:bookmarkStart w:id="303" w:name="_Toc184312096"/>
      <w:bookmarkEnd w:id="303"/>
      <w:bookmarkStart w:id="304" w:name="_Toc184314412"/>
      <w:bookmarkEnd w:id="304"/>
      <w:bookmarkStart w:id="305" w:name="_Toc184308041"/>
      <w:bookmarkEnd w:id="305"/>
      <w:bookmarkStart w:id="306" w:name="_Toc184314442"/>
      <w:bookmarkEnd w:id="306"/>
      <w:bookmarkStart w:id="307" w:name="_Toc184310280"/>
      <w:bookmarkEnd w:id="307"/>
      <w:bookmarkStart w:id="308" w:name="_Toc184312077"/>
      <w:bookmarkEnd w:id="308"/>
      <w:bookmarkStart w:id="309" w:name="_Toc184313303"/>
      <w:bookmarkEnd w:id="309"/>
      <w:bookmarkStart w:id="310" w:name="_Toc184308097"/>
      <w:bookmarkEnd w:id="310"/>
      <w:bookmarkStart w:id="311" w:name="_Toc184314468"/>
      <w:bookmarkEnd w:id="311"/>
      <w:bookmarkStart w:id="312" w:name="_Toc184310333"/>
      <w:bookmarkEnd w:id="312"/>
      <w:bookmarkStart w:id="313" w:name="_Toc184308058"/>
      <w:bookmarkEnd w:id="313"/>
      <w:bookmarkStart w:id="314" w:name="_Toc184312138"/>
      <w:bookmarkEnd w:id="314"/>
      <w:bookmarkStart w:id="315" w:name="_Toc184313302"/>
      <w:bookmarkEnd w:id="315"/>
      <w:bookmarkStart w:id="316" w:name="_Toc184308093"/>
      <w:bookmarkEnd w:id="316"/>
      <w:bookmarkStart w:id="317" w:name="_Toc184312108"/>
      <w:bookmarkEnd w:id="317"/>
      <w:bookmarkStart w:id="318" w:name="_Toc184313286"/>
      <w:bookmarkEnd w:id="318"/>
      <w:bookmarkStart w:id="319" w:name="_Toc184314455"/>
      <w:bookmarkEnd w:id="319"/>
      <w:bookmarkStart w:id="320" w:name="_Toc184310284"/>
      <w:bookmarkEnd w:id="320"/>
      <w:bookmarkStart w:id="321" w:name="_Toc184314451"/>
      <w:bookmarkEnd w:id="321"/>
      <w:bookmarkStart w:id="322" w:name="_Toc184313240"/>
      <w:bookmarkEnd w:id="322"/>
      <w:bookmarkStart w:id="323" w:name="_Toc184308050"/>
      <w:bookmarkEnd w:id="323"/>
      <w:bookmarkStart w:id="324" w:name="_Toc184308084"/>
      <w:bookmarkEnd w:id="324"/>
      <w:bookmarkStart w:id="325" w:name="_Toc184308071"/>
      <w:bookmarkEnd w:id="325"/>
      <w:bookmarkStart w:id="326" w:name="_Toc184313310"/>
      <w:bookmarkEnd w:id="326"/>
      <w:bookmarkStart w:id="327" w:name="_Toc184308090"/>
      <w:bookmarkEnd w:id="327"/>
      <w:bookmarkStart w:id="328" w:name="_Toc184312072"/>
      <w:bookmarkEnd w:id="328"/>
      <w:bookmarkStart w:id="329" w:name="_Toc184310335"/>
      <w:bookmarkEnd w:id="329"/>
      <w:bookmarkStart w:id="330" w:name="_Toc184308072"/>
      <w:bookmarkEnd w:id="330"/>
      <w:bookmarkStart w:id="331" w:name="_Toc184310319"/>
      <w:bookmarkEnd w:id="331"/>
      <w:bookmarkStart w:id="332" w:name="_Toc184313264"/>
      <w:bookmarkEnd w:id="332"/>
      <w:bookmarkStart w:id="333" w:name="_Toc184310334"/>
      <w:bookmarkEnd w:id="333"/>
      <w:bookmarkStart w:id="334" w:name="_Toc184312129"/>
      <w:bookmarkEnd w:id="334"/>
      <w:bookmarkStart w:id="335" w:name="_Toc184314459"/>
      <w:bookmarkEnd w:id="335"/>
      <w:bookmarkStart w:id="336" w:name="_Toc184310291"/>
      <w:bookmarkEnd w:id="336"/>
      <w:bookmarkStart w:id="337" w:name="_Toc184312076"/>
      <w:bookmarkEnd w:id="337"/>
      <w:bookmarkStart w:id="338" w:name="_Toc184308048"/>
      <w:bookmarkEnd w:id="338"/>
      <w:bookmarkStart w:id="339" w:name="_Toc184310281"/>
      <w:bookmarkEnd w:id="339"/>
      <w:bookmarkStart w:id="340" w:name="_Toc184310316"/>
      <w:bookmarkEnd w:id="340"/>
      <w:bookmarkStart w:id="341" w:name="_Toc184310323"/>
      <w:bookmarkEnd w:id="341"/>
      <w:bookmarkStart w:id="342" w:name="_Toc184310306"/>
      <w:bookmarkEnd w:id="342"/>
      <w:bookmarkStart w:id="343" w:name="_Toc184313266"/>
      <w:bookmarkEnd w:id="343"/>
      <w:bookmarkStart w:id="344" w:name="_Toc184314473"/>
      <w:bookmarkEnd w:id="344"/>
      <w:bookmarkStart w:id="345" w:name="_Toc184313289"/>
      <w:bookmarkEnd w:id="345"/>
      <w:bookmarkStart w:id="346" w:name="_Toc184308104"/>
      <w:bookmarkEnd w:id="346"/>
      <w:bookmarkStart w:id="347" w:name="_Toc184312109"/>
      <w:bookmarkEnd w:id="347"/>
      <w:bookmarkStart w:id="348" w:name="_Toc184312089"/>
      <w:bookmarkEnd w:id="348"/>
      <w:bookmarkStart w:id="349" w:name="_Toc184312114"/>
      <w:bookmarkEnd w:id="349"/>
      <w:bookmarkStart w:id="350" w:name="_Toc184308044"/>
      <w:bookmarkEnd w:id="350"/>
      <w:bookmarkStart w:id="351" w:name="_Toc184314461"/>
      <w:bookmarkEnd w:id="351"/>
      <w:bookmarkStart w:id="352" w:name="_Toc184310301"/>
      <w:bookmarkEnd w:id="352"/>
      <w:bookmarkStart w:id="353" w:name="_Toc184314447"/>
      <w:bookmarkEnd w:id="353"/>
      <w:bookmarkStart w:id="354" w:name="_Toc184314416"/>
      <w:bookmarkEnd w:id="354"/>
      <w:bookmarkStart w:id="355" w:name="_Toc184310279"/>
      <w:bookmarkEnd w:id="355"/>
      <w:bookmarkStart w:id="356" w:name="_Toc184314411"/>
      <w:bookmarkEnd w:id="356"/>
      <w:bookmarkStart w:id="357" w:name="_Toc184308070"/>
      <w:bookmarkEnd w:id="357"/>
      <w:bookmarkStart w:id="358" w:name="_Toc184313271"/>
      <w:bookmarkEnd w:id="358"/>
      <w:bookmarkStart w:id="359" w:name="_Toc184313261"/>
      <w:bookmarkEnd w:id="359"/>
      <w:bookmarkStart w:id="360" w:name="_Toc184314480"/>
      <w:bookmarkEnd w:id="360"/>
      <w:bookmarkStart w:id="361" w:name="_Toc184314477"/>
      <w:bookmarkEnd w:id="361"/>
      <w:bookmarkStart w:id="362" w:name="_Toc184312078"/>
      <w:bookmarkEnd w:id="362"/>
      <w:bookmarkStart w:id="363" w:name="_Toc184314450"/>
      <w:bookmarkEnd w:id="363"/>
      <w:bookmarkStart w:id="364" w:name="_Toc184308095"/>
      <w:bookmarkEnd w:id="364"/>
      <w:bookmarkStart w:id="365" w:name="_Toc184308079"/>
      <w:bookmarkEnd w:id="365"/>
      <w:bookmarkStart w:id="366" w:name="_Toc184312085"/>
      <w:bookmarkEnd w:id="366"/>
      <w:bookmarkStart w:id="367" w:name="_Toc184310337"/>
      <w:bookmarkEnd w:id="367"/>
      <w:bookmarkStart w:id="368" w:name="_Toc184314462"/>
      <w:bookmarkEnd w:id="368"/>
      <w:bookmarkStart w:id="369" w:name="_Toc184308066"/>
      <w:bookmarkEnd w:id="369"/>
      <w:bookmarkStart w:id="370" w:name="_Toc184312091"/>
      <w:bookmarkEnd w:id="370"/>
      <w:bookmarkStart w:id="371" w:name="_Toc184312073"/>
      <w:bookmarkEnd w:id="371"/>
      <w:bookmarkStart w:id="372" w:name="_Toc184312080"/>
      <w:bookmarkEnd w:id="372"/>
      <w:bookmarkStart w:id="373" w:name="_Toc184310283"/>
      <w:bookmarkEnd w:id="373"/>
      <w:bookmarkStart w:id="374" w:name="_Toc184308052"/>
      <w:bookmarkEnd w:id="374"/>
      <w:bookmarkStart w:id="375" w:name="_Toc184314449"/>
      <w:bookmarkEnd w:id="375"/>
      <w:bookmarkStart w:id="376" w:name="_Toc184314476"/>
      <w:bookmarkEnd w:id="376"/>
      <w:bookmarkStart w:id="377" w:name="_Toc184308080"/>
      <w:bookmarkEnd w:id="377"/>
      <w:bookmarkStart w:id="378" w:name="_Toc184313298"/>
      <w:bookmarkEnd w:id="378"/>
      <w:bookmarkStart w:id="379" w:name="_Toc184308101"/>
      <w:bookmarkEnd w:id="379"/>
      <w:bookmarkStart w:id="380" w:name="_Toc184310331"/>
      <w:bookmarkEnd w:id="380"/>
      <w:bookmarkStart w:id="381" w:name="_Toc184312133"/>
      <w:bookmarkEnd w:id="381"/>
      <w:bookmarkStart w:id="382" w:name="_Toc184313259"/>
      <w:bookmarkEnd w:id="382"/>
      <w:bookmarkStart w:id="383" w:name="_Toc184312137"/>
      <w:bookmarkEnd w:id="383"/>
      <w:bookmarkStart w:id="384" w:name="_Toc184314410"/>
      <w:bookmarkEnd w:id="384"/>
      <w:bookmarkStart w:id="385" w:name="_Toc184313296"/>
      <w:bookmarkEnd w:id="385"/>
      <w:bookmarkStart w:id="386" w:name="_Toc184310285"/>
      <w:bookmarkEnd w:id="386"/>
      <w:bookmarkStart w:id="387" w:name="_Toc184314445"/>
      <w:bookmarkEnd w:id="387"/>
      <w:bookmarkStart w:id="388" w:name="_Toc184312128"/>
      <w:bookmarkEnd w:id="388"/>
      <w:bookmarkStart w:id="389" w:name="_Toc184308061"/>
      <w:bookmarkEnd w:id="389"/>
      <w:r>
        <w:rPr>
          <w:rFonts w:hint="eastAsia" w:ascii="宋体" w:hAnsi="宋体" w:eastAsia="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pPr>
        <w:pStyle w:val="2"/>
        <w:rPr>
          <w:rFonts w:hint="eastAsia" w:eastAsia="宋体"/>
          <w:sz w:val="22"/>
          <w:szCs w:val="16"/>
          <w:lang w:eastAsia="zh-CN"/>
        </w:rPr>
      </w:pPr>
      <w:r>
        <w:rPr>
          <w:rFonts w:hint="eastAsia" w:hAnsi="宋体" w:cs="宋体"/>
          <w:b/>
          <w:sz w:val="24"/>
          <w:szCs w:val="16"/>
          <w:lang w:eastAsia="zh-CN"/>
        </w:rPr>
        <w:t>注：若为联合体投标的，以联合体牵头单位资信为评分依据</w:t>
      </w:r>
    </w:p>
    <w:tbl>
      <w:tblPr>
        <w:tblStyle w:val="63"/>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15"/>
        <w:gridCol w:w="768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402" w:type="dxa"/>
            <w:gridSpan w:val="4"/>
            <w:vAlign w:val="center"/>
          </w:tcPr>
          <w:p>
            <w:pPr>
              <w:adjustRightInd/>
              <w:jc w:val="center"/>
              <w:rPr>
                <w:rFonts w:hint="eastAsia" w:ascii="宋体" w:hAnsi="宋体" w:eastAsia="宋体" w:cs="宋体"/>
                <w:b/>
                <w:bCs/>
                <w:color w:val="auto"/>
                <w:sz w:val="24"/>
                <w:highlight w:val="none"/>
              </w:rPr>
            </w:pPr>
            <w:r>
              <w:rPr>
                <w:rFonts w:hint="eastAsia" w:ascii="宋体" w:hAnsi="宋体" w:cs="宋体"/>
                <w:b/>
                <w:bCs/>
                <w:sz w:val="24"/>
                <w:highlight w:val="none"/>
              </w:rPr>
              <w:t>商务技术文件部分（</w:t>
            </w:r>
            <w:r>
              <w:rPr>
                <w:rFonts w:hint="eastAsia" w:ascii="宋体" w:hAnsi="宋体" w:cs="宋体"/>
                <w:b/>
                <w:bCs/>
                <w:sz w:val="24"/>
                <w:highlight w:val="none"/>
                <w:lang w:val="en-US" w:eastAsia="zh-CN"/>
              </w:rPr>
              <w:t>90</w:t>
            </w:r>
            <w:r>
              <w:rPr>
                <w:rFonts w:hint="eastAsia" w:ascii="宋体" w:hAnsi="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1" w:type="dxa"/>
            <w:vAlign w:val="center"/>
          </w:tcPr>
          <w:p>
            <w:pPr>
              <w:adjustRightInd/>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215" w:type="dxa"/>
            <w:vAlign w:val="center"/>
          </w:tcPr>
          <w:p>
            <w:pPr>
              <w:adjustRightInd/>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评标内容</w:t>
            </w:r>
          </w:p>
        </w:tc>
        <w:tc>
          <w:tcPr>
            <w:tcW w:w="7686" w:type="dxa"/>
            <w:vAlign w:val="center"/>
          </w:tcPr>
          <w:p>
            <w:pPr>
              <w:adjustRightInd/>
              <w:jc w:val="center"/>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rPr>
              <w:t>评标标准</w:t>
            </w:r>
          </w:p>
        </w:tc>
        <w:tc>
          <w:tcPr>
            <w:tcW w:w="780" w:type="dxa"/>
            <w:vAlign w:val="center"/>
          </w:tcPr>
          <w:p>
            <w:pPr>
              <w:adjustRightInd/>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w:t>
            </w:r>
          </w:p>
        </w:tc>
        <w:tc>
          <w:tcPr>
            <w:tcW w:w="1215"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偿付能力</w:t>
            </w:r>
          </w:p>
        </w:tc>
        <w:tc>
          <w:tcPr>
            <w:tcW w:w="7686" w:type="dxa"/>
            <w:vAlign w:val="center"/>
          </w:tcPr>
          <w:p>
            <w:pPr>
              <w:adjustRightInd/>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考察投标人总公司20</w:t>
            </w:r>
            <w:r>
              <w:rPr>
                <w:rFonts w:hint="default" w:ascii="宋体" w:hAnsi="宋体" w:eastAsia="宋体" w:cs="宋体"/>
                <w:b w:val="0"/>
                <w:bCs w:val="0"/>
                <w:color w:val="auto"/>
                <w:sz w:val="24"/>
                <w:highlight w:val="none"/>
                <w:lang w:val="en-US" w:eastAsia="zh-CN"/>
              </w:rPr>
              <w:t>23</w:t>
            </w:r>
            <w:r>
              <w:rPr>
                <w:rFonts w:hint="eastAsia" w:ascii="宋体" w:hAnsi="宋体" w:eastAsia="宋体" w:cs="宋体"/>
                <w:b w:val="0"/>
                <w:bCs w:val="0"/>
                <w:color w:val="auto"/>
                <w:sz w:val="24"/>
                <w:highlight w:val="none"/>
                <w:lang w:val="en-US" w:eastAsia="zh-CN"/>
              </w:rPr>
              <w:t>年</w:t>
            </w:r>
            <w:r>
              <w:rPr>
                <w:rFonts w:hint="eastAsia" w:ascii="宋体" w:hAnsi="宋体" w:cs="宋体"/>
                <w:b w:val="0"/>
                <w:bCs w:val="0"/>
                <w:color w:val="auto"/>
                <w:sz w:val="24"/>
                <w:highlight w:val="none"/>
                <w:lang w:val="en-US" w:eastAsia="zh-CN"/>
              </w:rPr>
              <w:t>第</w:t>
            </w:r>
            <w:r>
              <w:rPr>
                <w:rFonts w:hint="eastAsia" w:ascii="宋体" w:hAnsi="宋体" w:eastAsia="宋体" w:cs="宋体"/>
                <w:b w:val="0"/>
                <w:bCs w:val="0"/>
                <w:color w:val="auto"/>
                <w:sz w:val="24"/>
                <w:highlight w:val="none"/>
                <w:lang w:val="en-US" w:eastAsia="zh-CN"/>
              </w:rPr>
              <w:t>四</w:t>
            </w:r>
            <w:r>
              <w:rPr>
                <w:rFonts w:hint="default" w:ascii="宋体" w:hAnsi="宋体" w:eastAsia="宋体" w:cs="宋体"/>
                <w:b w:val="0"/>
                <w:bCs w:val="0"/>
                <w:color w:val="auto"/>
                <w:sz w:val="24"/>
                <w:highlight w:val="none"/>
                <w:lang w:val="en-US" w:eastAsia="zh-CN"/>
              </w:rPr>
              <w:t>季度</w:t>
            </w:r>
            <w:r>
              <w:rPr>
                <w:rFonts w:hint="eastAsia" w:ascii="宋体" w:hAnsi="宋体" w:eastAsia="宋体" w:cs="宋体"/>
                <w:b w:val="0"/>
                <w:bCs w:val="0"/>
                <w:color w:val="auto"/>
                <w:sz w:val="24"/>
                <w:highlight w:val="none"/>
                <w:lang w:val="en-US" w:eastAsia="zh-Hans"/>
              </w:rPr>
              <w:t>综合偿付能力</w:t>
            </w:r>
            <w:r>
              <w:rPr>
                <w:rFonts w:hint="eastAsia" w:ascii="宋体" w:hAnsi="宋体" w:eastAsia="宋体" w:cs="宋体"/>
                <w:b w:val="0"/>
                <w:bCs w:val="0"/>
                <w:color w:val="auto"/>
                <w:sz w:val="24"/>
                <w:highlight w:val="none"/>
                <w:lang w:val="en-US" w:eastAsia="zh-CN"/>
              </w:rPr>
              <w:t>充足率大于等于</w:t>
            </w:r>
            <w:r>
              <w:rPr>
                <w:rFonts w:hint="eastAsia" w:ascii="宋体" w:hAnsi="宋体" w:eastAsia="宋体" w:cs="宋体"/>
                <w:b w:val="0"/>
                <w:bCs w:val="0"/>
                <w:color w:val="auto"/>
                <w:sz w:val="24"/>
                <w:highlight w:val="none"/>
                <w:lang w:val="en-US" w:eastAsia="zh-Hans"/>
              </w:rPr>
              <w:t>2</w:t>
            </w:r>
            <w:r>
              <w:rPr>
                <w:rFonts w:hint="eastAsia" w:ascii="宋体" w:hAnsi="宋体" w:eastAsia="宋体" w:cs="宋体"/>
                <w:b w:val="0"/>
                <w:bCs w:val="0"/>
                <w:color w:val="auto"/>
                <w:sz w:val="24"/>
                <w:highlight w:val="none"/>
                <w:lang w:val="en-US" w:eastAsia="zh-CN"/>
              </w:rPr>
              <w:t>5</w:t>
            </w:r>
            <w:r>
              <w:rPr>
                <w:rFonts w:hint="default" w:ascii="宋体" w:hAnsi="宋体" w:eastAsia="宋体" w:cs="宋体"/>
                <w:b w:val="0"/>
                <w:bCs w:val="0"/>
                <w:color w:val="auto"/>
                <w:sz w:val="24"/>
                <w:highlight w:val="none"/>
                <w:lang w:val="en-US" w:eastAsia="zh-Hans"/>
              </w:rPr>
              <w:t>0%</w:t>
            </w:r>
            <w:r>
              <w:rPr>
                <w:rFonts w:hint="eastAsia" w:ascii="宋体" w:hAnsi="宋体" w:eastAsia="宋体" w:cs="宋体"/>
                <w:b w:val="0"/>
                <w:bCs w:val="0"/>
                <w:color w:val="auto"/>
                <w:sz w:val="24"/>
                <w:highlight w:val="none"/>
                <w:lang w:val="en-US" w:eastAsia="zh-CN"/>
              </w:rPr>
              <w:t>的</w:t>
            </w:r>
            <w:r>
              <w:rPr>
                <w:rFonts w:hint="default"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w:t>
            </w:r>
            <w:r>
              <w:rPr>
                <w:rFonts w:hint="default" w:ascii="宋体" w:hAnsi="宋体" w:eastAsia="宋体" w:cs="宋体"/>
                <w:b w:val="0"/>
                <w:bCs w:val="0"/>
                <w:color w:val="auto"/>
                <w:sz w:val="24"/>
                <w:highlight w:val="none"/>
                <w:lang w:val="en-US" w:eastAsia="zh-Hans"/>
              </w:rPr>
              <w:t>；</w:t>
            </w:r>
            <w:r>
              <w:rPr>
                <w:rFonts w:hint="eastAsia" w:ascii="宋体" w:hAnsi="宋体" w:eastAsia="宋体" w:cs="宋体"/>
                <w:b w:val="0"/>
                <w:bCs w:val="0"/>
                <w:color w:val="auto"/>
                <w:sz w:val="24"/>
                <w:highlight w:val="none"/>
                <w:lang w:val="en-US" w:eastAsia="zh-Hans"/>
              </w:rPr>
              <w:t>2</w:t>
            </w:r>
            <w:r>
              <w:rPr>
                <w:rFonts w:hint="default" w:ascii="宋体" w:hAnsi="宋体" w:eastAsia="宋体" w:cs="宋体"/>
                <w:b w:val="0"/>
                <w:bCs w:val="0"/>
                <w:color w:val="auto"/>
                <w:sz w:val="24"/>
                <w:highlight w:val="none"/>
                <w:lang w:val="en-US" w:eastAsia="zh-Hans"/>
              </w:rPr>
              <w:t>00%</w:t>
            </w:r>
            <w:r>
              <w:rPr>
                <w:rFonts w:hint="eastAsia" w:ascii="宋体" w:hAnsi="宋体" w:eastAsia="宋体" w:cs="宋体"/>
                <w:b w:val="0"/>
                <w:bCs w:val="0"/>
                <w:color w:val="auto"/>
                <w:sz w:val="24"/>
                <w:highlight w:val="none"/>
                <w:lang w:val="en-US" w:eastAsia="zh-Hans"/>
              </w:rPr>
              <w:t>（</w:t>
            </w:r>
            <w:bookmarkStart w:id="398" w:name="_GoBack"/>
            <w:bookmarkEnd w:id="398"/>
            <w:r>
              <w:rPr>
                <w:rFonts w:hint="eastAsia" w:ascii="宋体" w:hAnsi="宋体" w:eastAsia="宋体" w:cs="宋体"/>
                <w:b w:val="0"/>
                <w:bCs w:val="0"/>
                <w:color w:val="auto"/>
                <w:sz w:val="24"/>
                <w:highlight w:val="none"/>
                <w:lang w:val="en-US" w:eastAsia="zh-Hans"/>
              </w:rPr>
              <w:t>含）</w:t>
            </w:r>
            <w:r>
              <w:rPr>
                <w:rFonts w:hint="default" w:ascii="宋体" w:hAnsi="宋体" w:eastAsia="宋体" w:cs="宋体"/>
                <w:b w:val="0"/>
                <w:bCs w:val="0"/>
                <w:color w:val="auto"/>
                <w:sz w:val="24"/>
                <w:highlight w:val="none"/>
                <w:lang w:val="en-US" w:eastAsia="zh-Hans"/>
              </w:rPr>
              <w:t>-250%</w:t>
            </w:r>
            <w:r>
              <w:rPr>
                <w:rFonts w:hint="eastAsia" w:ascii="宋体" w:hAnsi="宋体" w:eastAsia="宋体" w:cs="宋体"/>
                <w:b w:val="0"/>
                <w:bCs w:val="0"/>
                <w:color w:val="auto"/>
                <w:sz w:val="24"/>
                <w:highlight w:val="none"/>
                <w:lang w:val="en-US" w:eastAsia="zh-Hans"/>
              </w:rPr>
              <w:t>（不含）得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Hans"/>
              </w:rPr>
              <w:t>分</w:t>
            </w:r>
            <w:r>
              <w:rPr>
                <w:rFonts w:hint="default" w:ascii="宋体" w:hAnsi="宋体" w:eastAsia="宋体" w:cs="宋体"/>
                <w:b w:val="0"/>
                <w:bCs w:val="0"/>
                <w:color w:val="auto"/>
                <w:sz w:val="24"/>
                <w:highlight w:val="none"/>
                <w:lang w:val="en-US" w:eastAsia="zh-Hans"/>
              </w:rPr>
              <w:t>；</w:t>
            </w:r>
            <w:r>
              <w:rPr>
                <w:rFonts w:hint="eastAsia" w:ascii="宋体" w:hAnsi="宋体" w:eastAsia="宋体" w:cs="宋体"/>
                <w:b w:val="0"/>
                <w:bCs w:val="0"/>
                <w:color w:val="auto"/>
                <w:sz w:val="24"/>
                <w:highlight w:val="none"/>
                <w:lang w:val="en-US" w:eastAsia="zh-Hans"/>
              </w:rPr>
              <w:t>150</w:t>
            </w:r>
            <w:r>
              <w:rPr>
                <w:rFonts w:hint="default" w:ascii="宋体" w:hAnsi="宋体" w:eastAsia="宋体" w:cs="宋体"/>
                <w:b w:val="0"/>
                <w:bCs w:val="0"/>
                <w:color w:val="auto"/>
                <w:sz w:val="24"/>
                <w:highlight w:val="none"/>
                <w:lang w:val="en-US" w:eastAsia="zh-Hans"/>
              </w:rPr>
              <w:t>%</w:t>
            </w:r>
            <w:r>
              <w:rPr>
                <w:rFonts w:hint="eastAsia" w:ascii="宋体" w:hAnsi="宋体" w:eastAsia="宋体" w:cs="宋体"/>
                <w:b w:val="0"/>
                <w:bCs w:val="0"/>
                <w:color w:val="auto"/>
                <w:sz w:val="24"/>
                <w:highlight w:val="none"/>
                <w:lang w:val="en-US" w:eastAsia="zh-Hans"/>
              </w:rPr>
              <w:t>（含）-200</w:t>
            </w:r>
            <w:r>
              <w:rPr>
                <w:rFonts w:hint="default" w:ascii="宋体" w:hAnsi="宋体" w:eastAsia="宋体" w:cs="宋体"/>
                <w:b w:val="0"/>
                <w:bCs w:val="0"/>
                <w:color w:val="auto"/>
                <w:sz w:val="24"/>
                <w:highlight w:val="none"/>
                <w:lang w:val="en-US" w:eastAsia="zh-Hans"/>
              </w:rPr>
              <w:t>%</w:t>
            </w:r>
            <w:r>
              <w:rPr>
                <w:rFonts w:hint="eastAsia" w:ascii="宋体" w:hAnsi="宋体" w:eastAsia="宋体" w:cs="宋体"/>
                <w:b w:val="0"/>
                <w:bCs w:val="0"/>
                <w:color w:val="auto"/>
                <w:sz w:val="24"/>
                <w:highlight w:val="none"/>
                <w:lang w:val="en-US" w:eastAsia="zh-Hans"/>
              </w:rPr>
              <w:t>（不含）得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Hans"/>
              </w:rPr>
              <w:t>分</w:t>
            </w:r>
            <w:r>
              <w:rPr>
                <w:rFonts w:hint="default" w:ascii="宋体" w:hAnsi="宋体" w:eastAsia="宋体" w:cs="宋体"/>
                <w:b w:val="0"/>
                <w:bCs w:val="0"/>
                <w:color w:val="auto"/>
                <w:sz w:val="24"/>
                <w:highlight w:val="none"/>
                <w:lang w:val="en-US" w:eastAsia="zh-Hans"/>
              </w:rPr>
              <w:t>，</w:t>
            </w:r>
            <w:r>
              <w:rPr>
                <w:rFonts w:hint="eastAsia" w:ascii="宋体" w:hAnsi="宋体" w:eastAsia="宋体" w:cs="宋体"/>
                <w:b w:val="0"/>
                <w:bCs w:val="0"/>
                <w:color w:val="auto"/>
                <w:sz w:val="24"/>
                <w:highlight w:val="none"/>
                <w:lang w:val="en-US" w:eastAsia="zh-Hans"/>
              </w:rPr>
              <w:t>100</w:t>
            </w:r>
            <w:r>
              <w:rPr>
                <w:rFonts w:hint="default" w:ascii="宋体" w:hAnsi="宋体" w:eastAsia="宋体" w:cs="宋体"/>
                <w:b w:val="0"/>
                <w:bCs w:val="0"/>
                <w:color w:val="auto"/>
                <w:sz w:val="24"/>
                <w:highlight w:val="none"/>
                <w:lang w:val="en-US" w:eastAsia="zh-Hans"/>
              </w:rPr>
              <w:t>%</w:t>
            </w:r>
            <w:r>
              <w:rPr>
                <w:rFonts w:hint="eastAsia" w:ascii="宋体" w:hAnsi="宋体" w:eastAsia="宋体" w:cs="宋体"/>
                <w:b w:val="0"/>
                <w:bCs w:val="0"/>
                <w:color w:val="auto"/>
                <w:sz w:val="24"/>
                <w:highlight w:val="none"/>
                <w:lang w:val="en-US" w:eastAsia="zh-Hans"/>
              </w:rPr>
              <w:t>（含）-150%（不含）得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Hans"/>
              </w:rPr>
              <w:t>分</w:t>
            </w:r>
            <w:r>
              <w:rPr>
                <w:rFonts w:hint="default" w:ascii="宋体" w:hAnsi="宋体" w:eastAsia="宋体" w:cs="宋体"/>
                <w:b w:val="0"/>
                <w:bCs w:val="0"/>
                <w:color w:val="auto"/>
                <w:sz w:val="24"/>
                <w:highlight w:val="none"/>
                <w:lang w:val="en-US" w:eastAsia="zh-Hans"/>
              </w:rPr>
              <w:t>，</w:t>
            </w:r>
            <w:r>
              <w:rPr>
                <w:rFonts w:hint="eastAsia" w:ascii="宋体" w:hAnsi="宋体" w:eastAsia="宋体" w:cs="宋体"/>
                <w:b w:val="0"/>
                <w:bCs w:val="0"/>
                <w:color w:val="auto"/>
                <w:sz w:val="24"/>
                <w:highlight w:val="none"/>
                <w:lang w:val="en-US" w:eastAsia="zh-Hans"/>
              </w:rPr>
              <w:t>100</w:t>
            </w:r>
            <w:r>
              <w:rPr>
                <w:rFonts w:hint="default" w:ascii="宋体" w:hAnsi="宋体" w:eastAsia="宋体" w:cs="宋体"/>
                <w:b w:val="0"/>
                <w:bCs w:val="0"/>
                <w:color w:val="auto"/>
                <w:sz w:val="24"/>
                <w:highlight w:val="none"/>
                <w:lang w:val="en-US" w:eastAsia="zh-Hans"/>
              </w:rPr>
              <w:t>%</w:t>
            </w:r>
            <w:r>
              <w:rPr>
                <w:rFonts w:hint="eastAsia" w:ascii="宋体" w:hAnsi="宋体" w:eastAsia="宋体" w:cs="宋体"/>
                <w:b w:val="0"/>
                <w:bCs w:val="0"/>
                <w:color w:val="auto"/>
                <w:sz w:val="24"/>
                <w:highlight w:val="none"/>
                <w:lang w:val="en-US" w:eastAsia="zh-Hans"/>
              </w:rPr>
              <w:t>以下</w:t>
            </w:r>
            <w:r>
              <w:rPr>
                <w:rFonts w:hint="default" w:ascii="宋体" w:hAnsi="宋体" w:eastAsia="宋体" w:cs="宋体"/>
                <w:b w:val="0"/>
                <w:bCs w:val="0"/>
                <w:color w:val="auto"/>
                <w:sz w:val="24"/>
                <w:highlight w:val="none"/>
                <w:lang w:val="en-US" w:eastAsia="zh-Hans"/>
              </w:rPr>
              <w:t>不得分。</w:t>
            </w:r>
          </w:p>
        </w:tc>
        <w:tc>
          <w:tcPr>
            <w:tcW w:w="780"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w:t>
            </w:r>
          </w:p>
        </w:tc>
        <w:tc>
          <w:tcPr>
            <w:tcW w:w="1215"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风险评级</w:t>
            </w:r>
          </w:p>
        </w:tc>
        <w:tc>
          <w:tcPr>
            <w:tcW w:w="7686" w:type="dxa"/>
            <w:vAlign w:val="center"/>
          </w:tcPr>
          <w:p>
            <w:pPr>
              <w:adjustRightInd/>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考察</w:t>
            </w:r>
            <w:r>
              <w:rPr>
                <w:rFonts w:hint="default" w:ascii="宋体" w:hAnsi="宋体" w:eastAsia="宋体" w:cs="宋体"/>
                <w:b w:val="0"/>
                <w:bCs w:val="0"/>
                <w:color w:val="auto"/>
                <w:sz w:val="24"/>
                <w:highlight w:val="none"/>
                <w:lang w:val="en-US" w:eastAsia="zh-CN"/>
              </w:rPr>
              <w:t>投标人</w:t>
            </w:r>
            <w:r>
              <w:rPr>
                <w:rFonts w:hint="eastAsia" w:ascii="宋体" w:hAnsi="宋体" w:eastAsia="宋体" w:cs="宋体"/>
                <w:b w:val="0"/>
                <w:bCs w:val="0"/>
                <w:color w:val="auto"/>
                <w:sz w:val="24"/>
                <w:highlight w:val="none"/>
                <w:lang w:val="en-US" w:eastAsia="zh-CN"/>
              </w:rPr>
              <w:t>2</w:t>
            </w:r>
            <w:r>
              <w:rPr>
                <w:rFonts w:hint="default" w:ascii="宋体" w:hAnsi="宋体" w:eastAsia="宋体" w:cs="宋体"/>
                <w:b w:val="0"/>
                <w:bCs w:val="0"/>
                <w:color w:val="auto"/>
                <w:sz w:val="24"/>
                <w:highlight w:val="none"/>
                <w:lang w:val="en-US" w:eastAsia="zh-CN"/>
              </w:rPr>
              <w:t>023</w:t>
            </w:r>
            <w:r>
              <w:rPr>
                <w:rFonts w:hint="eastAsia" w:ascii="宋体" w:hAnsi="宋体" w:eastAsia="宋体" w:cs="宋体"/>
                <w:b w:val="0"/>
                <w:bCs w:val="0"/>
                <w:color w:val="auto"/>
                <w:sz w:val="24"/>
                <w:highlight w:val="none"/>
                <w:lang w:val="en-US" w:eastAsia="zh-CN"/>
              </w:rPr>
              <w:t>年</w:t>
            </w:r>
            <w:r>
              <w:rPr>
                <w:rFonts w:hint="eastAsia" w:ascii="宋体" w:hAnsi="宋体" w:cs="宋体"/>
                <w:b w:val="0"/>
                <w:bCs w:val="0"/>
                <w:color w:val="auto"/>
                <w:sz w:val="24"/>
                <w:highlight w:val="none"/>
                <w:lang w:val="en-US" w:eastAsia="zh-CN"/>
              </w:rPr>
              <w:t>第</w:t>
            </w:r>
            <w:r>
              <w:rPr>
                <w:rFonts w:hint="eastAsia" w:ascii="宋体" w:hAnsi="宋体" w:eastAsia="宋体" w:cs="宋体"/>
                <w:b w:val="0"/>
                <w:bCs w:val="0"/>
                <w:color w:val="auto"/>
                <w:sz w:val="24"/>
                <w:highlight w:val="none"/>
                <w:lang w:val="en-US" w:eastAsia="zh-CN"/>
              </w:rPr>
              <w:t>四</w:t>
            </w:r>
            <w:r>
              <w:rPr>
                <w:rFonts w:hint="default" w:ascii="宋体" w:hAnsi="宋体" w:eastAsia="宋体" w:cs="宋体"/>
                <w:b w:val="0"/>
                <w:bCs w:val="0"/>
                <w:color w:val="auto"/>
                <w:sz w:val="24"/>
                <w:highlight w:val="none"/>
                <w:lang w:val="en-US" w:eastAsia="zh-CN"/>
              </w:rPr>
              <w:t>季度</w:t>
            </w:r>
            <w:r>
              <w:rPr>
                <w:rFonts w:hint="eastAsia" w:ascii="宋体" w:hAnsi="宋体" w:eastAsia="宋体" w:cs="宋体"/>
                <w:b w:val="0"/>
                <w:bCs w:val="0"/>
                <w:color w:val="auto"/>
                <w:sz w:val="24"/>
                <w:highlight w:val="none"/>
                <w:lang w:val="en-US" w:eastAsia="zh-CN"/>
              </w:rPr>
              <w:t>风险评级结果</w:t>
            </w:r>
            <w:r>
              <w:rPr>
                <w:rFonts w:hint="default"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A</w:t>
            </w:r>
            <w:r>
              <w:rPr>
                <w:rFonts w:hint="default" w:ascii="宋体" w:hAnsi="宋体" w:eastAsia="宋体" w:cs="宋体"/>
                <w:b w:val="0"/>
                <w:bCs w:val="0"/>
                <w:color w:val="auto"/>
                <w:sz w:val="24"/>
                <w:highlight w:val="none"/>
                <w:lang w:val="en-US" w:eastAsia="zh-CN"/>
              </w:rPr>
              <w:t>AA</w:t>
            </w:r>
            <w:r>
              <w:rPr>
                <w:rFonts w:hint="eastAsia" w:ascii="宋体" w:hAnsi="宋体" w:eastAsia="宋体" w:cs="宋体"/>
                <w:b w:val="0"/>
                <w:bCs w:val="0"/>
                <w:color w:val="auto"/>
                <w:sz w:val="24"/>
                <w:highlight w:val="none"/>
                <w:lang w:val="en-US" w:eastAsia="zh-CN"/>
              </w:rPr>
              <w:t>类得</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分，</w:t>
            </w:r>
            <w:r>
              <w:rPr>
                <w:rFonts w:hint="default" w:ascii="宋体" w:hAnsi="宋体" w:eastAsia="宋体" w:cs="宋体"/>
                <w:b w:val="0"/>
                <w:bCs w:val="0"/>
                <w:color w:val="auto"/>
                <w:sz w:val="24"/>
                <w:highlight w:val="none"/>
                <w:lang w:val="en-US" w:eastAsia="zh-CN"/>
              </w:rPr>
              <w:t>AA</w:t>
            </w:r>
            <w:r>
              <w:rPr>
                <w:rFonts w:hint="eastAsia" w:ascii="宋体" w:hAnsi="宋体" w:eastAsia="宋体" w:cs="宋体"/>
                <w:b w:val="0"/>
                <w:bCs w:val="0"/>
                <w:color w:val="auto"/>
                <w:sz w:val="24"/>
                <w:highlight w:val="none"/>
                <w:lang w:val="en-US" w:eastAsia="zh-Hans"/>
              </w:rPr>
              <w:t>类得</w:t>
            </w:r>
            <w:r>
              <w:rPr>
                <w:rFonts w:hint="eastAsia" w:ascii="宋体" w:hAnsi="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Hans"/>
              </w:rPr>
              <w:t>分</w:t>
            </w:r>
            <w:r>
              <w:rPr>
                <w:rFonts w:hint="default" w:ascii="宋体" w:hAnsi="宋体" w:eastAsia="宋体" w:cs="宋体"/>
                <w:b w:val="0"/>
                <w:bCs w:val="0"/>
                <w:color w:val="auto"/>
                <w:sz w:val="24"/>
                <w:highlight w:val="none"/>
                <w:lang w:val="en-US" w:eastAsia="zh-Hans"/>
              </w:rPr>
              <w:t>，</w:t>
            </w:r>
            <w:r>
              <w:rPr>
                <w:rFonts w:hint="default" w:ascii="宋体" w:hAnsi="宋体" w:eastAsia="宋体" w:cs="宋体"/>
                <w:b w:val="0"/>
                <w:bCs w:val="0"/>
                <w:color w:val="auto"/>
                <w:sz w:val="24"/>
                <w:highlight w:val="none"/>
                <w:lang w:val="en-US" w:eastAsia="zh-CN"/>
              </w:rPr>
              <w:t>A</w:t>
            </w:r>
            <w:r>
              <w:rPr>
                <w:rFonts w:hint="eastAsia" w:ascii="宋体" w:hAnsi="宋体" w:eastAsia="宋体" w:cs="宋体"/>
                <w:b w:val="0"/>
                <w:bCs w:val="0"/>
                <w:color w:val="auto"/>
                <w:sz w:val="24"/>
                <w:highlight w:val="none"/>
                <w:lang w:val="en-US" w:eastAsia="zh-Hans"/>
              </w:rPr>
              <w:t>类得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Hans"/>
              </w:rPr>
              <w:t>分</w:t>
            </w:r>
            <w:r>
              <w:rPr>
                <w:rFonts w:hint="default" w:ascii="宋体" w:hAnsi="宋体" w:eastAsia="宋体" w:cs="宋体"/>
                <w:b w:val="0"/>
                <w:bCs w:val="0"/>
                <w:color w:val="auto"/>
                <w:sz w:val="24"/>
                <w:highlight w:val="none"/>
                <w:lang w:val="en-US" w:eastAsia="zh-Hans"/>
              </w:rPr>
              <w:t>，</w:t>
            </w:r>
            <w:r>
              <w:rPr>
                <w:rFonts w:hint="eastAsia" w:ascii="宋体" w:hAnsi="宋体" w:eastAsia="宋体" w:cs="宋体"/>
                <w:b w:val="0"/>
                <w:bCs w:val="0"/>
                <w:color w:val="auto"/>
                <w:sz w:val="24"/>
                <w:highlight w:val="none"/>
                <w:lang w:val="en-US" w:eastAsia="zh-Hans"/>
              </w:rPr>
              <w:t>BBB类得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Hans"/>
              </w:rPr>
              <w:t>分</w:t>
            </w:r>
            <w:r>
              <w:rPr>
                <w:rFonts w:hint="default" w:ascii="宋体" w:hAnsi="宋体" w:eastAsia="宋体" w:cs="宋体"/>
                <w:b w:val="0"/>
                <w:bCs w:val="0"/>
                <w:color w:val="auto"/>
                <w:sz w:val="24"/>
                <w:highlight w:val="none"/>
                <w:lang w:val="en-US" w:eastAsia="zh-Hans"/>
              </w:rPr>
              <w:t>，</w:t>
            </w:r>
            <w:r>
              <w:rPr>
                <w:rFonts w:hint="eastAsia" w:ascii="宋体" w:hAnsi="宋体" w:eastAsia="宋体" w:cs="宋体"/>
                <w:b w:val="0"/>
                <w:bCs w:val="0"/>
                <w:color w:val="auto"/>
                <w:sz w:val="24"/>
                <w:highlight w:val="none"/>
                <w:lang w:val="en-US" w:eastAsia="zh-Hans"/>
              </w:rPr>
              <w:t>BB类得</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Hans"/>
              </w:rPr>
              <w:t>分</w:t>
            </w:r>
            <w:r>
              <w:rPr>
                <w:rFonts w:hint="default" w:ascii="宋体" w:hAnsi="宋体" w:eastAsia="宋体" w:cs="宋体"/>
                <w:b w:val="0"/>
                <w:bCs w:val="0"/>
                <w:color w:val="auto"/>
                <w:sz w:val="24"/>
                <w:highlight w:val="none"/>
                <w:lang w:val="en-US" w:eastAsia="zh-Hans"/>
              </w:rPr>
              <w:t>，</w:t>
            </w:r>
            <w:r>
              <w:rPr>
                <w:rFonts w:hint="eastAsia" w:ascii="宋体" w:hAnsi="宋体" w:eastAsia="宋体" w:cs="宋体"/>
                <w:b w:val="0"/>
                <w:bCs w:val="0"/>
                <w:color w:val="auto"/>
                <w:sz w:val="24"/>
                <w:highlight w:val="none"/>
                <w:lang w:val="en-US" w:eastAsia="zh-CN"/>
              </w:rPr>
              <w:t>B类得</w:t>
            </w:r>
            <w:r>
              <w:rPr>
                <w:rFonts w:hint="eastAsia" w:ascii="宋体" w:hAnsi="宋体" w:cs="宋体"/>
                <w:b w:val="0"/>
                <w:bCs w:val="0"/>
                <w:color w:val="auto"/>
                <w:sz w:val="24"/>
                <w:highlight w:val="none"/>
                <w:lang w:val="en-US" w:eastAsia="zh-CN"/>
              </w:rPr>
              <w:t>0.5</w:t>
            </w:r>
            <w:r>
              <w:rPr>
                <w:rFonts w:hint="eastAsia" w:ascii="宋体" w:hAnsi="宋体" w:eastAsia="宋体" w:cs="宋体"/>
                <w:b w:val="0"/>
                <w:bCs w:val="0"/>
                <w:color w:val="auto"/>
                <w:sz w:val="24"/>
                <w:highlight w:val="none"/>
                <w:lang w:val="en-US" w:eastAsia="zh-CN"/>
              </w:rPr>
              <w:t>分，</w:t>
            </w:r>
            <w:r>
              <w:rPr>
                <w:rFonts w:hint="eastAsia" w:ascii="宋体" w:hAnsi="宋体" w:eastAsia="宋体" w:cs="宋体"/>
                <w:b w:val="0"/>
                <w:bCs w:val="0"/>
                <w:color w:val="auto"/>
                <w:sz w:val="24"/>
                <w:highlight w:val="none"/>
                <w:lang w:val="en-US" w:eastAsia="zh-Hans"/>
              </w:rPr>
              <w:t>B以下不得</w:t>
            </w:r>
            <w:r>
              <w:rPr>
                <w:rFonts w:hint="eastAsia" w:ascii="宋体" w:hAnsi="宋体" w:eastAsia="宋体" w:cs="宋体"/>
                <w:b w:val="0"/>
                <w:bCs w:val="0"/>
                <w:color w:val="auto"/>
                <w:sz w:val="24"/>
                <w:highlight w:val="none"/>
                <w:lang w:val="en-US" w:eastAsia="zh-CN"/>
              </w:rPr>
              <w:t>分。</w:t>
            </w:r>
          </w:p>
        </w:tc>
        <w:tc>
          <w:tcPr>
            <w:tcW w:w="780"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w:t>
            </w:r>
          </w:p>
        </w:tc>
        <w:tc>
          <w:tcPr>
            <w:tcW w:w="1215"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合规经营</w:t>
            </w:r>
          </w:p>
        </w:tc>
        <w:tc>
          <w:tcPr>
            <w:tcW w:w="7686" w:type="dxa"/>
            <w:vAlign w:val="center"/>
          </w:tcPr>
          <w:p>
            <w:pPr>
              <w:adjustRightInd/>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Hans"/>
              </w:rPr>
              <w:t>考察</w:t>
            </w:r>
            <w:r>
              <w:rPr>
                <w:rFonts w:hint="eastAsia" w:ascii="宋体" w:hAnsi="宋体" w:eastAsia="宋体" w:cs="宋体"/>
                <w:b w:val="0"/>
                <w:bCs w:val="0"/>
                <w:color w:val="auto"/>
                <w:sz w:val="24"/>
                <w:highlight w:val="none"/>
                <w:lang w:val="en-US" w:eastAsia="zh-CN"/>
              </w:rPr>
              <w:t>20</w:t>
            </w:r>
            <w:r>
              <w:rPr>
                <w:rFonts w:hint="default" w:ascii="宋体" w:hAnsi="宋体" w:eastAsia="宋体" w:cs="宋体"/>
                <w:b w:val="0"/>
                <w:bCs w:val="0"/>
                <w:color w:val="auto"/>
                <w:sz w:val="24"/>
                <w:highlight w:val="none"/>
                <w:lang w:val="en-US" w:eastAsia="zh-CN"/>
              </w:rPr>
              <w:t>20</w:t>
            </w:r>
            <w:r>
              <w:rPr>
                <w:rFonts w:hint="eastAsia" w:ascii="宋体" w:hAnsi="宋体" w:eastAsia="宋体" w:cs="宋体"/>
                <w:b w:val="0"/>
                <w:bCs w:val="0"/>
                <w:color w:val="auto"/>
                <w:sz w:val="24"/>
                <w:highlight w:val="none"/>
                <w:lang w:val="en-US" w:eastAsia="zh-CN"/>
              </w:rPr>
              <w:t>-20</w:t>
            </w:r>
            <w:r>
              <w:rPr>
                <w:rFonts w:hint="default" w:ascii="宋体" w:hAnsi="宋体" w:eastAsia="宋体" w:cs="宋体"/>
                <w:b w:val="0"/>
                <w:bCs w:val="0"/>
                <w:color w:val="auto"/>
                <w:sz w:val="24"/>
                <w:highlight w:val="none"/>
                <w:lang w:val="en-US" w:eastAsia="zh-CN"/>
              </w:rPr>
              <w:t>23</w:t>
            </w:r>
            <w:r>
              <w:rPr>
                <w:rFonts w:hint="eastAsia" w:ascii="宋体" w:hAnsi="宋体" w:eastAsia="宋体" w:cs="宋体"/>
                <w:b w:val="0"/>
                <w:bCs w:val="0"/>
                <w:color w:val="auto"/>
                <w:sz w:val="24"/>
                <w:highlight w:val="none"/>
                <w:lang w:val="en-US" w:eastAsia="zh-CN"/>
              </w:rPr>
              <w:t>年间投标保险公司所有分支机构所受的国家</w:t>
            </w:r>
            <w:r>
              <w:rPr>
                <w:rFonts w:hint="default" w:ascii="宋体" w:hAnsi="宋体" w:eastAsia="宋体" w:cs="宋体"/>
                <w:b w:val="0"/>
                <w:bCs w:val="0"/>
                <w:color w:val="auto"/>
                <w:sz w:val="24"/>
                <w:highlight w:val="none"/>
                <w:lang w:val="en-US" w:eastAsia="zh-CN"/>
              </w:rPr>
              <w:t>金融</w:t>
            </w:r>
            <w:r>
              <w:rPr>
                <w:rFonts w:hint="eastAsia" w:ascii="宋体" w:hAnsi="宋体" w:eastAsia="宋体" w:cs="宋体"/>
                <w:b w:val="0"/>
                <w:bCs w:val="0"/>
                <w:color w:val="auto"/>
                <w:sz w:val="24"/>
                <w:highlight w:val="none"/>
                <w:lang w:val="en-US" w:eastAsia="zh-CN"/>
              </w:rPr>
              <w:t>监督</w:t>
            </w:r>
            <w:r>
              <w:rPr>
                <w:rFonts w:hint="default" w:ascii="宋体" w:hAnsi="宋体" w:eastAsia="宋体" w:cs="宋体"/>
                <w:b w:val="0"/>
                <w:bCs w:val="0"/>
                <w:color w:val="auto"/>
                <w:sz w:val="24"/>
                <w:highlight w:val="none"/>
                <w:lang w:val="en-US" w:eastAsia="zh-CN"/>
              </w:rPr>
              <w:t>管理</w:t>
            </w:r>
            <w:r>
              <w:rPr>
                <w:rFonts w:hint="eastAsia" w:ascii="宋体" w:hAnsi="宋体" w:eastAsia="宋体" w:cs="宋体"/>
                <w:b w:val="0"/>
                <w:bCs w:val="0"/>
                <w:color w:val="auto"/>
                <w:sz w:val="24"/>
                <w:highlight w:val="none"/>
                <w:lang w:val="en-US" w:eastAsia="zh-CN"/>
              </w:rPr>
              <w:t>总局及其派出机构各类处罚计分，没有处罚得10分，每有1条处罚记录扣2分，扣完为止。 说明：投标人自行如实说明并附国家金融</w:t>
            </w:r>
            <w:r>
              <w:rPr>
                <w:rFonts w:hint="default" w:ascii="宋体" w:hAnsi="宋体" w:eastAsia="宋体" w:cs="宋体"/>
                <w:b w:val="0"/>
                <w:bCs w:val="0"/>
                <w:color w:val="auto"/>
                <w:sz w:val="24"/>
                <w:highlight w:val="none"/>
                <w:lang w:val="en-US" w:eastAsia="zh-CN"/>
              </w:rPr>
              <w:t>监督管理总局</w:t>
            </w:r>
            <w:r>
              <w:rPr>
                <w:rFonts w:hint="eastAsia" w:ascii="宋体" w:hAnsi="宋体" w:eastAsia="宋体" w:cs="宋体"/>
                <w:b w:val="0"/>
                <w:bCs w:val="0"/>
                <w:color w:val="auto"/>
                <w:sz w:val="24"/>
                <w:highlight w:val="none"/>
                <w:lang w:val="en-US" w:eastAsia="zh-CN"/>
              </w:rPr>
              <w:t>及其派出机构查询截图（查询路径：国家金融</w:t>
            </w:r>
            <w:r>
              <w:rPr>
                <w:rFonts w:hint="default" w:ascii="宋体" w:hAnsi="宋体" w:eastAsia="宋体" w:cs="宋体"/>
                <w:b w:val="0"/>
                <w:bCs w:val="0"/>
                <w:color w:val="auto"/>
                <w:sz w:val="24"/>
                <w:highlight w:val="none"/>
                <w:lang w:val="en-US" w:eastAsia="zh-CN"/>
              </w:rPr>
              <w:t>监督管理总局</w:t>
            </w:r>
            <w:r>
              <w:rPr>
                <w:rFonts w:hint="eastAsia" w:ascii="宋体" w:hAnsi="宋体" w:eastAsia="宋体" w:cs="宋体"/>
                <w:b w:val="0"/>
                <w:bCs w:val="0"/>
                <w:color w:val="auto"/>
                <w:sz w:val="24"/>
                <w:highlight w:val="none"/>
                <w:lang w:val="en-US" w:eastAsia="zh-CN"/>
              </w:rPr>
              <w:t>-搜索-搜索</w:t>
            </w:r>
            <w:r>
              <w:rPr>
                <w:rFonts w:hint="default" w:ascii="宋体" w:hAnsi="宋体" w:eastAsia="宋体" w:cs="宋体"/>
                <w:b w:val="0"/>
                <w:bCs w:val="0"/>
                <w:color w:val="auto"/>
                <w:sz w:val="24"/>
                <w:highlight w:val="none"/>
                <w:lang w:val="en-US" w:eastAsia="zh-CN"/>
              </w:rPr>
              <w:t>内容：</w:t>
            </w:r>
            <w:r>
              <w:rPr>
                <w:rFonts w:hint="eastAsia" w:ascii="宋体" w:hAnsi="宋体" w:eastAsia="宋体" w:cs="宋体"/>
                <w:b w:val="0"/>
                <w:bCs w:val="0"/>
                <w:color w:val="auto"/>
                <w:sz w:val="24"/>
                <w:highlight w:val="none"/>
                <w:lang w:val="en-US" w:eastAsia="zh-CN"/>
              </w:rPr>
              <w:t>行政处罚（空格）投标人</w:t>
            </w:r>
            <w:r>
              <w:rPr>
                <w:rFonts w:hint="default" w:ascii="宋体" w:hAnsi="宋体" w:eastAsia="宋体" w:cs="宋体"/>
                <w:b w:val="0"/>
                <w:bCs w:val="0"/>
                <w:color w:val="auto"/>
                <w:sz w:val="24"/>
                <w:highlight w:val="none"/>
                <w:lang w:val="en-US" w:eastAsia="zh-CN"/>
              </w:rPr>
              <w:t>名称</w:t>
            </w:r>
            <w:r>
              <w:rPr>
                <w:rFonts w:hint="eastAsia" w:ascii="宋体" w:hAnsi="宋体" w:eastAsia="宋体" w:cs="宋体"/>
                <w:b w:val="0"/>
                <w:bCs w:val="0"/>
                <w:color w:val="auto"/>
                <w:sz w:val="24"/>
                <w:highlight w:val="none"/>
                <w:lang w:val="en-US" w:eastAsia="zh-CN"/>
              </w:rPr>
              <w:t>-按</w:t>
            </w:r>
            <w:r>
              <w:rPr>
                <w:rFonts w:hint="default" w:ascii="宋体" w:hAnsi="宋体" w:eastAsia="宋体" w:cs="宋体"/>
                <w:b w:val="0"/>
                <w:bCs w:val="0"/>
                <w:color w:val="auto"/>
                <w:sz w:val="24"/>
                <w:highlight w:val="none"/>
                <w:lang w:val="en-US" w:eastAsia="zh-CN"/>
              </w:rPr>
              <w:t>内容分类：全部-按</w:t>
            </w:r>
            <w:r>
              <w:rPr>
                <w:rFonts w:hint="eastAsia" w:ascii="宋体" w:hAnsi="宋体" w:eastAsia="宋体" w:cs="宋体"/>
                <w:b w:val="0"/>
                <w:bCs w:val="0"/>
                <w:color w:val="auto"/>
                <w:sz w:val="24"/>
                <w:highlight w:val="none"/>
                <w:lang w:val="en-US" w:eastAsia="zh-CN"/>
              </w:rPr>
              <w:t>查询范围分类：正文-按</w:t>
            </w:r>
            <w:r>
              <w:rPr>
                <w:rFonts w:hint="default" w:ascii="宋体" w:hAnsi="宋体" w:eastAsia="宋体" w:cs="宋体"/>
                <w:b w:val="0"/>
                <w:bCs w:val="0"/>
                <w:color w:val="auto"/>
                <w:sz w:val="24"/>
                <w:highlight w:val="none"/>
                <w:lang w:val="en-US" w:eastAsia="zh-CN"/>
              </w:rPr>
              <w:t>发布时间分类</w:t>
            </w:r>
            <w:r>
              <w:rPr>
                <w:rFonts w:hint="eastAsia" w:ascii="宋体" w:hAnsi="宋体" w:eastAsia="宋体" w:cs="宋体"/>
                <w:b w:val="0"/>
                <w:bCs w:val="0"/>
                <w:color w:val="auto"/>
                <w:sz w:val="24"/>
                <w:highlight w:val="none"/>
                <w:lang w:val="en-US" w:eastAsia="zh-CN"/>
              </w:rPr>
              <w:t>-全部</w:t>
            </w:r>
            <w:r>
              <w:rPr>
                <w:rFonts w:hint="default" w:ascii="宋体" w:hAnsi="宋体" w:eastAsia="宋体" w:cs="宋体"/>
                <w:b w:val="0"/>
                <w:bCs w:val="0"/>
                <w:color w:val="auto"/>
                <w:sz w:val="24"/>
                <w:highlight w:val="none"/>
                <w:lang w:val="en-US" w:eastAsia="zh-CN"/>
              </w:rPr>
              <w:t>时间</w:t>
            </w:r>
            <w:r>
              <w:rPr>
                <w:rFonts w:hint="eastAsia" w:ascii="宋体" w:hAnsi="宋体" w:eastAsia="宋体" w:cs="宋体"/>
                <w:b w:val="0"/>
                <w:bCs w:val="0"/>
                <w:color w:val="auto"/>
                <w:sz w:val="24"/>
                <w:highlight w:val="none"/>
                <w:lang w:val="en-US" w:eastAsia="zh-CN"/>
              </w:rPr>
              <w:t>）</w:t>
            </w:r>
          </w:p>
        </w:tc>
        <w:tc>
          <w:tcPr>
            <w:tcW w:w="780"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1215"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项目需求认识及重点难点应对措施</w:t>
            </w:r>
          </w:p>
        </w:tc>
        <w:tc>
          <w:tcPr>
            <w:tcW w:w="7686" w:type="dxa"/>
            <w:vAlign w:val="center"/>
          </w:tcPr>
          <w:p>
            <w:pPr>
              <w:adjustRightInd/>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根据投标人对项目需求认识及重点难点应对措施进行评分。紧扣项目实际，需求认识、重难点分析到位、合理性较强得（含）8-10分；重难点分析科学合理且有一定可操作性得4-8（不含）分；项目重点难点有一定针对性，没有可操性，得1-4（不含）分；未提供者不得分。</w:t>
            </w:r>
          </w:p>
        </w:tc>
        <w:tc>
          <w:tcPr>
            <w:tcW w:w="780"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vAlign w:val="center"/>
          </w:tcPr>
          <w:p>
            <w:pPr>
              <w:adjustRightInd/>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1215"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承保实务操作</w:t>
            </w:r>
          </w:p>
        </w:tc>
        <w:tc>
          <w:tcPr>
            <w:tcW w:w="7686" w:type="dxa"/>
            <w:vAlign w:val="center"/>
          </w:tcPr>
          <w:p>
            <w:pPr>
              <w:adjustRightInd/>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提供完备的农业保险承保操作实务，根据承保方案的完整性、针对性和可操作性，方案详细可操作强的得6（不含）-8分；方案较详细有一定可操作性的得3（不含）-6（含）；方案简单欠缺可操作性的得0-3（含）。</w:t>
            </w:r>
          </w:p>
        </w:tc>
        <w:tc>
          <w:tcPr>
            <w:tcW w:w="780" w:type="dxa"/>
            <w:vAlign w:val="center"/>
          </w:tcPr>
          <w:p>
            <w:pPr>
              <w:adjustRightInd/>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6</w:t>
            </w:r>
          </w:p>
        </w:tc>
        <w:tc>
          <w:tcPr>
            <w:tcW w:w="1215"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理赔实务操作</w:t>
            </w:r>
          </w:p>
        </w:tc>
        <w:tc>
          <w:tcPr>
            <w:tcW w:w="7686" w:type="dxa"/>
            <w:vAlign w:val="center"/>
          </w:tcPr>
          <w:p>
            <w:pPr>
              <w:adjustRightInd/>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提供完备的农业保险理赔操作实务。根据理赔方案的完整性、针对性和可操作性，方案详细可操作强的得6（不含）-8分；方案较详细有一定可操作性的得3（不含）-6（含）；方案简单欠缺可操作性的得0-3（含）。</w:t>
            </w:r>
          </w:p>
        </w:tc>
        <w:tc>
          <w:tcPr>
            <w:tcW w:w="780"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w:t>
            </w:r>
          </w:p>
        </w:tc>
        <w:tc>
          <w:tcPr>
            <w:tcW w:w="1215"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内控制度</w:t>
            </w:r>
          </w:p>
        </w:tc>
        <w:tc>
          <w:tcPr>
            <w:tcW w:w="7686" w:type="dxa"/>
            <w:vAlign w:val="center"/>
          </w:tcPr>
          <w:p>
            <w:pPr>
              <w:adjustRightInd/>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是否有完善的农业保险内控制度，内容详细阐述到位的得3（不含）-5分，内容较为详细的得1（不含）-3分（含），不够完善需进一步完善的得0-1（含）分，其他不得分。</w:t>
            </w:r>
          </w:p>
        </w:tc>
        <w:tc>
          <w:tcPr>
            <w:tcW w:w="780"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8</w:t>
            </w:r>
          </w:p>
        </w:tc>
        <w:tc>
          <w:tcPr>
            <w:tcW w:w="1215"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特色及增</w:t>
            </w:r>
            <w:r>
              <w:rPr>
                <w:rFonts w:hint="eastAsia" w:ascii="宋体" w:hAnsi="宋体" w:eastAsia="宋体" w:cs="宋体"/>
                <w:b w:val="0"/>
                <w:bCs w:val="0"/>
                <w:color w:val="auto"/>
                <w:sz w:val="24"/>
                <w:highlight w:val="none"/>
                <w:lang w:val="en-US" w:eastAsia="zh-CN"/>
              </w:rPr>
              <w:t>值服务方案</w:t>
            </w:r>
          </w:p>
        </w:tc>
        <w:tc>
          <w:tcPr>
            <w:tcW w:w="7686" w:type="dxa"/>
            <w:vAlign w:val="center"/>
          </w:tcPr>
          <w:p>
            <w:pPr>
              <w:adjustRightInd/>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提供</w:t>
            </w:r>
            <w:r>
              <w:rPr>
                <w:rFonts w:hint="default" w:ascii="宋体" w:hAnsi="宋体" w:eastAsia="宋体" w:cs="宋体"/>
                <w:b w:val="0"/>
                <w:bCs w:val="0"/>
                <w:color w:val="auto"/>
                <w:sz w:val="24"/>
                <w:highlight w:val="none"/>
                <w:lang w:val="en-US" w:eastAsia="zh-CN"/>
              </w:rPr>
              <w:t>特色及增</w:t>
            </w:r>
            <w:r>
              <w:rPr>
                <w:rFonts w:hint="eastAsia" w:ascii="宋体" w:hAnsi="宋体" w:eastAsia="宋体" w:cs="宋体"/>
                <w:b w:val="0"/>
                <w:bCs w:val="0"/>
                <w:color w:val="auto"/>
                <w:sz w:val="24"/>
                <w:highlight w:val="none"/>
                <w:lang w:val="en-US" w:eastAsia="zh-CN"/>
              </w:rPr>
              <w:t>值服务方案，方案要</w:t>
            </w:r>
            <w:r>
              <w:rPr>
                <w:rFonts w:hint="default" w:ascii="宋体" w:hAnsi="宋体" w:eastAsia="宋体" w:cs="宋体"/>
                <w:b w:val="0"/>
                <w:bCs w:val="0"/>
                <w:color w:val="auto"/>
                <w:sz w:val="24"/>
                <w:highlight w:val="none"/>
                <w:lang w:val="en-US" w:eastAsia="zh-CN"/>
              </w:rPr>
              <w:t>突出可操作性和针对性</w:t>
            </w:r>
            <w:r>
              <w:rPr>
                <w:rFonts w:hint="eastAsia" w:ascii="宋体" w:hAnsi="宋体" w:eastAsia="宋体" w:cs="宋体"/>
                <w:b w:val="0"/>
                <w:bCs w:val="0"/>
                <w:color w:val="auto"/>
                <w:sz w:val="24"/>
                <w:highlight w:val="none"/>
                <w:lang w:val="en-US" w:eastAsia="zh-CN"/>
              </w:rPr>
              <w:t>得3（不含）-5分，方案仅</w:t>
            </w:r>
            <w:r>
              <w:rPr>
                <w:rFonts w:hint="default" w:ascii="宋体" w:hAnsi="宋体" w:eastAsia="宋体" w:cs="宋体"/>
                <w:b w:val="0"/>
                <w:bCs w:val="0"/>
                <w:color w:val="auto"/>
                <w:sz w:val="24"/>
                <w:highlight w:val="none"/>
                <w:lang w:val="en-US" w:eastAsia="zh-CN"/>
              </w:rPr>
              <w:t>满足其中一点</w:t>
            </w:r>
            <w:r>
              <w:rPr>
                <w:rFonts w:hint="eastAsia" w:ascii="宋体" w:hAnsi="宋体" w:eastAsia="宋体" w:cs="宋体"/>
                <w:b w:val="0"/>
                <w:bCs w:val="0"/>
                <w:color w:val="auto"/>
                <w:sz w:val="24"/>
                <w:highlight w:val="none"/>
                <w:lang w:val="en-US" w:eastAsia="zh-CN"/>
              </w:rPr>
              <w:t>得1（不含）-3分（含），方</w:t>
            </w:r>
            <w:r>
              <w:rPr>
                <w:rFonts w:hint="default" w:ascii="宋体" w:hAnsi="宋体" w:eastAsia="宋体" w:cs="宋体"/>
                <w:b w:val="0"/>
                <w:bCs w:val="0"/>
                <w:color w:val="auto"/>
                <w:sz w:val="24"/>
                <w:highlight w:val="none"/>
                <w:lang w:val="en-US" w:eastAsia="zh-CN"/>
              </w:rPr>
              <w:t>案</w:t>
            </w:r>
            <w:r>
              <w:rPr>
                <w:rFonts w:hint="eastAsia" w:ascii="宋体" w:hAnsi="宋体" w:eastAsia="宋体" w:cs="宋体"/>
                <w:b w:val="0"/>
                <w:bCs w:val="0"/>
                <w:color w:val="auto"/>
                <w:sz w:val="24"/>
                <w:highlight w:val="none"/>
                <w:lang w:val="en-US" w:eastAsia="zh-CN"/>
              </w:rPr>
              <w:t>不够完善需进一步完善的得0-1（含）分，其他不得分。</w:t>
            </w:r>
          </w:p>
        </w:tc>
        <w:tc>
          <w:tcPr>
            <w:tcW w:w="780"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9</w:t>
            </w:r>
          </w:p>
        </w:tc>
        <w:tc>
          <w:tcPr>
            <w:tcW w:w="1215"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风险分散机制</w:t>
            </w:r>
          </w:p>
        </w:tc>
        <w:tc>
          <w:tcPr>
            <w:tcW w:w="7686" w:type="dxa"/>
            <w:vAlign w:val="center"/>
          </w:tcPr>
          <w:p>
            <w:pPr>
              <w:adjustRightInd/>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考察投标人是否具有完善的农业保险大灾风险分散机制。</w:t>
            </w:r>
          </w:p>
          <w:p>
            <w:pPr>
              <w:adjustRightInd/>
              <w:jc w:val="left"/>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w:t>
            </w:r>
            <w:r>
              <w:rPr>
                <w:rFonts w:hint="default" w:ascii="宋体" w:hAnsi="宋体" w:eastAsia="宋体" w:cs="宋体"/>
                <w:b w:val="0"/>
                <w:bCs w:val="0"/>
                <w:color w:val="auto"/>
                <w:sz w:val="24"/>
                <w:highlight w:val="none"/>
                <w:lang w:val="en-US" w:eastAsia="zh-CN"/>
              </w:rPr>
              <w:t xml:space="preserve">、投标人总公司与中国农再签署当期有效的《政策性农业保险再保险标准协议》 的，得5分。说明：提供当期有效的《政策性农业保险再保险标准协议》，不提供或不符合要求的，不得分。 </w:t>
            </w:r>
          </w:p>
          <w:p>
            <w:pPr>
              <w:adjustRightInd/>
              <w:jc w:val="left"/>
              <w:rPr>
                <w:rFonts w:hint="eastAsia"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2、有完善的大灾准备金提取办法的，按完善程度0-5分，酌情给分。</w:t>
            </w:r>
          </w:p>
        </w:tc>
        <w:tc>
          <w:tcPr>
            <w:tcW w:w="780"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21"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c>
          <w:tcPr>
            <w:tcW w:w="1215"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服务团队</w:t>
            </w:r>
          </w:p>
        </w:tc>
        <w:tc>
          <w:tcPr>
            <w:tcW w:w="7686" w:type="dxa"/>
            <w:vAlign w:val="center"/>
          </w:tcPr>
          <w:p>
            <w:pPr>
              <w:adjustRightInd/>
              <w:jc w:val="left"/>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Hans"/>
              </w:rPr>
              <w:t>考察投标人专业服务团队</w:t>
            </w:r>
            <w:r>
              <w:rPr>
                <w:rFonts w:hint="default" w:ascii="宋体" w:hAnsi="宋体" w:eastAsia="宋体" w:cs="宋体"/>
                <w:b w:val="0"/>
                <w:bCs w:val="0"/>
                <w:color w:val="auto"/>
                <w:sz w:val="24"/>
                <w:highlight w:val="none"/>
                <w:lang w:val="en-US" w:eastAsia="zh-Hans"/>
              </w:rPr>
              <w:t>。</w:t>
            </w:r>
            <w:r>
              <w:rPr>
                <w:rFonts w:hint="eastAsia" w:ascii="宋体" w:hAnsi="宋体" w:eastAsia="宋体" w:cs="宋体"/>
                <w:b w:val="0"/>
                <w:bCs w:val="0"/>
                <w:color w:val="auto"/>
                <w:sz w:val="24"/>
                <w:highlight w:val="none"/>
                <w:lang w:val="en-US" w:eastAsia="zh-CN"/>
              </w:rPr>
              <w:t>投标人有</w:t>
            </w:r>
            <w:r>
              <w:rPr>
                <w:rFonts w:hint="eastAsia" w:ascii="宋体" w:hAnsi="宋体" w:eastAsia="宋体" w:cs="宋体"/>
                <w:b w:val="0"/>
                <w:bCs w:val="0"/>
                <w:color w:val="auto"/>
                <w:sz w:val="24"/>
                <w:highlight w:val="none"/>
                <w:lang w:val="en-US" w:eastAsia="zh-Hans"/>
              </w:rPr>
              <w:t>专门从事农险的</w:t>
            </w:r>
            <w:r>
              <w:rPr>
                <w:rFonts w:hint="eastAsia" w:ascii="宋体" w:hAnsi="宋体" w:eastAsia="宋体" w:cs="宋体"/>
                <w:b w:val="0"/>
                <w:bCs w:val="0"/>
                <w:color w:val="auto"/>
                <w:sz w:val="24"/>
                <w:highlight w:val="none"/>
                <w:lang w:val="en-US" w:eastAsia="zh-CN"/>
              </w:rPr>
              <w:t>服务团队</w:t>
            </w:r>
            <w:r>
              <w:rPr>
                <w:rFonts w:hint="eastAsia" w:ascii="宋体" w:hAnsi="宋体" w:cs="宋体"/>
                <w:b w:val="0"/>
                <w:bCs w:val="0"/>
                <w:color w:val="auto"/>
                <w:sz w:val="24"/>
                <w:highlight w:val="none"/>
                <w:lang w:val="en-US" w:eastAsia="zh-CN"/>
              </w:rPr>
              <w:t>，配备三</w:t>
            </w:r>
            <w:r>
              <w:rPr>
                <w:rFonts w:hint="eastAsia" w:ascii="宋体" w:hAnsi="宋体" w:eastAsia="宋体" w:cs="宋体"/>
                <w:b w:val="0"/>
                <w:bCs w:val="0"/>
                <w:color w:val="auto"/>
                <w:sz w:val="24"/>
                <w:highlight w:val="none"/>
                <w:lang w:val="en-US" w:eastAsia="zh-CN"/>
              </w:rPr>
              <w:t>人</w:t>
            </w:r>
            <w:r>
              <w:rPr>
                <w:rFonts w:hint="eastAsia" w:ascii="宋体" w:hAnsi="宋体" w:cs="宋体"/>
                <w:b w:val="0"/>
                <w:bCs w:val="0"/>
                <w:color w:val="auto"/>
                <w:sz w:val="24"/>
                <w:highlight w:val="none"/>
                <w:lang w:val="en-US" w:eastAsia="zh-CN"/>
              </w:rPr>
              <w:t>的</w:t>
            </w:r>
            <w:r>
              <w:rPr>
                <w:rFonts w:hint="eastAsia" w:ascii="宋体" w:hAnsi="宋体" w:eastAsia="宋体" w:cs="宋体"/>
                <w:b w:val="0"/>
                <w:bCs w:val="0"/>
                <w:color w:val="auto"/>
                <w:sz w:val="24"/>
                <w:highlight w:val="none"/>
                <w:lang w:val="en-US" w:eastAsia="zh-CN"/>
              </w:rPr>
              <w:t>得</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lang w:val="en-US" w:eastAsia="zh-CN"/>
              </w:rPr>
              <w:t>分，每</w:t>
            </w:r>
            <w:r>
              <w:rPr>
                <w:rFonts w:hint="eastAsia" w:ascii="宋体" w:hAnsi="宋体" w:cs="宋体"/>
                <w:b w:val="0"/>
                <w:bCs w:val="0"/>
                <w:color w:val="auto"/>
                <w:sz w:val="24"/>
                <w:highlight w:val="none"/>
                <w:lang w:val="en-US" w:eastAsia="zh-CN"/>
              </w:rPr>
              <w:t>增加</w:t>
            </w:r>
            <w:r>
              <w:rPr>
                <w:rFonts w:hint="eastAsia" w:ascii="宋体" w:hAnsi="宋体" w:eastAsia="宋体" w:cs="宋体"/>
                <w:b w:val="0"/>
                <w:bCs w:val="0"/>
                <w:color w:val="auto"/>
                <w:sz w:val="24"/>
                <w:highlight w:val="none"/>
                <w:lang w:val="en-US" w:eastAsia="zh-CN"/>
              </w:rPr>
              <w:t>一人</w:t>
            </w:r>
            <w:r>
              <w:rPr>
                <w:rFonts w:hint="eastAsia" w:ascii="宋体" w:hAnsi="宋体" w:cs="宋体"/>
                <w:b w:val="0"/>
                <w:bCs w:val="0"/>
                <w:color w:val="auto"/>
                <w:sz w:val="24"/>
                <w:highlight w:val="none"/>
                <w:lang w:val="en-US" w:eastAsia="zh-CN"/>
              </w:rPr>
              <w:t>得1</w:t>
            </w:r>
            <w:r>
              <w:rPr>
                <w:rFonts w:hint="eastAsia" w:ascii="宋体" w:hAnsi="宋体" w:eastAsia="宋体" w:cs="宋体"/>
                <w:b w:val="0"/>
                <w:bCs w:val="0"/>
                <w:color w:val="auto"/>
                <w:sz w:val="24"/>
                <w:highlight w:val="none"/>
                <w:lang w:val="en-US" w:eastAsia="zh-CN"/>
              </w:rPr>
              <w:t>分</w:t>
            </w:r>
            <w:r>
              <w:rPr>
                <w:rFonts w:hint="eastAsia" w:ascii="宋体" w:hAnsi="宋体" w:cs="宋体"/>
                <w:b w:val="0"/>
                <w:bCs w:val="0"/>
                <w:color w:val="auto"/>
                <w:sz w:val="24"/>
                <w:highlight w:val="none"/>
                <w:lang w:val="en-US" w:eastAsia="zh-CN"/>
              </w:rPr>
              <w:t>，本项最高得4分</w:t>
            </w:r>
            <w:r>
              <w:rPr>
                <w:rFonts w:hint="default"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提供近三月任意一月社保证明材料。</w:t>
            </w:r>
          </w:p>
        </w:tc>
        <w:tc>
          <w:tcPr>
            <w:tcW w:w="780"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1"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11</w:t>
            </w:r>
          </w:p>
        </w:tc>
        <w:tc>
          <w:tcPr>
            <w:tcW w:w="1215"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科技赋能</w:t>
            </w:r>
          </w:p>
        </w:tc>
        <w:tc>
          <w:tcPr>
            <w:tcW w:w="7686" w:type="dxa"/>
            <w:vAlign w:val="center"/>
          </w:tcPr>
          <w:p>
            <w:pPr>
              <w:adjustRightInd/>
              <w:jc w:val="left"/>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Hans"/>
              </w:rPr>
              <w:t>考察</w:t>
            </w:r>
            <w:r>
              <w:rPr>
                <w:rFonts w:hint="default" w:ascii="宋体" w:hAnsi="宋体" w:eastAsia="宋体" w:cs="宋体"/>
                <w:b w:val="0"/>
                <w:bCs w:val="0"/>
                <w:color w:val="auto"/>
                <w:sz w:val="24"/>
                <w:highlight w:val="none"/>
                <w:lang w:val="en-US" w:eastAsia="zh-CN"/>
              </w:rPr>
              <w:t>政策性农业保险业务经营运用现代科技、现代信息技术、人工智能和数字化技术等情况，由评委根据投标文件中提供的材料酌情给分。方案表述详细，合理可行的，得</w:t>
            </w:r>
            <w:r>
              <w:rPr>
                <w:rFonts w:hint="eastAsia" w:ascii="宋体" w:hAnsi="宋体" w:eastAsia="宋体" w:cs="宋体"/>
                <w:b w:val="0"/>
                <w:bCs w:val="0"/>
                <w:color w:val="auto"/>
                <w:sz w:val="24"/>
                <w:highlight w:val="none"/>
                <w:lang w:val="en-US" w:eastAsia="zh-CN"/>
              </w:rPr>
              <w:t>8-</w:t>
            </w:r>
            <w:r>
              <w:rPr>
                <w:rFonts w:hint="default" w:ascii="宋体" w:hAnsi="宋体" w:eastAsia="宋体" w:cs="宋体"/>
                <w:b w:val="0"/>
                <w:bCs w:val="0"/>
                <w:color w:val="auto"/>
                <w:sz w:val="24"/>
                <w:highlight w:val="none"/>
                <w:lang w:val="en-US" w:eastAsia="zh-CN"/>
              </w:rPr>
              <w:t>10分；方案较详细，基本合理可行的，得5-7（含）分；方案简单，合理可行性欠缺的，得0-5（含）分，其他不得分。</w:t>
            </w:r>
          </w:p>
        </w:tc>
        <w:tc>
          <w:tcPr>
            <w:tcW w:w="780"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21"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12</w:t>
            </w:r>
          </w:p>
        </w:tc>
        <w:tc>
          <w:tcPr>
            <w:tcW w:w="1215" w:type="dxa"/>
            <w:vAlign w:val="center"/>
          </w:tcPr>
          <w:p>
            <w:pPr>
              <w:adjustRightInd/>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风险应对预案</w:t>
            </w:r>
          </w:p>
        </w:tc>
        <w:tc>
          <w:tcPr>
            <w:tcW w:w="7686" w:type="dxa"/>
            <w:vAlign w:val="center"/>
          </w:tcPr>
          <w:p>
            <w:pPr>
              <w:adjustRightInd/>
              <w:jc w:val="left"/>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考察投标人风险应对预案制度是否完备，评委酌情打分，风险应对预案制度完备的得8-10分；风险应对预案制度较为完备的得5-8（不含）分；风险应对预案制度落后的得0-5（不含）分；没有不得分。</w:t>
            </w:r>
          </w:p>
        </w:tc>
        <w:tc>
          <w:tcPr>
            <w:tcW w:w="780" w:type="dxa"/>
            <w:vAlign w:val="center"/>
          </w:tcPr>
          <w:p>
            <w:pPr>
              <w:adjustRightInd/>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w:t>
            </w:r>
          </w:p>
        </w:tc>
      </w:tr>
    </w:tbl>
    <w:p>
      <w:pPr>
        <w:snapToGrid w:val="0"/>
        <w:spacing w:line="360" w:lineRule="auto"/>
        <w:rPr>
          <w:rFonts w:hint="eastAsia" w:ascii="宋体" w:hAnsi="宋体" w:eastAsia="宋体" w:cs="宋体"/>
          <w:b/>
          <w:sz w:val="32"/>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w:t>
      </w:r>
    </w:p>
    <w:tbl>
      <w:tblPr>
        <w:tblStyle w:val="63"/>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30"/>
        <w:gridCol w:w="7065"/>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88" w:type="dxa"/>
            <w:gridSpan w:val="4"/>
            <w:vAlign w:val="center"/>
          </w:tcPr>
          <w:p>
            <w:pPr>
              <w:adjustRightInd/>
              <w:jc w:val="center"/>
              <w:rPr>
                <w:rFonts w:ascii="宋体" w:hAnsi="宋体" w:cs="宋体"/>
                <w:sz w:val="24"/>
              </w:rPr>
            </w:pPr>
            <w:r>
              <w:rPr>
                <w:rFonts w:hint="eastAsia" w:ascii="宋体" w:hAnsi="宋体" w:cs="宋体"/>
                <w:b/>
                <w:bCs/>
                <w:sz w:val="24"/>
              </w:rPr>
              <w:t>报价文件部分（</w:t>
            </w:r>
            <w:r>
              <w:rPr>
                <w:rFonts w:hint="eastAsia" w:ascii="宋体" w:hAnsi="宋体" w:cs="宋体"/>
                <w:b/>
                <w:bCs/>
                <w:sz w:val="24"/>
                <w:lang w:val="en-US" w:eastAsia="zh-CN"/>
              </w:rPr>
              <w:t>10</w:t>
            </w:r>
            <w:r>
              <w:rPr>
                <w:rFonts w:hint="eastAsia" w:ascii="宋体" w:hAnsi="宋体" w:cs="宋体"/>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5" w:type="dxa"/>
            <w:vAlign w:val="center"/>
          </w:tcPr>
          <w:p>
            <w:pPr>
              <w:adjustRightInd/>
              <w:jc w:val="center"/>
              <w:rPr>
                <w:rFonts w:ascii="宋体" w:hAnsi="宋体" w:cs="宋体"/>
                <w:sz w:val="24"/>
              </w:rPr>
            </w:pPr>
            <w:r>
              <w:rPr>
                <w:rFonts w:hint="eastAsia" w:ascii="宋体" w:hAnsi="宋体" w:cs="宋体"/>
                <w:b/>
                <w:bCs/>
                <w:sz w:val="24"/>
              </w:rPr>
              <w:t>序号</w:t>
            </w:r>
          </w:p>
        </w:tc>
        <w:tc>
          <w:tcPr>
            <w:tcW w:w="1230" w:type="dxa"/>
            <w:vAlign w:val="center"/>
          </w:tcPr>
          <w:p>
            <w:pPr>
              <w:adjustRightInd/>
              <w:jc w:val="center"/>
              <w:rPr>
                <w:rFonts w:ascii="宋体" w:hAnsi="宋体" w:cs="宋体"/>
                <w:sz w:val="24"/>
                <w:lang w:val="zh-CN"/>
              </w:rPr>
            </w:pPr>
            <w:r>
              <w:rPr>
                <w:rFonts w:hint="eastAsia" w:ascii="宋体" w:hAnsi="宋体" w:cs="宋体"/>
                <w:b/>
                <w:bCs/>
                <w:sz w:val="24"/>
              </w:rPr>
              <w:t>评标内容</w:t>
            </w:r>
          </w:p>
        </w:tc>
        <w:tc>
          <w:tcPr>
            <w:tcW w:w="7065" w:type="dxa"/>
            <w:vAlign w:val="center"/>
          </w:tcPr>
          <w:p>
            <w:pPr>
              <w:adjustRightInd/>
              <w:jc w:val="center"/>
              <w:rPr>
                <w:rFonts w:ascii="宋体" w:hAnsi="宋体" w:cs="宋体"/>
                <w:sz w:val="24"/>
                <w:lang w:val="zh-CN"/>
              </w:rPr>
            </w:pPr>
            <w:r>
              <w:rPr>
                <w:rFonts w:hint="eastAsia" w:ascii="宋体" w:hAnsi="宋体" w:cs="宋体"/>
                <w:b/>
                <w:bCs/>
                <w:sz w:val="24"/>
              </w:rPr>
              <w:t>评标标准</w:t>
            </w:r>
          </w:p>
        </w:tc>
        <w:tc>
          <w:tcPr>
            <w:tcW w:w="938" w:type="dxa"/>
            <w:vAlign w:val="center"/>
          </w:tcPr>
          <w:p>
            <w:pPr>
              <w:adjustRightInd/>
              <w:jc w:val="center"/>
              <w:rPr>
                <w:rFonts w:ascii="宋体" w:hAnsi="宋体" w:cs="宋体"/>
                <w:sz w:val="24"/>
              </w:rPr>
            </w:pPr>
            <w:r>
              <w:rPr>
                <w:rFonts w:hint="eastAsia" w:ascii="宋体" w:hAnsi="宋体" w:cs="宋体"/>
                <w:b/>
                <w:bCs/>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5" w:type="dxa"/>
            <w:vAlign w:val="center"/>
          </w:tcPr>
          <w:p>
            <w:pPr>
              <w:adjustRightInd/>
              <w:jc w:val="center"/>
              <w:rPr>
                <w:rFonts w:ascii="宋体" w:hAnsi="宋体" w:cs="宋体"/>
                <w:sz w:val="24"/>
              </w:rPr>
            </w:pPr>
            <w:r>
              <w:rPr>
                <w:rFonts w:hint="eastAsia" w:ascii="宋体" w:hAnsi="宋体" w:cs="宋体"/>
                <w:sz w:val="24"/>
              </w:rPr>
              <w:t>1</w:t>
            </w:r>
          </w:p>
        </w:tc>
        <w:tc>
          <w:tcPr>
            <w:tcW w:w="1230" w:type="dxa"/>
            <w:vAlign w:val="center"/>
          </w:tcPr>
          <w:p>
            <w:pPr>
              <w:adjustRightInd/>
              <w:jc w:val="center"/>
              <w:rPr>
                <w:rFonts w:ascii="宋体" w:hAnsi="宋体" w:cs="宋体"/>
                <w:sz w:val="24"/>
              </w:rPr>
            </w:pPr>
            <w:r>
              <w:rPr>
                <w:rFonts w:hint="eastAsia" w:ascii="宋体" w:hAnsi="宋体" w:cs="宋体"/>
                <w:sz w:val="24"/>
                <w:lang w:val="zh-CN"/>
              </w:rPr>
              <w:t>报价</w:t>
            </w:r>
          </w:p>
        </w:tc>
        <w:tc>
          <w:tcPr>
            <w:tcW w:w="7065" w:type="dxa"/>
            <w:vAlign w:val="center"/>
          </w:tcPr>
          <w:p>
            <w:pPr>
              <w:adjustRightInd/>
              <w:rPr>
                <w:rFonts w:ascii="宋体" w:hAnsi="宋体" w:cs="宋体"/>
                <w:sz w:val="24"/>
                <w:highlight w:val="none"/>
                <w:lang w:val="zh-CN"/>
              </w:rPr>
            </w:pPr>
            <w:r>
              <w:rPr>
                <w:rFonts w:hint="eastAsia" w:ascii="宋体" w:hAnsi="宋体" w:eastAsia="宋体" w:cs="宋体"/>
                <w:b w:val="0"/>
                <w:bCs w:val="0"/>
                <w:sz w:val="24"/>
                <w:szCs w:val="24"/>
                <w:highlight w:val="none"/>
                <w:lang w:val="en-US" w:eastAsia="zh-CN"/>
              </w:rPr>
              <w:t>本项目固定报价</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即不可竞争费用，投标人的投标报价不得私自修改，否则作为无效标处理。</w:t>
            </w:r>
          </w:p>
        </w:tc>
        <w:tc>
          <w:tcPr>
            <w:tcW w:w="938" w:type="dxa"/>
            <w:vAlign w:val="center"/>
          </w:tcPr>
          <w:p>
            <w:pPr>
              <w:adjustRightInd/>
              <w:jc w:val="center"/>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分</w:t>
            </w:r>
          </w:p>
        </w:tc>
      </w:tr>
    </w:tbl>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32"/>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lang w:val="en-US" w:eastAsia="zh-CN"/>
        </w:rPr>
        <w:t>2</w:t>
      </w:r>
      <w:r>
        <w:rPr>
          <w:rFonts w:hint="eastAsia" w:ascii="宋体" w:hAnsi="宋体" w:eastAsia="宋体" w:cs="宋体"/>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lang w:val="en-US" w:eastAsia="zh-CN"/>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pPr>
        <w:pStyle w:val="132"/>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7"/>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7"/>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7"/>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7"/>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7"/>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7"/>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pPr>
        <w:pStyle w:val="27"/>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pPr>
        <w:pStyle w:val="27"/>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7"/>
        <w:snapToGrid w:val="0"/>
        <w:spacing w:line="360" w:lineRule="auto"/>
        <w:rPr>
          <w:rFonts w:hint="eastAsia" w:ascii="宋体" w:hAnsi="宋体" w:eastAsia="宋体" w:cs="宋体"/>
          <w:b/>
          <w:sz w:val="36"/>
          <w:szCs w:val="36"/>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bookmarkEnd w:id="24"/>
      <w:bookmarkStart w:id="390" w:name="第五部分"/>
      <w:bookmarkStart w:id="391" w:name="_Toc86217003"/>
    </w:p>
    <w:p>
      <w:pPr>
        <w:spacing w:line="360" w:lineRule="auto"/>
        <w:jc w:val="center"/>
        <w:outlineLvl w:val="0"/>
        <w:rPr>
          <w:rFonts w:hint="eastAsia" w:ascii="宋体" w:hAnsi="宋体" w:eastAsia="宋体" w:cs="宋体"/>
          <w:b/>
          <w:sz w:val="36"/>
          <w:szCs w:val="36"/>
        </w:rPr>
      </w:pP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numPr>
          <w:ilvl w:val="0"/>
          <w:numId w:val="0"/>
        </w:numPr>
        <w:spacing w:line="360" w:lineRule="auto"/>
        <w:jc w:val="center"/>
        <w:outlineLvl w:val="0"/>
        <w:rPr>
          <w:rFonts w:hint="eastAsia" w:ascii="仿宋_GB2312" w:hAnsi="仿宋" w:eastAsia="仿宋_GB2312" w:cs="仿宋_GB2312"/>
          <w:b/>
          <w:sz w:val="36"/>
          <w:szCs w:val="36"/>
          <w:lang w:eastAsia="zh-CN"/>
        </w:rPr>
      </w:pPr>
      <w:r>
        <w:rPr>
          <w:rFonts w:hint="eastAsia" w:ascii="仿宋_GB2312" w:hAnsi="仿宋" w:eastAsia="仿宋_GB2312" w:cs="仿宋_GB2312"/>
          <w:b/>
          <w:sz w:val="36"/>
          <w:szCs w:val="36"/>
          <w:lang w:eastAsia="zh-CN"/>
        </w:rPr>
        <w:t>（仅供参考，具体以合同签订为准）</w:t>
      </w:r>
    </w:p>
    <w:p>
      <w:pPr>
        <w:spacing w:line="480" w:lineRule="auto"/>
        <w:jc w:val="center"/>
        <w:rPr>
          <w:rFonts w:hint="eastAsia" w:ascii="宋体" w:hAnsi="宋体" w:eastAsia="宋体" w:cs="宋体"/>
          <w:b/>
          <w:sz w:val="28"/>
          <w:szCs w:val="28"/>
        </w:rPr>
      </w:pPr>
    </w:p>
    <w:p>
      <w:pPr>
        <w:spacing w:line="480" w:lineRule="auto"/>
        <w:jc w:val="center"/>
        <w:rPr>
          <w:rFonts w:hint="eastAsia" w:ascii="宋体" w:hAnsi="宋体" w:eastAsia="宋体" w:cs="宋体"/>
          <w:b/>
          <w:sz w:val="24"/>
        </w:rPr>
      </w:pPr>
    </w:p>
    <w:p>
      <w:pPr>
        <w:spacing w:line="480" w:lineRule="auto"/>
        <w:jc w:val="both"/>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cs="宋体"/>
          <w:b/>
          <w:sz w:val="36"/>
          <w:szCs w:val="36"/>
          <w:lang w:eastAsia="zh-CN"/>
        </w:rPr>
        <w:t>服务</w:t>
      </w:r>
      <w:r>
        <w:rPr>
          <w:rFonts w:hint="eastAsia" w:ascii="宋体" w:hAnsi="宋体" w:eastAsia="宋体" w:cs="宋体"/>
          <w:b/>
          <w:sz w:val="36"/>
          <w:szCs w:val="36"/>
        </w:rPr>
        <w:t>类）</w:t>
      </w:r>
    </w:p>
    <w:p>
      <w:pPr>
        <w:pStyle w:val="702"/>
        <w:rPr>
          <w:rFonts w:hint="eastAsia" w:ascii="宋体" w:hAnsi="宋体" w:eastAsia="宋体" w:cs="宋体"/>
          <w:szCs w:val="24"/>
        </w:rPr>
      </w:pPr>
    </w:p>
    <w:p>
      <w:pPr>
        <w:pStyle w:val="702"/>
        <w:ind w:left="0" w:leftChars="0" w:firstLine="0" w:firstLineChars="0"/>
        <w:jc w:val="both"/>
        <w:rPr>
          <w:rFonts w:hint="eastAsia" w:ascii="宋体" w:hAnsi="宋体" w:eastAsia="宋体" w:cs="宋体"/>
          <w:szCs w:val="24"/>
        </w:rPr>
      </w:pPr>
    </w:p>
    <w:p>
      <w:pPr>
        <w:pStyle w:val="702"/>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pPr>
        <w:pStyle w:val="702"/>
        <w:rPr>
          <w:rFonts w:hint="eastAsia" w:ascii="宋体" w:hAnsi="宋体" w:eastAsia="宋体" w:cs="宋体"/>
          <w:szCs w:val="24"/>
        </w:rPr>
      </w:pPr>
    </w:p>
    <w:p>
      <w:pPr>
        <w:pStyle w:val="702"/>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599"/>
        <w:spacing w:before="120" w:line="22" w:lineRule="atLeast"/>
        <w:rPr>
          <w:rFonts w:hint="eastAsia" w:ascii="宋体" w:hAnsi="宋体" w:eastAsia="宋体" w:cs="宋体"/>
          <w:szCs w:val="24"/>
        </w:rPr>
      </w:pPr>
    </w:p>
    <w:p>
      <w:pPr>
        <w:pStyle w:val="599"/>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footerReference r:id="rId9" w:type="default"/>
          <w:pgSz w:w="11907" w:h="16840"/>
          <w:pgMar w:top="1440" w:right="1417" w:bottom="1440"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（项目名称）   </w:t>
      </w:r>
      <w:r>
        <w:rPr>
          <w:rFonts w:hint="eastAsia" w:ascii="宋体" w:hAnsi="宋体" w:eastAsia="宋体" w:cs="宋体"/>
          <w:sz w:val="24"/>
        </w:rPr>
        <w:t>项目进行了采购。经评定，</w:t>
      </w:r>
      <w:r>
        <w:rPr>
          <w:rFonts w:hint="eastAsia" w:ascii="宋体" w:hAnsi="宋体" w:eastAsia="宋体" w:cs="宋体"/>
          <w:sz w:val="24"/>
          <w:u w:val="single"/>
        </w:rPr>
        <w:t xml:space="preserve">   （中标供应商名称）</w:t>
      </w:r>
      <w:r>
        <w:rPr>
          <w:rFonts w:hint="eastAsia" w:ascii="宋体" w:hAnsi="宋体" w:eastAsia="宋体" w:cs="宋体"/>
          <w:sz w:val="24"/>
        </w:rPr>
        <w:t>为该项目中标供应商。现于中标通知书发出之日起三十日内，按照采购文件确定的事项签订本合同。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pacing w:line="288" w:lineRule="auto"/>
        <w:rPr>
          <w:rFonts w:hint="eastAsia" w:ascii="宋体" w:hAnsi="宋体" w:cs="宋体"/>
          <w:b/>
          <w:spacing w:val="-6"/>
          <w:sz w:val="24"/>
          <w:szCs w:val="24"/>
        </w:rPr>
      </w:pPr>
      <w:r>
        <w:rPr>
          <w:rFonts w:hint="eastAsia" w:ascii="宋体" w:hAnsi="宋体" w:cs="宋体"/>
          <w:b/>
          <w:spacing w:val="-6"/>
          <w:sz w:val="24"/>
          <w:szCs w:val="24"/>
        </w:rPr>
        <w:t>第一条：服务内容</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762"/>
        <w:gridCol w:w="992"/>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r>
              <w:rPr>
                <w:rFonts w:hint="eastAsia" w:ascii="宋体" w:hAnsi="宋体" w:cs="宋体"/>
                <w:spacing w:val="-6"/>
                <w:sz w:val="24"/>
                <w:szCs w:val="24"/>
              </w:rPr>
              <w:t>序号</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cs="宋体"/>
                <w:spacing w:val="-6"/>
                <w:sz w:val="24"/>
                <w:szCs w:val="24"/>
              </w:rPr>
            </w:pPr>
            <w:r>
              <w:rPr>
                <w:rFonts w:hint="eastAsia" w:ascii="宋体" w:hAnsi="宋体" w:cs="宋体"/>
                <w:spacing w:val="-6"/>
                <w:sz w:val="24"/>
                <w:szCs w:val="24"/>
              </w:rPr>
              <w:t>服务内容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r>
              <w:rPr>
                <w:rFonts w:hint="eastAsia" w:ascii="宋体" w:hAnsi="宋体" w:cs="宋体"/>
                <w:spacing w:val="-6"/>
                <w:sz w:val="24"/>
                <w:szCs w:val="24"/>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r>
              <w:rPr>
                <w:rFonts w:hint="eastAsia" w:ascii="宋体" w:hAnsi="宋体" w:cs="宋体"/>
                <w:spacing w:val="-6"/>
                <w:sz w:val="24"/>
                <w:szCs w:val="24"/>
              </w:rPr>
              <w:t>金额</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r>
              <w:rPr>
                <w:rFonts w:hint="eastAsia" w:ascii="宋体" w:hAnsi="宋体" w:cs="宋体"/>
                <w:spacing w:val="-6"/>
                <w:sz w:val="24"/>
                <w:szCs w:val="24"/>
              </w:rPr>
              <w:t>中标单价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r>
              <w:rPr>
                <w:rFonts w:hint="eastAsia" w:ascii="宋体" w:hAnsi="宋体" w:cs="宋体"/>
                <w:spacing w:val="-6"/>
                <w:sz w:val="24"/>
                <w:szCs w:val="24"/>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left="178" w:leftChars="85"/>
              <w:jc w:val="center"/>
              <w:rPr>
                <w:rFonts w:hint="eastAsia" w:ascii="宋体" w:hAnsi="宋体" w:cs="宋体"/>
                <w:spacing w:val="-6"/>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4"/>
                <w:szCs w:val="24"/>
              </w:rPr>
            </w:pPr>
          </w:p>
        </w:tc>
      </w:tr>
    </w:tbl>
    <w:p>
      <w:pPr>
        <w:snapToGrid w:val="0"/>
        <w:spacing w:line="360" w:lineRule="auto"/>
        <w:ind w:firstLine="456" w:firstLineChars="200"/>
        <w:rPr>
          <w:rFonts w:hint="eastAsia" w:ascii="宋体" w:hAnsi="宋体" w:eastAsia="宋体" w:cs="宋体"/>
          <w:spacing w:val="-6"/>
          <w:sz w:val="24"/>
          <w:szCs w:val="24"/>
          <w:lang w:eastAsia="zh-CN"/>
        </w:rPr>
      </w:pPr>
      <w:r>
        <w:rPr>
          <w:rFonts w:hint="eastAsia" w:ascii="宋体" w:hAnsi="宋体" w:cs="宋体"/>
          <w:spacing w:val="-6"/>
          <w:sz w:val="24"/>
          <w:szCs w:val="24"/>
        </w:rPr>
        <w:t>注：投标报价应包括投标总报价是指综合费用，包括人员工资、交通、住宿、税金、保险、验收、报审过程中以及在履行本合同时的现场踏勘、资料收集、调查等的全部费用</w:t>
      </w:r>
      <w:r>
        <w:rPr>
          <w:rFonts w:hint="eastAsia" w:ascii="宋体" w:hAnsi="宋体" w:cs="宋体"/>
          <w:spacing w:val="-6"/>
          <w:sz w:val="24"/>
          <w:szCs w:val="24"/>
          <w:lang w:eastAsia="zh-CN"/>
        </w:rPr>
        <w:t>。</w:t>
      </w:r>
    </w:p>
    <w:p>
      <w:pPr>
        <w:snapToGrid w:val="0"/>
        <w:spacing w:line="360" w:lineRule="auto"/>
        <w:rPr>
          <w:rFonts w:hint="eastAsia" w:ascii="宋体" w:hAnsi="宋体" w:cs="宋体"/>
          <w:b/>
          <w:spacing w:val="-6"/>
          <w:sz w:val="24"/>
          <w:szCs w:val="24"/>
        </w:rPr>
      </w:pPr>
      <w:r>
        <w:rPr>
          <w:rFonts w:hint="eastAsia" w:ascii="宋体" w:hAnsi="宋体" w:cs="宋体"/>
          <w:b/>
          <w:spacing w:val="-6"/>
          <w:sz w:val="24"/>
          <w:szCs w:val="24"/>
        </w:rPr>
        <w:t>第二条：服务期限：</w:t>
      </w:r>
      <w:r>
        <w:rPr>
          <w:rFonts w:hint="eastAsia" w:ascii="宋体" w:hAnsi="宋体" w:cs="宋体"/>
          <w:spacing w:val="-6"/>
          <w:sz w:val="24"/>
          <w:szCs w:val="24"/>
        </w:rPr>
        <w:t>本合同有效期限为</w:t>
      </w:r>
      <w:r>
        <w:rPr>
          <w:rFonts w:hint="eastAsia" w:ascii="宋体" w:hAnsi="宋体" w:cs="宋体"/>
          <w:spacing w:val="-6"/>
          <w:sz w:val="24"/>
          <w:szCs w:val="24"/>
          <w:lang w:val="en-US" w:eastAsia="zh-CN"/>
        </w:rPr>
        <w:t xml:space="preserve">  </w:t>
      </w:r>
      <w:r>
        <w:rPr>
          <w:rFonts w:hint="eastAsia" w:ascii="宋体" w:hAnsi="宋体" w:cs="宋体"/>
          <w:spacing w:val="-6"/>
          <w:sz w:val="24"/>
          <w:szCs w:val="24"/>
        </w:rPr>
        <w:t xml:space="preserve">年，具体时限自 </w:t>
      </w:r>
      <w:r>
        <w:rPr>
          <w:rFonts w:hint="eastAsia" w:ascii="宋体" w:hAnsi="宋体" w:cs="宋体"/>
          <w:spacing w:val="-6"/>
          <w:sz w:val="24"/>
          <w:szCs w:val="24"/>
        </w:rPr>
        <w:tab/>
      </w:r>
      <w:r>
        <w:rPr>
          <w:rFonts w:hint="eastAsia" w:ascii="宋体" w:hAnsi="宋体" w:cs="宋体"/>
          <w:spacing w:val="-6"/>
          <w:sz w:val="24"/>
          <w:szCs w:val="24"/>
        </w:rPr>
        <w:t>年  月  日至  年 月 日。</w:t>
      </w:r>
    </w:p>
    <w:p>
      <w:pPr>
        <w:snapToGrid w:val="0"/>
        <w:spacing w:line="360" w:lineRule="auto"/>
        <w:rPr>
          <w:rFonts w:hint="eastAsia" w:ascii="宋体" w:hAnsi="宋体" w:cs="宋体"/>
          <w:b w:val="0"/>
          <w:bCs/>
          <w:spacing w:val="-6"/>
          <w:sz w:val="24"/>
          <w:szCs w:val="24"/>
        </w:rPr>
      </w:pPr>
      <w:r>
        <w:rPr>
          <w:rFonts w:hint="eastAsia" w:ascii="宋体" w:hAnsi="宋体" w:cs="宋体"/>
          <w:b/>
          <w:spacing w:val="-6"/>
          <w:sz w:val="24"/>
          <w:szCs w:val="24"/>
        </w:rPr>
        <w:t>第三条：执行技术标准：</w:t>
      </w:r>
      <w:r>
        <w:rPr>
          <w:rFonts w:hint="eastAsia" w:ascii="宋体" w:hAnsi="宋体" w:cs="宋体"/>
          <w:b w:val="0"/>
          <w:bCs/>
          <w:spacing w:val="-6"/>
          <w:sz w:val="24"/>
          <w:szCs w:val="24"/>
        </w:rPr>
        <w:t>提交成果必须符合国家相关规程和规范要求</w:t>
      </w:r>
    </w:p>
    <w:p>
      <w:pPr>
        <w:snapToGrid w:val="0"/>
        <w:spacing w:line="360" w:lineRule="auto"/>
        <w:rPr>
          <w:rFonts w:hint="eastAsia" w:ascii="宋体" w:hAnsi="宋体" w:cs="宋体"/>
          <w:b/>
          <w:spacing w:val="-6"/>
          <w:sz w:val="24"/>
          <w:szCs w:val="24"/>
        </w:rPr>
      </w:pPr>
      <w:r>
        <w:rPr>
          <w:rFonts w:hint="eastAsia" w:ascii="宋体" w:hAnsi="宋体" w:cs="宋体"/>
          <w:b/>
          <w:spacing w:val="-6"/>
          <w:sz w:val="24"/>
          <w:szCs w:val="24"/>
        </w:rPr>
        <w:t>第四条：付款方式：</w:t>
      </w:r>
    </w:p>
    <w:p>
      <w:pPr>
        <w:topLinePunct/>
        <w:adjustRightInd w:val="0"/>
        <w:spacing w:line="360" w:lineRule="auto"/>
        <w:ind w:firstLine="480" w:firstLineChars="200"/>
        <w:rPr>
          <w:rFonts w:hint="eastAsia" w:ascii="宋体" w:hAnsi="宋体" w:eastAsia="宋体" w:cs="宋体"/>
          <w:kern w:val="0"/>
          <w:sz w:val="24"/>
          <w:szCs w:val="24"/>
        </w:rPr>
      </w:pPr>
    </w:p>
    <w:p>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乙方开户行名称：_____________________</w:t>
      </w:r>
    </w:p>
    <w:p>
      <w:pPr>
        <w:topLinePunct/>
        <w:adjustRightInd w:val="0"/>
        <w:spacing w:line="360" w:lineRule="auto"/>
        <w:ind w:firstLine="480" w:firstLineChars="200"/>
        <w:rPr>
          <w:rFonts w:hint="eastAsia" w:ascii="宋体" w:hAnsi="宋体" w:eastAsia="宋体" w:cs="宋体"/>
          <w:kern w:val="0"/>
          <w:sz w:val="24"/>
          <w:szCs w:val="24"/>
          <w:u w:val="none"/>
        </w:rPr>
      </w:pPr>
      <w:r>
        <w:rPr>
          <w:rFonts w:hint="eastAsia" w:ascii="宋体" w:hAnsi="宋体" w:eastAsia="宋体" w:cs="宋体"/>
          <w:kern w:val="0"/>
          <w:sz w:val="24"/>
          <w:szCs w:val="24"/>
        </w:rPr>
        <w:t>开户行账号：_____________</w:t>
      </w:r>
      <w:r>
        <w:rPr>
          <w:rFonts w:hint="eastAsia" w:ascii="宋体" w:hAnsi="宋体" w:eastAsia="宋体" w:cs="宋体"/>
          <w:kern w:val="0"/>
          <w:sz w:val="24"/>
          <w:szCs w:val="24"/>
          <w:u w:val="none"/>
        </w:rPr>
        <w:t>____</w:t>
      </w:r>
      <w:r>
        <w:rPr>
          <w:rFonts w:hint="eastAsia" w:ascii="宋体" w:hAnsi="宋体" w:eastAsia="宋体" w:cs="宋体"/>
          <w:kern w:val="0"/>
          <w:sz w:val="24"/>
          <w:szCs w:val="24"/>
        </w:rPr>
        <w:t>_______</w:t>
      </w:r>
      <w:r>
        <w:rPr>
          <w:rFonts w:hint="eastAsia" w:ascii="宋体" w:hAnsi="宋体" w:eastAsia="宋体" w:cs="宋体"/>
          <w:kern w:val="0"/>
          <w:sz w:val="24"/>
          <w:szCs w:val="24"/>
          <w:u w:val="none"/>
        </w:rPr>
        <w:t>_</w:t>
      </w:r>
    </w:p>
    <w:p>
      <w:pPr>
        <w:autoSpaceDE w:val="0"/>
        <w:adjustRightInd w:val="0"/>
        <w:spacing w:line="360" w:lineRule="auto"/>
        <w:rPr>
          <w:rFonts w:hint="eastAsia" w:ascii="宋体" w:hAnsi="宋体" w:cs="宋体"/>
          <w:b/>
          <w:sz w:val="24"/>
          <w:szCs w:val="24"/>
          <w:lang w:eastAsia="zh-CN"/>
        </w:rPr>
      </w:pPr>
      <w:r>
        <w:rPr>
          <w:rFonts w:hint="eastAsia" w:ascii="宋体" w:hAnsi="宋体" w:cs="宋体"/>
          <w:b/>
          <w:sz w:val="24"/>
          <w:szCs w:val="24"/>
          <w:lang w:eastAsia="zh-CN"/>
        </w:rPr>
        <w:t>第五条：履约保证金</w:t>
      </w:r>
    </w:p>
    <w:p>
      <w:pPr>
        <w:autoSpaceDE w:val="0"/>
        <w:adjustRightInd w:val="0"/>
        <w:spacing w:line="360" w:lineRule="auto"/>
        <w:rPr>
          <w:rFonts w:hint="eastAsia" w:ascii="宋体" w:hAnsi="宋体" w:cs="宋体"/>
          <w:b/>
          <w:sz w:val="24"/>
          <w:szCs w:val="24"/>
          <w:lang w:eastAsia="zh-CN"/>
        </w:rPr>
      </w:pPr>
    </w:p>
    <w:p>
      <w:pPr>
        <w:autoSpaceDE w:val="0"/>
        <w:adjustRightInd w:val="0"/>
        <w:spacing w:line="360" w:lineRule="auto"/>
        <w:rPr>
          <w:rFonts w:hint="eastAsia" w:ascii="宋体" w:hAnsi="宋体" w:cs="宋体"/>
          <w:b/>
          <w:sz w:val="24"/>
          <w:szCs w:val="24"/>
          <w:lang w:val="en-US" w:eastAsia="zh-CN"/>
        </w:rPr>
      </w:pPr>
      <w:r>
        <w:rPr>
          <w:rFonts w:hint="eastAsia" w:ascii="宋体" w:hAnsi="宋体" w:cs="宋体"/>
          <w:b/>
          <w:sz w:val="24"/>
          <w:szCs w:val="24"/>
          <w:lang w:eastAsia="zh-CN"/>
        </w:rPr>
        <w:t>第六条：</w:t>
      </w:r>
      <w:r>
        <w:rPr>
          <w:rFonts w:hint="eastAsia" w:ascii="宋体" w:hAnsi="宋体" w:cs="宋体"/>
          <w:b/>
          <w:sz w:val="24"/>
          <w:szCs w:val="24"/>
          <w:lang w:val="en-US" w:eastAsia="zh-CN"/>
        </w:rPr>
        <w:t>知识产权</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乙方应保证提供服务过程中不会侵犯任何第三方的知识产权。</w:t>
      </w:r>
    </w:p>
    <w:p>
      <w:pPr>
        <w:autoSpaceDE w:val="0"/>
        <w:adjustRightInd w:val="0"/>
        <w:spacing w:line="360" w:lineRule="auto"/>
        <w:rPr>
          <w:rFonts w:hint="eastAsia" w:ascii="宋体" w:hAnsi="宋体" w:eastAsia="宋体" w:cs="宋体"/>
          <w:b/>
          <w:sz w:val="24"/>
          <w:szCs w:val="24"/>
          <w:lang w:eastAsia="zh-CN"/>
        </w:rPr>
      </w:pPr>
      <w:r>
        <w:rPr>
          <w:rFonts w:hint="eastAsia" w:ascii="宋体" w:hAnsi="宋体" w:cs="宋体"/>
          <w:b/>
          <w:sz w:val="24"/>
          <w:szCs w:val="24"/>
          <w:lang w:eastAsia="zh-CN"/>
        </w:rPr>
        <w:t>第七条：转包或分包</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1.本合同范围的服务，应由乙方直接供应，不得转让他人供应；</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2.除非得到甲方的书面同意，乙方不得将本合同范围的服务全部或部分分包给他人供应；</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3.如有转让和未经甲方同意的分包行为，甲方有权解除合同，没收履约保证金并追究乙方的违约责任。</w:t>
      </w:r>
    </w:p>
    <w:p>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sz w:val="24"/>
          <w:szCs w:val="24"/>
        </w:rPr>
        <w:t>第</w:t>
      </w:r>
      <w:r>
        <w:rPr>
          <w:rFonts w:hint="eastAsia" w:ascii="宋体" w:hAnsi="宋体" w:cs="宋体"/>
          <w:b/>
          <w:sz w:val="24"/>
          <w:szCs w:val="24"/>
          <w:lang w:eastAsia="zh-CN"/>
        </w:rPr>
        <w:t>八</w:t>
      </w:r>
      <w:r>
        <w:rPr>
          <w:rFonts w:hint="eastAsia" w:ascii="宋体" w:hAnsi="宋体" w:eastAsia="宋体" w:cs="宋体"/>
          <w:b/>
          <w:sz w:val="24"/>
          <w:szCs w:val="24"/>
        </w:rPr>
        <w:t>条：</w:t>
      </w:r>
      <w:r>
        <w:rPr>
          <w:rFonts w:hint="eastAsia" w:ascii="宋体" w:hAnsi="宋体" w:eastAsia="宋体" w:cs="宋体"/>
          <w:b/>
          <w:bCs/>
          <w:color w:val="auto"/>
          <w:kern w:val="2"/>
          <w:sz w:val="24"/>
          <w:lang w:val="en-US" w:eastAsia="zh-CN"/>
        </w:rPr>
        <w:t>税费</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本合同执行中相关的一切税费均由乙方负担。</w:t>
      </w:r>
    </w:p>
    <w:p>
      <w:pPr>
        <w:autoSpaceDE w:val="0"/>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eastAsia="zh-CN"/>
        </w:rPr>
        <w:t>九</w:t>
      </w:r>
      <w:r>
        <w:rPr>
          <w:rFonts w:hint="eastAsia" w:ascii="宋体" w:hAnsi="宋体" w:eastAsia="宋体" w:cs="宋体"/>
          <w:b/>
          <w:sz w:val="24"/>
          <w:szCs w:val="24"/>
        </w:rPr>
        <w:t>条：验收</w:t>
      </w:r>
    </w:p>
    <w:p>
      <w:pPr>
        <w:autoSpaceDE w:val="0"/>
        <w:adjustRightInd w:val="0"/>
        <w:spacing w:line="360" w:lineRule="auto"/>
        <w:ind w:firstLine="480" w:firstLineChars="200"/>
        <w:rPr>
          <w:rFonts w:hint="eastAsia" w:ascii="宋体" w:hAnsi="宋体"/>
          <w:sz w:val="24"/>
        </w:rPr>
      </w:pPr>
      <w:r>
        <w:rPr>
          <w:rFonts w:hint="eastAsia" w:ascii="宋体" w:hAnsi="宋体"/>
          <w:sz w:val="24"/>
        </w:rPr>
        <w:t>验收按国家有关的规定、规范进行。</w:t>
      </w:r>
    </w:p>
    <w:p>
      <w:pPr>
        <w:autoSpaceDE w:val="0"/>
        <w:adjustRightInd w:val="0"/>
        <w:spacing w:line="360" w:lineRule="auto"/>
        <w:rPr>
          <w:rFonts w:hint="eastAsia"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eastAsia="zh-CN"/>
        </w:rPr>
        <w:t>十</w:t>
      </w:r>
      <w:r>
        <w:rPr>
          <w:rFonts w:hint="eastAsia" w:ascii="宋体" w:hAnsi="宋体" w:cs="宋体"/>
          <w:b/>
          <w:sz w:val="24"/>
          <w:szCs w:val="24"/>
        </w:rPr>
        <w:t>条：售后服务</w:t>
      </w:r>
    </w:p>
    <w:p>
      <w:pPr>
        <w:autoSpaceDE w:val="0"/>
        <w:adjustRightInd w:val="0"/>
        <w:spacing w:line="360" w:lineRule="auto"/>
        <w:ind w:firstLine="480" w:firstLineChars="200"/>
        <w:rPr>
          <w:rFonts w:hint="eastAsia" w:ascii="宋体" w:hAnsi="宋体" w:cs="宋体"/>
          <w:b/>
          <w:sz w:val="24"/>
          <w:szCs w:val="24"/>
        </w:rPr>
      </w:pPr>
      <w:r>
        <w:rPr>
          <w:rFonts w:hint="eastAsia" w:ascii="宋体" w:hAnsi="宋体"/>
          <w:sz w:val="24"/>
        </w:rPr>
        <w:t>在服务质保期内，乙方应该确保服务范围内的质量标准符合本招标文件要求。当出现问题时，投标人应承诺在</w:t>
      </w:r>
      <w:r>
        <w:rPr>
          <w:rFonts w:hint="eastAsia" w:ascii="宋体" w:hAnsi="宋体"/>
          <w:sz w:val="24"/>
          <w:u w:val="single"/>
        </w:rPr>
        <w:t xml:space="preserve">     </w:t>
      </w:r>
      <w:r>
        <w:rPr>
          <w:rFonts w:hint="eastAsia" w:ascii="宋体" w:hAnsi="宋体"/>
          <w:sz w:val="24"/>
        </w:rPr>
        <w:t>小时内响应并提出解决方案，</w:t>
      </w:r>
      <w:r>
        <w:rPr>
          <w:rFonts w:hint="eastAsia" w:ascii="宋体" w:hAnsi="宋体"/>
          <w:sz w:val="24"/>
          <w:u w:val="single"/>
        </w:rPr>
        <w:t xml:space="preserve">      </w:t>
      </w:r>
      <w:r>
        <w:rPr>
          <w:rFonts w:hint="eastAsia" w:ascii="宋体" w:hAnsi="宋体"/>
          <w:sz w:val="24"/>
        </w:rPr>
        <w:t xml:space="preserve">小时之内到现场对存在问题进行处理，并提出相应措施。                                             </w:t>
      </w:r>
      <w:r>
        <w:rPr>
          <w:rFonts w:hint="eastAsia" w:ascii="宋体" w:hAnsi="宋体" w:cs="宋体"/>
          <w:b/>
          <w:sz w:val="24"/>
          <w:szCs w:val="24"/>
          <w:u w:val="single"/>
        </w:rPr>
        <w:t xml:space="preserve">                                                        </w:t>
      </w:r>
    </w:p>
    <w:p>
      <w:pPr>
        <w:autoSpaceDE w:val="0"/>
        <w:adjustRightInd w:val="0"/>
        <w:spacing w:line="360" w:lineRule="auto"/>
        <w:jc w:val="left"/>
        <w:rPr>
          <w:rFonts w:hint="eastAsia" w:ascii="宋体" w:hAnsi="宋体" w:cs="宋体"/>
          <w:bCs/>
          <w:kern w:val="0"/>
          <w:sz w:val="24"/>
          <w:szCs w:val="24"/>
        </w:rPr>
      </w:pPr>
      <w:r>
        <w:rPr>
          <w:rFonts w:hint="eastAsia" w:ascii="宋体" w:hAnsi="宋体" w:cs="宋体"/>
          <w:b/>
          <w:sz w:val="24"/>
          <w:szCs w:val="24"/>
        </w:rPr>
        <w:t>第</w:t>
      </w:r>
      <w:r>
        <w:rPr>
          <w:rFonts w:hint="eastAsia" w:ascii="宋体" w:hAnsi="宋体" w:cs="宋体"/>
          <w:b/>
          <w:sz w:val="24"/>
          <w:szCs w:val="24"/>
          <w:lang w:eastAsia="zh-CN"/>
        </w:rPr>
        <w:t>十一</w:t>
      </w:r>
      <w:r>
        <w:rPr>
          <w:rFonts w:hint="eastAsia" w:ascii="宋体" w:hAnsi="宋体" w:cs="宋体"/>
          <w:b/>
          <w:sz w:val="24"/>
          <w:szCs w:val="24"/>
        </w:rPr>
        <w:t>条：</w:t>
      </w:r>
      <w:r>
        <w:rPr>
          <w:rFonts w:hint="eastAsia" w:ascii="宋体" w:hAnsi="宋体" w:cs="宋体"/>
          <w:bCs/>
          <w:kern w:val="0"/>
          <w:sz w:val="24"/>
          <w:szCs w:val="24"/>
        </w:rPr>
        <w:t>乙方承担完成本招标项目的一切费用(包括不可预见费用)和市场风险。</w:t>
      </w:r>
    </w:p>
    <w:p>
      <w:pPr>
        <w:autoSpaceDE w:val="0"/>
        <w:adjustRightInd w:val="0"/>
        <w:spacing w:line="360" w:lineRule="auto"/>
        <w:jc w:val="left"/>
        <w:rPr>
          <w:rFonts w:hint="eastAsia" w:ascii="仿宋" w:hAnsi="仿宋" w:eastAsia="仿宋"/>
          <w:sz w:val="24"/>
          <w:szCs w:val="24"/>
          <w:u w:val="single"/>
        </w:rPr>
      </w:pPr>
      <w:r>
        <w:rPr>
          <w:rFonts w:hint="eastAsia" w:ascii="宋体" w:hAnsi="宋体" w:cs="宋体"/>
          <w:b/>
          <w:sz w:val="24"/>
          <w:szCs w:val="24"/>
        </w:rPr>
        <w:t>第</w:t>
      </w:r>
      <w:r>
        <w:rPr>
          <w:rFonts w:hint="eastAsia" w:ascii="宋体" w:hAnsi="宋体" w:cs="宋体"/>
          <w:b/>
          <w:sz w:val="24"/>
          <w:szCs w:val="24"/>
          <w:lang w:eastAsia="zh-CN"/>
        </w:rPr>
        <w:t>十二</w:t>
      </w:r>
      <w:r>
        <w:rPr>
          <w:rFonts w:hint="eastAsia" w:ascii="宋体" w:hAnsi="宋体" w:cs="宋体"/>
          <w:b/>
          <w:sz w:val="24"/>
          <w:szCs w:val="24"/>
        </w:rPr>
        <w:t xml:space="preserve">条：其他约定：              </w:t>
      </w:r>
    </w:p>
    <w:p>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sz w:val="24"/>
          <w:szCs w:val="24"/>
        </w:rPr>
        <w:t>第</w:t>
      </w:r>
      <w:r>
        <w:rPr>
          <w:rFonts w:hint="eastAsia" w:ascii="宋体" w:hAnsi="宋体" w:cs="宋体"/>
          <w:b/>
          <w:sz w:val="24"/>
          <w:szCs w:val="24"/>
          <w:lang w:eastAsia="zh-CN"/>
        </w:rPr>
        <w:t>十三</w:t>
      </w:r>
      <w:r>
        <w:rPr>
          <w:rFonts w:hint="eastAsia" w:ascii="宋体" w:hAnsi="宋体" w:cs="宋体"/>
          <w:b/>
          <w:sz w:val="24"/>
          <w:szCs w:val="24"/>
        </w:rPr>
        <w:t>条：</w:t>
      </w:r>
      <w:r>
        <w:rPr>
          <w:rFonts w:hint="eastAsia" w:ascii="宋体" w:hAnsi="宋体" w:eastAsia="宋体" w:cs="宋体"/>
          <w:b/>
          <w:bCs/>
          <w:color w:val="auto"/>
          <w:kern w:val="2"/>
          <w:sz w:val="24"/>
          <w:lang w:val="zh-CN" w:eastAsia="zh-CN"/>
        </w:rPr>
        <w:t>甲方的责任与义务</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甲方应当主要负责项目的所有外部关系的联系与协调，为乙方工作提供良好的外部条件。</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甲方应当按双方约定的内容和时间，向乙方提供与项目有关的资料。</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甲方应授权一名熟悉本项目情况、能迅速做出决定的项目代表，负责与乙方联系。更换代表，要提前通知乙方。</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甲方有与乙方订立补充合同的签订权。</w:t>
      </w:r>
    </w:p>
    <w:p>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sz w:val="24"/>
          <w:szCs w:val="24"/>
        </w:rPr>
        <w:t>第</w:t>
      </w:r>
      <w:r>
        <w:rPr>
          <w:rFonts w:hint="eastAsia" w:ascii="宋体" w:hAnsi="宋体" w:cs="宋体"/>
          <w:b/>
          <w:sz w:val="24"/>
          <w:szCs w:val="24"/>
          <w:lang w:eastAsia="zh-CN"/>
        </w:rPr>
        <w:t>十四</w:t>
      </w:r>
      <w:r>
        <w:rPr>
          <w:rFonts w:hint="eastAsia" w:ascii="宋体" w:hAnsi="宋体" w:cs="宋体"/>
          <w:b/>
          <w:sz w:val="24"/>
          <w:szCs w:val="24"/>
        </w:rPr>
        <w:t>条：</w:t>
      </w:r>
      <w:r>
        <w:rPr>
          <w:rFonts w:hint="eastAsia" w:ascii="宋体" w:hAnsi="宋体" w:eastAsia="宋体" w:cs="宋体"/>
          <w:b/>
          <w:bCs/>
          <w:color w:val="auto"/>
          <w:kern w:val="2"/>
          <w:sz w:val="24"/>
          <w:lang w:val="zh-CN" w:eastAsia="zh-CN"/>
        </w:rPr>
        <w:t>乙方的责任与义务</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根据投标文件的承诺向甲方委派项目组人员。</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在履行本合同义务的期间，应运用合理的技能，认真、勤奋的工作。</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在本合同期内或合同终止后，未征得有关方同意，不得泄漏与本项目、本合同有关的技术、资料等，不得以任何形式侵害甲方的知识产权。</w:t>
      </w:r>
    </w:p>
    <w:p>
      <w:pPr>
        <w:autoSpaceDE w:val="0"/>
        <w:adjustRightInd w:val="0"/>
        <w:spacing w:line="360" w:lineRule="auto"/>
        <w:ind w:firstLine="480" w:firstLineChars="200"/>
        <w:rPr>
          <w:rFonts w:hint="eastAsia" w:ascii="宋体" w:hAnsi="宋体"/>
          <w:sz w:val="24"/>
        </w:rPr>
      </w:pPr>
      <w:r>
        <w:rPr>
          <w:rFonts w:hint="eastAsia" w:ascii="宋体" w:hAnsi="宋体"/>
          <w:sz w:val="24"/>
          <w:lang w:val="en-US" w:eastAsia="zh-CN"/>
        </w:rPr>
        <w:t>负责处理好与相关项目实施单位的协调工作。</w:t>
      </w:r>
    </w:p>
    <w:p>
      <w:pPr>
        <w:spacing w:line="360" w:lineRule="auto"/>
        <w:rPr>
          <w:rFonts w:hint="eastAsia"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eastAsia="zh-CN"/>
        </w:rPr>
        <w:t>十五</w:t>
      </w:r>
      <w:r>
        <w:rPr>
          <w:rFonts w:hint="eastAsia" w:ascii="宋体" w:hAnsi="宋体" w:cs="宋体"/>
          <w:b/>
          <w:sz w:val="24"/>
          <w:szCs w:val="24"/>
        </w:rPr>
        <w:t>条  违约责任</w:t>
      </w:r>
    </w:p>
    <w:p>
      <w:pPr>
        <w:autoSpaceDE w:val="0"/>
        <w:adjustRightInd w:val="0"/>
        <w:spacing w:line="360" w:lineRule="auto"/>
        <w:ind w:firstLine="480" w:firstLineChars="200"/>
        <w:rPr>
          <w:rFonts w:hint="eastAsia" w:ascii="宋体" w:hAnsi="宋体"/>
          <w:sz w:val="24"/>
        </w:rPr>
      </w:pPr>
      <w:r>
        <w:rPr>
          <w:rFonts w:hint="eastAsia" w:ascii="宋体" w:hAnsi="宋体"/>
          <w:sz w:val="24"/>
        </w:rPr>
        <w:t>1. 甲方无正当理由拒收接受服务的，甲方向乙方偿付合同款项百分之五作为违约金。</w:t>
      </w:r>
    </w:p>
    <w:p>
      <w:pPr>
        <w:autoSpaceDE w:val="0"/>
        <w:adjustRightInd w:val="0"/>
        <w:spacing w:line="360" w:lineRule="auto"/>
        <w:ind w:firstLine="480" w:firstLineChars="200"/>
        <w:rPr>
          <w:rFonts w:hint="eastAsia" w:ascii="宋体" w:hAnsi="宋体"/>
          <w:sz w:val="24"/>
        </w:rPr>
      </w:pPr>
      <w:r>
        <w:rPr>
          <w:rFonts w:hint="eastAsia" w:ascii="宋体" w:hAnsi="宋体"/>
          <w:sz w:val="24"/>
        </w:rPr>
        <w:t>2. 甲方无故逾期验收和办理款项支付手续的,甲方应按逾期付款总额每日万分之五向乙方支付违约金。</w:t>
      </w:r>
    </w:p>
    <w:p>
      <w:pPr>
        <w:autoSpaceDE w:val="0"/>
        <w:adjustRightInd w:val="0"/>
        <w:spacing w:line="360" w:lineRule="auto"/>
        <w:ind w:firstLine="480" w:firstLineChars="200"/>
        <w:rPr>
          <w:rFonts w:hint="eastAsia" w:ascii="宋体" w:hAnsi="宋体"/>
          <w:sz w:val="24"/>
        </w:rPr>
      </w:pPr>
      <w:r>
        <w:rPr>
          <w:rFonts w:hint="eastAsia" w:ascii="宋体" w:hAnsi="宋体"/>
          <w:sz w:val="24"/>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utoSpaceDE w:val="0"/>
        <w:adjustRightInd w:val="0"/>
        <w:spacing w:line="360" w:lineRule="auto"/>
        <w:jc w:val="left"/>
        <w:rPr>
          <w:rFonts w:hint="eastAsia" w:ascii="宋体" w:hAnsi="宋体" w:cs="宋体"/>
          <w:b/>
          <w:sz w:val="24"/>
          <w:szCs w:val="24"/>
          <w:lang w:val="en-US" w:eastAsia="zh-CN"/>
        </w:rPr>
      </w:pPr>
      <w:r>
        <w:rPr>
          <w:rFonts w:hint="eastAsia" w:ascii="宋体" w:hAnsi="宋体" w:cs="宋体"/>
          <w:b/>
          <w:sz w:val="24"/>
          <w:szCs w:val="24"/>
          <w:lang w:val="en-US" w:eastAsia="zh-CN"/>
        </w:rPr>
        <w:t>第十六条：不可抗力事件处理</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1．在合同有效期内，任何一方因不可抗力事件导致不能履行合同，则合同履行期可延长，其延长期与不可抗力影响期相同。</w:t>
      </w:r>
    </w:p>
    <w:p>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2．不可抗力事件发生后，应立即通知对方，并寄送有关权威机构出具的证明。</w:t>
      </w:r>
    </w:p>
    <w:p>
      <w:pPr>
        <w:autoSpaceDE w:val="0"/>
        <w:adjustRightInd w:val="0"/>
        <w:spacing w:line="360" w:lineRule="auto"/>
        <w:ind w:firstLine="480" w:firstLineChars="200"/>
        <w:rPr>
          <w:rFonts w:hint="eastAsia" w:ascii="宋体" w:hAnsi="宋体"/>
          <w:sz w:val="24"/>
        </w:rPr>
      </w:pPr>
      <w:r>
        <w:rPr>
          <w:rFonts w:hint="eastAsia" w:ascii="宋体" w:hAnsi="宋体"/>
          <w:sz w:val="24"/>
          <w:lang w:val="en-US" w:eastAsia="zh-CN"/>
        </w:rPr>
        <w:t>3．不可抗力事件延续120天以上，双方应通过友好协商，确定是否继续履行合同。</w:t>
      </w:r>
    </w:p>
    <w:p>
      <w:pPr>
        <w:autoSpaceDE w:val="0"/>
        <w:adjustRightInd w:val="0"/>
        <w:spacing w:line="360" w:lineRule="auto"/>
        <w:jc w:val="left"/>
        <w:rPr>
          <w:rFonts w:hint="eastAsia" w:ascii="宋体" w:hAnsi="宋体" w:cs="宋体"/>
          <w:b/>
          <w:sz w:val="24"/>
          <w:szCs w:val="24"/>
        </w:rPr>
      </w:pPr>
      <w:r>
        <w:rPr>
          <w:rFonts w:hint="eastAsia" w:ascii="宋体" w:hAnsi="宋体" w:cs="宋体"/>
          <w:b/>
          <w:sz w:val="24"/>
          <w:szCs w:val="24"/>
        </w:rPr>
        <w:t>第十</w:t>
      </w:r>
      <w:r>
        <w:rPr>
          <w:rFonts w:hint="eastAsia" w:ascii="宋体" w:hAnsi="宋体" w:cs="宋体"/>
          <w:b/>
          <w:sz w:val="24"/>
          <w:szCs w:val="24"/>
          <w:lang w:eastAsia="zh-CN"/>
        </w:rPr>
        <w:t>七</w:t>
      </w:r>
      <w:r>
        <w:rPr>
          <w:rFonts w:hint="eastAsia" w:ascii="宋体" w:hAnsi="宋体" w:cs="宋体"/>
          <w:b/>
          <w:sz w:val="24"/>
          <w:szCs w:val="24"/>
        </w:rPr>
        <w:t>条：争议的解决</w:t>
      </w:r>
    </w:p>
    <w:p>
      <w:pPr>
        <w:autoSpaceDE w:val="0"/>
        <w:adjustRightInd w:val="0"/>
        <w:spacing w:line="360" w:lineRule="auto"/>
        <w:ind w:firstLine="480" w:firstLineChars="200"/>
        <w:rPr>
          <w:rFonts w:hint="eastAsia" w:ascii="宋体" w:hAnsi="宋体"/>
          <w:sz w:val="24"/>
        </w:rPr>
      </w:pPr>
      <w:r>
        <w:rPr>
          <w:rFonts w:hint="eastAsia" w:ascii="宋体" w:hAnsi="宋体"/>
          <w:sz w:val="24"/>
        </w:rPr>
        <w:t>1．因质量问题发生争议的，由甲方委托有关技术部门进行质量鉴定，该鉴定的结论甲乙双方应当接受，各方均有权直接向对方索赔，并签订书面处理协议书，报相关部门备案。</w:t>
      </w:r>
    </w:p>
    <w:p>
      <w:pPr>
        <w:autoSpaceDE w:val="0"/>
        <w:adjustRightInd w:val="0"/>
        <w:spacing w:line="360" w:lineRule="auto"/>
        <w:ind w:firstLine="480" w:firstLineChars="200"/>
        <w:rPr>
          <w:rFonts w:hint="eastAsia" w:ascii="宋体" w:hAnsi="宋体"/>
          <w:sz w:val="24"/>
        </w:rPr>
      </w:pPr>
      <w:r>
        <w:rPr>
          <w:rFonts w:hint="eastAsia" w:ascii="宋体" w:hAnsi="宋体"/>
          <w:sz w:val="24"/>
        </w:rPr>
        <w:t>2．双方无法通过协商解决合同争议的，任何一方有权向</w:t>
      </w:r>
      <w:r>
        <w:rPr>
          <w:rFonts w:hint="eastAsia" w:ascii="宋体" w:hAnsi="宋体"/>
          <w:sz w:val="24"/>
          <w:lang w:eastAsia="zh-CN"/>
        </w:rPr>
        <w:t>甲方所在地经济仲裁机构提请仲裁或向人民法院提起诉讼</w:t>
      </w:r>
      <w:r>
        <w:rPr>
          <w:rFonts w:hint="eastAsia" w:ascii="宋体" w:hAnsi="宋体"/>
          <w:sz w:val="24"/>
        </w:rPr>
        <w:t>。</w:t>
      </w:r>
    </w:p>
    <w:p>
      <w:pPr>
        <w:snapToGrid w:val="0"/>
        <w:spacing w:line="360" w:lineRule="auto"/>
        <w:ind w:right="-514" w:rightChars="-245" w:firstLine="229" w:firstLineChars="100"/>
        <w:rPr>
          <w:rFonts w:hint="eastAsia" w:ascii="宋体" w:hAnsi="宋体" w:cs="宋体"/>
          <w:b/>
          <w:spacing w:val="-6"/>
          <w:sz w:val="24"/>
          <w:szCs w:val="24"/>
        </w:rPr>
      </w:pPr>
      <w:r>
        <w:rPr>
          <w:rFonts w:hint="eastAsia" w:ascii="宋体" w:hAnsi="宋体" w:cs="宋体"/>
          <w:b/>
          <w:spacing w:val="-6"/>
          <w:sz w:val="24"/>
          <w:szCs w:val="24"/>
        </w:rPr>
        <w:t>第十</w:t>
      </w:r>
      <w:r>
        <w:rPr>
          <w:rFonts w:hint="eastAsia" w:ascii="宋体" w:hAnsi="宋体" w:cs="宋体"/>
          <w:b/>
          <w:spacing w:val="-6"/>
          <w:sz w:val="24"/>
          <w:szCs w:val="24"/>
          <w:lang w:eastAsia="zh-CN"/>
        </w:rPr>
        <w:t>八</w:t>
      </w:r>
      <w:r>
        <w:rPr>
          <w:rFonts w:hint="eastAsia" w:ascii="宋体" w:hAnsi="宋体" w:cs="宋体"/>
          <w:b/>
          <w:spacing w:val="-6"/>
          <w:sz w:val="24"/>
          <w:szCs w:val="24"/>
        </w:rPr>
        <w:t>条：合同生效</w:t>
      </w:r>
    </w:p>
    <w:p>
      <w:pPr>
        <w:snapToGrid w:val="0"/>
        <w:spacing w:line="360" w:lineRule="auto"/>
        <w:ind w:right="23" w:rightChars="11" w:firstLine="456" w:firstLineChars="200"/>
        <w:rPr>
          <w:rFonts w:hint="eastAsia" w:ascii="宋体" w:hAnsi="宋体" w:cs="宋体"/>
          <w:spacing w:val="-6"/>
          <w:sz w:val="24"/>
          <w:szCs w:val="24"/>
        </w:rPr>
      </w:pPr>
      <w:r>
        <w:rPr>
          <w:rFonts w:hint="eastAsia" w:ascii="宋体" w:hAnsi="宋体" w:cs="宋体"/>
          <w:spacing w:val="-6"/>
          <w:sz w:val="24"/>
          <w:szCs w:val="24"/>
        </w:rPr>
        <w:t>1.合同经甲方、乙方法定代表人或授权代表签字并加盖单位公章后生效。</w:t>
      </w:r>
    </w:p>
    <w:p>
      <w:pPr>
        <w:snapToGrid w:val="0"/>
        <w:spacing w:line="360" w:lineRule="auto"/>
        <w:ind w:right="23" w:rightChars="11" w:firstLine="456" w:firstLineChars="200"/>
        <w:rPr>
          <w:rFonts w:hint="eastAsia" w:ascii="宋体" w:hAnsi="宋体" w:cs="宋体"/>
          <w:spacing w:val="-6"/>
          <w:sz w:val="24"/>
          <w:szCs w:val="24"/>
        </w:rPr>
      </w:pPr>
      <w:r>
        <w:rPr>
          <w:rFonts w:hint="eastAsia" w:ascii="宋体" w:hAnsi="宋体" w:cs="宋体"/>
          <w:spacing w:val="-6"/>
          <w:sz w:val="24"/>
          <w:szCs w:val="24"/>
          <w:lang w:val="en-US" w:eastAsia="zh-CN"/>
        </w:rPr>
        <w:t>2</w:t>
      </w:r>
      <w:r>
        <w:rPr>
          <w:rFonts w:hint="eastAsia" w:ascii="宋体" w:hAnsi="宋体" w:cs="宋体"/>
          <w:spacing w:val="-6"/>
          <w:sz w:val="24"/>
          <w:szCs w:val="24"/>
        </w:rPr>
        <w:t>.本合同未尽事宜，遵照《中华人民共和国民法典》有关条文执行。</w:t>
      </w:r>
    </w:p>
    <w:p>
      <w:pPr>
        <w:snapToGrid w:val="0"/>
        <w:spacing w:line="360" w:lineRule="auto"/>
        <w:ind w:right="23" w:rightChars="11" w:firstLine="456" w:firstLineChars="200"/>
        <w:rPr>
          <w:rFonts w:hint="eastAsia" w:ascii="宋体" w:hAnsi="宋体" w:cs="宋体"/>
          <w:spacing w:val="-6"/>
          <w:sz w:val="24"/>
          <w:szCs w:val="24"/>
        </w:rPr>
      </w:pPr>
      <w:r>
        <w:rPr>
          <w:rFonts w:hint="eastAsia" w:ascii="宋体" w:hAnsi="宋体" w:cs="宋体"/>
          <w:spacing w:val="-6"/>
          <w:sz w:val="24"/>
          <w:szCs w:val="24"/>
          <w:lang w:val="en-US" w:eastAsia="zh-CN"/>
        </w:rPr>
        <w:t>3</w:t>
      </w:r>
      <w:r>
        <w:rPr>
          <w:rFonts w:hint="eastAsia" w:ascii="宋体" w:hAnsi="宋体" w:cs="宋体"/>
          <w:spacing w:val="-6"/>
          <w:sz w:val="24"/>
          <w:szCs w:val="24"/>
        </w:rPr>
        <w:t>.本合同一式</w:t>
      </w:r>
      <w:r>
        <w:rPr>
          <w:rFonts w:hint="eastAsia" w:ascii="宋体" w:hAnsi="宋体" w:cs="宋体"/>
          <w:spacing w:val="-6"/>
          <w:sz w:val="24"/>
          <w:szCs w:val="24"/>
          <w:lang w:eastAsia="zh-CN"/>
        </w:rPr>
        <w:t>肆</w:t>
      </w:r>
      <w:r>
        <w:rPr>
          <w:rFonts w:hint="eastAsia" w:ascii="宋体" w:hAnsi="宋体" w:cs="宋体"/>
          <w:spacing w:val="-6"/>
          <w:sz w:val="24"/>
          <w:szCs w:val="24"/>
        </w:rPr>
        <w:t>份，甲方</w:t>
      </w:r>
      <w:r>
        <w:rPr>
          <w:rFonts w:hint="eastAsia" w:ascii="宋体" w:hAnsi="宋体" w:cs="宋体"/>
          <w:spacing w:val="-6"/>
          <w:sz w:val="24"/>
          <w:szCs w:val="24"/>
          <w:lang w:eastAsia="zh-CN"/>
        </w:rPr>
        <w:t>、</w:t>
      </w:r>
      <w:r>
        <w:rPr>
          <w:rFonts w:hint="eastAsia" w:ascii="宋体" w:hAnsi="宋体" w:cs="宋体"/>
          <w:spacing w:val="-6"/>
          <w:sz w:val="24"/>
          <w:szCs w:val="24"/>
        </w:rPr>
        <w:t>乙方各执</w:t>
      </w:r>
      <w:r>
        <w:rPr>
          <w:rFonts w:hint="eastAsia" w:ascii="宋体" w:hAnsi="宋体" w:cs="宋体"/>
          <w:spacing w:val="-6"/>
          <w:sz w:val="24"/>
          <w:szCs w:val="24"/>
          <w:lang w:eastAsia="zh-CN"/>
        </w:rPr>
        <w:t>贰</w:t>
      </w:r>
      <w:r>
        <w:rPr>
          <w:rFonts w:hint="eastAsia" w:ascii="宋体" w:hAnsi="宋体" w:cs="宋体"/>
          <w:spacing w:val="-6"/>
          <w:sz w:val="24"/>
          <w:szCs w:val="24"/>
        </w:rPr>
        <w:t>份。</w:t>
      </w:r>
    </w:p>
    <w:p>
      <w:pPr>
        <w:snapToGrid w:val="0"/>
        <w:spacing w:line="360" w:lineRule="auto"/>
        <w:ind w:right="23" w:rightChars="11" w:firstLine="456" w:firstLineChars="200"/>
        <w:rPr>
          <w:rFonts w:hint="eastAsia" w:ascii="宋体" w:hAnsi="宋体" w:cs="宋体"/>
          <w:spacing w:val="-6"/>
          <w:sz w:val="24"/>
          <w:szCs w:val="24"/>
        </w:rPr>
      </w:pPr>
      <w:r>
        <w:rPr>
          <w:rFonts w:hint="eastAsia" w:ascii="宋体" w:hAnsi="宋体" w:cs="宋体"/>
          <w:spacing w:val="-6"/>
          <w:sz w:val="24"/>
          <w:szCs w:val="24"/>
          <w:lang w:val="en-US" w:eastAsia="zh-CN"/>
        </w:rPr>
        <w:t>4</w:t>
      </w:r>
      <w:r>
        <w:rPr>
          <w:rFonts w:hint="eastAsia" w:ascii="宋体" w:hAnsi="宋体" w:cs="宋体"/>
          <w:spacing w:val="-6"/>
          <w:sz w:val="24"/>
          <w:szCs w:val="24"/>
        </w:rPr>
        <w:t>.相关招投标文件、询标承诺、产品配置清单等与本合同具有同等法律效力。</w:t>
      </w:r>
    </w:p>
    <w:p>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甲方（公章）：                       乙方（公章）：</w:t>
      </w:r>
    </w:p>
    <w:p>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法定代表人或受委托人（签字或盖章）   法定代表人或受委托人（签字或盖章）</w:t>
      </w:r>
    </w:p>
    <w:p>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地址：                               地址：</w:t>
      </w:r>
    </w:p>
    <w:p>
      <w:pPr>
        <w:snapToGrid w:val="0"/>
        <w:spacing w:line="360" w:lineRule="auto"/>
        <w:ind w:right="23"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电话：                               电话：</w:t>
      </w:r>
    </w:p>
    <w:p>
      <w:pPr>
        <w:snapToGrid w:val="0"/>
        <w:spacing w:line="360" w:lineRule="auto"/>
        <w:ind w:right="23" w:rightChars="11" w:firstLine="456" w:firstLineChars="200"/>
        <w:jc w:val="right"/>
        <w:rPr>
          <w:rFonts w:hint="eastAsia" w:ascii="宋体" w:hAnsi="宋体" w:eastAsia="宋体" w:cs="宋体"/>
          <w:spacing w:val="-6"/>
          <w:sz w:val="24"/>
          <w:szCs w:val="24"/>
        </w:rPr>
      </w:pPr>
      <w:r>
        <w:rPr>
          <w:rFonts w:hint="eastAsia" w:ascii="宋体" w:hAnsi="宋体" w:eastAsia="宋体" w:cs="宋体"/>
          <w:spacing w:val="-6"/>
          <w:sz w:val="24"/>
          <w:szCs w:val="24"/>
        </w:rPr>
        <w:t>签约时间：    年  月  日</w:t>
      </w:r>
    </w:p>
    <w:p>
      <w:pPr>
        <w:widowControl/>
        <w:overflowPunct w:val="0"/>
        <w:autoSpaceDE w:val="0"/>
        <w:autoSpaceDN w:val="0"/>
        <w:adjustRightInd w:val="0"/>
        <w:snapToGrid w:val="0"/>
        <w:spacing w:before="156" w:line="440" w:lineRule="exact"/>
        <w:ind w:left="-2" w:leftChars="-1"/>
        <w:jc w:val="left"/>
        <w:textAlignment w:val="baseline"/>
        <w:rPr>
          <w:rFonts w:hint="eastAsia" w:ascii="宋体" w:hAnsi="宋体" w:eastAsia="宋体" w:cs="宋体"/>
          <w:b/>
          <w:sz w:val="36"/>
          <w:szCs w:val="20"/>
        </w:rPr>
      </w:pPr>
      <w:r>
        <w:rPr>
          <w:rFonts w:hint="eastAsia" w:ascii="宋体" w:hAnsi="宋体" w:eastAsia="宋体" w:cs="宋体"/>
          <w:kern w:val="0"/>
          <w:sz w:val="24"/>
          <w:szCs w:val="24"/>
        </w:rPr>
        <w:t xml:space="preserve">                                  </w:t>
      </w:r>
    </w:p>
    <w:p>
      <w:pPr>
        <w:spacing w:line="360" w:lineRule="auto"/>
        <w:jc w:val="center"/>
        <w:outlineLvl w:val="0"/>
        <w:rPr>
          <w:rFonts w:hint="eastAsia" w:ascii="宋体" w:hAnsi="宋体" w:eastAsia="宋体" w:cs="宋体"/>
          <w:b/>
          <w:sz w:val="36"/>
          <w:szCs w:val="20"/>
        </w:rPr>
      </w:pPr>
    </w:p>
    <w:p>
      <w:pPr>
        <w:spacing w:line="360" w:lineRule="auto"/>
        <w:jc w:val="both"/>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p>
    <w:p>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0"/>
      <w:r>
        <w:rPr>
          <w:rFonts w:hint="eastAsia" w:ascii="宋体" w:hAnsi="宋体" w:eastAsia="宋体" w:cs="宋体"/>
          <w:b/>
          <w:sz w:val="36"/>
          <w:szCs w:val="20"/>
        </w:rPr>
        <w:t xml:space="preserve"> </w:t>
      </w:r>
      <w:bookmarkEnd w:id="391"/>
      <w:r>
        <w:rPr>
          <w:rFonts w:hint="eastAsia" w:ascii="宋体" w:hAnsi="宋体" w:eastAsia="宋体" w:cs="宋体"/>
          <w:b/>
          <w:sz w:val="36"/>
          <w:szCs w:val="20"/>
        </w:rPr>
        <w:t>应提交的有关格式范例</w:t>
      </w:r>
    </w:p>
    <w:p>
      <w:pPr>
        <w:spacing w:line="360" w:lineRule="auto"/>
        <w:jc w:val="center"/>
        <w:outlineLvl w:val="0"/>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提供有效的营业执照(或事业法人登记证或其他工商等登记证明材料)</w:t>
      </w:r>
      <w:r>
        <w:rPr>
          <w:rFonts w:hint="eastAsia" w:ascii="宋体" w:hAnsi="宋体" w:eastAsia="宋体" w:cs="宋体"/>
          <w:sz w:val="24"/>
        </w:rPr>
        <w:t>…（页码）</w:t>
      </w:r>
    </w:p>
    <w:p>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）联合体协议书（如果有）</w:t>
      </w:r>
      <w:r>
        <w:rPr>
          <w:rFonts w:hint="eastAsia" w:ascii="宋体" w:hAnsi="宋体" w:eastAsia="宋体" w:cs="宋体"/>
          <w:sz w:val="24"/>
        </w:rPr>
        <w:t>……………………………………………………（页码）</w:t>
      </w:r>
    </w:p>
    <w:p>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）本项目的特定资格要求………………………………………………………（页码）</w:t>
      </w:r>
    </w:p>
    <w:p>
      <w:pPr>
        <w:snapToGrid w:val="0"/>
        <w:spacing w:line="360" w:lineRule="auto"/>
        <w:ind w:firstLine="480" w:firstLineChars="200"/>
        <w:rPr>
          <w:rFonts w:hint="eastAsia" w:ascii="宋体" w:hAnsi="宋体" w:eastAsia="宋体" w:cs="宋体"/>
          <w:sz w:val="24"/>
          <w:lang w:eastAsia="zh-CN"/>
        </w:rPr>
      </w:pPr>
    </w:p>
    <w:p>
      <w:pPr>
        <w:spacing w:line="360" w:lineRule="auto"/>
        <w:ind w:firstLine="480" w:firstLineChars="200"/>
        <w:rPr>
          <w:rFonts w:hint="eastAsia" w:ascii="宋体" w:hAnsi="宋体" w:eastAsia="宋体" w:cs="宋体"/>
          <w:sz w:val="24"/>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4"/>
        <w:ind w:left="0" w:leftChars="0" w:firstLine="0" w:firstLineChars="0"/>
        <w:rPr>
          <w:rFonts w:hint="eastAsia"/>
        </w:rPr>
      </w:pPr>
    </w:p>
    <w:p>
      <w:pPr>
        <w:snapToGrid w:val="0"/>
        <w:spacing w:line="360" w:lineRule="auto"/>
        <w:ind w:right="480"/>
        <w:jc w:val="center"/>
        <w:rPr>
          <w:rFonts w:hint="eastAsia" w:ascii="宋体" w:hAnsi="宋体" w:cs="宋体"/>
          <w:b/>
          <w:kern w:val="0"/>
          <w:sz w:val="32"/>
          <w:szCs w:val="32"/>
          <w:lang w:eastAsia="zh-CN"/>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kern w:val="0"/>
          <w:sz w:val="32"/>
          <w:szCs w:val="32"/>
          <w:lang w:eastAsia="zh-CN"/>
        </w:rPr>
      </w:pPr>
    </w:p>
    <w:p>
      <w:pPr>
        <w:pStyle w:val="4"/>
        <w:rPr>
          <w:rFonts w:hint="eastAsia"/>
          <w:lang w:eastAsia="zh-CN"/>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cs="宋体"/>
          <w:b/>
          <w:kern w:val="0"/>
          <w:sz w:val="32"/>
          <w:szCs w:val="32"/>
          <w:lang w:eastAsia="zh-CN"/>
        </w:rPr>
        <w:t>三</w:t>
      </w:r>
      <w:r>
        <w:rPr>
          <w:rFonts w:hint="eastAsia" w:ascii="宋体" w:hAnsi="宋体" w:eastAsia="宋体" w:cs="宋体"/>
          <w:b/>
          <w:kern w:val="0"/>
          <w:sz w:val="32"/>
          <w:szCs w:val="32"/>
        </w:rPr>
        <w:t>、落实政府采购政策需满足的资格要求</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sz w:val="24"/>
        </w:rPr>
      </w:pPr>
    </w:p>
    <w:p>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sz w:val="24"/>
        </w:rPr>
      </w:pPr>
      <w:r>
        <w:rPr>
          <w:rFonts w:hint="eastAsia" w:ascii="宋体" w:hAnsi="宋体" w:eastAsia="宋体" w:cs="宋体"/>
          <w:b/>
          <w:sz w:val="24"/>
        </w:rPr>
        <w:t xml:space="preserve">    </w:t>
      </w:r>
    </w:p>
    <w:p>
      <w:pPr>
        <w:widowControl/>
        <w:spacing w:line="360" w:lineRule="auto"/>
        <w:jc w:val="both"/>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cs="宋体"/>
          <w:b/>
          <w:kern w:val="0"/>
          <w:sz w:val="32"/>
          <w:szCs w:val="32"/>
          <w:lang w:eastAsia="zh-CN"/>
        </w:rPr>
        <w:t>四</w:t>
      </w:r>
      <w:r>
        <w:rPr>
          <w:rFonts w:hint="eastAsia" w:ascii="宋体" w:hAnsi="宋体" w:eastAsia="宋体" w:cs="宋体"/>
          <w:b/>
          <w:kern w:val="0"/>
          <w:sz w:val="32"/>
          <w:szCs w:val="32"/>
        </w:rPr>
        <w:t>、本项目的特定资格要求</w:t>
      </w:r>
    </w:p>
    <w:p>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（1）无独立法人资格的分公司（保险等特定行业的全国性企业所设立的区域性分支机构）参加投标的，提供总公司授权书；</w:t>
      </w:r>
    </w:p>
    <w:p>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（2）投标人必须为经国家保险监督管理机构批准在中华人民共和国境内设立和营业的，并具有《保险许可证》；</w:t>
      </w:r>
    </w:p>
    <w:p>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（3）在国家金融监督管理总局浙江监管局（原中国银行保险监督管理委员会浙江监管局）公布的符合农业保险业务经营条件的保险机构目录内的证明材料；</w:t>
      </w:r>
    </w:p>
    <w:p>
      <w:pPr>
        <w:widowControl/>
        <w:spacing w:line="360" w:lineRule="auto"/>
        <w:ind w:firstLine="470" w:firstLineChars="196"/>
        <w:jc w:val="left"/>
        <w:rPr>
          <w:rFonts w:hint="eastAsia" w:ascii="宋体" w:hAnsi="宋体" w:eastAsia="宋体" w:cs="宋体"/>
          <w:sz w:val="24"/>
          <w:lang w:val="zh-CN"/>
        </w:rPr>
      </w:pPr>
      <w:r>
        <w:rPr>
          <w:rFonts w:hint="eastAsia" w:ascii="宋体" w:hAnsi="宋体" w:eastAsia="宋体" w:cs="宋体"/>
          <w:sz w:val="24"/>
          <w:lang w:val="en-US" w:eastAsia="zh-CN"/>
        </w:rPr>
        <w:t>（4）近3年内未因农业保险业务受到重大行政处罚的声明函；</w:t>
      </w:r>
    </w:p>
    <w:p>
      <w:pPr>
        <w:spacing w:line="360" w:lineRule="auto"/>
        <w:ind w:right="420"/>
        <w:jc w:val="both"/>
        <w:rPr>
          <w:rFonts w:hint="eastAsia" w:ascii="宋体" w:hAnsi="宋体" w:eastAsia="宋体" w:cs="宋体"/>
          <w:b/>
          <w:kern w:val="0"/>
          <w:sz w:val="36"/>
          <w:szCs w:val="36"/>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未因农业保险业务受到重大行政处罚声明函</w:t>
      </w:r>
    </w:p>
    <w:p>
      <w:pPr>
        <w:pStyle w:val="35"/>
        <w:adjustRightInd w:val="0"/>
        <w:snapToGrid w:val="0"/>
        <w:spacing w:before="120" w:after="120" w:line="300" w:lineRule="auto"/>
        <w:outlineLvl w:val="9"/>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napToGrid w:val="0"/>
        <w:spacing w:line="30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 xml:space="preserve">        （供应商）             </w:t>
      </w:r>
      <w:r>
        <w:rPr>
          <w:rFonts w:hint="eastAsia" w:ascii="宋体" w:hAnsi="宋体" w:eastAsia="宋体" w:cs="宋体"/>
          <w:sz w:val="24"/>
          <w:szCs w:val="24"/>
        </w:rPr>
        <w:t>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（标项名称）政府采购活动近3年内未因农业保险业务受到重大行政处罚。</w:t>
      </w:r>
    </w:p>
    <w:p>
      <w:pPr>
        <w:snapToGrid w:val="0"/>
        <w:spacing w:line="30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本公司对上述声明的真实性负责。如有虚假，愿意承担相应责任，对此无任何异议。</w:t>
      </w:r>
    </w:p>
    <w:p>
      <w:pPr>
        <w:snapToGrid w:val="0"/>
        <w:spacing w:line="30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特此声明！</w:t>
      </w:r>
    </w:p>
    <w:p>
      <w:pPr>
        <w:snapToGrid w:val="0"/>
        <w:spacing w:line="360" w:lineRule="auto"/>
        <w:ind w:firstLine="480" w:firstLineChars="200"/>
        <w:jc w:val="righ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投标人名称(电子签名)：</w:t>
      </w:r>
    </w:p>
    <w:p>
      <w:pPr>
        <w:snapToGrid w:val="0"/>
        <w:spacing w:line="300" w:lineRule="auto"/>
        <w:ind w:firstLine="480" w:firstLineChars="200"/>
        <w:jc w:val="right"/>
        <w:outlineLvl w:val="9"/>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4"/>
        </w:rPr>
      </w:pP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eastAsia="宋体" w:cs="宋体"/>
        </w:rPr>
        <w:t>…………………………………………………………</w:t>
      </w:r>
      <w:r>
        <w:rPr>
          <w:rFonts w:hint="eastAsia" w:ascii="宋体" w:hAnsi="宋体" w:cs="宋体"/>
          <w:color w:val="auto"/>
        </w:rPr>
        <w:t>（页码）</w:t>
      </w:r>
      <w:r>
        <w:rPr>
          <w:rFonts w:hint="eastAsia"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）商务技术偏离表</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both"/>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cs="宋体"/>
          <w:sz w:val="24"/>
          <w:u w:val="single"/>
          <w:lang w:val="en-US" w:eastAsia="zh-CN"/>
        </w:rPr>
        <w:t>90</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2</w:t>
      </w:r>
      <w:r>
        <w:rPr>
          <w:rFonts w:hint="eastAsia" w:ascii="宋体" w:hAnsi="宋体" w:eastAsia="宋体" w:cs="宋体"/>
          <w:sz w:val="24"/>
        </w:rPr>
        <w:t>落实政府采购政策需满足的资格要求；</w:t>
      </w:r>
    </w:p>
    <w:p>
      <w:pPr>
        <w:snapToGrid w:val="0"/>
        <w:spacing w:line="24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cs="宋体"/>
          <w:sz w:val="24"/>
          <w:lang w:val="en-US" w:eastAsia="zh-CN"/>
        </w:rPr>
        <w:t>3</w:t>
      </w:r>
      <w:r>
        <w:rPr>
          <w:rFonts w:hint="eastAsia" w:ascii="宋体" w:hAnsi="宋体" w:eastAsia="宋体" w:cs="宋体"/>
          <w:sz w:val="24"/>
        </w:rPr>
        <w:t>本项目的特定资格要求</w:t>
      </w:r>
      <w:r>
        <w:rPr>
          <w:rFonts w:hint="eastAsia" w:ascii="宋体" w:hAnsi="宋体" w:cs="宋体"/>
          <w:sz w:val="24"/>
          <w:lang w:eastAsia="zh-CN"/>
        </w:rPr>
        <w:t>；</w:t>
      </w:r>
    </w:p>
    <w:p>
      <w:pPr>
        <w:snapToGrid w:val="0"/>
        <w:spacing w:line="240" w:lineRule="auto"/>
        <w:ind w:firstLine="960" w:firstLineChars="40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4联合体协议书（如果有）。</w:t>
      </w:r>
    </w:p>
    <w:p>
      <w:pPr>
        <w:snapToGrid w:val="0"/>
        <w:spacing w:line="24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3</w:t>
      </w:r>
      <w:r>
        <w:rPr>
          <w:rFonts w:hint="eastAsia" w:ascii="宋体" w:hAnsi="宋体" w:eastAsia="宋体" w:cs="宋体"/>
          <w:sz w:val="24"/>
        </w:rPr>
        <w:t>符合性审查资料；</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4</w:t>
      </w:r>
      <w:r>
        <w:rPr>
          <w:rFonts w:hint="eastAsia" w:ascii="宋体" w:hAnsi="宋体" w:eastAsia="宋体" w:cs="宋体"/>
          <w:sz w:val="24"/>
        </w:rPr>
        <w:t>评标标准相应的商务技术资料；</w:t>
      </w:r>
    </w:p>
    <w:p>
      <w:pPr>
        <w:snapToGrid w:val="0"/>
        <w:spacing w:line="24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rPr>
        <w:t>2.2.</w:t>
      </w:r>
      <w:r>
        <w:rPr>
          <w:rFonts w:hint="eastAsia" w:ascii="宋体" w:hAnsi="宋体" w:cs="宋体"/>
          <w:sz w:val="24"/>
          <w:lang w:val="en-US" w:eastAsia="zh-CN"/>
        </w:rPr>
        <w:t>5</w:t>
      </w:r>
      <w:r>
        <w:rPr>
          <w:rFonts w:hint="eastAsia" w:ascii="宋体" w:hAnsi="宋体" w:eastAsia="宋体" w:cs="宋体"/>
          <w:sz w:val="24"/>
        </w:rPr>
        <w:t>投标标的清单</w:t>
      </w:r>
      <w:r>
        <w:rPr>
          <w:rFonts w:hint="eastAsia" w:ascii="宋体" w:hAnsi="宋体" w:cs="宋体"/>
          <w:sz w:val="24"/>
          <w:lang w:eastAsia="zh-CN"/>
        </w:rPr>
        <w:t>；</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cs="宋体"/>
          <w:sz w:val="24"/>
          <w:lang w:val="en-US" w:eastAsia="zh-CN"/>
        </w:rPr>
        <w:t>6</w:t>
      </w:r>
      <w:r>
        <w:rPr>
          <w:rFonts w:hint="eastAsia" w:ascii="宋体" w:hAnsi="宋体" w:eastAsia="宋体" w:cs="宋体"/>
          <w:sz w:val="24"/>
        </w:rPr>
        <w:t>商务技术偏离表；</w:t>
      </w:r>
    </w:p>
    <w:p>
      <w:pPr>
        <w:snapToGrid w:val="0"/>
        <w:spacing w:line="24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7</w:t>
      </w:r>
      <w:r>
        <w:rPr>
          <w:rFonts w:hint="eastAsia" w:ascii="宋体" w:hAnsi="宋体" w:eastAsia="宋体" w:cs="宋体"/>
          <w:sz w:val="24"/>
          <w:lang w:val="zh-CN"/>
        </w:rPr>
        <w:t>政府采购供应商廉洁自律承诺书；</w:t>
      </w:r>
    </w:p>
    <w:p>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pPr>
        <w:snapToGrid w:val="0"/>
        <w:spacing w:line="360" w:lineRule="auto"/>
        <w:ind w:left="420" w:leftChars="200" w:firstLine="4200" w:firstLineChars="1750"/>
        <w:rPr>
          <w:rFonts w:hint="eastAsia" w:ascii="宋体" w:hAnsi="宋体" w:eastAsia="宋体" w:cs="宋体"/>
          <w:kern w:val="0"/>
          <w:sz w:val="24"/>
          <w:u w:val="single"/>
          <w:lang w:val="zh-CN"/>
        </w:rPr>
      </w:pPr>
    </w:p>
    <w:p>
      <w:pPr>
        <w:jc w:val="both"/>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2872" w:firstLineChars="894"/>
        <w:rPr>
          <w:rFonts w:hint="eastAsia" w:ascii="宋体" w:hAnsi="宋体" w:cs="宋体"/>
          <w:b/>
          <w:kern w:val="0"/>
          <w:sz w:val="32"/>
          <w:szCs w:val="32"/>
          <w:lang w:val="zh-CN"/>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特此告知。</w:t>
      </w:r>
    </w:p>
    <w:p>
      <w:pPr>
        <w:pStyle w:val="4"/>
      </w:pP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both"/>
        <w:rPr>
          <w:rFonts w:hint="eastAsia" w:ascii="宋体" w:hAnsi="宋体" w:eastAsia="宋体" w:cs="宋体"/>
          <w:b/>
          <w:kern w:val="0"/>
          <w:sz w:val="32"/>
          <w:szCs w:val="32"/>
          <w:lang w:val="zh-CN"/>
        </w:r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150"/>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150"/>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center"/>
        <w:rPr>
          <w:rFonts w:hint="eastAsia" w:ascii="宋体" w:hAnsi="宋体" w:cs="宋体"/>
          <w:b/>
          <w:kern w:val="0"/>
          <w:sz w:val="32"/>
          <w:szCs w:val="32"/>
          <w:lang w:eastAsia="zh-CN"/>
        </w:rPr>
      </w:pPr>
    </w:p>
    <w:p>
      <w:pPr>
        <w:jc w:val="both"/>
        <w:rPr>
          <w:rFonts w:hint="eastAsia" w:ascii="宋体" w:hAnsi="宋体" w:cs="宋体"/>
          <w:b/>
          <w:kern w:val="0"/>
          <w:sz w:val="32"/>
          <w:szCs w:val="32"/>
          <w:lang w:eastAsia="zh-CN"/>
        </w:rPr>
      </w:pPr>
    </w:p>
    <w:p>
      <w:pPr>
        <w:jc w:val="center"/>
        <w:rPr>
          <w:rFonts w:hint="eastAsia" w:ascii="宋体" w:hAnsi="宋体" w:eastAsia="宋体" w:cs="宋体"/>
          <w:b/>
          <w:kern w:val="0"/>
          <w:sz w:val="32"/>
          <w:szCs w:val="32"/>
        </w:rPr>
      </w:pPr>
      <w:r>
        <w:rPr>
          <w:rFonts w:hint="eastAsia" w:ascii="宋体" w:hAnsi="宋体" w:cs="宋体"/>
          <w:b/>
          <w:kern w:val="0"/>
          <w:sz w:val="32"/>
          <w:szCs w:val="32"/>
          <w:lang w:eastAsia="zh-CN"/>
        </w:rPr>
        <w:t>三</w:t>
      </w:r>
      <w:r>
        <w:rPr>
          <w:rFonts w:hint="eastAsia" w:ascii="宋体" w:hAnsi="宋体" w:eastAsia="宋体" w:cs="宋体"/>
          <w:b/>
          <w:kern w:val="0"/>
          <w:sz w:val="32"/>
          <w:szCs w:val="32"/>
        </w:rPr>
        <w:t>、符合性审查资料</w:t>
      </w:r>
    </w:p>
    <w:p>
      <w:pPr>
        <w:jc w:val="center"/>
        <w:rPr>
          <w:rFonts w:hint="eastAsia" w:ascii="宋体" w:hAnsi="宋体" w:eastAsia="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1</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pStyle w:val="4"/>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3</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4</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rPr>
      </w:pPr>
      <w:r>
        <w:rPr>
          <w:rFonts w:hint="eastAsia" w:ascii="宋体" w:hAnsi="宋体" w:cs="宋体"/>
          <w:b/>
          <w:kern w:val="0"/>
          <w:sz w:val="32"/>
          <w:szCs w:val="32"/>
          <w:lang w:eastAsia="zh-CN"/>
        </w:rPr>
        <w:t>四</w:t>
      </w:r>
      <w:r>
        <w:rPr>
          <w:rFonts w:hint="eastAsia" w:ascii="宋体" w:hAnsi="宋体" w:eastAsia="宋体" w:cs="宋体"/>
          <w:b/>
          <w:kern w:val="0"/>
          <w:sz w:val="32"/>
          <w:szCs w:val="32"/>
        </w:rPr>
        <w:t>、评标标准相应的商务技术资料</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pStyle w:val="4"/>
        <w:rPr>
          <w:rFonts w:hint="eastAsia"/>
        </w:rPr>
      </w:pPr>
    </w:p>
    <w:p>
      <w:pPr>
        <w:rPr>
          <w:rFonts w:hint="eastAsia" w:ascii="宋体" w:hAnsi="宋体" w:cs="宋体"/>
          <w:b/>
          <w:color w:val="auto"/>
          <w:kern w:val="0"/>
          <w:sz w:val="32"/>
          <w:szCs w:val="32"/>
          <w:lang w:eastAsia="zh-CN"/>
        </w:rPr>
      </w:pPr>
    </w:p>
    <w:p>
      <w:pPr>
        <w:ind w:firstLine="2891" w:firstLineChars="900"/>
        <w:rPr>
          <w:rFonts w:hint="eastAsia" w:ascii="宋体" w:hAnsi="宋体" w:cs="宋体"/>
          <w:b/>
          <w:color w:val="auto"/>
          <w:kern w:val="0"/>
          <w:sz w:val="32"/>
          <w:szCs w:val="32"/>
          <w:lang w:eastAsia="zh-CN"/>
        </w:rPr>
      </w:pPr>
    </w:p>
    <w:p>
      <w:pPr>
        <w:ind w:firstLine="2891" w:firstLineChars="900"/>
        <w:rPr>
          <w:rFonts w:hint="eastAsia" w:ascii="宋体" w:hAnsi="宋体" w:cs="宋体"/>
          <w:b/>
          <w:color w:val="auto"/>
          <w:kern w:val="0"/>
          <w:sz w:val="32"/>
          <w:szCs w:val="32"/>
          <w:lang w:eastAsia="zh-CN"/>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lang w:eastAsia="zh-CN"/>
        </w:rPr>
        <w:t>五</w:t>
      </w:r>
      <w:r>
        <w:rPr>
          <w:rFonts w:hint="eastAsia" w:ascii="宋体" w:hAnsi="宋体" w:cs="宋体"/>
          <w:b/>
          <w:color w:val="auto"/>
          <w:kern w:val="0"/>
          <w:sz w:val="32"/>
          <w:szCs w:val="32"/>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58"/>
        <w:gridCol w:w="1650"/>
        <w:gridCol w:w="1941"/>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s="宋体"/>
                <w:b/>
                <w:color w:val="auto"/>
                <w:sz w:val="24"/>
              </w:rPr>
            </w:pPr>
            <w:r>
              <w:rPr>
                <w:rFonts w:hint="eastAsia" w:ascii="宋体" w:hAnsi="宋体" w:cs="宋体"/>
                <w:b/>
                <w:color w:val="auto"/>
                <w:sz w:val="24"/>
              </w:rPr>
              <w:t>名称</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1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both"/>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pStyle w:val="4"/>
        <w:rPr>
          <w:rFonts w:hint="eastAsia"/>
        </w:rPr>
      </w:pPr>
    </w:p>
    <w:p>
      <w:pPr>
        <w:jc w:val="both"/>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cs="宋体"/>
          <w:b/>
          <w:kern w:val="0"/>
          <w:sz w:val="32"/>
          <w:szCs w:val="32"/>
          <w:lang w:eastAsia="zh-CN"/>
        </w:rPr>
        <w:t>六</w:t>
      </w:r>
      <w:r>
        <w:rPr>
          <w:rFonts w:hint="eastAsia" w:ascii="宋体" w:hAnsi="宋体" w:eastAsia="宋体" w:cs="宋体"/>
          <w:b/>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rPr>
          <w:rFonts w:hint="eastAsia" w:ascii="宋体" w:hAnsi="宋体" w:eastAsia="宋体" w:cs="宋体"/>
          <w:b/>
          <w:kern w:val="0"/>
          <w:sz w:val="32"/>
          <w:szCs w:val="32"/>
        </w:rPr>
      </w:pPr>
    </w:p>
    <w:p>
      <w:pPr>
        <w:ind w:firstLine="1911" w:firstLineChars="595"/>
        <w:rPr>
          <w:rFonts w:hint="eastAsia" w:ascii="宋体" w:hAnsi="宋体" w:eastAsia="宋体" w:cs="宋体"/>
          <w:b/>
          <w:kern w:val="0"/>
          <w:sz w:val="32"/>
          <w:szCs w:val="32"/>
        </w:rPr>
      </w:pPr>
      <w:r>
        <w:rPr>
          <w:rFonts w:hint="eastAsia" w:ascii="宋体" w:hAnsi="宋体" w:cs="宋体"/>
          <w:b/>
          <w:kern w:val="0"/>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sectPr>
          <w:headerReference r:id="rId11" w:type="first"/>
          <w:footerReference r:id="rId13" w:type="first"/>
          <w:headerReference r:id="rId10" w:type="default"/>
          <w:footerReference r:id="rId12"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p>
    <w:p>
      <w:pPr>
        <w:snapToGrid w:val="0"/>
        <w:spacing w:line="360" w:lineRule="auto"/>
        <w:ind w:right="480"/>
        <w:jc w:val="both"/>
        <w:rPr>
          <w:rFonts w:hint="eastAsia" w:ascii="宋体" w:hAnsi="宋体" w:eastAsia="宋体" w:cs="宋体"/>
          <w:b/>
          <w:kern w:val="0"/>
          <w:sz w:val="32"/>
          <w:szCs w:val="32"/>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368"/>
        <w:gridCol w:w="1645"/>
        <w:gridCol w:w="1695"/>
        <w:gridCol w:w="1695"/>
        <w:gridCol w:w="1737"/>
        <w:gridCol w:w="1153"/>
        <w:gridCol w:w="168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04" w:type="pct"/>
            <w:vMerge w:val="restart"/>
            <w:noWrap w:val="0"/>
            <w:vAlign w:val="center"/>
          </w:tcPr>
          <w:p>
            <w:pPr>
              <w:pStyle w:val="35"/>
              <w:pageBreakBefore w:val="0"/>
              <w:kinsoku/>
              <w:topLinePunct w:val="0"/>
              <w:bidi w:val="0"/>
              <w:spacing w:line="240" w:lineRule="auto"/>
              <w:ind w:left="0" w:leftChars="0" w:firstLine="0" w:firstLineChars="0"/>
              <w:jc w:val="center"/>
              <w:rPr>
                <w:rFonts w:hint="eastAsia" w:ascii="宋体" w:hAnsi="宋体" w:eastAsia="宋体" w:cs="宋体"/>
                <w:snapToGrid/>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snapToGrid/>
                <w:color w:val="000000" w:themeColor="text1"/>
                <w:kern w:val="0"/>
                <w:sz w:val="24"/>
                <w:szCs w:val="24"/>
                <w:highlight w:val="none"/>
                <w:lang w:val="zh-CN" w:eastAsia="zh-CN" w:bidi="ar-SA"/>
                <w14:textFill>
                  <w14:solidFill>
                    <w14:schemeClr w14:val="tx1"/>
                  </w14:solidFill>
                </w14:textFill>
              </w:rPr>
              <w:t>序号</w:t>
            </w:r>
          </w:p>
        </w:tc>
        <w:tc>
          <w:tcPr>
            <w:tcW w:w="817" w:type="pct"/>
            <w:vMerge w:val="restart"/>
            <w:noWrap w:val="0"/>
            <w:vAlign w:val="center"/>
          </w:tcPr>
          <w:p>
            <w:pPr>
              <w:pStyle w:val="35"/>
              <w:pageBreakBefore w:val="0"/>
              <w:kinsoku/>
              <w:topLinePunct w:val="0"/>
              <w:bidi w:val="0"/>
              <w:spacing w:line="240" w:lineRule="auto"/>
              <w:ind w:left="0" w:leftChars="0" w:firstLine="0" w:firstLineChars="0"/>
              <w:jc w:val="center"/>
              <w:rPr>
                <w:rFonts w:hint="eastAsia" w:ascii="宋体" w:hAnsi="宋体" w:eastAsia="宋体" w:cs="宋体"/>
                <w:snapToGrid/>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t>项目名称</w:t>
            </w:r>
          </w:p>
        </w:tc>
        <w:tc>
          <w:tcPr>
            <w:tcW w:w="567" w:type="pct"/>
            <w:vMerge w:val="restart"/>
            <w:noWrap w:val="0"/>
            <w:vAlign w:val="center"/>
          </w:tcPr>
          <w:p>
            <w:pPr>
              <w:pStyle w:val="35"/>
              <w:pageBreakBefore w:val="0"/>
              <w:kinsoku/>
              <w:topLinePunct w:val="0"/>
              <w:bidi w:val="0"/>
              <w:spacing w:line="240" w:lineRule="auto"/>
              <w:ind w:left="0" w:leftChars="0" w:firstLine="0" w:firstLineChars="0"/>
              <w:jc w:val="center"/>
              <w:textAlignment w:val="baseline"/>
              <w:rPr>
                <w:rFonts w:hint="eastAsia" w:hAnsi="宋体" w:cs="宋体"/>
                <w:snapToGrid/>
                <w:color w:val="000000" w:themeColor="text1"/>
                <w:kern w:val="0"/>
                <w:sz w:val="24"/>
                <w:szCs w:val="24"/>
                <w:highlight w:val="none"/>
                <w:lang w:val="en-US" w:eastAsia="zh-CN" w:bidi="ar-SA"/>
                <w14:textFill>
                  <w14:solidFill>
                    <w14:schemeClr w14:val="tx1"/>
                  </w14:solidFill>
                </w14:textFill>
              </w:rPr>
            </w:pPr>
            <w:r>
              <w:rPr>
                <w:rFonts w:hint="eastAsia" w:hAnsi="宋体" w:cs="宋体"/>
                <w:snapToGrid/>
                <w:color w:val="000000" w:themeColor="text1"/>
                <w:kern w:val="0"/>
                <w:sz w:val="24"/>
                <w:szCs w:val="24"/>
                <w:highlight w:val="none"/>
                <w:lang w:val="en-US" w:eastAsia="zh-CN" w:bidi="ar-SA"/>
                <w14:textFill>
                  <w14:solidFill>
                    <w14:schemeClr w14:val="tx1"/>
                  </w14:solidFill>
                </w14:textFill>
              </w:rPr>
              <w:t>数量（头）</w:t>
            </w:r>
          </w:p>
          <w:p>
            <w:pPr>
              <w:pStyle w:val="35"/>
              <w:pageBreakBefore w:val="0"/>
              <w:kinsoku/>
              <w:topLinePunct w:val="0"/>
              <w:bidi w:val="0"/>
              <w:spacing w:line="240" w:lineRule="auto"/>
              <w:ind w:left="0" w:leftChars="0" w:firstLine="0" w:firstLineChars="0"/>
              <w:jc w:val="center"/>
              <w:textAlignment w:val="baseline"/>
              <w:rPr>
                <w:rFonts w:hint="default"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hAnsi="宋体" w:cs="宋体"/>
                <w:snapToGrid/>
                <w:color w:val="000000" w:themeColor="text1"/>
                <w:kern w:val="0"/>
                <w:sz w:val="24"/>
                <w:szCs w:val="24"/>
                <w:highlight w:val="none"/>
                <w:lang w:val="en-US" w:eastAsia="zh-CN" w:bidi="ar-SA"/>
                <w14:textFill>
                  <w14:solidFill>
                    <w14:schemeClr w14:val="tx1"/>
                  </w14:solidFill>
                </w14:textFill>
              </w:rPr>
              <w:t>（暂定）</w:t>
            </w:r>
          </w:p>
        </w:tc>
        <w:tc>
          <w:tcPr>
            <w:tcW w:w="585" w:type="pct"/>
            <w:vMerge w:val="restart"/>
            <w:noWrap w:val="0"/>
            <w:vAlign w:val="center"/>
          </w:tcPr>
          <w:p>
            <w:pPr>
              <w:pStyle w:val="35"/>
              <w:pageBreakBefore w:val="0"/>
              <w:kinsoku/>
              <w:topLinePunct w:val="0"/>
              <w:bidi w:val="0"/>
              <w:spacing w:line="240" w:lineRule="auto"/>
              <w:ind w:left="0" w:leftChars="0" w:firstLine="0" w:firstLineChars="0"/>
              <w:jc w:val="center"/>
              <w:textAlignment w:val="baseline"/>
              <w:rPr>
                <w:rFonts w:hint="eastAsia" w:hAnsi="宋体" w:cs="宋体"/>
                <w:snapToGrid/>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auto"/>
                <w:sz w:val="24"/>
              </w:rPr>
              <w:t>投标费率（%）</w:t>
            </w:r>
            <w:r>
              <w:rPr>
                <w:rFonts w:hint="eastAsia" w:hAnsi="宋体" w:cs="宋体"/>
                <w:snapToGrid/>
                <w:color w:val="000000" w:themeColor="text1"/>
                <w:kern w:val="0"/>
                <w:sz w:val="24"/>
                <w:szCs w:val="24"/>
                <w:highlight w:val="none"/>
                <w:lang w:val="en-US" w:eastAsia="zh-CN" w:bidi="ar-SA"/>
                <w14:textFill>
                  <w14:solidFill>
                    <w14:schemeClr w14:val="tx1"/>
                  </w14:solidFill>
                </w14:textFill>
              </w:rPr>
              <w:t>（暂定）</w:t>
            </w:r>
          </w:p>
        </w:tc>
        <w:tc>
          <w:tcPr>
            <w:tcW w:w="585" w:type="pct"/>
            <w:vMerge w:val="restart"/>
            <w:noWrap w:val="0"/>
            <w:vAlign w:val="center"/>
          </w:tcPr>
          <w:p>
            <w:pPr>
              <w:pStyle w:val="35"/>
              <w:pageBreakBefore w:val="0"/>
              <w:kinsoku/>
              <w:topLinePunct w:val="0"/>
              <w:bidi w:val="0"/>
              <w:spacing w:line="240" w:lineRule="auto"/>
              <w:ind w:left="0" w:leftChars="0" w:firstLine="0" w:firstLineChars="0"/>
              <w:jc w:val="center"/>
              <w:textAlignment w:val="baseline"/>
              <w:rPr>
                <w:rFonts w:hint="default"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hAnsi="宋体" w:cs="宋体"/>
                <w:snapToGrid/>
                <w:color w:val="000000" w:themeColor="text1"/>
                <w:kern w:val="0"/>
                <w:sz w:val="24"/>
                <w:szCs w:val="24"/>
                <w:highlight w:val="none"/>
                <w:lang w:val="en-US" w:eastAsia="zh-CN" w:bidi="ar-SA"/>
                <w14:textFill>
                  <w14:solidFill>
                    <w14:schemeClr w14:val="tx1"/>
                  </w14:solidFill>
                </w14:textFill>
              </w:rPr>
              <w:t>政府补贴部分报价（元/头）</w:t>
            </w:r>
          </w:p>
        </w:tc>
        <w:tc>
          <w:tcPr>
            <w:tcW w:w="599" w:type="pct"/>
            <w:vMerge w:val="restart"/>
            <w:noWrap w:val="0"/>
            <w:vAlign w:val="center"/>
          </w:tcPr>
          <w:p>
            <w:pPr>
              <w:pStyle w:val="35"/>
              <w:pageBreakBefore w:val="0"/>
              <w:kinsoku/>
              <w:topLinePunct w:val="0"/>
              <w:bidi w:val="0"/>
              <w:spacing w:line="240" w:lineRule="auto"/>
              <w:ind w:left="0" w:leftChars="0" w:firstLine="0" w:firstLineChars="0"/>
              <w:jc w:val="center"/>
              <w:textAlignment w:val="baseline"/>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农户自缴</w:t>
            </w:r>
            <w:r>
              <w:rPr>
                <w:rFonts w:hint="eastAsia" w:hAnsi="宋体" w:cs="宋体"/>
                <w:snapToGrid/>
                <w:color w:val="000000" w:themeColor="text1"/>
                <w:kern w:val="0"/>
                <w:sz w:val="24"/>
                <w:szCs w:val="24"/>
                <w:highlight w:val="none"/>
                <w:lang w:val="en-US" w:eastAsia="zh-CN" w:bidi="ar-SA"/>
                <w14:textFill>
                  <w14:solidFill>
                    <w14:schemeClr w14:val="tx1"/>
                  </w14:solidFill>
                </w14:textFill>
              </w:rPr>
              <w:t>部分报价（元/头）</w:t>
            </w:r>
          </w:p>
        </w:tc>
        <w:tc>
          <w:tcPr>
            <w:tcW w:w="398" w:type="pct"/>
            <w:vMerge w:val="restart"/>
            <w:noWrap w:val="0"/>
            <w:vAlign w:val="center"/>
          </w:tcPr>
          <w:p>
            <w:pPr>
              <w:pStyle w:val="35"/>
              <w:pageBreakBefore w:val="0"/>
              <w:kinsoku/>
              <w:topLinePunct w:val="0"/>
              <w:bidi w:val="0"/>
              <w:spacing w:line="240" w:lineRule="auto"/>
              <w:ind w:left="0" w:leftChars="0" w:firstLine="0" w:firstLineChars="0"/>
              <w:jc w:val="center"/>
              <w:textAlignment w:val="baseline"/>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t>服务期限</w:t>
            </w:r>
          </w:p>
        </w:tc>
        <w:tc>
          <w:tcPr>
            <w:tcW w:w="1142" w:type="pct"/>
            <w:gridSpan w:val="2"/>
            <w:noWrap w:val="0"/>
            <w:vAlign w:val="center"/>
          </w:tcPr>
          <w:p>
            <w:pPr>
              <w:pStyle w:val="35"/>
              <w:pageBreakBefore w:val="0"/>
              <w:kinsoku/>
              <w:topLinePunct w:val="0"/>
              <w:bidi w:val="0"/>
              <w:spacing w:line="240" w:lineRule="auto"/>
              <w:ind w:left="0" w:leftChars="0" w:firstLine="0" w:firstLineChars="0"/>
              <w:jc w:val="center"/>
              <w:textAlignment w:val="baseline"/>
              <w:rPr>
                <w:rFonts w:hint="eastAsia" w:ascii="宋体" w:hAnsi="宋体" w:eastAsia="宋体" w:cs="宋体"/>
                <w:snapToGrid/>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snapToGrid/>
                <w:color w:val="000000" w:themeColor="text1"/>
                <w:kern w:val="0"/>
                <w:sz w:val="24"/>
                <w:szCs w:val="24"/>
                <w:highlight w:val="none"/>
                <w:lang w:val="zh-CN" w:eastAsia="zh-CN" w:bidi="ar-SA"/>
                <w14:textFill>
                  <w14:solidFill>
                    <w14:schemeClr w14:val="tx1"/>
                  </w14:solidFill>
                </w14:textFill>
              </w:rPr>
              <w:t>投标报价（元</w:t>
            </w:r>
            <w:r>
              <w:rPr>
                <w:rFonts w:hint="eastAsia" w:hAnsi="宋体" w:cs="宋体"/>
                <w:snapToGrid/>
                <w:color w:val="000000" w:themeColor="text1"/>
                <w:kern w:val="0"/>
                <w:sz w:val="24"/>
                <w:szCs w:val="24"/>
                <w:highlight w:val="none"/>
                <w:lang w:val="en-US" w:eastAsia="zh-CN" w:bidi="ar-SA"/>
                <w14:textFill>
                  <w14:solidFill>
                    <w14:schemeClr w14:val="tx1"/>
                  </w14:solidFill>
                </w14:textFill>
              </w:rPr>
              <w:t>/年</w:t>
            </w:r>
            <w:r>
              <w:rPr>
                <w:rFonts w:hint="eastAsia" w:ascii="宋体" w:hAnsi="宋体" w:eastAsia="宋体" w:cs="宋体"/>
                <w:snapToGrid/>
                <w:color w:val="000000" w:themeColor="text1"/>
                <w:kern w:val="0"/>
                <w:sz w:val="24"/>
                <w:szCs w:val="24"/>
                <w:highlight w:val="none"/>
                <w:lang w:val="zh-CN"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04" w:type="pct"/>
            <w:vMerge w:val="continue"/>
            <w:noWrap w:val="0"/>
            <w:vAlign w:val="center"/>
          </w:tcPr>
          <w:p>
            <w:pPr>
              <w:pStyle w:val="35"/>
              <w:pageBreakBefore w:val="0"/>
              <w:kinsoku/>
              <w:topLinePunct w:val="0"/>
              <w:bidi w:val="0"/>
              <w:spacing w:line="240" w:lineRule="auto"/>
              <w:ind w:left="0" w:leftChars="0" w:firstLine="0" w:firstLineChars="0"/>
              <w:jc w:val="center"/>
              <w:textAlignment w:val="baseline"/>
            </w:pPr>
          </w:p>
        </w:tc>
        <w:tc>
          <w:tcPr>
            <w:tcW w:w="817" w:type="pct"/>
            <w:vMerge w:val="continue"/>
            <w:noWrap w:val="0"/>
            <w:vAlign w:val="center"/>
          </w:tcPr>
          <w:p>
            <w:pPr>
              <w:pStyle w:val="35"/>
              <w:pageBreakBefore w:val="0"/>
              <w:kinsoku/>
              <w:topLinePunct w:val="0"/>
              <w:bidi w:val="0"/>
              <w:spacing w:line="240" w:lineRule="auto"/>
              <w:ind w:left="0" w:leftChars="0" w:firstLine="0" w:firstLineChars="0"/>
              <w:jc w:val="center"/>
              <w:textAlignment w:val="baseline"/>
            </w:pPr>
          </w:p>
        </w:tc>
        <w:tc>
          <w:tcPr>
            <w:tcW w:w="567" w:type="pct"/>
            <w:vMerge w:val="continue"/>
            <w:noWrap w:val="0"/>
            <w:vAlign w:val="center"/>
          </w:tcPr>
          <w:p>
            <w:pPr>
              <w:pStyle w:val="35"/>
              <w:pageBreakBefore w:val="0"/>
              <w:kinsoku/>
              <w:topLinePunct w:val="0"/>
              <w:bidi w:val="0"/>
              <w:spacing w:line="240" w:lineRule="auto"/>
              <w:ind w:left="0" w:leftChars="0" w:firstLine="0" w:firstLineChars="0"/>
              <w:jc w:val="center"/>
              <w:textAlignment w:val="baseline"/>
            </w:pPr>
          </w:p>
        </w:tc>
        <w:tc>
          <w:tcPr>
            <w:tcW w:w="585" w:type="pct"/>
            <w:vMerge w:val="continue"/>
            <w:noWrap w:val="0"/>
            <w:vAlign w:val="center"/>
          </w:tcPr>
          <w:p>
            <w:pPr>
              <w:pStyle w:val="35"/>
              <w:pageBreakBefore w:val="0"/>
              <w:kinsoku/>
              <w:topLinePunct w:val="0"/>
              <w:bidi w:val="0"/>
              <w:spacing w:line="240" w:lineRule="auto"/>
              <w:ind w:left="0" w:leftChars="0" w:firstLine="0" w:firstLineChars="0"/>
              <w:jc w:val="center"/>
              <w:textAlignment w:val="baseline"/>
            </w:pPr>
          </w:p>
        </w:tc>
        <w:tc>
          <w:tcPr>
            <w:tcW w:w="585" w:type="pct"/>
            <w:vMerge w:val="continue"/>
            <w:noWrap w:val="0"/>
            <w:vAlign w:val="center"/>
          </w:tcPr>
          <w:p>
            <w:pPr>
              <w:pStyle w:val="35"/>
              <w:pageBreakBefore w:val="0"/>
              <w:kinsoku/>
              <w:topLinePunct w:val="0"/>
              <w:bidi w:val="0"/>
              <w:spacing w:line="240" w:lineRule="auto"/>
              <w:ind w:left="0" w:leftChars="0" w:firstLine="0" w:firstLineChars="0"/>
              <w:jc w:val="center"/>
              <w:textAlignment w:val="baseline"/>
            </w:pPr>
          </w:p>
        </w:tc>
        <w:tc>
          <w:tcPr>
            <w:tcW w:w="599" w:type="pct"/>
            <w:vMerge w:val="continue"/>
            <w:noWrap w:val="0"/>
            <w:vAlign w:val="center"/>
          </w:tcPr>
          <w:p>
            <w:pPr>
              <w:pStyle w:val="35"/>
              <w:pageBreakBefore w:val="0"/>
              <w:kinsoku/>
              <w:topLinePunct w:val="0"/>
              <w:bidi w:val="0"/>
              <w:spacing w:line="240" w:lineRule="auto"/>
              <w:ind w:left="0" w:leftChars="0" w:firstLine="0" w:firstLineChars="0"/>
              <w:jc w:val="center"/>
              <w:textAlignment w:val="baseline"/>
            </w:pPr>
          </w:p>
        </w:tc>
        <w:tc>
          <w:tcPr>
            <w:tcW w:w="398" w:type="pct"/>
            <w:vMerge w:val="continue"/>
            <w:noWrap w:val="0"/>
            <w:vAlign w:val="center"/>
          </w:tcPr>
          <w:p>
            <w:pPr>
              <w:pStyle w:val="35"/>
              <w:pageBreakBefore w:val="0"/>
              <w:kinsoku/>
              <w:topLinePunct w:val="0"/>
              <w:bidi w:val="0"/>
              <w:spacing w:line="240" w:lineRule="auto"/>
              <w:ind w:left="0" w:leftChars="0" w:firstLine="0" w:firstLineChars="0"/>
              <w:jc w:val="center"/>
              <w:textAlignment w:val="baseline"/>
            </w:pPr>
          </w:p>
        </w:tc>
        <w:tc>
          <w:tcPr>
            <w:tcW w:w="579" w:type="pct"/>
            <w:noWrap w:val="0"/>
            <w:vAlign w:val="center"/>
          </w:tcPr>
          <w:p>
            <w:pPr>
              <w:pStyle w:val="35"/>
              <w:pageBreakBefore w:val="0"/>
              <w:kinsoku/>
              <w:topLinePunct w:val="0"/>
              <w:bidi w:val="0"/>
              <w:spacing w:line="240" w:lineRule="auto"/>
              <w:ind w:left="0" w:leftChars="0" w:firstLine="0" w:firstLineChars="0"/>
              <w:jc w:val="center"/>
              <w:textAlignment w:val="baseline"/>
              <w:rPr>
                <w:rFonts w:hint="default"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hAnsi="宋体" w:cs="宋体"/>
                <w:snapToGrid/>
                <w:color w:val="000000" w:themeColor="text1"/>
                <w:kern w:val="0"/>
                <w:sz w:val="24"/>
                <w:szCs w:val="24"/>
                <w:highlight w:val="none"/>
                <w:lang w:val="en-US" w:eastAsia="zh-CN" w:bidi="ar-SA"/>
                <w14:textFill>
                  <w14:solidFill>
                    <w14:schemeClr w14:val="tx1"/>
                  </w14:solidFill>
                </w14:textFill>
              </w:rPr>
              <w:t>政府补贴</w:t>
            </w:r>
          </w:p>
        </w:tc>
        <w:tc>
          <w:tcPr>
            <w:tcW w:w="562" w:type="pct"/>
            <w:noWrap w:val="0"/>
            <w:vAlign w:val="center"/>
          </w:tcPr>
          <w:p>
            <w:pPr>
              <w:pStyle w:val="35"/>
              <w:pageBreakBefore w:val="0"/>
              <w:kinsoku/>
              <w:topLinePunct w:val="0"/>
              <w:bidi w:val="0"/>
              <w:spacing w:line="240" w:lineRule="auto"/>
              <w:ind w:left="0" w:leftChars="0" w:firstLine="0" w:firstLineChars="0"/>
              <w:jc w:val="center"/>
              <w:textAlignment w:val="baseline"/>
              <w:rPr>
                <w:rFonts w:hint="eastAsia" w:ascii="宋体" w:hAnsi="宋体" w:eastAsia="宋体" w:cs="宋体"/>
                <w:snapToGrid/>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农户自缴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304" w:type="pct"/>
            <w:noWrap w:val="0"/>
            <w:vAlign w:val="center"/>
          </w:tcPr>
          <w:p>
            <w:pPr>
              <w:pStyle w:val="35"/>
              <w:pageBreakBefore w:val="0"/>
              <w:kinsoku/>
              <w:topLinePunct w:val="0"/>
              <w:bidi w:val="0"/>
              <w:spacing w:line="240" w:lineRule="auto"/>
              <w:ind w:left="0" w:leftChars="0" w:firstLine="0" w:firstLineChars="0"/>
              <w:jc w:val="cente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t>1</w:t>
            </w:r>
          </w:p>
        </w:tc>
        <w:tc>
          <w:tcPr>
            <w:tcW w:w="817" w:type="pct"/>
            <w:noWrap w:val="0"/>
            <w:vAlign w:val="center"/>
          </w:tcPr>
          <w:p>
            <w:pPr>
              <w:pStyle w:val="35"/>
              <w:pageBreakBefore w:val="0"/>
              <w:kinsoku/>
              <w:topLinePunct w:val="0"/>
              <w:bidi w:val="0"/>
              <w:spacing w:line="240" w:lineRule="auto"/>
              <w:ind w:left="0" w:leftChars="0" w:firstLine="0" w:firstLineChars="0"/>
              <w:jc w:val="cente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hAnsi="宋体" w:cs="宋体"/>
                <w:snapToGrid/>
                <w:color w:val="000000" w:themeColor="text1"/>
                <w:kern w:val="0"/>
                <w:sz w:val="24"/>
                <w:szCs w:val="24"/>
                <w:highlight w:val="none"/>
                <w:lang w:val="en-US" w:eastAsia="zh-CN" w:bidi="ar-SA"/>
                <w14:textFill>
                  <w14:solidFill>
                    <w14:schemeClr w14:val="tx1"/>
                  </w14:solidFill>
                </w14:textFill>
              </w:rPr>
              <w:t>2024-2026年桐庐县生猪价格指数保险采购项目</w:t>
            </w:r>
          </w:p>
        </w:tc>
        <w:tc>
          <w:tcPr>
            <w:tcW w:w="567" w:type="pct"/>
            <w:noWrap w:val="0"/>
            <w:vAlign w:val="center"/>
          </w:tcPr>
          <w:p>
            <w:pPr>
              <w:pStyle w:val="35"/>
              <w:pageBreakBefore w:val="0"/>
              <w:kinsoku/>
              <w:topLinePunct w:val="0"/>
              <w:bidi w:val="0"/>
              <w:spacing w:line="240" w:lineRule="auto"/>
              <w:ind w:left="0" w:leftChars="0" w:firstLine="0" w:firstLineChars="0"/>
              <w:jc w:val="center"/>
              <w:rPr>
                <w:rFonts w:hint="default"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t>20000</w:t>
            </w:r>
          </w:p>
        </w:tc>
        <w:tc>
          <w:tcPr>
            <w:tcW w:w="585" w:type="pct"/>
            <w:noWrap w:val="0"/>
            <w:vAlign w:val="center"/>
          </w:tcPr>
          <w:p>
            <w:pPr>
              <w:pStyle w:val="35"/>
              <w:pageBreakBefore w:val="0"/>
              <w:kinsoku/>
              <w:topLinePunct w:val="0"/>
              <w:bidi w:val="0"/>
              <w:spacing w:line="240" w:lineRule="auto"/>
              <w:ind w:left="0" w:leftChars="0" w:firstLine="0" w:firstLineChars="0"/>
              <w:jc w:val="cente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auto"/>
                <w:sz w:val="24"/>
                <w:lang w:val="en-US" w:eastAsia="zh-CN"/>
              </w:rPr>
              <w:t>保险费率6%</w:t>
            </w:r>
          </w:p>
        </w:tc>
        <w:tc>
          <w:tcPr>
            <w:tcW w:w="585" w:type="pct"/>
            <w:noWrap w:val="0"/>
            <w:vAlign w:val="center"/>
          </w:tcPr>
          <w:p>
            <w:pPr>
              <w:pStyle w:val="35"/>
              <w:pageBreakBefore w:val="0"/>
              <w:kinsoku/>
              <w:topLinePunct w:val="0"/>
              <w:bidi w:val="0"/>
              <w:spacing w:line="240" w:lineRule="auto"/>
              <w:ind w:left="0" w:leftChars="0" w:firstLine="0" w:firstLineChars="0"/>
              <w:jc w:val="center"/>
              <w:rPr>
                <w:rFonts w:hint="default" w:hAnsi="宋体" w:cs="宋体"/>
                <w:snapToGrid/>
                <w:color w:val="000000" w:themeColor="text1"/>
                <w:kern w:val="0"/>
                <w:sz w:val="24"/>
                <w:szCs w:val="24"/>
                <w:highlight w:val="none"/>
                <w:lang w:val="en-US" w:eastAsia="zh-CN" w:bidi="ar-SA"/>
                <w14:textFill>
                  <w14:solidFill>
                    <w14:schemeClr w14:val="tx1"/>
                  </w14:solidFill>
                </w14:textFill>
              </w:rPr>
            </w:pPr>
            <w:r>
              <w:rPr>
                <w:rFonts w:hint="eastAsia" w:hAnsi="宋体" w:cs="宋体"/>
                <w:snapToGrid/>
                <w:color w:val="000000" w:themeColor="text1"/>
                <w:kern w:val="0"/>
                <w:sz w:val="24"/>
                <w:szCs w:val="24"/>
                <w:highlight w:val="none"/>
                <w:lang w:val="en-US" w:eastAsia="zh-CN" w:bidi="ar-SA"/>
                <w14:textFill>
                  <w14:solidFill>
                    <w14:schemeClr w14:val="tx1"/>
                  </w14:solidFill>
                </w14:textFill>
              </w:rPr>
              <w:t>85.68</w:t>
            </w:r>
          </w:p>
        </w:tc>
        <w:tc>
          <w:tcPr>
            <w:tcW w:w="599" w:type="pct"/>
            <w:noWrap w:val="0"/>
            <w:vAlign w:val="center"/>
          </w:tcPr>
          <w:p>
            <w:pPr>
              <w:pStyle w:val="35"/>
              <w:pageBreakBefore w:val="0"/>
              <w:kinsoku/>
              <w:topLinePunct w:val="0"/>
              <w:bidi w:val="0"/>
              <w:spacing w:line="240" w:lineRule="auto"/>
              <w:ind w:left="0" w:leftChars="0" w:firstLine="0" w:firstLineChars="0"/>
              <w:jc w:val="center"/>
              <w:rPr>
                <w:rFonts w:hint="default"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hAnsi="宋体" w:cs="宋体"/>
                <w:snapToGrid/>
                <w:color w:val="000000" w:themeColor="text1"/>
                <w:kern w:val="0"/>
                <w:sz w:val="24"/>
                <w:szCs w:val="24"/>
                <w:highlight w:val="none"/>
                <w:lang w:val="en-US" w:eastAsia="zh-CN" w:bidi="ar-SA"/>
                <w14:textFill>
                  <w14:solidFill>
                    <w14:schemeClr w14:val="tx1"/>
                  </w14:solidFill>
                </w14:textFill>
              </w:rPr>
              <w:t>36.72</w:t>
            </w:r>
          </w:p>
        </w:tc>
        <w:tc>
          <w:tcPr>
            <w:tcW w:w="398" w:type="pct"/>
            <w:noWrap w:val="0"/>
            <w:vAlign w:val="center"/>
          </w:tcPr>
          <w:p>
            <w:pPr>
              <w:pStyle w:val="35"/>
              <w:pageBreakBefore w:val="0"/>
              <w:kinsoku/>
              <w:topLinePunct w:val="0"/>
              <w:bidi w:val="0"/>
              <w:spacing w:line="240" w:lineRule="auto"/>
              <w:ind w:left="0" w:leftChars="0" w:firstLine="0" w:firstLineChars="0"/>
              <w:jc w:val="center"/>
              <w:rPr>
                <w:rFonts w:hint="default"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hAnsi="宋体" w:cs="宋体"/>
                <w:snapToGrid/>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t>年</w:t>
            </w:r>
          </w:p>
        </w:tc>
        <w:tc>
          <w:tcPr>
            <w:tcW w:w="579" w:type="pct"/>
            <w:noWrap w:val="0"/>
            <w:vAlign w:val="center"/>
          </w:tcPr>
          <w:p>
            <w:pPr>
              <w:pStyle w:val="35"/>
              <w:pageBreakBefore w:val="0"/>
              <w:kinsoku/>
              <w:topLinePunct w:val="0"/>
              <w:bidi w:val="0"/>
              <w:spacing w:line="240" w:lineRule="auto"/>
              <w:ind w:left="0" w:leftChars="0" w:firstLine="0" w:firstLineChars="0"/>
              <w:jc w:val="center"/>
              <w:rPr>
                <w:rFonts w:hint="default"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t>1713600</w:t>
            </w:r>
          </w:p>
        </w:tc>
        <w:tc>
          <w:tcPr>
            <w:tcW w:w="562" w:type="pct"/>
            <w:noWrap w:val="0"/>
            <w:vAlign w:val="center"/>
          </w:tcPr>
          <w:p>
            <w:pPr>
              <w:keepNext w:val="0"/>
              <w:keepLines w:val="0"/>
              <w:widowControl/>
              <w:suppressLineNumbers w:val="0"/>
              <w:spacing w:line="240" w:lineRule="auto"/>
              <w:jc w:val="center"/>
              <w:textAlignment w:val="center"/>
              <w:rPr>
                <w:rFonts w:hint="default" w:ascii="宋体" w:hAnsi="宋体" w:eastAsia="宋体" w:cs="宋体"/>
                <w:snapToGrid/>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highlight w:val="none"/>
                <w:lang w:val="en-US" w:eastAsia="zh-CN" w:bidi="ar-SA"/>
                <w14:textFill>
                  <w14:solidFill>
                    <w14:schemeClr w14:val="tx1"/>
                  </w14:solidFill>
                </w14:textFill>
              </w:rPr>
              <w:t>734400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000" w:type="pct"/>
            <w:gridSpan w:val="9"/>
            <w:noWrap w:val="0"/>
            <w:vAlign w:val="center"/>
          </w:tcPr>
          <w:p>
            <w:pPr>
              <w:pStyle w:val="35"/>
              <w:keepNext w:val="0"/>
              <w:keepLines w:val="0"/>
              <w:pageBreakBefore w:val="0"/>
              <w:widowControl w:val="0"/>
              <w:kinsoku/>
              <w:wordWrap/>
              <w:overflowPunct/>
              <w:topLinePunct w:val="0"/>
              <w:autoSpaceDE/>
              <w:autoSpaceDN/>
              <w:bidi w:val="0"/>
              <w:adjustRightInd w:val="0"/>
              <w:snapToGrid/>
              <w:spacing w:before="157" w:beforeLines="50" w:line="240" w:lineRule="auto"/>
              <w:ind w:left="0" w:leftChars="0" w:firstLine="0" w:firstLineChars="0"/>
              <w:jc w:val="both"/>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snapToGrid/>
                <w:color w:val="000000" w:themeColor="text1"/>
                <w:kern w:val="0"/>
                <w:sz w:val="24"/>
                <w:szCs w:val="24"/>
                <w:highlight w:val="none"/>
                <w:lang w:val="zh-CN" w:eastAsia="zh-CN" w:bidi="ar-SA"/>
                <w14:textFill>
                  <w14:solidFill>
                    <w14:schemeClr w14:val="tx1"/>
                  </w14:solidFill>
                </w14:textFill>
              </w:rPr>
              <w:t>投标报价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人民币（大写）：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贰佰肆拾肆万捌仟</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元/年</w:t>
            </w:r>
          </w:p>
          <w:p>
            <w:pPr>
              <w:pStyle w:val="35"/>
              <w:keepNext w:val="0"/>
              <w:keepLines w:val="0"/>
              <w:pageBreakBefore w:val="0"/>
              <w:widowControl w:val="0"/>
              <w:kinsoku/>
              <w:wordWrap/>
              <w:overflowPunct/>
              <w:topLinePunct w:val="0"/>
              <w:autoSpaceDE/>
              <w:autoSpaceDN/>
              <w:bidi w:val="0"/>
              <w:adjustRightInd w:val="0"/>
              <w:snapToGrid/>
              <w:spacing w:before="157" w:beforeLines="50" w:line="240" w:lineRule="auto"/>
              <w:ind w:left="0" w:leftChars="0" w:firstLine="0" w:firstLineChars="0"/>
              <w:jc w:val="both"/>
              <w:textAlignment w:val="auto"/>
              <w:rPr>
                <w:rFonts w:hint="eastAsia"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说明：</w:t>
            </w:r>
            <w:r>
              <w:rPr>
                <w:rFonts w:hint="eastAsia" w:hAnsi="宋体" w:cs="宋体"/>
                <w:color w:val="000000" w:themeColor="text1"/>
                <w:sz w:val="24"/>
                <w:szCs w:val="24"/>
                <w:highlight w:val="none"/>
                <w:u w:val="none"/>
                <w:lang w:val="en-US" w:eastAsia="zh-CN"/>
                <w14:textFill>
                  <w14:solidFill>
                    <w14:schemeClr w14:val="tx1"/>
                  </w14:solidFill>
                </w14:textFill>
              </w:rPr>
              <w:t>本保险由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市级财政补贴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，县级财政补贴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%，农户自缴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0%</w:t>
            </w:r>
            <w:r>
              <w:rPr>
                <w:rFonts w:hint="eastAsia" w:hAnsi="宋体" w:cs="宋体"/>
                <w:color w:val="000000" w:themeColor="text1"/>
                <w:kern w:val="0"/>
                <w:sz w:val="24"/>
                <w:szCs w:val="24"/>
                <w:highlight w:val="none"/>
                <w:lang w:eastAsia="zh-CN"/>
                <w14:textFill>
                  <w14:solidFill>
                    <w14:schemeClr w14:val="tx1"/>
                  </w14:solidFill>
                </w14:textFill>
              </w:rPr>
              <w:t>，</w:t>
            </w:r>
            <w:r>
              <w:rPr>
                <w:rFonts w:hint="eastAsia" w:hAnsi="宋体" w:cs="宋体"/>
                <w:color w:val="000000" w:themeColor="text1"/>
                <w:kern w:val="0"/>
                <w:sz w:val="24"/>
                <w:szCs w:val="24"/>
                <w:highlight w:val="none"/>
                <w:lang w:val="en-US" w:eastAsia="zh-CN"/>
                <w14:textFill>
                  <w14:solidFill>
                    <w14:schemeClr w14:val="tx1"/>
                  </w14:solidFill>
                </w14:textFill>
              </w:rPr>
              <w:t>共计2448000元</w:t>
            </w:r>
            <w:r>
              <w:rPr>
                <w:rFonts w:hint="eastAsia" w:hAnsi="宋体" w:cs="宋体"/>
                <w:snapToGrid/>
                <w:color w:val="000000" w:themeColor="text1"/>
                <w:kern w:val="0"/>
                <w:sz w:val="24"/>
                <w:szCs w:val="24"/>
                <w:highlight w:val="none"/>
                <w:lang w:val="en-US" w:eastAsia="zh-CN" w:bidi="ar-SA"/>
                <w14:textFill>
                  <w14:solidFill>
                    <w14:schemeClr w14:val="tx1"/>
                  </w14:solidFill>
                </w14:textFill>
              </w:rPr>
              <w:t>/年</w:t>
            </w:r>
            <w:r>
              <w:rPr>
                <w:rFonts w:hint="eastAsia" w:hAnsi="宋体" w:cs="宋体"/>
                <w:color w:val="000000" w:themeColor="text1"/>
                <w:sz w:val="24"/>
                <w:szCs w:val="24"/>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000" w:type="pct"/>
            <w:gridSpan w:val="9"/>
            <w:noWrap w:val="0"/>
            <w:vAlign w:val="center"/>
          </w:tcPr>
          <w:p>
            <w:pPr>
              <w:pStyle w:val="35"/>
              <w:keepNext w:val="0"/>
              <w:keepLines w:val="0"/>
              <w:pageBreakBefore w:val="0"/>
              <w:widowControl w:val="0"/>
              <w:kinsoku/>
              <w:wordWrap/>
              <w:overflowPunct/>
              <w:topLinePunct w:val="0"/>
              <w:autoSpaceDE/>
              <w:autoSpaceDN/>
              <w:bidi w:val="0"/>
              <w:adjustRightInd w:val="0"/>
              <w:snapToGrid/>
              <w:spacing w:before="157" w:beforeLines="50" w:line="240" w:lineRule="auto"/>
              <w:ind w:left="0" w:leftChars="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总报价人民币（大写）：柒佰叁拾肆万肆仟元整</w:t>
            </w:r>
          </w:p>
        </w:tc>
      </w:tr>
    </w:tbl>
    <w:p>
      <w:pPr>
        <w:snapToGrid w:val="0"/>
        <w:spacing w:line="360" w:lineRule="auto"/>
        <w:ind w:left="480"/>
        <w:rPr>
          <w:rFonts w:hint="eastAsia" w:ascii="宋体" w:hAnsi="宋体" w:eastAsia="宋体" w:cs="宋体"/>
          <w:b/>
          <w:kern w:val="0"/>
          <w:sz w:val="24"/>
          <w:lang w:val="zh-CN"/>
        </w:rPr>
      </w:pPr>
    </w:p>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color w:val="000000" w:themeColor="text1"/>
          <w:kern w:val="0"/>
          <w:sz w:val="24"/>
          <w:highlight w:val="yellow"/>
          <w:lang w:val="zh-CN"/>
          <w14:textFill>
            <w14:solidFill>
              <w14:schemeClr w14:val="tx1"/>
            </w14:solidFill>
          </w14:textFill>
        </w:rPr>
        <w:t>投标人不得自行更改</w:t>
      </w:r>
      <w:r>
        <w:rPr>
          <w:rFonts w:hint="eastAsia" w:ascii="宋体" w:hAnsi="宋体" w:eastAsia="宋体" w:cs="宋体"/>
          <w:color w:val="000000" w:themeColor="text1"/>
          <w:kern w:val="0"/>
          <w:sz w:val="24"/>
          <w:highlight w:val="yellow"/>
          <w:lang w:val="en-US" w:eastAsia="zh-CN"/>
          <w14:textFill>
            <w14:solidFill>
              <w14:schemeClr w14:val="tx1"/>
            </w14:solidFill>
          </w14:textFill>
        </w:rPr>
        <w:t>报价，否则投标无效</w:t>
      </w:r>
      <w:r>
        <w:rPr>
          <w:rFonts w:hint="eastAsia" w:ascii="宋体" w:hAnsi="宋体" w:eastAsia="宋体" w:cs="宋体"/>
          <w:b/>
          <w:bCs/>
          <w:kern w:val="0"/>
          <w:sz w:val="24"/>
          <w:lang w:val="zh-CN"/>
        </w:rPr>
        <w:t>；</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cs="宋体"/>
          <w:kern w:val="0"/>
          <w:sz w:val="24"/>
          <w:lang w:val="en-US" w:eastAsia="zh-CN"/>
        </w:rPr>
        <w:t>3</w:t>
      </w:r>
      <w:r>
        <w:rPr>
          <w:rFonts w:hint="eastAsia" w:ascii="宋体" w:hAnsi="宋体" w:eastAsia="宋体" w:cs="宋体"/>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cs="宋体"/>
          <w:kern w:val="0"/>
          <w:sz w:val="24"/>
          <w:szCs w:val="22"/>
          <w:lang w:val="en-US" w:eastAsia="zh-CN"/>
        </w:rPr>
        <w:t>4</w:t>
      </w:r>
      <w:r>
        <w:rPr>
          <w:rFonts w:hint="eastAsia" w:ascii="宋体" w:hAnsi="宋体" w:eastAsia="宋体" w:cs="宋体"/>
          <w:kern w:val="0"/>
          <w:sz w:val="24"/>
          <w:szCs w:val="22"/>
          <w:lang w:val="zh-CN"/>
        </w:rPr>
        <w:t>、</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kern w:val="0"/>
          <w:sz w:val="24"/>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3"/>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rPr>
          <w:rFonts w:hint="eastAsia" w:ascii="宋体" w:hAnsi="宋体" w:eastAsia="宋体" w:cs="宋体"/>
          <w:b/>
          <w:kern w:val="0"/>
          <w:sz w:val="36"/>
          <w:szCs w:val="36"/>
        </w:rPr>
      </w:pPr>
    </w:p>
    <w:p>
      <w:pPr>
        <w:tabs>
          <w:tab w:val="left" w:pos="8085"/>
        </w:tabs>
        <w:spacing w:line="360" w:lineRule="auto"/>
        <w:ind w:firstLine="1285" w:firstLineChars="400"/>
        <w:jc w:val="left"/>
        <w:rPr>
          <w:rFonts w:hint="eastAsia" w:ascii="宋体" w:hAnsi="宋体" w:eastAsia="宋体" w:cs="宋体"/>
          <w:b/>
          <w:sz w:val="32"/>
          <w:szCs w:val="32"/>
        </w:rPr>
      </w:pPr>
    </w:p>
    <w:p>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三、政府采购信用融资操作流程：</w:t>
      </w:r>
    </w:p>
    <w:p>
      <w:pPr>
        <w:spacing w:line="360" w:lineRule="auto"/>
        <w:ind w:firstLine="960" w:firstLineChars="400"/>
        <w:rPr>
          <w:rFonts w:hint="eastAsia" w:ascii="宋体" w:hAnsi="宋体" w:eastAsia="宋体" w:cs="宋体"/>
          <w:sz w:val="24"/>
        </w:rPr>
      </w:pPr>
      <w:r>
        <w:rPr>
          <w:rFonts w:hint="eastAsia" w:ascii="宋体" w:hAnsi="宋体" w:eastAsia="宋体" w:cs="宋体"/>
          <w:sz w:val="24"/>
        </w:rPr>
        <w:t>（一）线上融资模式：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4.审批通过后，在线办理放贷手续。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（二）线下融资模式：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pPr>
        <w:pStyle w:val="4"/>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4"/>
        <w:numPr>
          <w:ilvl w:val="255"/>
          <w:numId w:val="0"/>
        </w:numPr>
        <w:ind w:firstLine="960" w:firstLineChars="4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392" w:name="_Toc465665161"/>
      <w:r>
        <w:rPr>
          <w:rFonts w:hint="eastAsia" w:ascii="宋体" w:hAnsi="宋体" w:eastAsia="宋体" w:cs="宋体"/>
        </w:rPr>
        <w:t>附件</w:t>
      </w:r>
      <w:bookmarkEnd w:id="392"/>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spacing w:val="6"/>
          <w:sz w:val="32"/>
          <w:szCs w:val="32"/>
        </w:rPr>
      </w:pPr>
      <w:bookmarkStart w:id="393" w:name="OLE_LINK13"/>
      <w:bookmarkStart w:id="394" w:name="OLE_LINK14"/>
      <w:r>
        <w:rPr>
          <w:rFonts w:hint="eastAsia" w:ascii="宋体" w:hAnsi="宋体" w:eastAsia="宋体" w:cs="宋体"/>
          <w:b/>
          <w:spacing w:val="6"/>
          <w:sz w:val="32"/>
          <w:szCs w:val="32"/>
        </w:rPr>
        <w:t>残疾人福利性单位声明函</w:t>
      </w:r>
    </w:p>
    <w:bookmarkEnd w:id="393"/>
    <w:bookmarkEnd w:id="394"/>
    <w:p>
      <w:pPr>
        <w:spacing w:line="360" w:lineRule="auto"/>
        <w:rPr>
          <w:rFonts w:hint="eastAsia" w:ascii="宋体" w:hAnsi="宋体" w:eastAsia="宋体" w:cs="宋体"/>
          <w:b/>
          <w:spacing w:val="6"/>
          <w:sz w:val="30"/>
          <w:szCs w:val="30"/>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spacing w:line="360" w:lineRule="auto"/>
        <w:ind w:firstLine="480" w:firstLineChars="200"/>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both"/>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both"/>
        <w:rPr>
          <w:rFonts w:hint="eastAsia" w:ascii="宋体" w:hAnsi="宋体" w:eastAsia="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hint="default" w:ascii="宋体" w:hAnsi="宋体" w:eastAsia="宋体" w:cs="宋体"/>
          <w:kern w:val="0"/>
          <w:sz w:val="24"/>
          <w:u w:val="single"/>
          <w:lang w:val="en-US" w:eastAsia="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；占合同比例为</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；占合同比例为</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w:t>
      </w:r>
      <w:r>
        <w:rPr>
          <w:rFonts w:hint="eastAsia" w:ascii="宋体" w:hAnsi="宋体" w:cs="宋体"/>
          <w:kern w:val="0"/>
          <w:sz w:val="24"/>
          <w:highlight w:val="yellow"/>
          <w:lang w:val="zh-CN"/>
        </w:rPr>
        <w:t>中小企业合同份额</w:t>
      </w:r>
      <w:r>
        <w:rPr>
          <w:rFonts w:hint="eastAsia" w:ascii="宋体" w:hAnsi="宋体" w:cs="宋体"/>
          <w:kern w:val="0"/>
          <w:sz w:val="24"/>
          <w:lang w:val="zh-CN"/>
        </w:rPr>
        <w:t>。</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5"/>
      <w:r>
        <w:rPr>
          <w:rFonts w:hint="eastAsia" w:ascii="宋体" w:hAnsi="宋体" w:cs="宋体"/>
          <w:kern w:val="0"/>
          <w:sz w:val="24"/>
          <w:u w:val="single"/>
        </w:rPr>
        <w:t>）</w:t>
      </w:r>
      <w:r>
        <w:rPr>
          <w:rFonts w:hint="eastAsia" w:ascii="宋体" w:hAnsi="宋体" w:cs="宋体"/>
          <w:kern w:val="0"/>
          <w:sz w:val="24"/>
        </w:rPr>
        <w:t>提供的</w:t>
      </w:r>
      <w:r>
        <w:rPr>
          <w:rFonts w:hint="eastAsia" w:ascii="宋体" w:hAnsi="宋体" w:cs="宋体"/>
          <w:kern w:val="0"/>
          <w:sz w:val="24"/>
          <w:highlight w:val="yellow"/>
        </w:rPr>
        <w:t>服务由小微企业承接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39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cs="宋体"/>
          <w:b/>
          <w:kern w:val="0"/>
          <w:sz w:val="24"/>
          <w:lang w:val="en-US" w:eastAsia="zh-CN"/>
        </w:rPr>
        <w:t>6</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bookmarkEnd w:id="396"/>
      <w:r>
        <w:rPr>
          <w:rFonts w:hint="eastAsia" w:ascii="宋体" w:hAnsi="宋体" w:cs="宋体"/>
          <w:b/>
          <w:kern w:val="0"/>
          <w:sz w:val="24"/>
          <w:lang w:val="zh-CN"/>
        </w:rPr>
        <w:t>）</w:t>
      </w:r>
    </w:p>
    <w:p>
      <w:pPr>
        <w:snapToGrid/>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39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397"/>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z w:val="32"/>
          <w:szCs w:val="32"/>
        </w:rPr>
      </w:pPr>
      <w:r>
        <w:rPr>
          <w:rFonts w:hint="eastAsia" w:ascii="宋体" w:hAnsi="宋体" w:eastAsia="宋体" w:cs="宋体"/>
          <w:b/>
          <w:spacing w:val="6"/>
          <w:sz w:val="32"/>
          <w:szCs w:val="32"/>
        </w:rPr>
        <w:t>附件</w:t>
      </w:r>
      <w:r>
        <w:rPr>
          <w:rFonts w:hint="eastAsia" w:ascii="宋体" w:hAnsi="宋体" w:cs="宋体"/>
          <w:b/>
          <w:spacing w:val="6"/>
          <w:sz w:val="32"/>
          <w:szCs w:val="32"/>
          <w:lang w:val="en-US" w:eastAsia="zh-CN"/>
        </w:rPr>
        <w:t>6</w:t>
      </w:r>
      <w:r>
        <w:rPr>
          <w:rFonts w:hint="eastAsia" w:ascii="宋体" w:hAnsi="宋体" w:eastAsia="宋体" w:cs="宋体"/>
          <w:b/>
          <w:spacing w:val="6"/>
          <w:sz w:val="32"/>
          <w:szCs w:val="32"/>
        </w:rPr>
        <w:t>：</w:t>
      </w:r>
      <w:r>
        <w:rPr>
          <w:rFonts w:hint="eastAsia" w:ascii="宋体" w:hAnsi="宋体" w:eastAsia="宋体" w:cs="宋体"/>
          <w:b/>
          <w:sz w:val="32"/>
          <w:szCs w:val="32"/>
        </w:rPr>
        <w:t>中小企业声明函</w:t>
      </w:r>
    </w:p>
    <w:p>
      <w:pPr>
        <w:spacing w:line="360" w:lineRule="auto"/>
        <w:jc w:val="center"/>
        <w:rPr>
          <w:rFonts w:hint="eastAsia" w:ascii="宋体" w:hAnsi="宋体" w:eastAsia="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宋体" w:hAnsi="宋体" w:eastAsia="宋体" w:cs="宋体"/>
          <w:bCs/>
          <w:sz w:val="24"/>
        </w:rPr>
      </w:pPr>
    </w:p>
    <w:sectPr>
      <w:headerReference r:id="rId19" w:type="first"/>
      <w:footerReference r:id="rId22" w:type="first"/>
      <w:headerReference r:id="rId18" w:type="default"/>
      <w:footerReference r:id="rId20" w:type="default"/>
      <w:footerReference r:id="rId21" w:type="even"/>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left"/>
      <w:rPr>
        <w:rFonts w:hint="default"/>
        <w:lang w:val="en-US" w:eastAsia="zh-CN"/>
      </w:rPr>
    </w:pPr>
  </w:p>
  <w:p>
    <w:pPr>
      <w:pStyle w:val="60"/>
      <w:tabs>
        <w:tab w:val="left" w:pos="2378"/>
        <w:tab w:val="right" w:pos="9070"/>
      </w:tabs>
      <w:jc w:val="both"/>
      <w:rPr>
        <w:rFonts w:hint="eastAsia" w:ascii="仿宋_GB2312" w:eastAsia="仿宋_GB2312"/>
        <w:b w:val="0"/>
        <w:i/>
        <w:sz w:val="18"/>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left"/>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ascii="仿宋_GB2312" w:eastAsia="仿宋_GB2312"/>
        <w:b/>
        <w:i/>
        <w:u w:val="single"/>
      </w:rPr>
    </w:pPr>
    <w:r>
      <w:rPr>
        <w:rFonts w:hint="eastAsia"/>
      </w:rPr>
      <w:t xml:space="preserve">                              </w:t>
    </w:r>
  </w:p>
  <w:p>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jI5MmVjM2VlZmI2NzBhNDMxNDg0NzQ4MDlkN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E5A"/>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04FE7"/>
    <w:rsid w:val="02824D4D"/>
    <w:rsid w:val="02DC4B10"/>
    <w:rsid w:val="02DD76CE"/>
    <w:rsid w:val="02F36323"/>
    <w:rsid w:val="02F5619C"/>
    <w:rsid w:val="0326446A"/>
    <w:rsid w:val="032D5555"/>
    <w:rsid w:val="036634D2"/>
    <w:rsid w:val="03CF6675"/>
    <w:rsid w:val="03DD35E4"/>
    <w:rsid w:val="04076900"/>
    <w:rsid w:val="041A5A3B"/>
    <w:rsid w:val="042311BA"/>
    <w:rsid w:val="042B157A"/>
    <w:rsid w:val="044D3AE9"/>
    <w:rsid w:val="045521C0"/>
    <w:rsid w:val="048C689E"/>
    <w:rsid w:val="048F763B"/>
    <w:rsid w:val="049F330E"/>
    <w:rsid w:val="04AA775C"/>
    <w:rsid w:val="04AF1889"/>
    <w:rsid w:val="04F66F48"/>
    <w:rsid w:val="05251E14"/>
    <w:rsid w:val="05A16594"/>
    <w:rsid w:val="05A7762D"/>
    <w:rsid w:val="060E5941"/>
    <w:rsid w:val="06110FAF"/>
    <w:rsid w:val="06493CA7"/>
    <w:rsid w:val="065A6178"/>
    <w:rsid w:val="066F1CF3"/>
    <w:rsid w:val="068A59BD"/>
    <w:rsid w:val="06930BB8"/>
    <w:rsid w:val="07147821"/>
    <w:rsid w:val="07245D42"/>
    <w:rsid w:val="07264C62"/>
    <w:rsid w:val="0779354C"/>
    <w:rsid w:val="08061376"/>
    <w:rsid w:val="08315ABE"/>
    <w:rsid w:val="08452D77"/>
    <w:rsid w:val="086401F8"/>
    <w:rsid w:val="08751CAA"/>
    <w:rsid w:val="087E4C40"/>
    <w:rsid w:val="08D66AD6"/>
    <w:rsid w:val="08DA33A3"/>
    <w:rsid w:val="08E80F13"/>
    <w:rsid w:val="09335624"/>
    <w:rsid w:val="0944690F"/>
    <w:rsid w:val="09535675"/>
    <w:rsid w:val="095F057D"/>
    <w:rsid w:val="09642282"/>
    <w:rsid w:val="096B09CE"/>
    <w:rsid w:val="09733572"/>
    <w:rsid w:val="09772C16"/>
    <w:rsid w:val="098353B5"/>
    <w:rsid w:val="09991460"/>
    <w:rsid w:val="09A92330"/>
    <w:rsid w:val="09B06B87"/>
    <w:rsid w:val="09C13146"/>
    <w:rsid w:val="09E04166"/>
    <w:rsid w:val="0A1C0718"/>
    <w:rsid w:val="0A3E7710"/>
    <w:rsid w:val="0A4240F4"/>
    <w:rsid w:val="0A5B7E63"/>
    <w:rsid w:val="0A7D665A"/>
    <w:rsid w:val="0A884FAE"/>
    <w:rsid w:val="0AA374A5"/>
    <w:rsid w:val="0AAB7649"/>
    <w:rsid w:val="0ABC5606"/>
    <w:rsid w:val="0AF606E8"/>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513E45"/>
    <w:rsid w:val="0D827401"/>
    <w:rsid w:val="0D84094E"/>
    <w:rsid w:val="0D8A00E9"/>
    <w:rsid w:val="0D8D589E"/>
    <w:rsid w:val="0DA01C73"/>
    <w:rsid w:val="0DD63300"/>
    <w:rsid w:val="0DF50604"/>
    <w:rsid w:val="0DF702FE"/>
    <w:rsid w:val="0E060E51"/>
    <w:rsid w:val="0E5604B2"/>
    <w:rsid w:val="0E6D5D79"/>
    <w:rsid w:val="0E9D0089"/>
    <w:rsid w:val="0EB803EE"/>
    <w:rsid w:val="0EF0500D"/>
    <w:rsid w:val="0EF94D4B"/>
    <w:rsid w:val="0F4958DC"/>
    <w:rsid w:val="0F515DF7"/>
    <w:rsid w:val="0F596BA8"/>
    <w:rsid w:val="0F6248D2"/>
    <w:rsid w:val="0F686A1B"/>
    <w:rsid w:val="0F693536"/>
    <w:rsid w:val="0F7B0511"/>
    <w:rsid w:val="0F7B76D9"/>
    <w:rsid w:val="0F816ACD"/>
    <w:rsid w:val="0F9832DB"/>
    <w:rsid w:val="0FBF3FD2"/>
    <w:rsid w:val="0FBF7FF3"/>
    <w:rsid w:val="0FD4263C"/>
    <w:rsid w:val="10244F27"/>
    <w:rsid w:val="10595A0E"/>
    <w:rsid w:val="10646583"/>
    <w:rsid w:val="107D4B15"/>
    <w:rsid w:val="108A3C80"/>
    <w:rsid w:val="10C26171"/>
    <w:rsid w:val="10F33360"/>
    <w:rsid w:val="10FC16EA"/>
    <w:rsid w:val="110F1D40"/>
    <w:rsid w:val="11266F33"/>
    <w:rsid w:val="11443592"/>
    <w:rsid w:val="118963A1"/>
    <w:rsid w:val="11C6522A"/>
    <w:rsid w:val="11E104CC"/>
    <w:rsid w:val="11E20309"/>
    <w:rsid w:val="12255233"/>
    <w:rsid w:val="12330055"/>
    <w:rsid w:val="12530213"/>
    <w:rsid w:val="127723A9"/>
    <w:rsid w:val="127B1259"/>
    <w:rsid w:val="12862074"/>
    <w:rsid w:val="12883966"/>
    <w:rsid w:val="129E45B4"/>
    <w:rsid w:val="12D81596"/>
    <w:rsid w:val="13072A44"/>
    <w:rsid w:val="135F4BE2"/>
    <w:rsid w:val="13870363"/>
    <w:rsid w:val="139B1A0A"/>
    <w:rsid w:val="139D25C7"/>
    <w:rsid w:val="13BF3CE4"/>
    <w:rsid w:val="141008D8"/>
    <w:rsid w:val="14125FE6"/>
    <w:rsid w:val="146664F4"/>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861B74"/>
    <w:rsid w:val="17D349C1"/>
    <w:rsid w:val="1830729E"/>
    <w:rsid w:val="1870062C"/>
    <w:rsid w:val="18817102"/>
    <w:rsid w:val="18830A15"/>
    <w:rsid w:val="18852B28"/>
    <w:rsid w:val="188B5321"/>
    <w:rsid w:val="19932372"/>
    <w:rsid w:val="19A20DD5"/>
    <w:rsid w:val="19A47FAA"/>
    <w:rsid w:val="19AE03F1"/>
    <w:rsid w:val="1A071A03"/>
    <w:rsid w:val="1A1F16AE"/>
    <w:rsid w:val="1A371E6A"/>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9205C"/>
    <w:rsid w:val="1C6A419F"/>
    <w:rsid w:val="1C82772F"/>
    <w:rsid w:val="1C88086E"/>
    <w:rsid w:val="1CD56B9B"/>
    <w:rsid w:val="1D10240B"/>
    <w:rsid w:val="1D266CE1"/>
    <w:rsid w:val="1D3963AF"/>
    <w:rsid w:val="1D6A673C"/>
    <w:rsid w:val="1D8E5791"/>
    <w:rsid w:val="1D9247AE"/>
    <w:rsid w:val="1DB567EC"/>
    <w:rsid w:val="1DF51A98"/>
    <w:rsid w:val="1E3073D1"/>
    <w:rsid w:val="1E3D060F"/>
    <w:rsid w:val="1E3F7D2E"/>
    <w:rsid w:val="1E4134E4"/>
    <w:rsid w:val="1E5062B3"/>
    <w:rsid w:val="1E523514"/>
    <w:rsid w:val="1E714A66"/>
    <w:rsid w:val="1E7F387D"/>
    <w:rsid w:val="1E802593"/>
    <w:rsid w:val="1EA703CC"/>
    <w:rsid w:val="1EB7330C"/>
    <w:rsid w:val="1EEB65C1"/>
    <w:rsid w:val="1F0A0FF3"/>
    <w:rsid w:val="1F157A84"/>
    <w:rsid w:val="1F5771FF"/>
    <w:rsid w:val="1FE868A9"/>
    <w:rsid w:val="20034907"/>
    <w:rsid w:val="20173E4B"/>
    <w:rsid w:val="204E48BC"/>
    <w:rsid w:val="208921B3"/>
    <w:rsid w:val="20973DEB"/>
    <w:rsid w:val="20B26522"/>
    <w:rsid w:val="20B44310"/>
    <w:rsid w:val="211116EB"/>
    <w:rsid w:val="215A530A"/>
    <w:rsid w:val="216133FC"/>
    <w:rsid w:val="21D56769"/>
    <w:rsid w:val="21E52EF3"/>
    <w:rsid w:val="21FB5D7B"/>
    <w:rsid w:val="220B1C3D"/>
    <w:rsid w:val="221D1D20"/>
    <w:rsid w:val="22334A87"/>
    <w:rsid w:val="22BE6801"/>
    <w:rsid w:val="22CC42ED"/>
    <w:rsid w:val="22F73C42"/>
    <w:rsid w:val="231436F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43DE1"/>
    <w:rsid w:val="25BE27CC"/>
    <w:rsid w:val="25DF61BF"/>
    <w:rsid w:val="25F74A5C"/>
    <w:rsid w:val="2628662C"/>
    <w:rsid w:val="262D45DE"/>
    <w:rsid w:val="2640531E"/>
    <w:rsid w:val="26A53EF9"/>
    <w:rsid w:val="26A94201"/>
    <w:rsid w:val="26AC274F"/>
    <w:rsid w:val="27044A29"/>
    <w:rsid w:val="271D34C8"/>
    <w:rsid w:val="274D5177"/>
    <w:rsid w:val="276142BF"/>
    <w:rsid w:val="27783712"/>
    <w:rsid w:val="27907362"/>
    <w:rsid w:val="28333E1D"/>
    <w:rsid w:val="28454BA2"/>
    <w:rsid w:val="28454BD6"/>
    <w:rsid w:val="28455253"/>
    <w:rsid w:val="28551971"/>
    <w:rsid w:val="285B1C53"/>
    <w:rsid w:val="289F7086"/>
    <w:rsid w:val="28C32028"/>
    <w:rsid w:val="28CC490F"/>
    <w:rsid w:val="28DE40AA"/>
    <w:rsid w:val="29345E77"/>
    <w:rsid w:val="294C65AD"/>
    <w:rsid w:val="29806583"/>
    <w:rsid w:val="298B3C4C"/>
    <w:rsid w:val="29F26D24"/>
    <w:rsid w:val="29F82B12"/>
    <w:rsid w:val="2A15033F"/>
    <w:rsid w:val="2A1662C1"/>
    <w:rsid w:val="2A1C7367"/>
    <w:rsid w:val="2A2815FA"/>
    <w:rsid w:val="2A6D6092"/>
    <w:rsid w:val="2A7D76B4"/>
    <w:rsid w:val="2AAD67EA"/>
    <w:rsid w:val="2B437463"/>
    <w:rsid w:val="2B7807EE"/>
    <w:rsid w:val="2B9126D5"/>
    <w:rsid w:val="2BBF00EC"/>
    <w:rsid w:val="2BC37CFD"/>
    <w:rsid w:val="2BD5237F"/>
    <w:rsid w:val="2BE536CE"/>
    <w:rsid w:val="2BE758D9"/>
    <w:rsid w:val="2C09049E"/>
    <w:rsid w:val="2C0A653C"/>
    <w:rsid w:val="2C191F85"/>
    <w:rsid w:val="2C841377"/>
    <w:rsid w:val="2CE82D6F"/>
    <w:rsid w:val="2D343236"/>
    <w:rsid w:val="2DC03B59"/>
    <w:rsid w:val="2DD15014"/>
    <w:rsid w:val="2DF72DE4"/>
    <w:rsid w:val="2E0220AF"/>
    <w:rsid w:val="2E4B082A"/>
    <w:rsid w:val="2E5D4E86"/>
    <w:rsid w:val="2E5D790B"/>
    <w:rsid w:val="2E9A3C18"/>
    <w:rsid w:val="2EBB0FEE"/>
    <w:rsid w:val="2EC63002"/>
    <w:rsid w:val="2F0A6B38"/>
    <w:rsid w:val="2F946CCB"/>
    <w:rsid w:val="2FD25781"/>
    <w:rsid w:val="2FFD7934"/>
    <w:rsid w:val="30546081"/>
    <w:rsid w:val="307073C7"/>
    <w:rsid w:val="30733ACD"/>
    <w:rsid w:val="30754DF6"/>
    <w:rsid w:val="308C3862"/>
    <w:rsid w:val="309379D8"/>
    <w:rsid w:val="30A270F7"/>
    <w:rsid w:val="30DF1478"/>
    <w:rsid w:val="30EC586F"/>
    <w:rsid w:val="319C6071"/>
    <w:rsid w:val="31AC537E"/>
    <w:rsid w:val="31E3679B"/>
    <w:rsid w:val="31E732FD"/>
    <w:rsid w:val="32517576"/>
    <w:rsid w:val="32BE5C2C"/>
    <w:rsid w:val="32F81C5D"/>
    <w:rsid w:val="32FB6478"/>
    <w:rsid w:val="33263B3F"/>
    <w:rsid w:val="336963EB"/>
    <w:rsid w:val="33816EEB"/>
    <w:rsid w:val="33EB55CD"/>
    <w:rsid w:val="33EC4C02"/>
    <w:rsid w:val="33FD7B69"/>
    <w:rsid w:val="340D2360"/>
    <w:rsid w:val="3410665D"/>
    <w:rsid w:val="34211214"/>
    <w:rsid w:val="342E63AB"/>
    <w:rsid w:val="34694A7D"/>
    <w:rsid w:val="34950E68"/>
    <w:rsid w:val="34986E94"/>
    <w:rsid w:val="34A10BE9"/>
    <w:rsid w:val="34AF62C9"/>
    <w:rsid w:val="34C55706"/>
    <w:rsid w:val="34CB4388"/>
    <w:rsid w:val="34FA6E12"/>
    <w:rsid w:val="35822521"/>
    <w:rsid w:val="358D5588"/>
    <w:rsid w:val="35B31F66"/>
    <w:rsid w:val="363A3B40"/>
    <w:rsid w:val="365302AE"/>
    <w:rsid w:val="36607A0A"/>
    <w:rsid w:val="366E227C"/>
    <w:rsid w:val="366F2E0D"/>
    <w:rsid w:val="367B6A5C"/>
    <w:rsid w:val="36A74ADA"/>
    <w:rsid w:val="36AD60D5"/>
    <w:rsid w:val="36B224F9"/>
    <w:rsid w:val="36EC0CC9"/>
    <w:rsid w:val="372A6810"/>
    <w:rsid w:val="373F410B"/>
    <w:rsid w:val="37EE7094"/>
    <w:rsid w:val="38296C89"/>
    <w:rsid w:val="383002EB"/>
    <w:rsid w:val="38586797"/>
    <w:rsid w:val="38BC0149"/>
    <w:rsid w:val="38D87D1C"/>
    <w:rsid w:val="38FF38E6"/>
    <w:rsid w:val="39636459"/>
    <w:rsid w:val="396B7F6C"/>
    <w:rsid w:val="3988102B"/>
    <w:rsid w:val="39B417A9"/>
    <w:rsid w:val="39FC5695"/>
    <w:rsid w:val="3A006D8E"/>
    <w:rsid w:val="3A23084E"/>
    <w:rsid w:val="3A3651E5"/>
    <w:rsid w:val="3A68340B"/>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97BE5"/>
    <w:rsid w:val="3DE041CB"/>
    <w:rsid w:val="3E0D48F6"/>
    <w:rsid w:val="3E1868B4"/>
    <w:rsid w:val="3E377251"/>
    <w:rsid w:val="3E42664B"/>
    <w:rsid w:val="3E5A7334"/>
    <w:rsid w:val="3E673BEE"/>
    <w:rsid w:val="3E7B5D6B"/>
    <w:rsid w:val="3E843E66"/>
    <w:rsid w:val="3E8F51FE"/>
    <w:rsid w:val="3E926F87"/>
    <w:rsid w:val="3E9A59DE"/>
    <w:rsid w:val="3EAF4836"/>
    <w:rsid w:val="3EC33DFA"/>
    <w:rsid w:val="3F060E16"/>
    <w:rsid w:val="3F1D1096"/>
    <w:rsid w:val="3F2A2194"/>
    <w:rsid w:val="3F2F0234"/>
    <w:rsid w:val="3F6363FE"/>
    <w:rsid w:val="3F756B8F"/>
    <w:rsid w:val="3F95482B"/>
    <w:rsid w:val="3FE73C89"/>
    <w:rsid w:val="4019356B"/>
    <w:rsid w:val="4050529A"/>
    <w:rsid w:val="40592157"/>
    <w:rsid w:val="406E1CAE"/>
    <w:rsid w:val="40A0133A"/>
    <w:rsid w:val="40BF1232"/>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4658F"/>
    <w:rsid w:val="44002FAD"/>
    <w:rsid w:val="444F0CEF"/>
    <w:rsid w:val="44660984"/>
    <w:rsid w:val="449101DD"/>
    <w:rsid w:val="44DE1391"/>
    <w:rsid w:val="451B225C"/>
    <w:rsid w:val="452410C9"/>
    <w:rsid w:val="45317DFB"/>
    <w:rsid w:val="454D4C68"/>
    <w:rsid w:val="456D3CE4"/>
    <w:rsid w:val="4579042C"/>
    <w:rsid w:val="457F0571"/>
    <w:rsid w:val="45851176"/>
    <w:rsid w:val="45C63B94"/>
    <w:rsid w:val="460E7DA5"/>
    <w:rsid w:val="46422483"/>
    <w:rsid w:val="4659254A"/>
    <w:rsid w:val="465B0637"/>
    <w:rsid w:val="465E3F0D"/>
    <w:rsid w:val="466A16E6"/>
    <w:rsid w:val="46893F2B"/>
    <w:rsid w:val="46C4686E"/>
    <w:rsid w:val="47380B78"/>
    <w:rsid w:val="477B778F"/>
    <w:rsid w:val="478203EC"/>
    <w:rsid w:val="47B025FA"/>
    <w:rsid w:val="47C26B37"/>
    <w:rsid w:val="4809698F"/>
    <w:rsid w:val="4811697D"/>
    <w:rsid w:val="487A3E25"/>
    <w:rsid w:val="488B5503"/>
    <w:rsid w:val="48937E21"/>
    <w:rsid w:val="489A0361"/>
    <w:rsid w:val="48B94FF3"/>
    <w:rsid w:val="48E37AAB"/>
    <w:rsid w:val="48FD4B4C"/>
    <w:rsid w:val="490A68E0"/>
    <w:rsid w:val="490C31DE"/>
    <w:rsid w:val="491055FE"/>
    <w:rsid w:val="495E60D1"/>
    <w:rsid w:val="495F5B3E"/>
    <w:rsid w:val="496F77D7"/>
    <w:rsid w:val="497654FD"/>
    <w:rsid w:val="49B64211"/>
    <w:rsid w:val="49F6167F"/>
    <w:rsid w:val="4A064FA0"/>
    <w:rsid w:val="4A16615C"/>
    <w:rsid w:val="4A4424D7"/>
    <w:rsid w:val="4AB82D0F"/>
    <w:rsid w:val="4AEB7664"/>
    <w:rsid w:val="4AFD7C19"/>
    <w:rsid w:val="4B0567D1"/>
    <w:rsid w:val="4B0E78A9"/>
    <w:rsid w:val="4B236AAE"/>
    <w:rsid w:val="4B2E1D31"/>
    <w:rsid w:val="4B556715"/>
    <w:rsid w:val="4B707271"/>
    <w:rsid w:val="4B9739F7"/>
    <w:rsid w:val="4BEE2503"/>
    <w:rsid w:val="4C245A30"/>
    <w:rsid w:val="4CB6685F"/>
    <w:rsid w:val="4CC367FE"/>
    <w:rsid w:val="4D077F3C"/>
    <w:rsid w:val="4D123355"/>
    <w:rsid w:val="4D2A3B31"/>
    <w:rsid w:val="4D312C52"/>
    <w:rsid w:val="4D8240A4"/>
    <w:rsid w:val="4D905305"/>
    <w:rsid w:val="4D964A72"/>
    <w:rsid w:val="4D9C1254"/>
    <w:rsid w:val="4E3F6AE5"/>
    <w:rsid w:val="4E793892"/>
    <w:rsid w:val="4E800872"/>
    <w:rsid w:val="4E8519A6"/>
    <w:rsid w:val="4EC569ED"/>
    <w:rsid w:val="4ED50EA1"/>
    <w:rsid w:val="4EEC050C"/>
    <w:rsid w:val="4F104EC3"/>
    <w:rsid w:val="4F3E3AE6"/>
    <w:rsid w:val="4F47354A"/>
    <w:rsid w:val="4F911C54"/>
    <w:rsid w:val="4FE625E0"/>
    <w:rsid w:val="5021480F"/>
    <w:rsid w:val="50962ECB"/>
    <w:rsid w:val="50A42E38"/>
    <w:rsid w:val="50A4577F"/>
    <w:rsid w:val="50B243FF"/>
    <w:rsid w:val="50B73D1F"/>
    <w:rsid w:val="50BD5BC9"/>
    <w:rsid w:val="50C11EEE"/>
    <w:rsid w:val="50E97CFC"/>
    <w:rsid w:val="50FA4028"/>
    <w:rsid w:val="510D65B7"/>
    <w:rsid w:val="511157AB"/>
    <w:rsid w:val="512B5A23"/>
    <w:rsid w:val="5142540C"/>
    <w:rsid w:val="516F42F8"/>
    <w:rsid w:val="518832C8"/>
    <w:rsid w:val="5195201E"/>
    <w:rsid w:val="51A0432A"/>
    <w:rsid w:val="51A86090"/>
    <w:rsid w:val="51B7396D"/>
    <w:rsid w:val="522E4CC3"/>
    <w:rsid w:val="5244713B"/>
    <w:rsid w:val="52615633"/>
    <w:rsid w:val="52977FD4"/>
    <w:rsid w:val="52A25790"/>
    <w:rsid w:val="52A96B6F"/>
    <w:rsid w:val="52B45975"/>
    <w:rsid w:val="52D94AA4"/>
    <w:rsid w:val="52E22FFF"/>
    <w:rsid w:val="52EA3A62"/>
    <w:rsid w:val="52F50BB8"/>
    <w:rsid w:val="53097272"/>
    <w:rsid w:val="533735BB"/>
    <w:rsid w:val="53544462"/>
    <w:rsid w:val="536B49B0"/>
    <w:rsid w:val="5397158E"/>
    <w:rsid w:val="53A50F1C"/>
    <w:rsid w:val="54013861"/>
    <w:rsid w:val="54487265"/>
    <w:rsid w:val="544D6070"/>
    <w:rsid w:val="54605E1E"/>
    <w:rsid w:val="548E12A3"/>
    <w:rsid w:val="54B3506A"/>
    <w:rsid w:val="54CA0D16"/>
    <w:rsid w:val="54DD4057"/>
    <w:rsid w:val="54E7490F"/>
    <w:rsid w:val="550764A4"/>
    <w:rsid w:val="550B2BF6"/>
    <w:rsid w:val="55214EB5"/>
    <w:rsid w:val="55364EFD"/>
    <w:rsid w:val="555D4828"/>
    <w:rsid w:val="557A4C8B"/>
    <w:rsid w:val="558931E1"/>
    <w:rsid w:val="558C6C8D"/>
    <w:rsid w:val="55923347"/>
    <w:rsid w:val="55925180"/>
    <w:rsid w:val="55983B1B"/>
    <w:rsid w:val="55A8376B"/>
    <w:rsid w:val="55DC29B6"/>
    <w:rsid w:val="55DD4241"/>
    <w:rsid w:val="566B6D1E"/>
    <w:rsid w:val="57032A2C"/>
    <w:rsid w:val="570F5219"/>
    <w:rsid w:val="574A469E"/>
    <w:rsid w:val="5753678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96FA9"/>
    <w:rsid w:val="59A32035"/>
    <w:rsid w:val="59F80043"/>
    <w:rsid w:val="5A09252F"/>
    <w:rsid w:val="5A0B2778"/>
    <w:rsid w:val="5A2A7C7B"/>
    <w:rsid w:val="5A3E2560"/>
    <w:rsid w:val="5A5D3B6E"/>
    <w:rsid w:val="5A637A76"/>
    <w:rsid w:val="5A6D33BA"/>
    <w:rsid w:val="5A78140F"/>
    <w:rsid w:val="5A792B1F"/>
    <w:rsid w:val="5A874767"/>
    <w:rsid w:val="5AAD6F28"/>
    <w:rsid w:val="5AD63A24"/>
    <w:rsid w:val="5B011E81"/>
    <w:rsid w:val="5B2E1A1D"/>
    <w:rsid w:val="5B815DA7"/>
    <w:rsid w:val="5B843A1C"/>
    <w:rsid w:val="5B873E3F"/>
    <w:rsid w:val="5C02690E"/>
    <w:rsid w:val="5C196DA7"/>
    <w:rsid w:val="5C2A048C"/>
    <w:rsid w:val="5C80234E"/>
    <w:rsid w:val="5C8A680C"/>
    <w:rsid w:val="5D0C4701"/>
    <w:rsid w:val="5D0F0395"/>
    <w:rsid w:val="5D221076"/>
    <w:rsid w:val="5D267B3F"/>
    <w:rsid w:val="5D397964"/>
    <w:rsid w:val="5D5146EA"/>
    <w:rsid w:val="5D5A391C"/>
    <w:rsid w:val="5D5F10C0"/>
    <w:rsid w:val="5D891B7B"/>
    <w:rsid w:val="5DAD38EE"/>
    <w:rsid w:val="5E006862"/>
    <w:rsid w:val="5E0207B9"/>
    <w:rsid w:val="5E1834A1"/>
    <w:rsid w:val="5E261785"/>
    <w:rsid w:val="5E4A7017"/>
    <w:rsid w:val="5E552BBA"/>
    <w:rsid w:val="5E611C10"/>
    <w:rsid w:val="5E945651"/>
    <w:rsid w:val="5EDF0F7C"/>
    <w:rsid w:val="5EFC7377"/>
    <w:rsid w:val="5F06174D"/>
    <w:rsid w:val="5F3A3602"/>
    <w:rsid w:val="5F6277C6"/>
    <w:rsid w:val="5F6D0B1D"/>
    <w:rsid w:val="5F8D0B82"/>
    <w:rsid w:val="5F90760B"/>
    <w:rsid w:val="5FCC5339"/>
    <w:rsid w:val="5FE34A5B"/>
    <w:rsid w:val="5FFE1E36"/>
    <w:rsid w:val="601D178D"/>
    <w:rsid w:val="60232584"/>
    <w:rsid w:val="607330CE"/>
    <w:rsid w:val="60825176"/>
    <w:rsid w:val="609F2AC4"/>
    <w:rsid w:val="60E25AE9"/>
    <w:rsid w:val="60FA2EE8"/>
    <w:rsid w:val="61054A27"/>
    <w:rsid w:val="610A52BC"/>
    <w:rsid w:val="611D2366"/>
    <w:rsid w:val="61421856"/>
    <w:rsid w:val="615227C4"/>
    <w:rsid w:val="61654E3F"/>
    <w:rsid w:val="6182292A"/>
    <w:rsid w:val="619F7F92"/>
    <w:rsid w:val="61F94C26"/>
    <w:rsid w:val="62000E56"/>
    <w:rsid w:val="624F3E49"/>
    <w:rsid w:val="62526E4D"/>
    <w:rsid w:val="62632286"/>
    <w:rsid w:val="62885958"/>
    <w:rsid w:val="62F40B65"/>
    <w:rsid w:val="62FC2CFE"/>
    <w:rsid w:val="63024505"/>
    <w:rsid w:val="633D5518"/>
    <w:rsid w:val="635B1DB5"/>
    <w:rsid w:val="63711FED"/>
    <w:rsid w:val="63880DDC"/>
    <w:rsid w:val="638D750D"/>
    <w:rsid w:val="63AC6CC0"/>
    <w:rsid w:val="64055776"/>
    <w:rsid w:val="64240056"/>
    <w:rsid w:val="64281075"/>
    <w:rsid w:val="643E143A"/>
    <w:rsid w:val="648B6EEF"/>
    <w:rsid w:val="64C158BF"/>
    <w:rsid w:val="64CE2EAA"/>
    <w:rsid w:val="653C3090"/>
    <w:rsid w:val="65767CBF"/>
    <w:rsid w:val="65854376"/>
    <w:rsid w:val="658767BE"/>
    <w:rsid w:val="65892531"/>
    <w:rsid w:val="66195831"/>
    <w:rsid w:val="662E75B1"/>
    <w:rsid w:val="66342C2E"/>
    <w:rsid w:val="663E784C"/>
    <w:rsid w:val="668B6A45"/>
    <w:rsid w:val="67157571"/>
    <w:rsid w:val="672F3F24"/>
    <w:rsid w:val="673E055F"/>
    <w:rsid w:val="67551CE3"/>
    <w:rsid w:val="679B231C"/>
    <w:rsid w:val="67A22552"/>
    <w:rsid w:val="67B22DCC"/>
    <w:rsid w:val="67BE71AA"/>
    <w:rsid w:val="67D90273"/>
    <w:rsid w:val="67DE5875"/>
    <w:rsid w:val="67E55852"/>
    <w:rsid w:val="67EB1AB4"/>
    <w:rsid w:val="67FA1285"/>
    <w:rsid w:val="682649DB"/>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161F7"/>
    <w:rsid w:val="6B24787C"/>
    <w:rsid w:val="6B573233"/>
    <w:rsid w:val="6B5B6274"/>
    <w:rsid w:val="6B935D53"/>
    <w:rsid w:val="6C196F71"/>
    <w:rsid w:val="6C226FCB"/>
    <w:rsid w:val="6C31226F"/>
    <w:rsid w:val="6C552F0B"/>
    <w:rsid w:val="6C624D29"/>
    <w:rsid w:val="6C8C67B7"/>
    <w:rsid w:val="6C9D744C"/>
    <w:rsid w:val="6CA00A0D"/>
    <w:rsid w:val="6CDB7CA0"/>
    <w:rsid w:val="6D167928"/>
    <w:rsid w:val="6D26299B"/>
    <w:rsid w:val="6D4772EC"/>
    <w:rsid w:val="6D9078AF"/>
    <w:rsid w:val="6DAA3FEF"/>
    <w:rsid w:val="6DC0172B"/>
    <w:rsid w:val="6DCB690C"/>
    <w:rsid w:val="6DD41A5B"/>
    <w:rsid w:val="6DF43C2E"/>
    <w:rsid w:val="6DF51CA3"/>
    <w:rsid w:val="6E023A24"/>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A1761"/>
    <w:rsid w:val="73227839"/>
    <w:rsid w:val="73C0646E"/>
    <w:rsid w:val="742222F5"/>
    <w:rsid w:val="74476126"/>
    <w:rsid w:val="74706664"/>
    <w:rsid w:val="747F3682"/>
    <w:rsid w:val="749C4185"/>
    <w:rsid w:val="75067759"/>
    <w:rsid w:val="751E7E36"/>
    <w:rsid w:val="752E6DCD"/>
    <w:rsid w:val="7551380D"/>
    <w:rsid w:val="75600BE5"/>
    <w:rsid w:val="7564475C"/>
    <w:rsid w:val="756A63B0"/>
    <w:rsid w:val="7583797F"/>
    <w:rsid w:val="75D20F1D"/>
    <w:rsid w:val="75DA2C18"/>
    <w:rsid w:val="75F54412"/>
    <w:rsid w:val="761072A4"/>
    <w:rsid w:val="761D08E0"/>
    <w:rsid w:val="765D347C"/>
    <w:rsid w:val="76826699"/>
    <w:rsid w:val="768B2BDB"/>
    <w:rsid w:val="76AF34C0"/>
    <w:rsid w:val="76C87133"/>
    <w:rsid w:val="76CD08D5"/>
    <w:rsid w:val="76DB4B92"/>
    <w:rsid w:val="77052AA4"/>
    <w:rsid w:val="77136511"/>
    <w:rsid w:val="77340A39"/>
    <w:rsid w:val="77351FD0"/>
    <w:rsid w:val="77472422"/>
    <w:rsid w:val="777F31F2"/>
    <w:rsid w:val="77B66150"/>
    <w:rsid w:val="77D1700D"/>
    <w:rsid w:val="77E87688"/>
    <w:rsid w:val="77EC04CC"/>
    <w:rsid w:val="78775729"/>
    <w:rsid w:val="78A42DB0"/>
    <w:rsid w:val="78A656AB"/>
    <w:rsid w:val="78B2245C"/>
    <w:rsid w:val="78E172CC"/>
    <w:rsid w:val="78EA1D1F"/>
    <w:rsid w:val="78FF422A"/>
    <w:rsid w:val="7904172F"/>
    <w:rsid w:val="790F7E27"/>
    <w:rsid w:val="79203F9B"/>
    <w:rsid w:val="792A231A"/>
    <w:rsid w:val="79316829"/>
    <w:rsid w:val="79440FF5"/>
    <w:rsid w:val="79696AAA"/>
    <w:rsid w:val="797E66A9"/>
    <w:rsid w:val="79A97383"/>
    <w:rsid w:val="79DF2D87"/>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C6649"/>
    <w:rsid w:val="7E0E356E"/>
    <w:rsid w:val="7E1E5218"/>
    <w:rsid w:val="7E9A4E1F"/>
    <w:rsid w:val="7EA7723A"/>
    <w:rsid w:val="7EF56FBB"/>
    <w:rsid w:val="7F0768EB"/>
    <w:rsid w:val="7F143BEC"/>
    <w:rsid w:val="7F1D31A1"/>
    <w:rsid w:val="7F715AF2"/>
    <w:rsid w:val="7F886E69"/>
    <w:rsid w:val="7FF50CD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189"/>
    <w:autoRedefine/>
    <w:qFormat/>
    <w:uiPriority w:val="0"/>
    <w:rPr>
      <w:sz w:val="18"/>
      <w:szCs w:val="18"/>
    </w:rPr>
  </w:style>
  <w:style w:type="paragraph" w:styleId="17">
    <w:name w:val="toc 8"/>
    <w:basedOn w:val="1"/>
    <w:next w:val="1"/>
    <w:autoRedefine/>
    <w:qFormat/>
    <w:uiPriority w:val="0"/>
    <w:pPr>
      <w:ind w:left="2940" w:leftChars="1400"/>
    </w:pPr>
  </w:style>
  <w:style w:type="paragraph" w:styleId="18">
    <w:name w:val="caption"/>
    <w:basedOn w:val="1"/>
    <w:next w:val="1"/>
    <w:link w:val="230"/>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5"/>
    <w:autoRedefine/>
    <w:qFormat/>
    <w:uiPriority w:val="99"/>
    <w:pPr>
      <w:jc w:val="left"/>
    </w:pPr>
  </w:style>
  <w:style w:type="paragraph" w:styleId="22">
    <w:name w:val="Salutation"/>
    <w:basedOn w:val="1"/>
    <w:next w:val="1"/>
    <w:link w:val="299"/>
    <w:autoRedefine/>
    <w:qFormat/>
    <w:uiPriority w:val="0"/>
    <w:rPr>
      <w:rFonts w:ascii="仿宋_GB2312" w:eastAsia="仿宋_GB2312"/>
      <w:sz w:val="28"/>
      <w:szCs w:val="20"/>
    </w:rPr>
  </w:style>
  <w:style w:type="paragraph" w:styleId="23">
    <w:name w:val="Body Text 3"/>
    <w:basedOn w:val="1"/>
    <w:link w:val="331"/>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2"/>
    <w:autoRedefine/>
    <w:qFormat/>
    <w:uiPriority w:val="0"/>
    <w:pPr>
      <w:ind w:firstLine="420"/>
    </w:pPr>
    <w:rPr>
      <w:rFonts w:hAnsi="Calibri" w:cs="Times New Roman"/>
      <w:snapToGrid/>
      <w:szCs w:val="20"/>
    </w:rPr>
  </w:style>
  <w:style w:type="paragraph" w:styleId="27">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25"/>
    <w:link w:val="12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2"/>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autoRedefine/>
    <w:qFormat/>
    <w:uiPriority w:val="0"/>
    <w:rPr>
      <w:b/>
      <w:bCs/>
    </w:rPr>
  </w:style>
  <w:style w:type="paragraph" w:styleId="62">
    <w:name w:val="Body Text First Indent 2"/>
    <w:basedOn w:val="27"/>
    <w:next w:val="1"/>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1">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2">
    <w:name w:val="_Style 3"/>
    <w:basedOn w:val="1"/>
    <w:autoRedefine/>
    <w:qFormat/>
    <w:uiPriority w:val="0"/>
    <w:pPr>
      <w:adjustRightInd/>
      <w:ind w:firstLine="420" w:firstLineChars="200"/>
    </w:pPr>
    <w:rPr>
      <w:rFonts w:eastAsia="仿宋_GB2312"/>
      <w:sz w:val="28"/>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7"/>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16"/>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2"/>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8"/>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2"/>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6"/>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3"/>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autoRedefine/>
    <w:qFormat/>
    <w:uiPriority w:val="0"/>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2"/>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25"/>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0"/>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basedOn w:val="70"/>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表格内容"/>
    <w:autoRedefine/>
    <w:qFormat/>
    <w:uiPriority w:val="2"/>
    <w:pPr>
      <w:jc w:val="center"/>
    </w:pPr>
    <w:rPr>
      <w:rFonts w:ascii="Times New Roman" w:hAnsi="Times New Roman" w:eastAsia="宋体" w:cs="Times New Roman"/>
      <w:sz w:val="24"/>
      <w:szCs w:val="28"/>
      <w:lang w:val="en-US" w:eastAsia="zh-CN" w:bidi="ar-SA"/>
    </w:rPr>
  </w:style>
  <w:style w:type="paragraph" w:customStyle="1" w:styleId="964">
    <w:name w:val="样式 正文文本"/>
    <w:basedOn w:val="1"/>
    <w:autoRedefine/>
    <w:qFormat/>
    <w:uiPriority w:val="0"/>
    <w:pPr>
      <w:snapToGrid w:val="0"/>
      <w:spacing w:line="400" w:lineRule="exact"/>
      <w:ind w:firstLine="200" w:firstLineChars="200"/>
    </w:pPr>
    <w:rPr>
      <w:rFonts w:ascii="Arial" w:hAnsi="Arial"/>
      <w:snapToGrid w:val="0"/>
      <w:color w:val="000000"/>
      <w:kern w:val="0"/>
      <w:szCs w:val="20"/>
    </w:rPr>
  </w:style>
  <w:style w:type="paragraph" w:customStyle="1" w:styleId="965">
    <w:name w:val="普通(网站)1"/>
    <w:basedOn w:val="1"/>
    <w:autoRedefine/>
    <w:qFormat/>
    <w:uiPriority w:val="0"/>
    <w:pPr>
      <w:widowControl/>
      <w:spacing w:before="280" w:after="28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31845</Words>
  <Characters>33627</Characters>
  <Lines>287</Lines>
  <Paragraphs>81</Paragraphs>
  <TotalTime>154</TotalTime>
  <ScaleCrop>false</ScaleCrop>
  <LinksUpToDate>false</LinksUpToDate>
  <CharactersWithSpaces>37830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Administrator</cp:lastModifiedBy>
  <cp:lastPrinted>2024-08-13T01:15:00Z</cp:lastPrinted>
  <dcterms:modified xsi:type="dcterms:W3CDTF">2024-08-13T07:57:15Z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B2DB19422ABB4AF2826B9480D57F3EF7_13</vt:lpwstr>
  </property>
</Properties>
</file>