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1BDB17F">
      <w:pPr>
        <w:adjustRightInd/>
        <w:spacing w:line="360" w:lineRule="auto"/>
        <w:jc w:val="center"/>
        <w:rPr>
          <w:rFonts w:hint="eastAsia" w:ascii="宋体" w:hAnsi="宋体" w:cs="宋体"/>
          <w:sz w:val="36"/>
          <w:szCs w:val="36"/>
          <w:highlight w:val="yellow"/>
        </w:rPr>
      </w:pPr>
    </w:p>
    <w:p w14:paraId="4DEE0CF9">
      <w:pPr>
        <w:adjustRightInd/>
        <w:spacing w:line="360" w:lineRule="auto"/>
        <w:jc w:val="center"/>
        <w:rPr>
          <w:rFonts w:hint="eastAsia" w:ascii="宋体" w:hAnsi="宋体" w:cs="宋体"/>
          <w:sz w:val="48"/>
          <w:szCs w:val="48"/>
          <w:lang w:eastAsia="zh-CN"/>
        </w:rPr>
      </w:pPr>
      <w:r>
        <w:rPr>
          <w:rFonts w:hint="eastAsia" w:ascii="宋体" w:hAnsi="宋体" w:cs="宋体"/>
          <w:sz w:val="48"/>
          <w:szCs w:val="48"/>
          <w:lang w:eastAsia="zh-CN"/>
        </w:rPr>
        <w:t>桐庐县方埠小学改扩建工程弱电设备</w:t>
      </w:r>
    </w:p>
    <w:p w14:paraId="654F0816">
      <w:pPr>
        <w:adjustRightInd/>
        <w:spacing w:line="360" w:lineRule="auto"/>
        <w:jc w:val="center"/>
        <w:rPr>
          <w:rFonts w:hint="eastAsia" w:ascii="宋体" w:hAnsi="宋体" w:eastAsia="宋体" w:cs="宋体"/>
          <w:sz w:val="44"/>
          <w:szCs w:val="44"/>
          <w:lang w:eastAsia="zh-CN"/>
        </w:rPr>
      </w:pPr>
      <w:r>
        <w:rPr>
          <w:rFonts w:hint="eastAsia" w:ascii="宋体" w:hAnsi="宋体" w:cs="宋体"/>
          <w:sz w:val="48"/>
          <w:szCs w:val="48"/>
          <w:lang w:eastAsia="zh-CN"/>
        </w:rPr>
        <w:t>（第二次）</w:t>
      </w:r>
    </w:p>
    <w:p w14:paraId="23F6219E">
      <w:pPr>
        <w:adjustRightInd/>
        <w:spacing w:line="360" w:lineRule="auto"/>
        <w:jc w:val="center"/>
        <w:rPr>
          <w:rFonts w:hint="eastAsia" w:ascii="宋体" w:hAnsi="宋体" w:cs="宋体"/>
          <w:sz w:val="48"/>
          <w:szCs w:val="48"/>
        </w:rPr>
      </w:pPr>
    </w:p>
    <w:p w14:paraId="34746AEA">
      <w:pPr>
        <w:adjustRightInd/>
        <w:spacing w:line="360" w:lineRule="auto"/>
        <w:jc w:val="center"/>
        <w:rPr>
          <w:rFonts w:hint="eastAsia" w:ascii="宋体" w:hAnsi="宋体" w:cs="宋体"/>
        </w:rPr>
      </w:pPr>
      <w:r>
        <w:rPr>
          <w:rFonts w:hint="eastAsia" w:ascii="宋体" w:hAnsi="宋体" w:cs="宋体"/>
          <w:sz w:val="48"/>
          <w:szCs w:val="48"/>
        </w:rPr>
        <w:t>招标文件</w:t>
      </w:r>
    </w:p>
    <w:p w14:paraId="7136558B">
      <w:pPr>
        <w:adjustRightInd/>
        <w:spacing w:line="360" w:lineRule="auto"/>
        <w:jc w:val="center"/>
        <w:rPr>
          <w:rFonts w:hint="eastAsia" w:ascii="宋体" w:hAnsi="宋体" w:cs="宋体"/>
          <w:b/>
          <w:sz w:val="44"/>
          <w:szCs w:val="44"/>
        </w:rPr>
      </w:pPr>
      <w:r>
        <w:rPr>
          <w:rFonts w:hint="eastAsia" w:ascii="宋体" w:hAnsi="宋体" w:cs="宋体"/>
          <w:b/>
          <w:sz w:val="44"/>
          <w:szCs w:val="44"/>
        </w:rPr>
        <w:t xml:space="preserve"> （电子招投标）</w:t>
      </w:r>
    </w:p>
    <w:p w14:paraId="4C7C9AB9">
      <w:pPr>
        <w:snapToGrid w:val="0"/>
        <w:spacing w:line="360" w:lineRule="auto"/>
        <w:jc w:val="center"/>
        <w:rPr>
          <w:rFonts w:hint="eastAsia" w:ascii="宋体" w:hAnsi="宋体" w:cs="宋体"/>
          <w:sz w:val="30"/>
          <w:szCs w:val="30"/>
        </w:rPr>
      </w:pPr>
      <w:r>
        <w:rPr>
          <w:rFonts w:hint="eastAsia" w:ascii="宋体" w:hAnsi="宋体" w:cs="宋体"/>
          <w:sz w:val="30"/>
          <w:szCs w:val="30"/>
        </w:rPr>
        <w:t>采购编号:</w:t>
      </w:r>
      <w:r>
        <w:rPr>
          <w:rFonts w:hint="eastAsia" w:ascii="宋体" w:hAnsi="宋体" w:cs="宋体"/>
          <w:sz w:val="30"/>
          <w:szCs w:val="30"/>
          <w:lang w:eastAsia="zh-CN"/>
        </w:rPr>
        <w:t>ZHZFCG2024-GK-005-1</w:t>
      </w:r>
      <w:r>
        <w:rPr>
          <w:rFonts w:hint="eastAsia" w:ascii="宋体" w:hAnsi="宋体" w:cs="宋体"/>
          <w:sz w:val="30"/>
          <w:szCs w:val="30"/>
        </w:rPr>
        <w:t xml:space="preserve"> </w:t>
      </w:r>
    </w:p>
    <w:p w14:paraId="63489454">
      <w:pPr>
        <w:adjustRightInd/>
        <w:spacing w:line="360" w:lineRule="auto"/>
        <w:rPr>
          <w:rFonts w:hint="eastAsia" w:ascii="宋体" w:hAnsi="宋体" w:cs="宋体"/>
          <w:sz w:val="28"/>
          <w:szCs w:val="20"/>
        </w:rPr>
      </w:pPr>
    </w:p>
    <w:p w14:paraId="726F54A5">
      <w:pPr>
        <w:spacing w:line="360" w:lineRule="auto"/>
        <w:jc w:val="center"/>
        <w:rPr>
          <w:rFonts w:hint="eastAsia" w:ascii="宋体" w:hAnsi="宋体" w:cs="宋体"/>
          <w:b/>
          <w:sz w:val="44"/>
          <w:szCs w:val="44"/>
        </w:rPr>
      </w:pPr>
    </w:p>
    <w:p w14:paraId="340F40FE">
      <w:pPr>
        <w:spacing w:line="360" w:lineRule="auto"/>
        <w:rPr>
          <w:rFonts w:hint="eastAsia" w:ascii="宋体" w:hAnsi="宋体" w:cs="宋体"/>
          <w:sz w:val="24"/>
        </w:rPr>
      </w:pPr>
    </w:p>
    <w:p w14:paraId="483D1E46">
      <w:pPr>
        <w:spacing w:line="360" w:lineRule="auto"/>
        <w:jc w:val="center"/>
        <w:rPr>
          <w:rFonts w:hint="eastAsia" w:ascii="宋体" w:hAnsi="宋体" w:cs="宋体"/>
          <w:sz w:val="24"/>
        </w:rPr>
      </w:pPr>
    </w:p>
    <w:p w14:paraId="6BBF40A3">
      <w:pPr>
        <w:spacing w:line="360" w:lineRule="auto"/>
        <w:rPr>
          <w:rFonts w:hint="eastAsia" w:ascii="宋体" w:hAnsi="宋体" w:cs="宋体"/>
          <w:sz w:val="32"/>
          <w:szCs w:val="32"/>
        </w:rPr>
      </w:pPr>
    </w:p>
    <w:p w14:paraId="231FABEC">
      <w:pPr>
        <w:spacing w:line="480" w:lineRule="auto"/>
        <w:jc w:val="center"/>
        <w:rPr>
          <w:rFonts w:hint="eastAsia" w:ascii="宋体" w:hAnsi="宋体" w:cs="宋体"/>
          <w:sz w:val="32"/>
          <w:szCs w:val="32"/>
        </w:rPr>
      </w:pPr>
      <w:r>
        <w:rPr>
          <w:rFonts w:hint="eastAsia" w:ascii="宋体" w:hAnsi="宋体" w:cs="宋体"/>
          <w:sz w:val="32"/>
          <w:szCs w:val="32"/>
        </w:rPr>
        <w:t>采购人：桐庐县方埠小学</w:t>
      </w:r>
    </w:p>
    <w:p w14:paraId="11133635">
      <w:pPr>
        <w:spacing w:line="480" w:lineRule="auto"/>
        <w:jc w:val="center"/>
        <w:rPr>
          <w:rFonts w:hint="eastAsia" w:ascii="宋体" w:hAnsi="宋体" w:cs="宋体"/>
          <w:bCs/>
          <w:sz w:val="32"/>
          <w:szCs w:val="32"/>
          <w:highlight w:val="yellow"/>
        </w:rPr>
      </w:pPr>
      <w:r>
        <w:rPr>
          <w:rFonts w:hint="eastAsia" w:ascii="宋体" w:hAnsi="宋体" w:cs="宋体"/>
          <w:bCs/>
          <w:sz w:val="32"/>
          <w:szCs w:val="32"/>
        </w:rPr>
        <w:t>采购代理机构：杭州桐庐正宏建设管理有限公司</w:t>
      </w:r>
    </w:p>
    <w:p w14:paraId="29134EF2">
      <w:pPr>
        <w:snapToGrid w:val="0"/>
        <w:spacing w:line="360" w:lineRule="auto"/>
        <w:jc w:val="center"/>
        <w:rPr>
          <w:rFonts w:hint="eastAsia" w:ascii="宋体" w:hAnsi="宋体" w:cs="宋体"/>
          <w:bCs/>
          <w:sz w:val="32"/>
          <w:szCs w:val="32"/>
        </w:rPr>
      </w:pPr>
    </w:p>
    <w:p w14:paraId="64C85C86">
      <w:pPr>
        <w:snapToGrid w:val="0"/>
        <w:spacing w:line="360" w:lineRule="auto"/>
        <w:jc w:val="center"/>
        <w:rPr>
          <w:rFonts w:hint="eastAsia" w:ascii="宋体" w:hAnsi="宋体" w:cs="宋体"/>
          <w:bCs/>
          <w:sz w:val="32"/>
          <w:szCs w:val="32"/>
        </w:rPr>
      </w:pPr>
      <w:r>
        <w:rPr>
          <w:rFonts w:hint="eastAsia" w:ascii="宋体" w:hAnsi="宋体" w:cs="宋体"/>
          <w:bCs/>
          <w:sz w:val="32"/>
          <w:szCs w:val="32"/>
        </w:rPr>
        <w:t>202</w:t>
      </w:r>
      <w:r>
        <w:rPr>
          <w:rFonts w:hint="eastAsia" w:ascii="宋体" w:hAnsi="宋体" w:cs="宋体"/>
          <w:bCs/>
          <w:sz w:val="32"/>
          <w:szCs w:val="32"/>
          <w:lang w:val="en-US" w:eastAsia="zh-CN"/>
        </w:rPr>
        <w:t>5</w:t>
      </w:r>
      <w:r>
        <w:rPr>
          <w:rFonts w:hint="eastAsia" w:ascii="宋体" w:hAnsi="宋体" w:cs="宋体"/>
          <w:bCs/>
          <w:sz w:val="32"/>
          <w:szCs w:val="32"/>
        </w:rPr>
        <w:t>年</w:t>
      </w:r>
      <w:r>
        <w:rPr>
          <w:rFonts w:hint="eastAsia" w:ascii="宋体" w:hAnsi="宋体" w:cs="宋体"/>
          <w:bCs/>
          <w:sz w:val="32"/>
          <w:szCs w:val="32"/>
          <w:lang w:val="en-US" w:eastAsia="zh-CN"/>
        </w:rPr>
        <w:t>03</w:t>
      </w:r>
      <w:r>
        <w:rPr>
          <w:rFonts w:hint="eastAsia" w:ascii="宋体" w:hAnsi="宋体" w:cs="宋体"/>
          <w:bCs/>
          <w:sz w:val="32"/>
          <w:szCs w:val="32"/>
        </w:rPr>
        <w:t>月</w:t>
      </w:r>
    </w:p>
    <w:p w14:paraId="52D1AAC7">
      <w:pPr>
        <w:spacing w:line="360" w:lineRule="auto"/>
        <w:jc w:val="center"/>
        <w:rPr>
          <w:rFonts w:hint="eastAsia" w:ascii="宋体" w:hAnsi="宋体" w:cs="宋体"/>
          <w:b/>
          <w:sz w:val="48"/>
          <w:szCs w:val="48"/>
          <w:highlight w:val="yellow"/>
        </w:rPr>
        <w:sectPr>
          <w:headerReference r:id="rId4" w:type="first"/>
          <w:footerReference r:id="rId6" w:type="first"/>
          <w:headerReference r:id="rId3" w:type="default"/>
          <w:footerReference r:id="rId5" w:type="default"/>
          <w:pgSz w:w="11906" w:h="16838"/>
          <w:pgMar w:top="1440" w:right="1418" w:bottom="1440" w:left="1418" w:header="851" w:footer="992" w:gutter="0"/>
          <w:pgNumType w:start="1"/>
          <w:cols w:space="0" w:num="1"/>
          <w:titlePg/>
          <w:docGrid w:linePitch="312" w:charSpace="0"/>
        </w:sectPr>
      </w:pPr>
    </w:p>
    <w:p w14:paraId="0D67B24F">
      <w:pPr>
        <w:spacing w:line="360" w:lineRule="auto"/>
        <w:jc w:val="center"/>
        <w:rPr>
          <w:rFonts w:hint="eastAsia" w:ascii="宋体" w:hAnsi="宋体" w:cs="宋体"/>
          <w:b/>
          <w:sz w:val="48"/>
          <w:szCs w:val="48"/>
        </w:rPr>
      </w:pPr>
      <w:r>
        <w:rPr>
          <w:rFonts w:hint="eastAsia" w:ascii="宋体" w:hAnsi="宋体" w:cs="宋体"/>
          <w:b/>
          <w:sz w:val="48"/>
          <w:szCs w:val="48"/>
        </w:rPr>
        <w:t>目  录</w:t>
      </w:r>
    </w:p>
    <w:p w14:paraId="5E302796">
      <w:pPr>
        <w:spacing w:line="360" w:lineRule="auto"/>
        <w:rPr>
          <w:rFonts w:hint="eastAsia" w:ascii="宋体" w:hAnsi="宋体" w:cs="宋体"/>
          <w:sz w:val="32"/>
          <w:szCs w:val="32"/>
        </w:rPr>
      </w:pPr>
    </w:p>
    <w:p w14:paraId="786B89BE">
      <w:pPr>
        <w:spacing w:line="360" w:lineRule="auto"/>
        <w:rPr>
          <w:rFonts w:hint="eastAsia" w:ascii="宋体" w:hAnsi="宋体" w:cs="宋体"/>
          <w:sz w:val="32"/>
          <w:szCs w:val="32"/>
        </w:rPr>
      </w:pPr>
    </w:p>
    <w:p w14:paraId="50903F93">
      <w:pPr>
        <w:spacing w:line="360" w:lineRule="auto"/>
        <w:ind w:firstLine="1280" w:firstLineChars="400"/>
        <w:rPr>
          <w:rFonts w:hint="eastAsia" w:ascii="宋体" w:hAnsi="宋体" w:cs="宋体"/>
          <w:sz w:val="32"/>
          <w:szCs w:val="32"/>
        </w:rPr>
      </w:pPr>
      <w:r>
        <w:rPr>
          <w:rFonts w:hint="eastAsia" w:ascii="宋体" w:hAnsi="宋体" w:cs="宋体"/>
          <w:sz w:val="32"/>
          <w:szCs w:val="32"/>
        </w:rPr>
        <w:t>第一部分      招标公告</w:t>
      </w:r>
    </w:p>
    <w:p w14:paraId="48E3C67D">
      <w:pPr>
        <w:spacing w:line="360" w:lineRule="auto"/>
        <w:ind w:firstLine="1280" w:firstLineChars="400"/>
        <w:rPr>
          <w:rFonts w:hint="eastAsia" w:ascii="宋体" w:hAnsi="宋体" w:cs="宋体"/>
          <w:sz w:val="32"/>
          <w:szCs w:val="32"/>
        </w:rPr>
      </w:pPr>
      <w:r>
        <w:rPr>
          <w:rFonts w:hint="eastAsia" w:ascii="宋体" w:hAnsi="宋体" w:cs="宋体"/>
          <w:sz w:val="32"/>
          <w:szCs w:val="32"/>
        </w:rPr>
        <w:t>第二部分      投标人须知</w:t>
      </w:r>
    </w:p>
    <w:p w14:paraId="65428C50">
      <w:pPr>
        <w:spacing w:line="360" w:lineRule="auto"/>
        <w:ind w:firstLine="1280" w:firstLineChars="400"/>
        <w:rPr>
          <w:rFonts w:hint="eastAsia" w:ascii="宋体" w:hAnsi="宋体" w:cs="宋体"/>
          <w:sz w:val="32"/>
          <w:szCs w:val="32"/>
        </w:rPr>
      </w:pPr>
      <w:r>
        <w:rPr>
          <w:rFonts w:hint="eastAsia" w:ascii="宋体" w:hAnsi="宋体" w:cs="宋体"/>
          <w:sz w:val="32"/>
          <w:szCs w:val="32"/>
        </w:rPr>
        <w:t>第三部分      采购需求</w:t>
      </w:r>
    </w:p>
    <w:p w14:paraId="450DD046">
      <w:pPr>
        <w:spacing w:line="360" w:lineRule="auto"/>
        <w:ind w:firstLine="1280" w:firstLineChars="400"/>
        <w:rPr>
          <w:rFonts w:hint="eastAsia" w:ascii="宋体" w:hAnsi="宋体" w:cs="宋体"/>
          <w:sz w:val="32"/>
          <w:szCs w:val="32"/>
        </w:rPr>
      </w:pPr>
      <w:r>
        <w:rPr>
          <w:rFonts w:hint="eastAsia" w:ascii="宋体" w:hAnsi="宋体" w:cs="宋体"/>
          <w:sz w:val="32"/>
          <w:szCs w:val="32"/>
        </w:rPr>
        <w:t>第四部分      评标办法</w:t>
      </w:r>
    </w:p>
    <w:p w14:paraId="3DFBE6E5">
      <w:pPr>
        <w:spacing w:line="360" w:lineRule="auto"/>
        <w:ind w:firstLine="1280" w:firstLineChars="400"/>
        <w:rPr>
          <w:rFonts w:hint="eastAsia" w:ascii="宋体" w:hAnsi="宋体" w:cs="宋体"/>
          <w:sz w:val="32"/>
          <w:szCs w:val="32"/>
        </w:rPr>
      </w:pPr>
      <w:r>
        <w:rPr>
          <w:rFonts w:hint="eastAsia" w:ascii="宋体" w:hAnsi="宋体" w:cs="宋体"/>
          <w:sz w:val="32"/>
          <w:szCs w:val="32"/>
        </w:rPr>
        <w:t>第五部分      拟签订的合同文本</w:t>
      </w:r>
    </w:p>
    <w:p w14:paraId="03D5B464">
      <w:pPr>
        <w:spacing w:line="360" w:lineRule="auto"/>
        <w:ind w:firstLine="1280" w:firstLineChars="400"/>
        <w:rPr>
          <w:rFonts w:hint="eastAsia" w:ascii="宋体" w:hAnsi="宋体" w:cs="宋体"/>
          <w:sz w:val="32"/>
          <w:szCs w:val="32"/>
        </w:rPr>
      </w:pPr>
      <w:r>
        <w:rPr>
          <w:rFonts w:hint="eastAsia" w:ascii="宋体" w:hAnsi="宋体" w:cs="宋体"/>
          <w:sz w:val="32"/>
          <w:szCs w:val="32"/>
        </w:rPr>
        <w:t>第六部分      应提交的有关格式范例</w:t>
      </w:r>
    </w:p>
    <w:p w14:paraId="5084EDE1">
      <w:pPr>
        <w:adjustRightInd/>
        <w:spacing w:line="360" w:lineRule="auto"/>
        <w:jc w:val="center"/>
        <w:outlineLvl w:val="0"/>
        <w:rPr>
          <w:rFonts w:hint="eastAsia" w:ascii="宋体" w:hAnsi="宋体" w:cs="宋体"/>
          <w:b/>
          <w:sz w:val="36"/>
          <w:szCs w:val="20"/>
        </w:rPr>
        <w:sectPr>
          <w:footerReference r:id="rId8" w:type="first"/>
          <w:footerReference r:id="rId7" w:type="default"/>
          <w:pgSz w:w="11906" w:h="16838"/>
          <w:pgMar w:top="1440" w:right="1418" w:bottom="1440" w:left="1418" w:header="851" w:footer="992" w:gutter="0"/>
          <w:pgNumType w:start="1"/>
          <w:cols w:space="0" w:num="1"/>
          <w:titlePg/>
          <w:docGrid w:linePitch="312" w:charSpace="0"/>
        </w:sectPr>
      </w:pPr>
      <w:bookmarkStart w:id="0" w:name="_Hlt91233176"/>
      <w:bookmarkEnd w:id="0"/>
      <w:bookmarkStart w:id="1" w:name="第二部分"/>
      <w:bookmarkStart w:id="2" w:name="_Toc91899870"/>
      <w:bookmarkStart w:id="3" w:name="_Toc91899871"/>
    </w:p>
    <w:p w14:paraId="222816F0">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t>第一部分 招标公告</w:t>
      </w:r>
    </w:p>
    <w:p w14:paraId="7704AC2F">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rPr>
      </w:pPr>
      <w:r>
        <w:rPr>
          <w:rFonts w:hint="eastAsia" w:ascii="宋体" w:hAnsi="宋体" w:cs="宋体"/>
          <w:sz w:val="24"/>
        </w:rPr>
        <w:t>项目概况</w:t>
      </w:r>
    </w:p>
    <w:p w14:paraId="094E6D5B">
      <w:pPr>
        <w:pBdr>
          <w:top w:val="single" w:color="auto" w:sz="4" w:space="1"/>
          <w:left w:val="single" w:color="auto" w:sz="4" w:space="4"/>
          <w:bottom w:val="single" w:color="auto" w:sz="4" w:space="1"/>
          <w:right w:val="single" w:color="auto" w:sz="4" w:space="4"/>
        </w:pBdr>
        <w:spacing w:line="360" w:lineRule="auto"/>
        <w:ind w:firstLine="480" w:firstLineChars="200"/>
        <w:rPr>
          <w:rFonts w:hint="eastAsia" w:ascii="宋体" w:hAnsi="宋体" w:cs="宋体"/>
          <w:sz w:val="24"/>
          <w:u w:val="single"/>
        </w:rPr>
      </w:pPr>
      <w:r>
        <w:rPr>
          <w:rFonts w:hint="eastAsia" w:ascii="宋体" w:hAnsi="宋体" w:cs="宋体"/>
          <w:sz w:val="24"/>
          <w:u w:val="single"/>
          <w:lang w:eastAsia="zh-CN"/>
        </w:rPr>
        <w:t>桐庐县方埠小学改扩建工程弱电设备（第二次）</w:t>
      </w:r>
      <w:r>
        <w:rPr>
          <w:rFonts w:hint="eastAsia" w:ascii="宋体" w:hAnsi="宋体" w:cs="宋体"/>
          <w:sz w:val="24"/>
        </w:rPr>
        <w:t>的潜在投标人应在政采云平台（</w:t>
      </w:r>
      <w:r>
        <w:fldChar w:fldCharType="begin"/>
      </w:r>
      <w:r>
        <w:instrText xml:space="preserve"> HYPERLINK "https://www.zcygov.cn/）获取（下载）招标文件，并于2021年" </w:instrText>
      </w:r>
      <w:r>
        <w:fldChar w:fldCharType="separate"/>
      </w:r>
      <w:r>
        <w:rPr>
          <w:rStyle w:val="79"/>
          <w:rFonts w:hint="eastAsia" w:ascii="宋体" w:hAnsi="宋体" w:eastAsia="宋体" w:cs="宋体"/>
          <w:snapToGrid/>
          <w:color w:val="auto"/>
          <w:kern w:val="2"/>
          <w:sz w:val="24"/>
          <w:szCs w:val="24"/>
        </w:rPr>
        <w:t>https://www.zcygov.cn/）获取（下载）招标文件，并于</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03</w:t>
      </w:r>
      <w:r>
        <w:rPr>
          <w:rFonts w:hint="eastAsia" w:ascii="宋体" w:hAnsi="宋体" w:cs="宋体"/>
          <w:color w:val="FF0000"/>
          <w:sz w:val="24"/>
          <w:u w:val="single"/>
        </w:rPr>
        <w:t>月</w:t>
      </w:r>
      <w:r>
        <w:rPr>
          <w:rFonts w:hint="eastAsia" w:ascii="宋体" w:hAnsi="宋体" w:cs="宋体"/>
          <w:color w:val="FF0000"/>
          <w:sz w:val="24"/>
          <w:u w:val="single"/>
          <w:lang w:val="en-US" w:eastAsia="zh-CN"/>
        </w:rPr>
        <w:t>27</w:t>
      </w:r>
      <w:r>
        <w:rPr>
          <w:rFonts w:hint="eastAsia" w:ascii="宋体" w:hAnsi="宋体" w:cs="宋体"/>
          <w:color w:val="FF0000"/>
          <w:sz w:val="24"/>
          <w:u w:val="single"/>
        </w:rPr>
        <w:t xml:space="preserve"> 日 </w:t>
      </w:r>
      <w:r>
        <w:rPr>
          <w:rFonts w:hint="eastAsia" w:ascii="宋体" w:hAnsi="宋体" w:cs="宋体"/>
          <w:color w:val="FF0000"/>
          <w:sz w:val="24"/>
          <w:u w:val="single"/>
          <w:lang w:val="en-US" w:eastAsia="zh-CN"/>
        </w:rPr>
        <w:t>09</w:t>
      </w:r>
      <w:r>
        <w:rPr>
          <w:rFonts w:hint="eastAsia" w:ascii="宋体" w:hAnsi="宋体" w:cs="宋体"/>
          <w:color w:val="FF0000"/>
          <w:sz w:val="24"/>
          <w:u w:val="single"/>
        </w:rPr>
        <w:t>点</w:t>
      </w:r>
      <w:r>
        <w:rPr>
          <w:rFonts w:hint="eastAsia" w:ascii="宋体" w:hAnsi="宋体" w:cs="宋体"/>
          <w:color w:val="FF0000"/>
          <w:sz w:val="24"/>
          <w:u w:val="single"/>
          <w:lang w:val="en-US" w:eastAsia="zh-CN"/>
        </w:rPr>
        <w:t>30</w:t>
      </w:r>
      <w:r>
        <w:rPr>
          <w:rFonts w:hint="eastAsia" w:ascii="宋体" w:hAnsi="宋体" w:cs="宋体"/>
          <w:color w:val="FF0000"/>
          <w:sz w:val="24"/>
          <w:u w:val="single"/>
        </w:rPr>
        <w:t>分</w:t>
      </w:r>
      <w:r>
        <w:rPr>
          <w:rFonts w:hint="eastAsia" w:ascii="宋体" w:hAnsi="宋体" w:cs="宋体"/>
          <w:color w:val="FF0000"/>
          <w:sz w:val="24"/>
          <w:u w:val="single"/>
        </w:rPr>
        <w:fldChar w:fldCharType="end"/>
      </w:r>
      <w:r>
        <w:rPr>
          <w:rFonts w:hint="eastAsia" w:ascii="宋体" w:hAnsi="宋体" w:cs="宋体"/>
          <w:bCs/>
          <w:sz w:val="24"/>
        </w:rPr>
        <w:t>（北京时间）前</w:t>
      </w:r>
      <w:r>
        <w:rPr>
          <w:rFonts w:hint="eastAsia" w:ascii="宋体" w:hAnsi="宋体" w:cs="宋体"/>
          <w:sz w:val="24"/>
        </w:rPr>
        <w:t>递交（上传）投标文件。</w:t>
      </w:r>
    </w:p>
    <w:p w14:paraId="20C5ED4A">
      <w:pPr>
        <w:spacing w:line="360" w:lineRule="auto"/>
        <w:rPr>
          <w:rFonts w:hint="eastAsia" w:ascii="宋体" w:hAnsi="宋体" w:cs="宋体"/>
          <w:b/>
          <w:sz w:val="24"/>
        </w:rPr>
      </w:pPr>
      <w:r>
        <w:rPr>
          <w:rFonts w:hint="eastAsia" w:ascii="宋体" w:hAnsi="宋体" w:cs="宋体"/>
          <w:b/>
          <w:sz w:val="24"/>
        </w:rPr>
        <w:t xml:space="preserve">一、项目基本情况                                            </w:t>
      </w:r>
    </w:p>
    <w:p w14:paraId="642CF052">
      <w:pPr>
        <w:spacing w:line="360" w:lineRule="auto"/>
        <w:ind w:firstLine="482" w:firstLineChars="200"/>
        <w:rPr>
          <w:rFonts w:hint="eastAsia" w:ascii="宋体" w:hAnsi="宋体" w:cs="宋体"/>
          <w:sz w:val="24"/>
        </w:rPr>
      </w:pPr>
      <w:r>
        <w:rPr>
          <w:rFonts w:hint="eastAsia" w:ascii="宋体" w:hAnsi="宋体" w:cs="宋体"/>
          <w:b/>
          <w:sz w:val="24"/>
        </w:rPr>
        <w:t>项目编号：</w:t>
      </w:r>
      <w:r>
        <w:rPr>
          <w:rFonts w:hint="eastAsia" w:ascii="宋体" w:hAnsi="宋体" w:cs="宋体"/>
          <w:sz w:val="24"/>
          <w:lang w:eastAsia="zh-CN"/>
        </w:rPr>
        <w:t>ZHZFCG2024-GK-005-1</w:t>
      </w:r>
      <w:r>
        <w:rPr>
          <w:rFonts w:hint="eastAsia" w:ascii="宋体" w:hAnsi="宋体" w:cs="宋体"/>
          <w:sz w:val="24"/>
        </w:rPr>
        <w:t xml:space="preserve"> </w:t>
      </w:r>
    </w:p>
    <w:p w14:paraId="2B0C5BB9">
      <w:pPr>
        <w:spacing w:line="360" w:lineRule="auto"/>
        <w:ind w:firstLine="482" w:firstLineChars="200"/>
        <w:rPr>
          <w:rFonts w:hint="eastAsia" w:ascii="宋体" w:hAnsi="宋体" w:eastAsia="宋体" w:cs="宋体"/>
          <w:sz w:val="24"/>
          <w:highlight w:val="yellow"/>
          <w:lang w:eastAsia="zh-CN"/>
        </w:rPr>
      </w:pPr>
      <w:r>
        <w:rPr>
          <w:rFonts w:hint="eastAsia" w:ascii="宋体" w:hAnsi="宋体" w:cs="宋体"/>
          <w:b/>
          <w:sz w:val="24"/>
        </w:rPr>
        <w:t>项目名称：</w:t>
      </w:r>
      <w:r>
        <w:rPr>
          <w:rFonts w:hint="eastAsia" w:ascii="宋体" w:hAnsi="宋体" w:cs="宋体"/>
          <w:bCs/>
          <w:sz w:val="24"/>
          <w:lang w:eastAsia="zh-CN"/>
        </w:rPr>
        <w:t>桐庐县方埠小学改扩建工程弱电设备（第二次）</w:t>
      </w:r>
    </w:p>
    <w:p w14:paraId="14278B32">
      <w:pPr>
        <w:spacing w:line="360" w:lineRule="auto"/>
        <w:ind w:firstLine="480"/>
        <w:rPr>
          <w:rFonts w:hint="eastAsia" w:ascii="宋体" w:hAnsi="宋体" w:cs="宋体"/>
          <w:sz w:val="24"/>
        </w:rPr>
      </w:pPr>
      <w:r>
        <w:rPr>
          <w:rFonts w:hint="eastAsia" w:ascii="宋体" w:hAnsi="宋体" w:cs="宋体"/>
          <w:b/>
          <w:sz w:val="24"/>
        </w:rPr>
        <w:t>预算金额（元）：</w:t>
      </w:r>
      <w:r>
        <w:rPr>
          <w:rFonts w:hint="eastAsia" w:ascii="宋体" w:hAnsi="宋体" w:cs="宋体"/>
          <w:bCs/>
          <w:sz w:val="24"/>
        </w:rPr>
        <w:t>3400000</w:t>
      </w:r>
    </w:p>
    <w:p w14:paraId="4C13BF7A">
      <w:pPr>
        <w:spacing w:line="360" w:lineRule="auto"/>
        <w:ind w:firstLine="480"/>
        <w:rPr>
          <w:rFonts w:hint="eastAsia" w:ascii="宋体" w:hAnsi="宋体" w:cs="宋体"/>
          <w:sz w:val="24"/>
        </w:rPr>
      </w:pPr>
      <w:r>
        <w:rPr>
          <w:rFonts w:hint="eastAsia" w:ascii="宋体" w:hAnsi="宋体" w:cs="宋体"/>
          <w:b/>
          <w:sz w:val="24"/>
        </w:rPr>
        <w:t>最高限价（元）：</w:t>
      </w:r>
      <w:r>
        <w:rPr>
          <w:rFonts w:hint="eastAsia" w:ascii="宋体" w:hAnsi="宋体" w:cs="宋体"/>
          <w:bCs/>
          <w:sz w:val="24"/>
        </w:rPr>
        <w:t>3</w:t>
      </w:r>
      <w:r>
        <w:rPr>
          <w:rFonts w:hint="eastAsia" w:ascii="宋体" w:hAnsi="宋体" w:cs="宋体"/>
          <w:bCs/>
          <w:sz w:val="24"/>
          <w:lang w:val="en-US" w:eastAsia="zh-CN"/>
        </w:rPr>
        <w:t>0</w:t>
      </w:r>
      <w:r>
        <w:rPr>
          <w:rFonts w:hint="eastAsia" w:ascii="宋体" w:hAnsi="宋体" w:cs="宋体"/>
          <w:bCs/>
          <w:sz w:val="24"/>
        </w:rPr>
        <w:t>00000</w:t>
      </w:r>
    </w:p>
    <w:p w14:paraId="2CA57BA5">
      <w:pPr>
        <w:spacing w:line="360" w:lineRule="auto"/>
        <w:ind w:firstLine="482" w:firstLineChars="200"/>
        <w:rPr>
          <w:rFonts w:hint="eastAsia" w:ascii="宋体" w:hAnsi="宋体" w:cs="宋体"/>
          <w:bCs/>
          <w:sz w:val="24"/>
          <w:highlight w:val="yellow"/>
        </w:rPr>
      </w:pPr>
      <w:r>
        <w:rPr>
          <w:rFonts w:hint="eastAsia" w:ascii="宋体" w:hAnsi="宋体" w:cs="宋体"/>
          <w:b/>
          <w:sz w:val="24"/>
        </w:rPr>
        <w:t>采购需求：</w:t>
      </w:r>
      <w:r>
        <w:rPr>
          <w:rFonts w:hint="eastAsia" w:ascii="宋体" w:hAnsi="宋体" w:cs="宋体"/>
          <w:bCs/>
          <w:sz w:val="24"/>
        </w:rPr>
        <w:t>详见招标文件第三部分采购需求。</w:t>
      </w:r>
    </w:p>
    <w:p w14:paraId="638537FD">
      <w:pPr>
        <w:spacing w:line="360" w:lineRule="auto"/>
        <w:ind w:firstLine="482" w:firstLineChars="200"/>
        <w:rPr>
          <w:rFonts w:hint="eastAsia" w:ascii="宋体" w:hAnsi="宋体" w:cs="宋体"/>
          <w:sz w:val="24"/>
        </w:rPr>
      </w:pPr>
      <w:r>
        <w:rPr>
          <w:rFonts w:hint="eastAsia" w:ascii="宋体" w:hAnsi="宋体" w:cs="宋体"/>
          <w:b/>
          <w:sz w:val="24"/>
        </w:rPr>
        <w:t>合同履约期限</w:t>
      </w:r>
      <w:r>
        <w:rPr>
          <w:rFonts w:hint="eastAsia" w:ascii="宋体" w:hAnsi="宋体" w:cs="宋体"/>
          <w:bCs/>
          <w:sz w:val="24"/>
        </w:rPr>
        <w:t>：</w:t>
      </w:r>
      <w:r>
        <w:rPr>
          <w:rFonts w:hint="eastAsia" w:ascii="宋体" w:hAnsi="宋体" w:cs="宋体"/>
          <w:sz w:val="24"/>
        </w:rPr>
        <w:t>合同签订后60天完成供货安装调试</w:t>
      </w:r>
      <w:r>
        <w:rPr>
          <w:rFonts w:hint="eastAsia" w:ascii="宋体" w:hAnsi="宋体" w:cs="宋体"/>
          <w:bCs/>
          <w:sz w:val="24"/>
        </w:rPr>
        <w:t>。</w:t>
      </w:r>
    </w:p>
    <w:p w14:paraId="08C1D6F4">
      <w:pPr>
        <w:spacing w:line="360" w:lineRule="auto"/>
        <w:ind w:firstLine="482" w:firstLineChars="200"/>
        <w:rPr>
          <w:rFonts w:hint="eastAsia" w:ascii="宋体" w:hAnsi="宋体" w:cs="宋体"/>
          <w:sz w:val="24"/>
        </w:rPr>
      </w:pPr>
      <w:r>
        <w:rPr>
          <w:rFonts w:hint="eastAsia" w:ascii="宋体" w:hAnsi="宋体" w:cs="宋体"/>
          <w:b/>
          <w:sz w:val="24"/>
        </w:rPr>
        <w:t>本项目接受联合体投标：</w:t>
      </w:r>
      <w:sdt>
        <w:sdtPr>
          <w:rPr>
            <w:rFonts w:hint="eastAsia" w:ascii="宋体" w:hAnsi="宋体" w:cs="宋体"/>
            <w:kern w:val="0"/>
            <w:sz w:val="24"/>
          </w:rPr>
          <w:id w:val="2035453831"/>
        </w:sdtPr>
        <w:sdtEndPr>
          <w:rPr>
            <w:rFonts w:hint="eastAsia" w:ascii="宋体" w:hAnsi="宋体" w:cs="宋体"/>
            <w:kern w:val="0"/>
            <w:sz w:val="24"/>
          </w:rPr>
        </w:sdtEndPr>
        <w:sdtContent>
          <w:r>
            <w:rPr>
              <w:rFonts w:hint="eastAsia" w:ascii="宋体" w:hAnsi="宋体" w:cs="宋体"/>
              <w:kern w:val="0"/>
              <w:sz w:val="24"/>
            </w:rPr>
            <w:t xml:space="preserve"> </w:t>
          </w:r>
          <w:sdt>
            <w:sdtPr>
              <w:rPr>
                <w:rFonts w:hint="eastAsia" w:ascii="宋体" w:hAnsi="宋体" w:cs="宋体"/>
                <w:kern w:val="0"/>
                <w:sz w:val="24"/>
              </w:rPr>
              <w:id w:val="786974422"/>
            </w:sdtPr>
            <w:sdtEndPr>
              <w:rPr>
                <w:rFonts w:hint="eastAsia" w:ascii="宋体" w:hAnsi="宋体" w:cs="宋体"/>
                <w:kern w:val="0"/>
                <w:sz w:val="24"/>
              </w:rPr>
            </w:sdtEndPr>
            <w:sdtContent>
              <w:r>
                <w:rPr>
                  <w:rFonts w:hint="eastAsia" w:ascii="宋体" w:hAnsi="宋体" w:cs="宋体"/>
                  <w:snapToGrid w:val="0"/>
                  <w:kern w:val="0"/>
                  <w:sz w:val="24"/>
                  <w:szCs w:val="20"/>
                </w:rPr>
                <w:t>☐</w:t>
              </w:r>
            </w:sdtContent>
          </w:sdt>
        </w:sdtContent>
      </w:sdt>
      <w:r>
        <w:rPr>
          <w:rFonts w:hint="eastAsia" w:ascii="宋体" w:hAnsi="宋体" w:cs="宋体"/>
          <w:b/>
          <w:sz w:val="24"/>
        </w:rPr>
        <w:t>是，</w:t>
      </w:r>
      <w:sdt>
        <w:sdtPr>
          <w:rPr>
            <w:rFonts w:hint="eastAsia" w:ascii="宋体" w:hAnsi="宋体" w:cs="宋体"/>
            <w:kern w:val="0"/>
            <w:sz w:val="24"/>
          </w:rPr>
          <w:id w:val="-1765526721"/>
        </w:sdtPr>
        <w:sdtEndPr>
          <w:rPr>
            <w:rFonts w:hint="eastAsia" w:ascii="宋体" w:hAnsi="宋体" w:cs="宋体"/>
            <w:kern w:val="0"/>
            <w:sz w:val="24"/>
          </w:rPr>
        </w:sdtEndPr>
        <w:sdtContent>
          <w:sdt>
            <w:sdtPr>
              <w:rPr>
                <w:rFonts w:hint="eastAsia" w:ascii="宋体" w:hAnsi="宋体" w:cs="宋体"/>
                <w:kern w:val="0"/>
                <w:sz w:val="24"/>
              </w:rPr>
              <w:id w:val="348868422"/>
            </w:sdtPr>
            <w:sdtEndPr>
              <w:rPr>
                <w:rFonts w:hint="eastAsia" w:ascii="宋体" w:hAnsi="宋体" w:cs="宋体"/>
                <w:kern w:val="0"/>
                <w:sz w:val="24"/>
              </w:rPr>
            </w:sdtEndPr>
            <w:sdtContent>
              <w:r>
                <w:rPr>
                  <w:rFonts w:hint="eastAsia" w:ascii="宋体" w:hAnsi="宋体" w:cs="宋体"/>
                  <w:kern w:val="0"/>
                  <w:sz w:val="24"/>
                </w:rPr>
                <w:t xml:space="preserve"> </w:t>
              </w:r>
              <w:sdt>
                <w:sdtPr>
                  <w:rPr>
                    <w:rFonts w:hint="eastAsia" w:ascii="宋体" w:hAnsi="宋体" w:cs="宋体"/>
                    <w:kern w:val="0"/>
                    <w:sz w:val="24"/>
                  </w:rPr>
                  <w:id w:val="523964096"/>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sdtContent>
      </w:sdt>
      <w:r>
        <w:rPr>
          <w:rFonts w:hint="eastAsia" w:ascii="宋体" w:hAnsi="宋体" w:cs="宋体"/>
          <w:b/>
          <w:sz w:val="24"/>
        </w:rPr>
        <w:t>否</w:t>
      </w:r>
      <w:r>
        <w:rPr>
          <w:rFonts w:hint="eastAsia" w:ascii="宋体" w:hAnsi="宋体" w:cs="宋体"/>
          <w:kern w:val="0"/>
          <w:sz w:val="24"/>
        </w:rPr>
        <w:t>。</w:t>
      </w:r>
    </w:p>
    <w:p w14:paraId="0F6013A7">
      <w:pPr>
        <w:spacing w:line="360" w:lineRule="auto"/>
        <w:rPr>
          <w:rFonts w:hint="eastAsia" w:ascii="宋体" w:hAnsi="宋体" w:cs="宋体"/>
          <w:b/>
          <w:sz w:val="24"/>
        </w:rPr>
      </w:pPr>
      <w:r>
        <w:rPr>
          <w:rFonts w:hint="eastAsia" w:ascii="宋体" w:hAnsi="宋体" w:cs="宋体"/>
          <w:b/>
          <w:sz w:val="24"/>
        </w:rPr>
        <w:t>二、申请人的资格要求：</w:t>
      </w:r>
    </w:p>
    <w:p w14:paraId="73DEAC4E">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1.满足《中华人民共和国政府采购法》第二十二条规定；未被“信用中国”（www.creditchina.gov.cn)、中国政府采购网（www.ccgp.gov.cn）列入失信被执行人、重大税收违法案件当事人名单、政府采购严重违法失信行为记录名单；</w:t>
      </w:r>
    </w:p>
    <w:p w14:paraId="408526D8">
      <w:pPr>
        <w:spacing w:line="360" w:lineRule="auto"/>
        <w:ind w:firstLine="480"/>
        <w:rPr>
          <w:rFonts w:hint="eastAsia" w:ascii="宋体" w:hAnsi="宋体" w:cs="宋体"/>
          <w:snapToGrid w:val="0"/>
          <w:kern w:val="28"/>
          <w:sz w:val="24"/>
          <w:szCs w:val="20"/>
        </w:rPr>
      </w:pPr>
      <w:r>
        <w:rPr>
          <w:rFonts w:hint="eastAsia" w:ascii="宋体" w:hAnsi="宋体" w:cs="宋体"/>
          <w:snapToGrid w:val="0"/>
          <w:kern w:val="28"/>
          <w:sz w:val="24"/>
          <w:szCs w:val="20"/>
        </w:rPr>
        <w:t>2.落实政府采购政策需满足的资格要求：</w:t>
      </w:r>
    </w:p>
    <w:p w14:paraId="4F3005B5">
      <w:pPr>
        <w:spacing w:line="360" w:lineRule="auto"/>
        <w:ind w:firstLine="480" w:firstLineChars="200"/>
        <w:rPr>
          <w:rFonts w:hint="eastAsia" w:ascii="宋体" w:hAnsi="宋体" w:cs="宋体"/>
          <w:sz w:val="24"/>
        </w:rPr>
      </w:pPr>
      <w:sdt>
        <w:sdtPr>
          <w:rPr>
            <w:rFonts w:hint="eastAsia" w:ascii="宋体" w:hAnsi="宋体" w:cs="宋体"/>
            <w:kern w:val="0"/>
            <w:sz w:val="24"/>
          </w:rPr>
          <w:id w:val="1928616923"/>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sz w:val="24"/>
        </w:rPr>
        <w:t>无；</w:t>
      </w:r>
    </w:p>
    <w:p w14:paraId="0057D769">
      <w:pPr>
        <w:spacing w:line="360" w:lineRule="auto"/>
        <w:ind w:firstLine="480" w:firstLineChars="200"/>
        <w:rPr>
          <w:rFonts w:hint="eastAsia" w:ascii="宋体" w:hAnsi="宋体" w:cs="宋体"/>
          <w:sz w:val="24"/>
        </w:rPr>
      </w:pPr>
      <w:sdt>
        <w:sdtPr>
          <w:rPr>
            <w:rFonts w:hint="eastAsia" w:ascii="宋体" w:hAnsi="宋体" w:cs="宋体"/>
            <w:kern w:val="0"/>
            <w:sz w:val="24"/>
          </w:rPr>
          <w:id w:val="-102470430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专</w:t>
      </w:r>
      <w:r>
        <w:rPr>
          <w:rFonts w:hint="eastAsia" w:ascii="宋体" w:hAnsi="宋体" w:cs="宋体"/>
          <w:sz w:val="24"/>
        </w:rPr>
        <w:t>门面向中小企业</w:t>
      </w:r>
    </w:p>
    <w:p w14:paraId="44EF84C7">
      <w:pPr>
        <w:spacing w:line="360" w:lineRule="auto"/>
        <w:ind w:firstLine="480" w:firstLineChars="200"/>
        <w:rPr>
          <w:rFonts w:hint="eastAsia" w:ascii="宋体" w:hAnsi="宋体" w:cs="宋体"/>
          <w:sz w:val="24"/>
          <w:u w:val="single"/>
        </w:rPr>
      </w:pPr>
      <w:sdt>
        <w:sdtPr>
          <w:rPr>
            <w:rFonts w:hint="eastAsia" w:ascii="宋体" w:hAnsi="宋体" w:cs="宋体"/>
            <w:kern w:val="0"/>
            <w:sz w:val="24"/>
          </w:rPr>
          <w:id w:val="-924730588"/>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货物全部由符合政策要求的中小企业制造，提供中小企业声明函；</w:t>
      </w:r>
    </w:p>
    <w:p w14:paraId="33C59186">
      <w:pPr>
        <w:spacing w:line="360" w:lineRule="auto"/>
        <w:ind w:firstLine="480" w:firstLineChars="200"/>
        <w:rPr>
          <w:rFonts w:hint="eastAsia" w:ascii="宋体" w:hAnsi="宋体" w:cs="宋体"/>
        </w:rPr>
      </w:pPr>
      <w:sdt>
        <w:sdtPr>
          <w:rPr>
            <w:rFonts w:hint="eastAsia" w:ascii="宋体" w:hAnsi="宋体" w:cs="宋体"/>
            <w:kern w:val="0"/>
            <w:sz w:val="24"/>
          </w:rPr>
          <w:id w:val="-1152604937"/>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sz w:val="24"/>
        </w:rPr>
        <w:t>货物全部由符合政策要求的小微企业制造，提供中小企业声明函；</w:t>
      </w:r>
    </w:p>
    <w:p w14:paraId="3D6C91A1">
      <w:pPr>
        <w:spacing w:line="360" w:lineRule="auto"/>
        <w:ind w:firstLine="480" w:firstLineChars="200"/>
        <w:rPr>
          <w:rFonts w:hint="eastAsia" w:ascii="宋体" w:hAnsi="宋体" w:cs="宋体"/>
          <w:sz w:val="24"/>
        </w:rPr>
      </w:pPr>
      <w:sdt>
        <w:sdtPr>
          <w:rPr>
            <w:rFonts w:hint="eastAsia" w:ascii="宋体" w:hAnsi="宋体" w:cs="宋体"/>
            <w:kern w:val="0"/>
            <w:sz w:val="24"/>
          </w:rPr>
          <w:id w:val="-198560779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要求以联合体形式参加，提供联合协议和中小企业声明函，联合协议中中小企业合同金额应当达到</w:t>
      </w:r>
      <w:r>
        <w:rPr>
          <w:rFonts w:hint="eastAsia" w:ascii="宋体" w:hAnsi="宋体" w:cs="宋体"/>
          <w:sz w:val="24"/>
          <w:u w:val="single"/>
        </w:rPr>
        <w:t xml:space="preserve">  </w:t>
      </w:r>
      <w:r>
        <w:rPr>
          <w:rFonts w:hint="eastAsia" w:ascii="宋体" w:hAnsi="宋体" w:cs="宋体"/>
          <w:sz w:val="24"/>
        </w:rPr>
        <w:t>%，小微企业合同金额应当达到</w:t>
      </w:r>
      <w:r>
        <w:rPr>
          <w:rFonts w:hint="eastAsia" w:ascii="宋体" w:hAnsi="宋体" w:cs="宋体"/>
          <w:sz w:val="24"/>
          <w:u w:val="single"/>
        </w:rPr>
        <w:t xml:space="preserve">  </w:t>
      </w:r>
      <w:r>
        <w:rPr>
          <w:rFonts w:hint="eastAsia" w:ascii="宋体" w:hAnsi="宋体" w:cs="宋体"/>
          <w:sz w:val="24"/>
        </w:rPr>
        <w:t>%;</w:t>
      </w:r>
      <w:r>
        <w:rPr>
          <w:rFonts w:hint="eastAsia" w:ascii="宋体" w:hAnsi="宋体" w:cs="宋体"/>
          <w:spacing w:val="8"/>
          <w:kern w:val="0"/>
          <w:sz w:val="24"/>
        </w:rPr>
        <w:t>如果供应商本身提供所有标的均由中小企业制造、承建或承接，视同符合了资格条件，无需再与其他中小企业组成联合体参加政府采购活动，无需提供联合协议</w:t>
      </w:r>
      <w:r>
        <w:rPr>
          <w:rFonts w:hint="eastAsia" w:ascii="宋体" w:hAnsi="宋体" w:cs="宋体"/>
          <w:sz w:val="24"/>
        </w:rPr>
        <w:t>；</w:t>
      </w:r>
    </w:p>
    <w:p w14:paraId="091BA010">
      <w:pPr>
        <w:spacing w:line="360" w:lineRule="auto"/>
        <w:ind w:firstLine="480" w:firstLineChars="200"/>
        <w:rPr>
          <w:rFonts w:hint="eastAsia" w:ascii="宋体" w:hAnsi="宋体" w:cs="宋体"/>
          <w:sz w:val="24"/>
        </w:rPr>
      </w:pPr>
      <w:sdt>
        <w:sdtPr>
          <w:rPr>
            <w:rFonts w:hint="eastAsia" w:ascii="宋体" w:hAnsi="宋体" w:cs="宋体"/>
            <w:kern w:val="0"/>
            <w:sz w:val="24"/>
          </w:rPr>
          <w:id w:val="34630645"/>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要求合同分包，提供分包意向协议和中小企业声明函，分包意向协议中中小企业合同金额应当达到达到</w:t>
      </w:r>
      <w:r>
        <w:rPr>
          <w:rFonts w:hint="eastAsia" w:ascii="宋体" w:hAnsi="宋体" w:cs="宋体"/>
          <w:sz w:val="24"/>
          <w:u w:val="single"/>
        </w:rPr>
        <w:t xml:space="preserve">  </w:t>
      </w:r>
      <w:r>
        <w:rPr>
          <w:rFonts w:hint="eastAsia" w:ascii="宋体" w:hAnsi="宋体" w:cs="宋体"/>
          <w:sz w:val="24"/>
        </w:rPr>
        <w:t>% ，小微企业合同金额应当达到</w:t>
      </w:r>
      <w:r>
        <w:rPr>
          <w:rFonts w:hint="eastAsia" w:ascii="宋体" w:hAnsi="宋体" w:cs="宋体"/>
          <w:sz w:val="24"/>
          <w:u w:val="single"/>
        </w:rPr>
        <w:t xml:space="preserve">  </w:t>
      </w:r>
      <w:r>
        <w:rPr>
          <w:rFonts w:hint="eastAsia" w:ascii="宋体" w:hAnsi="宋体" w:cs="宋体"/>
          <w:sz w:val="24"/>
        </w:rPr>
        <w:t>% ;</w:t>
      </w:r>
      <w:r>
        <w:rPr>
          <w:rFonts w:hint="eastAsia" w:ascii="宋体" w:hAnsi="宋体" w:cs="宋体"/>
          <w:spacing w:val="8"/>
          <w:kern w:val="0"/>
          <w:sz w:val="24"/>
        </w:rPr>
        <w:t>如果供应商本身提供所有标的均由中小企业制造、承建或承接，视同符合了资格条件，无需再向中小企业分包，无需提供分包意向协议</w:t>
      </w:r>
      <w:r>
        <w:rPr>
          <w:rFonts w:hint="eastAsia" w:ascii="宋体" w:hAnsi="宋体" w:cs="宋体"/>
          <w:sz w:val="24"/>
        </w:rPr>
        <w:t>；</w:t>
      </w:r>
    </w:p>
    <w:p w14:paraId="03D83FBC">
      <w:pPr>
        <w:spacing w:line="360" w:lineRule="auto"/>
        <w:ind w:firstLine="480"/>
        <w:rPr>
          <w:rFonts w:hint="eastAsia" w:ascii="宋体" w:hAnsi="宋体" w:cs="宋体"/>
          <w:sz w:val="24"/>
        </w:rPr>
      </w:pPr>
      <w:r>
        <w:rPr>
          <w:rFonts w:hint="eastAsia" w:ascii="宋体" w:hAnsi="宋体" w:cs="宋体"/>
          <w:sz w:val="24"/>
        </w:rPr>
        <w:t>3.本项目的特定资格要</w:t>
      </w:r>
      <w:r>
        <w:rPr>
          <w:rFonts w:hint="eastAsia" w:ascii="宋体" w:hAnsi="宋体" w:cs="宋体"/>
          <w:spacing w:val="8"/>
          <w:kern w:val="0"/>
          <w:sz w:val="24"/>
        </w:rPr>
        <w:t>求：无</w:t>
      </w:r>
    </w:p>
    <w:p w14:paraId="1A11D26F">
      <w:pPr>
        <w:spacing w:line="360" w:lineRule="auto"/>
        <w:ind w:firstLine="480" w:firstLineChars="200"/>
        <w:rPr>
          <w:rFonts w:hint="eastAsia" w:ascii="宋体" w:hAnsi="宋体" w:cs="宋体"/>
          <w:sz w:val="24"/>
        </w:rPr>
      </w:pPr>
      <w:r>
        <w:rPr>
          <w:rFonts w:hint="eastAsia" w:ascii="宋体" w:hAnsi="宋体" w:cs="宋体"/>
          <w:sz w:val="24"/>
        </w:rPr>
        <w:t>4.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8C2BC93">
      <w:pPr>
        <w:spacing w:line="360" w:lineRule="auto"/>
        <w:rPr>
          <w:rFonts w:hint="eastAsia" w:ascii="宋体" w:hAnsi="宋体" w:cs="宋体"/>
          <w:b/>
          <w:sz w:val="24"/>
        </w:rPr>
      </w:pPr>
      <w:r>
        <w:rPr>
          <w:rFonts w:hint="eastAsia" w:ascii="宋体" w:hAnsi="宋体" w:cs="宋体"/>
          <w:b/>
          <w:sz w:val="24"/>
        </w:rPr>
        <w:t xml:space="preserve">三、获取招标文件 </w:t>
      </w:r>
    </w:p>
    <w:p w14:paraId="21C91B7C">
      <w:pPr>
        <w:spacing w:line="360" w:lineRule="auto"/>
        <w:ind w:firstLine="482" w:firstLineChars="200"/>
        <w:rPr>
          <w:rFonts w:hint="eastAsia" w:ascii="宋体" w:hAnsi="宋体" w:cs="宋体"/>
          <w:sz w:val="24"/>
        </w:rPr>
      </w:pPr>
      <w:r>
        <w:rPr>
          <w:rFonts w:hint="eastAsia" w:ascii="宋体" w:hAnsi="宋体" w:cs="宋体"/>
          <w:b/>
          <w:sz w:val="24"/>
        </w:rPr>
        <w:t>时间：</w:t>
      </w:r>
      <w:r>
        <w:rPr>
          <w:rFonts w:hint="eastAsia" w:ascii="宋体" w:hAnsi="宋体" w:cs="宋体"/>
          <w:sz w:val="24"/>
        </w:rPr>
        <w:t>/</w:t>
      </w:r>
      <w:r>
        <w:rPr>
          <w:rFonts w:hint="eastAsia" w:ascii="宋体" w:hAnsi="宋体" w:cs="宋体"/>
          <w:color w:val="FF0000"/>
          <w:sz w:val="24"/>
        </w:rPr>
        <w:t>至</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年</w:t>
      </w:r>
      <w:r>
        <w:rPr>
          <w:rFonts w:hint="eastAsia" w:ascii="宋体" w:hAnsi="宋体" w:cs="宋体"/>
          <w:color w:val="FF0000"/>
          <w:sz w:val="24"/>
          <w:u w:val="single"/>
          <w:lang w:val="en-US" w:eastAsia="zh-CN"/>
        </w:rPr>
        <w:t>03</w:t>
      </w:r>
      <w:r>
        <w:rPr>
          <w:rFonts w:hint="eastAsia" w:ascii="宋体" w:hAnsi="宋体" w:cs="宋体"/>
          <w:color w:val="FF0000"/>
          <w:sz w:val="24"/>
          <w:u w:val="single"/>
        </w:rPr>
        <w:t>月</w:t>
      </w:r>
      <w:r>
        <w:rPr>
          <w:rFonts w:hint="eastAsia" w:ascii="宋体" w:hAnsi="宋体" w:cs="宋体"/>
          <w:color w:val="FF0000"/>
          <w:sz w:val="24"/>
          <w:u w:val="single"/>
          <w:lang w:val="en-US" w:eastAsia="zh-CN"/>
        </w:rPr>
        <w:t>27</w:t>
      </w:r>
      <w:r>
        <w:rPr>
          <w:rFonts w:hint="eastAsia" w:ascii="宋体" w:hAnsi="宋体" w:cs="宋体"/>
          <w:color w:val="FF0000"/>
          <w:sz w:val="24"/>
          <w:u w:val="single"/>
        </w:rPr>
        <w:t xml:space="preserve"> 日</w:t>
      </w:r>
      <w:r>
        <w:rPr>
          <w:rFonts w:hint="eastAsia" w:ascii="宋体" w:hAnsi="宋体" w:cs="宋体"/>
          <w:sz w:val="24"/>
        </w:rPr>
        <w:t>，每天上午00:00至12:00 ，下午12:00至23:59（北京时间，线上获取法定节假日均可，线下获取文件法定节假日除外）</w:t>
      </w:r>
    </w:p>
    <w:p w14:paraId="3B3033D9">
      <w:pPr>
        <w:spacing w:line="360" w:lineRule="auto"/>
        <w:ind w:firstLine="482" w:firstLineChars="200"/>
        <w:rPr>
          <w:rFonts w:hint="eastAsia" w:ascii="宋体" w:hAnsi="宋体" w:cs="宋体"/>
          <w:sz w:val="24"/>
        </w:rPr>
      </w:pPr>
      <w:r>
        <w:rPr>
          <w:rFonts w:hint="eastAsia" w:ascii="宋体" w:hAnsi="宋体" w:cs="宋体"/>
          <w:b/>
          <w:sz w:val="24"/>
        </w:rPr>
        <w:t>地点（网址）：</w:t>
      </w:r>
      <w:r>
        <w:rPr>
          <w:rFonts w:hint="eastAsia" w:ascii="宋体" w:hAnsi="宋体" w:cs="宋体"/>
          <w:sz w:val="24"/>
        </w:rPr>
        <w:t xml:space="preserve">政采云平台（https://www.zcygov.cn/） </w:t>
      </w:r>
    </w:p>
    <w:p w14:paraId="4341D077">
      <w:pPr>
        <w:spacing w:line="360" w:lineRule="auto"/>
        <w:ind w:firstLine="482" w:firstLineChars="200"/>
        <w:rPr>
          <w:rFonts w:hint="eastAsia" w:ascii="宋体" w:hAnsi="宋体" w:cs="宋体"/>
          <w:sz w:val="24"/>
        </w:rPr>
      </w:pPr>
      <w:r>
        <w:rPr>
          <w:rFonts w:hint="eastAsia" w:ascii="宋体" w:hAnsi="宋体" w:cs="宋体"/>
          <w:b/>
          <w:sz w:val="24"/>
        </w:rPr>
        <w:t>方式：</w:t>
      </w:r>
      <w:r>
        <w:rPr>
          <w:rFonts w:hint="eastAsia" w:ascii="宋体" w:hAnsi="宋体" w:cs="宋体"/>
          <w:sz w:val="24"/>
        </w:rPr>
        <w:t xml:space="preserve">供应商登录政采云平台https://www.zcygov.cn/在线申请获取采购文件（进入“项目采购”应用，在获取采购文件菜单中选择项目，申请获取采购文件）。 </w:t>
      </w:r>
    </w:p>
    <w:p w14:paraId="4EE74DC1">
      <w:pPr>
        <w:spacing w:line="360" w:lineRule="auto"/>
        <w:ind w:firstLine="482" w:firstLineChars="200"/>
        <w:rPr>
          <w:rFonts w:hint="eastAsia" w:ascii="宋体" w:hAnsi="宋体" w:cs="宋体"/>
          <w:sz w:val="24"/>
        </w:rPr>
      </w:pPr>
      <w:r>
        <w:rPr>
          <w:rFonts w:hint="eastAsia" w:ascii="宋体" w:hAnsi="宋体" w:cs="宋体"/>
          <w:b/>
          <w:sz w:val="24"/>
        </w:rPr>
        <w:t>售价（元）：</w:t>
      </w:r>
      <w:r>
        <w:rPr>
          <w:rFonts w:hint="eastAsia" w:ascii="宋体" w:hAnsi="宋体" w:cs="宋体"/>
          <w:sz w:val="24"/>
        </w:rPr>
        <w:t xml:space="preserve">0 </w:t>
      </w:r>
      <w:r>
        <w:rPr>
          <w:rFonts w:hint="eastAsia" w:ascii="宋体" w:hAnsi="宋体" w:cs="宋体"/>
          <w:sz w:val="24"/>
        </w:rPr>
        <w:tab/>
      </w:r>
    </w:p>
    <w:p w14:paraId="1A9ECDDE">
      <w:pPr>
        <w:spacing w:line="360" w:lineRule="auto"/>
        <w:rPr>
          <w:rFonts w:hint="eastAsia" w:ascii="宋体" w:hAnsi="宋体" w:cs="宋体"/>
          <w:b/>
          <w:sz w:val="24"/>
        </w:rPr>
      </w:pPr>
      <w:r>
        <w:rPr>
          <w:rFonts w:hint="eastAsia" w:ascii="宋体" w:hAnsi="宋体" w:cs="宋体"/>
          <w:b/>
          <w:sz w:val="24"/>
        </w:rPr>
        <w:t>四、提交投标文件截止时间、开标时间和地点</w:t>
      </w:r>
    </w:p>
    <w:p w14:paraId="594C6E93">
      <w:pPr>
        <w:spacing w:line="360" w:lineRule="auto"/>
        <w:ind w:firstLine="482" w:firstLineChars="200"/>
        <w:rPr>
          <w:rFonts w:hint="eastAsia" w:ascii="宋体" w:hAnsi="宋体" w:cs="宋体"/>
          <w:sz w:val="24"/>
        </w:rPr>
      </w:pPr>
      <w:r>
        <w:rPr>
          <w:rFonts w:hint="eastAsia" w:ascii="宋体" w:hAnsi="宋体" w:cs="宋体"/>
          <w:b/>
          <w:sz w:val="24"/>
        </w:rPr>
        <w:t>提交投标文件截止时间：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 xml:space="preserve">年 </w:t>
      </w:r>
      <w:r>
        <w:rPr>
          <w:rFonts w:hint="eastAsia" w:ascii="宋体" w:hAnsi="宋体" w:cs="宋体"/>
          <w:color w:val="FF0000"/>
          <w:sz w:val="24"/>
          <w:u w:val="single"/>
          <w:lang w:val="en-US" w:eastAsia="zh-CN"/>
        </w:rPr>
        <w:t>03</w:t>
      </w:r>
      <w:r>
        <w:rPr>
          <w:rFonts w:hint="eastAsia" w:ascii="宋体" w:hAnsi="宋体" w:cs="宋体"/>
          <w:color w:val="FF0000"/>
          <w:sz w:val="24"/>
          <w:u w:val="single"/>
        </w:rPr>
        <w:t>月</w:t>
      </w:r>
      <w:r>
        <w:rPr>
          <w:rFonts w:hint="eastAsia" w:ascii="宋体" w:hAnsi="宋体" w:cs="宋体"/>
          <w:color w:val="FF0000"/>
          <w:sz w:val="24"/>
          <w:u w:val="single"/>
          <w:lang w:val="en-US" w:eastAsia="zh-CN"/>
        </w:rPr>
        <w:t>27</w:t>
      </w:r>
      <w:r>
        <w:rPr>
          <w:rFonts w:hint="eastAsia" w:ascii="宋体" w:hAnsi="宋体" w:cs="宋体"/>
          <w:color w:val="FF0000"/>
          <w:sz w:val="24"/>
          <w:u w:val="single"/>
        </w:rPr>
        <w:t xml:space="preserve"> 日</w:t>
      </w:r>
      <w:r>
        <w:rPr>
          <w:rFonts w:hint="eastAsia" w:ascii="宋体" w:hAnsi="宋体" w:cs="宋体"/>
          <w:color w:val="FF0000"/>
          <w:sz w:val="24"/>
          <w:u w:val="single"/>
          <w:lang w:val="en-US" w:eastAsia="zh-CN"/>
        </w:rPr>
        <w:t>09</w:t>
      </w:r>
      <w:r>
        <w:rPr>
          <w:rFonts w:hint="eastAsia" w:ascii="宋体" w:hAnsi="宋体" w:cs="宋体"/>
          <w:color w:val="FF0000"/>
          <w:sz w:val="24"/>
          <w:u w:val="single"/>
        </w:rPr>
        <w:t xml:space="preserve">点 </w:t>
      </w:r>
      <w:r>
        <w:rPr>
          <w:rFonts w:hint="eastAsia" w:ascii="宋体" w:hAnsi="宋体" w:cs="宋体"/>
          <w:color w:val="FF0000"/>
          <w:sz w:val="24"/>
          <w:u w:val="single"/>
          <w:lang w:val="en-US" w:eastAsia="zh-CN"/>
        </w:rPr>
        <w:t>30</w:t>
      </w:r>
      <w:r>
        <w:rPr>
          <w:rFonts w:hint="eastAsia" w:ascii="宋体" w:hAnsi="宋体" w:cs="宋体"/>
          <w:color w:val="FF0000"/>
          <w:sz w:val="24"/>
          <w:u w:val="single"/>
        </w:rPr>
        <w:t>分</w:t>
      </w:r>
      <w:r>
        <w:rPr>
          <w:rFonts w:hint="eastAsia" w:ascii="宋体" w:hAnsi="宋体" w:cs="宋体"/>
          <w:sz w:val="24"/>
        </w:rPr>
        <w:t>（北京时间）</w:t>
      </w:r>
    </w:p>
    <w:p w14:paraId="643AEEB1">
      <w:pPr>
        <w:spacing w:line="360" w:lineRule="auto"/>
        <w:ind w:firstLine="482" w:firstLineChars="200"/>
        <w:rPr>
          <w:rFonts w:hint="eastAsia" w:ascii="宋体" w:hAnsi="宋体" w:cs="宋体"/>
          <w:b/>
          <w:sz w:val="24"/>
        </w:rPr>
      </w:pPr>
      <w:r>
        <w:rPr>
          <w:rFonts w:hint="eastAsia" w:ascii="宋体" w:hAnsi="宋体" w:cs="宋体"/>
          <w:b/>
          <w:sz w:val="24"/>
        </w:rPr>
        <w:t>投标地点（网址）：</w:t>
      </w:r>
      <w:r>
        <w:rPr>
          <w:rFonts w:hint="eastAsia" w:ascii="宋体" w:hAnsi="宋体" w:cs="宋体"/>
          <w:sz w:val="24"/>
        </w:rPr>
        <w:t xml:space="preserve">政采云平台（https://www.zcygov.cn/） </w:t>
      </w:r>
    </w:p>
    <w:p w14:paraId="68190425">
      <w:pPr>
        <w:spacing w:line="360" w:lineRule="auto"/>
        <w:ind w:firstLine="482" w:firstLineChars="200"/>
        <w:rPr>
          <w:rFonts w:hint="eastAsia" w:ascii="宋体" w:hAnsi="宋体" w:cs="宋体"/>
          <w:color w:val="FF0000"/>
          <w:sz w:val="24"/>
          <w:u w:val="single"/>
        </w:rPr>
      </w:pPr>
      <w:r>
        <w:rPr>
          <w:rFonts w:hint="eastAsia" w:ascii="宋体" w:hAnsi="宋体" w:cs="宋体"/>
          <w:b/>
          <w:sz w:val="24"/>
        </w:rPr>
        <w:t>开标时间：</w:t>
      </w:r>
      <w:r>
        <w:rPr>
          <w:rFonts w:hint="eastAsia" w:ascii="宋体" w:hAnsi="宋体" w:cs="宋体"/>
          <w:color w:val="FF0000"/>
          <w:sz w:val="24"/>
          <w:u w:val="single"/>
        </w:rPr>
        <w:t>202</w:t>
      </w:r>
      <w:r>
        <w:rPr>
          <w:rFonts w:hint="eastAsia" w:ascii="宋体" w:hAnsi="宋体" w:cs="宋体"/>
          <w:color w:val="FF0000"/>
          <w:sz w:val="24"/>
          <w:u w:val="single"/>
          <w:lang w:val="en-US" w:eastAsia="zh-CN"/>
        </w:rPr>
        <w:t>5</w:t>
      </w:r>
      <w:r>
        <w:rPr>
          <w:rFonts w:hint="eastAsia" w:ascii="宋体" w:hAnsi="宋体" w:cs="宋体"/>
          <w:color w:val="FF0000"/>
          <w:sz w:val="24"/>
          <w:u w:val="single"/>
        </w:rPr>
        <w:t xml:space="preserve">年 </w:t>
      </w:r>
      <w:r>
        <w:rPr>
          <w:rFonts w:hint="eastAsia" w:ascii="宋体" w:hAnsi="宋体" w:cs="宋体"/>
          <w:color w:val="FF0000"/>
          <w:sz w:val="24"/>
          <w:u w:val="single"/>
          <w:lang w:val="en-US" w:eastAsia="zh-CN"/>
        </w:rPr>
        <w:t>03</w:t>
      </w:r>
      <w:r>
        <w:rPr>
          <w:rFonts w:hint="eastAsia" w:ascii="宋体" w:hAnsi="宋体" w:cs="宋体"/>
          <w:color w:val="FF0000"/>
          <w:sz w:val="24"/>
          <w:u w:val="single"/>
        </w:rPr>
        <w:t>月</w:t>
      </w:r>
      <w:r>
        <w:rPr>
          <w:rFonts w:hint="eastAsia" w:ascii="宋体" w:hAnsi="宋体" w:cs="宋体"/>
          <w:color w:val="FF0000"/>
          <w:sz w:val="24"/>
          <w:u w:val="single"/>
          <w:lang w:val="en-US" w:eastAsia="zh-CN"/>
        </w:rPr>
        <w:t>27</w:t>
      </w:r>
      <w:r>
        <w:rPr>
          <w:rFonts w:hint="eastAsia" w:ascii="宋体" w:hAnsi="宋体" w:cs="宋体"/>
          <w:color w:val="FF0000"/>
          <w:sz w:val="24"/>
          <w:u w:val="single"/>
        </w:rPr>
        <w:t xml:space="preserve"> 日</w:t>
      </w:r>
      <w:r>
        <w:rPr>
          <w:rFonts w:hint="eastAsia" w:ascii="宋体" w:hAnsi="宋体" w:cs="宋体"/>
          <w:color w:val="FF0000"/>
          <w:sz w:val="24"/>
          <w:u w:val="single"/>
          <w:lang w:val="en-US" w:eastAsia="zh-CN"/>
        </w:rPr>
        <w:t>09</w:t>
      </w:r>
      <w:r>
        <w:rPr>
          <w:rFonts w:hint="eastAsia" w:ascii="宋体" w:hAnsi="宋体" w:cs="宋体"/>
          <w:color w:val="FF0000"/>
          <w:sz w:val="24"/>
          <w:u w:val="single"/>
        </w:rPr>
        <w:t xml:space="preserve">点 </w:t>
      </w:r>
      <w:r>
        <w:rPr>
          <w:rFonts w:hint="eastAsia" w:ascii="宋体" w:hAnsi="宋体" w:cs="宋体"/>
          <w:color w:val="FF0000"/>
          <w:sz w:val="24"/>
          <w:u w:val="single"/>
          <w:lang w:val="en-US" w:eastAsia="zh-CN"/>
        </w:rPr>
        <w:t>30</w:t>
      </w:r>
      <w:r>
        <w:rPr>
          <w:rFonts w:hint="eastAsia" w:ascii="宋体" w:hAnsi="宋体" w:cs="宋体"/>
          <w:color w:val="FF0000"/>
          <w:sz w:val="24"/>
          <w:u w:val="single"/>
        </w:rPr>
        <w:t>分</w:t>
      </w:r>
    </w:p>
    <w:p w14:paraId="1A49CA55">
      <w:pPr>
        <w:spacing w:line="360" w:lineRule="auto"/>
        <w:ind w:firstLine="482" w:firstLineChars="200"/>
        <w:rPr>
          <w:rFonts w:hint="eastAsia" w:ascii="宋体" w:hAnsi="宋体" w:cs="宋体"/>
          <w:sz w:val="24"/>
        </w:rPr>
      </w:pPr>
      <w:bookmarkStart w:id="541" w:name="_GoBack"/>
      <w:bookmarkEnd w:id="541"/>
      <w:r>
        <w:rPr>
          <w:rFonts w:hint="eastAsia" w:ascii="宋体" w:hAnsi="宋体" w:cs="宋体"/>
          <w:b/>
          <w:sz w:val="24"/>
        </w:rPr>
        <w:t>开标地点（网址）：</w:t>
      </w:r>
      <w:r>
        <w:rPr>
          <w:rFonts w:hint="eastAsia" w:ascii="宋体" w:hAnsi="宋体" w:cs="宋体"/>
          <w:sz w:val="24"/>
        </w:rPr>
        <w:t>政采云平台（https://www.zcygov.cn/）</w:t>
      </w:r>
    </w:p>
    <w:p w14:paraId="1BE3EF48">
      <w:pPr>
        <w:spacing w:line="360" w:lineRule="auto"/>
        <w:rPr>
          <w:rFonts w:hint="eastAsia" w:ascii="宋体" w:hAnsi="宋体" w:cs="宋体"/>
          <w:b/>
          <w:sz w:val="24"/>
        </w:rPr>
      </w:pPr>
      <w:r>
        <w:rPr>
          <w:rFonts w:hint="eastAsia" w:ascii="宋体" w:hAnsi="宋体" w:cs="宋体"/>
          <w:b/>
          <w:sz w:val="24"/>
        </w:rPr>
        <w:t>五、采购意向公开链接</w:t>
      </w:r>
    </w:p>
    <w:p w14:paraId="125F4CD0">
      <w:pPr>
        <w:spacing w:line="360" w:lineRule="auto"/>
        <w:ind w:firstLine="420" w:firstLineChars="200"/>
        <w:rPr>
          <w:rFonts w:hint="eastAsia" w:ascii="宋体" w:hAnsi="宋体" w:cs="宋体"/>
          <w:sz w:val="24"/>
        </w:rPr>
      </w:pPr>
      <w:r>
        <w:fldChar w:fldCharType="begin"/>
      </w:r>
      <w:r>
        <w:instrText xml:space="preserve"> HYPERLINK "https://zfcg.czt.zj.gov.cn/site/detail?parentId=600007&amp;articleId=kGKrkx7eOpYaQFvlrrh2Ew%3D%3D" </w:instrText>
      </w:r>
      <w:r>
        <w:fldChar w:fldCharType="separate"/>
      </w:r>
      <w:r>
        <w:rPr>
          <w:rStyle w:val="79"/>
          <w:rFonts w:hint="eastAsia" w:ascii="宋体" w:hAnsi="宋体" w:eastAsia="宋体" w:cs="宋体"/>
          <w:sz w:val="24"/>
        </w:rPr>
        <w:t>https://zfcg.czt.zj.gov.cn/site/detail?parentId=600007&amp;articleId=kGKrkx7eOpYaQFvlrrh2Ew%3D%3D</w:t>
      </w:r>
      <w:r>
        <w:rPr>
          <w:rStyle w:val="79"/>
          <w:rFonts w:hint="eastAsia" w:ascii="宋体" w:hAnsi="宋体" w:eastAsia="宋体" w:cs="宋体"/>
          <w:sz w:val="24"/>
        </w:rPr>
        <w:fldChar w:fldCharType="end"/>
      </w:r>
    </w:p>
    <w:p w14:paraId="6D128F1E">
      <w:pPr>
        <w:spacing w:line="360" w:lineRule="auto"/>
        <w:rPr>
          <w:rFonts w:hint="eastAsia" w:ascii="宋体" w:hAnsi="宋体" w:cs="宋体"/>
          <w:sz w:val="24"/>
        </w:rPr>
      </w:pPr>
      <w:r>
        <w:rPr>
          <w:rFonts w:hint="eastAsia" w:ascii="宋体" w:hAnsi="宋体" w:cs="宋体"/>
          <w:b/>
          <w:sz w:val="24"/>
        </w:rPr>
        <w:t xml:space="preserve">六、公告期限 </w:t>
      </w:r>
    </w:p>
    <w:p w14:paraId="7C095DA4">
      <w:pPr>
        <w:spacing w:line="360" w:lineRule="auto"/>
        <w:ind w:firstLine="480" w:firstLineChars="200"/>
        <w:rPr>
          <w:rFonts w:hint="eastAsia" w:ascii="宋体" w:hAnsi="宋体" w:cs="宋体"/>
          <w:sz w:val="24"/>
        </w:rPr>
      </w:pPr>
      <w:r>
        <w:rPr>
          <w:rFonts w:hint="eastAsia" w:ascii="宋体" w:hAnsi="宋体" w:cs="宋体"/>
          <w:sz w:val="24"/>
        </w:rPr>
        <w:t>自本公告发布之日起5个工作日。</w:t>
      </w:r>
    </w:p>
    <w:p w14:paraId="0E5A6494">
      <w:pPr>
        <w:spacing w:line="360" w:lineRule="auto"/>
        <w:rPr>
          <w:rFonts w:hint="eastAsia" w:ascii="宋体" w:hAnsi="宋体" w:cs="宋体"/>
          <w:b/>
          <w:sz w:val="24"/>
        </w:rPr>
      </w:pPr>
      <w:r>
        <w:rPr>
          <w:rFonts w:hint="eastAsia" w:ascii="宋体" w:hAnsi="宋体" w:cs="宋体"/>
          <w:b/>
          <w:sz w:val="24"/>
        </w:rPr>
        <w:t>七、其他补充事宜</w:t>
      </w:r>
    </w:p>
    <w:p w14:paraId="3CD128F4">
      <w:pPr>
        <w:spacing w:line="360" w:lineRule="auto"/>
        <w:ind w:firstLine="480" w:firstLineChars="200"/>
        <w:rPr>
          <w:rFonts w:hint="eastAsia" w:ascii="宋体" w:hAnsi="宋体" w:cs="宋体"/>
          <w:sz w:val="24"/>
        </w:rPr>
      </w:pPr>
      <w:r>
        <w:rPr>
          <w:rFonts w:hint="eastAsia" w:ascii="宋体" w:hAnsi="宋体" w:cs="宋体"/>
          <w:sz w:val="24"/>
        </w:rPr>
        <w:t>1.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3F1CF268">
      <w:pPr>
        <w:spacing w:line="360" w:lineRule="auto"/>
        <w:ind w:firstLine="480" w:firstLineChars="200"/>
        <w:rPr>
          <w:rFonts w:hint="eastAsia" w:ascii="宋体" w:hAnsi="宋体" w:cs="宋体"/>
          <w:sz w:val="24"/>
        </w:rPr>
      </w:pPr>
      <w:r>
        <w:rPr>
          <w:rFonts w:hint="eastAsia" w:ascii="宋体" w:hAnsi="宋体" w:cs="宋体"/>
          <w:sz w:val="24"/>
        </w:rPr>
        <w:t>2.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没有在电子交易平台传输递交投标文件的，投标无效；⑩具体操作指南：详见政采云平台“服务中心-帮助文档-项目采购-操作流程-电子招投标-政府采购项目电子交易管理操作指南-供应商”。</w:t>
      </w:r>
    </w:p>
    <w:p w14:paraId="548C4A7C">
      <w:pPr>
        <w:spacing w:line="360" w:lineRule="auto"/>
        <w:rPr>
          <w:rFonts w:hint="eastAsia" w:ascii="宋体" w:hAnsi="宋体" w:cs="宋体"/>
          <w:b/>
          <w:sz w:val="24"/>
        </w:rPr>
      </w:pPr>
      <w:r>
        <w:rPr>
          <w:rFonts w:hint="eastAsia" w:ascii="宋体" w:hAnsi="宋体" w:cs="宋体"/>
          <w:b/>
          <w:sz w:val="24"/>
        </w:rPr>
        <w:t>八、对本次采购提出询问、质疑、投诉，请按以下方式联系</w:t>
      </w:r>
    </w:p>
    <w:p w14:paraId="2512548F">
      <w:pPr>
        <w:spacing w:line="360" w:lineRule="auto"/>
        <w:rPr>
          <w:rFonts w:hint="eastAsia" w:ascii="宋体" w:hAnsi="宋体" w:cs="宋体"/>
          <w:sz w:val="24"/>
        </w:rPr>
      </w:pPr>
      <w:r>
        <w:rPr>
          <w:rFonts w:hint="eastAsia" w:ascii="宋体" w:hAnsi="宋体" w:cs="宋体"/>
          <w:sz w:val="24"/>
        </w:rPr>
        <w:t xml:space="preserve">   1.采购人信息</w:t>
      </w:r>
    </w:p>
    <w:p w14:paraId="4B42BFCD">
      <w:pPr>
        <w:spacing w:line="360" w:lineRule="auto"/>
        <w:rPr>
          <w:rFonts w:hint="eastAsia" w:ascii="宋体" w:hAnsi="宋体" w:cs="宋体"/>
          <w:sz w:val="24"/>
        </w:rPr>
      </w:pPr>
      <w:r>
        <w:rPr>
          <w:rFonts w:hint="eastAsia" w:ascii="宋体" w:hAnsi="宋体" w:cs="宋体"/>
          <w:sz w:val="24"/>
        </w:rPr>
        <w:t xml:space="preserve">    名    称：桐庐县方埠小学 </w:t>
      </w:r>
    </w:p>
    <w:p w14:paraId="5AC4EABF">
      <w:pPr>
        <w:spacing w:line="360" w:lineRule="auto"/>
        <w:rPr>
          <w:rFonts w:hint="eastAsia" w:ascii="宋体" w:hAnsi="宋体" w:cs="宋体"/>
          <w:sz w:val="24"/>
        </w:rPr>
      </w:pPr>
      <w:r>
        <w:rPr>
          <w:rFonts w:hint="eastAsia" w:ascii="宋体" w:hAnsi="宋体" w:cs="宋体"/>
          <w:sz w:val="24"/>
        </w:rPr>
        <w:t xml:space="preserve">    地    址：桐庐县横村镇城东村双湖桐千1328号  </w:t>
      </w:r>
    </w:p>
    <w:p w14:paraId="4F6E81F8">
      <w:pPr>
        <w:spacing w:line="360" w:lineRule="auto"/>
        <w:ind w:firstLine="480" w:firstLineChars="200"/>
        <w:rPr>
          <w:rFonts w:hint="eastAsia" w:ascii="宋体" w:hAnsi="宋体" w:cs="宋体"/>
          <w:sz w:val="24"/>
        </w:rPr>
      </w:pPr>
      <w:r>
        <w:rPr>
          <w:rFonts w:hint="eastAsia" w:ascii="宋体" w:hAnsi="宋体" w:cs="宋体"/>
          <w:sz w:val="24"/>
        </w:rPr>
        <w:t>项目联系人（询问）：张文勤</w:t>
      </w:r>
    </w:p>
    <w:p w14:paraId="5D7CE61A">
      <w:pPr>
        <w:spacing w:line="360" w:lineRule="auto"/>
        <w:ind w:firstLine="480" w:firstLineChars="200"/>
        <w:rPr>
          <w:rFonts w:hint="eastAsia" w:ascii="宋体" w:hAnsi="宋体" w:cs="宋体"/>
          <w:sz w:val="24"/>
        </w:rPr>
      </w:pPr>
      <w:r>
        <w:rPr>
          <w:rFonts w:hint="eastAsia" w:ascii="宋体" w:hAnsi="宋体" w:cs="宋体"/>
          <w:sz w:val="24"/>
        </w:rPr>
        <w:t>项目联系方式（询问）：13968120763</w:t>
      </w:r>
    </w:p>
    <w:p w14:paraId="1B945993">
      <w:pPr>
        <w:spacing w:line="360" w:lineRule="auto"/>
        <w:ind w:firstLine="480" w:firstLineChars="200"/>
        <w:rPr>
          <w:rFonts w:hint="eastAsia" w:ascii="宋体" w:hAnsi="宋体" w:cs="宋体"/>
          <w:sz w:val="24"/>
        </w:rPr>
      </w:pPr>
      <w:r>
        <w:rPr>
          <w:rFonts w:hint="eastAsia" w:ascii="宋体" w:hAnsi="宋体" w:cs="宋体"/>
          <w:sz w:val="24"/>
        </w:rPr>
        <w:t>质疑联系人：练春高</w:t>
      </w:r>
    </w:p>
    <w:p w14:paraId="253D25FC">
      <w:pPr>
        <w:spacing w:line="360" w:lineRule="auto"/>
        <w:rPr>
          <w:rFonts w:hint="eastAsia" w:ascii="宋体" w:hAnsi="宋体" w:cs="宋体"/>
          <w:sz w:val="24"/>
        </w:rPr>
      </w:pPr>
      <w:r>
        <w:rPr>
          <w:rFonts w:hint="eastAsia" w:ascii="宋体" w:hAnsi="宋体" w:cs="宋体"/>
          <w:sz w:val="24"/>
        </w:rPr>
        <w:t xml:space="preserve">    质疑联系方式：0571-58501730</w:t>
      </w:r>
    </w:p>
    <w:p w14:paraId="35E6F643">
      <w:pPr>
        <w:spacing w:line="360" w:lineRule="auto"/>
        <w:rPr>
          <w:rFonts w:hint="eastAsia" w:ascii="宋体" w:hAnsi="宋体" w:cs="宋体"/>
          <w:sz w:val="24"/>
        </w:rPr>
      </w:pPr>
    </w:p>
    <w:p w14:paraId="78822747">
      <w:pPr>
        <w:spacing w:line="360" w:lineRule="auto"/>
        <w:ind w:firstLine="480" w:firstLineChars="200"/>
        <w:rPr>
          <w:rFonts w:hint="eastAsia" w:ascii="宋体" w:hAnsi="宋体" w:cs="宋体"/>
          <w:sz w:val="24"/>
        </w:rPr>
      </w:pPr>
      <w:r>
        <w:rPr>
          <w:rFonts w:hint="eastAsia" w:ascii="宋体" w:hAnsi="宋体" w:cs="宋体"/>
          <w:sz w:val="24"/>
        </w:rPr>
        <w:t xml:space="preserve">2.采购代理机构信息            </w:t>
      </w:r>
    </w:p>
    <w:p w14:paraId="3429BED0">
      <w:pPr>
        <w:spacing w:line="360" w:lineRule="auto"/>
        <w:ind w:firstLine="480"/>
        <w:rPr>
          <w:rFonts w:hint="eastAsia" w:ascii="宋体" w:hAnsi="宋体" w:cs="宋体"/>
          <w:sz w:val="24"/>
        </w:rPr>
      </w:pPr>
      <w:r>
        <w:rPr>
          <w:rFonts w:hint="eastAsia" w:ascii="宋体" w:hAnsi="宋体" w:cs="宋体"/>
          <w:sz w:val="24"/>
        </w:rPr>
        <w:t>名    称：杭州桐庐正宏建设管理有限公司</w:t>
      </w:r>
    </w:p>
    <w:p w14:paraId="4089FA51">
      <w:pPr>
        <w:spacing w:line="360" w:lineRule="auto"/>
        <w:ind w:firstLine="480"/>
        <w:rPr>
          <w:rFonts w:hint="eastAsia" w:ascii="宋体" w:hAnsi="宋体" w:cs="宋体"/>
          <w:sz w:val="24"/>
        </w:rPr>
      </w:pPr>
      <w:r>
        <w:rPr>
          <w:rFonts w:hint="eastAsia" w:ascii="宋体" w:hAnsi="宋体" w:cs="宋体"/>
          <w:sz w:val="24"/>
        </w:rPr>
        <w:t xml:space="preserve">地    址：桐庐县迎春南路88号桦桐大厦1101室            </w:t>
      </w:r>
    </w:p>
    <w:p w14:paraId="0854DD94">
      <w:pPr>
        <w:spacing w:line="360" w:lineRule="auto"/>
        <w:rPr>
          <w:rFonts w:hint="eastAsia" w:ascii="宋体" w:hAnsi="宋体" w:cs="宋体"/>
          <w:sz w:val="24"/>
        </w:rPr>
      </w:pPr>
      <w:r>
        <w:rPr>
          <w:rFonts w:hint="eastAsia" w:ascii="宋体" w:hAnsi="宋体" w:cs="宋体"/>
          <w:sz w:val="24"/>
        </w:rPr>
        <w:t xml:space="preserve">    项目联系人（询问）：陶张水         </w:t>
      </w:r>
    </w:p>
    <w:p w14:paraId="3AC53CAD">
      <w:pPr>
        <w:spacing w:line="360" w:lineRule="auto"/>
        <w:rPr>
          <w:rFonts w:hint="eastAsia" w:ascii="宋体" w:hAnsi="宋体" w:cs="宋体"/>
          <w:sz w:val="24"/>
        </w:rPr>
      </w:pPr>
      <w:r>
        <w:rPr>
          <w:rFonts w:hint="eastAsia" w:ascii="宋体" w:hAnsi="宋体" w:cs="宋体"/>
          <w:sz w:val="24"/>
        </w:rPr>
        <w:t xml:space="preserve">    项目联系方式（询问）：0571-64217869</w:t>
      </w:r>
    </w:p>
    <w:p w14:paraId="3BB57E62">
      <w:pPr>
        <w:spacing w:line="360" w:lineRule="auto"/>
        <w:rPr>
          <w:rFonts w:hint="eastAsia" w:ascii="宋体" w:hAnsi="宋体" w:cs="宋体"/>
          <w:sz w:val="24"/>
        </w:rPr>
      </w:pPr>
      <w:r>
        <w:rPr>
          <w:rFonts w:hint="eastAsia" w:ascii="宋体" w:hAnsi="宋体" w:cs="宋体"/>
          <w:sz w:val="24"/>
        </w:rPr>
        <w:t xml:space="preserve">    质疑联系人：吴正洪             </w:t>
      </w:r>
    </w:p>
    <w:p w14:paraId="3CBE3EA8">
      <w:pPr>
        <w:spacing w:line="360" w:lineRule="auto"/>
        <w:rPr>
          <w:rFonts w:hint="eastAsia" w:ascii="宋体" w:hAnsi="宋体" w:cs="宋体"/>
          <w:sz w:val="24"/>
        </w:rPr>
      </w:pPr>
      <w:r>
        <w:rPr>
          <w:rFonts w:hint="eastAsia" w:ascii="宋体" w:hAnsi="宋体" w:cs="宋体"/>
          <w:sz w:val="24"/>
        </w:rPr>
        <w:t xml:space="preserve">    质疑联系方式：0571-64217869</w:t>
      </w:r>
    </w:p>
    <w:p w14:paraId="697690B0">
      <w:pPr>
        <w:spacing w:line="360" w:lineRule="auto"/>
        <w:rPr>
          <w:rFonts w:hint="eastAsia" w:ascii="宋体" w:hAnsi="宋体" w:cs="宋体"/>
          <w:sz w:val="24"/>
        </w:rPr>
      </w:pPr>
      <w:r>
        <w:rPr>
          <w:rFonts w:hint="eastAsia" w:ascii="宋体" w:hAnsi="宋体" w:cs="宋体"/>
          <w:sz w:val="24"/>
        </w:rPr>
        <w:t xml:space="preserve">    </w:t>
      </w:r>
    </w:p>
    <w:p w14:paraId="0499B218">
      <w:pPr>
        <w:spacing w:line="360" w:lineRule="auto"/>
        <w:ind w:firstLine="480" w:firstLineChars="200"/>
        <w:rPr>
          <w:rFonts w:hint="eastAsia" w:ascii="宋体" w:hAnsi="宋体" w:cs="宋体"/>
          <w:sz w:val="24"/>
        </w:rPr>
      </w:pPr>
      <w:r>
        <w:rPr>
          <w:rFonts w:hint="eastAsia" w:ascii="宋体" w:hAnsi="宋体" w:cs="宋体"/>
          <w:sz w:val="24"/>
        </w:rPr>
        <w:t xml:space="preserve">3.同级政府采购监督管理部门            </w:t>
      </w:r>
    </w:p>
    <w:p w14:paraId="1751E364">
      <w:pPr>
        <w:spacing w:line="360" w:lineRule="auto"/>
        <w:rPr>
          <w:rFonts w:hint="eastAsia" w:ascii="宋体" w:hAnsi="宋体" w:cs="宋体"/>
          <w:sz w:val="24"/>
        </w:rPr>
      </w:pPr>
      <w:r>
        <w:rPr>
          <w:rFonts w:hint="eastAsia" w:ascii="宋体" w:hAnsi="宋体" w:cs="宋体"/>
          <w:sz w:val="24"/>
        </w:rPr>
        <w:t xml:space="preserve">    名    称：桐庐县财政局、浙江省政府采购行政裁决服务中心（杭州）</w:t>
      </w:r>
    </w:p>
    <w:p w14:paraId="3B8D2E4C">
      <w:pPr>
        <w:spacing w:line="360" w:lineRule="auto"/>
        <w:rPr>
          <w:rFonts w:hint="eastAsia" w:ascii="宋体" w:hAnsi="宋体" w:cs="宋体"/>
          <w:sz w:val="24"/>
        </w:rPr>
      </w:pPr>
      <w:r>
        <w:rPr>
          <w:rFonts w:hint="eastAsia" w:ascii="宋体" w:hAnsi="宋体" w:cs="宋体"/>
          <w:sz w:val="24"/>
        </w:rPr>
        <w:t xml:space="preserve">    地    址：杭州市上城区清泰街549号城建综合大楼11楼（快递仅限ems或顺丰）</w:t>
      </w:r>
    </w:p>
    <w:p w14:paraId="3235F194">
      <w:pPr>
        <w:spacing w:line="360" w:lineRule="auto"/>
        <w:rPr>
          <w:rFonts w:hint="eastAsia" w:ascii="宋体" w:hAnsi="宋体" w:cs="宋体"/>
          <w:sz w:val="24"/>
        </w:rPr>
      </w:pPr>
      <w:r>
        <w:rPr>
          <w:rFonts w:hint="eastAsia" w:ascii="宋体" w:hAnsi="宋体" w:cs="宋体"/>
          <w:sz w:val="24"/>
        </w:rPr>
        <w:t xml:space="preserve">    联系人 ：朱女士、王女士  </w:t>
      </w:r>
    </w:p>
    <w:p w14:paraId="5A8177AE">
      <w:pPr>
        <w:spacing w:line="360" w:lineRule="auto"/>
        <w:ind w:firstLine="480" w:firstLineChars="200"/>
        <w:rPr>
          <w:rFonts w:hint="eastAsia" w:ascii="宋体" w:hAnsi="宋体" w:cs="宋体"/>
          <w:sz w:val="24"/>
        </w:rPr>
      </w:pPr>
      <w:r>
        <w:rPr>
          <w:rFonts w:hint="eastAsia" w:ascii="宋体" w:hAnsi="宋体" w:cs="宋体"/>
          <w:sz w:val="24"/>
        </w:rPr>
        <w:t xml:space="preserve">监督投诉电话：0571-87227671,0571-87800218         </w:t>
      </w:r>
    </w:p>
    <w:p w14:paraId="33D941E7">
      <w:pPr>
        <w:spacing w:line="360" w:lineRule="auto"/>
        <w:ind w:firstLine="480" w:firstLineChars="200"/>
        <w:rPr>
          <w:rFonts w:hint="eastAsia" w:ascii="宋体" w:hAnsi="宋体" w:cs="宋体"/>
          <w:sz w:val="24"/>
        </w:rPr>
      </w:pPr>
    </w:p>
    <w:p w14:paraId="30C1FFC7">
      <w:pPr>
        <w:spacing w:line="360" w:lineRule="auto"/>
        <w:ind w:firstLine="480" w:firstLineChars="200"/>
        <w:rPr>
          <w:rFonts w:hint="eastAsia" w:ascii="宋体" w:hAnsi="宋体" w:cs="宋体"/>
          <w:sz w:val="24"/>
        </w:rPr>
      </w:pPr>
      <w:r>
        <w:rPr>
          <w:rFonts w:hint="eastAsia" w:ascii="宋体" w:hAnsi="宋体" w:cs="宋体"/>
          <w:sz w:val="24"/>
        </w:rPr>
        <w:t>若对项目采购电子交易系统操作有疑问，可登录政采云（https://www.zcygov.cn/），点击右侧咨询小采，获取采小蜜智能服务管家帮助，或拨打政采云服务热线95763获取热线服务帮助。</w:t>
      </w:r>
    </w:p>
    <w:p w14:paraId="1D7E4C5D">
      <w:pPr>
        <w:spacing w:line="360" w:lineRule="auto"/>
        <w:ind w:firstLine="480" w:firstLineChars="200"/>
        <w:rPr>
          <w:rFonts w:hint="eastAsia" w:ascii="宋体" w:hAnsi="宋体" w:cs="宋体"/>
          <w:sz w:val="24"/>
        </w:rPr>
      </w:pPr>
      <w:r>
        <w:rPr>
          <w:rFonts w:hint="eastAsia" w:ascii="宋体" w:hAnsi="宋体" w:cs="宋体"/>
          <w:sz w:val="24"/>
        </w:rPr>
        <w:t>CA问题联系电话（人工）：汇信CA 400-888-4636；天谷CA 400-087-8198。</w:t>
      </w:r>
    </w:p>
    <w:p w14:paraId="114441D0">
      <w:pPr>
        <w:pStyle w:val="38"/>
        <w:spacing w:line="360" w:lineRule="auto"/>
        <w:ind w:firstLine="480" w:firstLineChars="200"/>
        <w:rPr>
          <w:rFonts w:hint="eastAsia" w:hAnsi="宋体" w:cs="宋体"/>
          <w:sz w:val="24"/>
          <w:szCs w:val="24"/>
        </w:rPr>
      </w:pPr>
    </w:p>
    <w:p w14:paraId="029D7A9E">
      <w:pPr>
        <w:adjustRightInd/>
        <w:spacing w:line="360" w:lineRule="auto"/>
        <w:jc w:val="center"/>
        <w:outlineLvl w:val="0"/>
        <w:rPr>
          <w:rFonts w:hint="eastAsia" w:ascii="宋体" w:hAnsi="宋体" w:cs="宋体"/>
          <w:b/>
          <w:sz w:val="36"/>
          <w:szCs w:val="20"/>
        </w:rPr>
      </w:pPr>
      <w:r>
        <w:rPr>
          <w:rFonts w:hint="eastAsia" w:ascii="宋体" w:hAnsi="宋体" w:cs="宋体"/>
          <w:b/>
          <w:sz w:val="36"/>
          <w:szCs w:val="20"/>
        </w:rPr>
        <w:br w:type="page"/>
      </w:r>
      <w:r>
        <w:rPr>
          <w:rFonts w:hint="eastAsia" w:ascii="宋体" w:hAnsi="宋体" w:cs="宋体"/>
          <w:b/>
          <w:sz w:val="36"/>
          <w:szCs w:val="20"/>
        </w:rPr>
        <w:t>第二部分</w:t>
      </w:r>
      <w:bookmarkEnd w:id="1"/>
      <w:r>
        <w:rPr>
          <w:rFonts w:hint="eastAsia" w:ascii="宋体" w:hAnsi="宋体" w:cs="宋体"/>
          <w:b/>
          <w:sz w:val="36"/>
          <w:szCs w:val="20"/>
        </w:rPr>
        <w:t xml:space="preserve"> 投标人须知</w:t>
      </w:r>
      <w:bookmarkEnd w:id="2"/>
    </w:p>
    <w:p w14:paraId="6E75BFC2">
      <w:pPr>
        <w:snapToGrid w:val="0"/>
        <w:spacing w:line="360" w:lineRule="auto"/>
        <w:jc w:val="center"/>
        <w:rPr>
          <w:rFonts w:hint="eastAsia" w:ascii="宋体" w:hAnsi="宋体" w:cs="宋体"/>
          <w:b/>
          <w:sz w:val="32"/>
          <w:szCs w:val="20"/>
        </w:rPr>
      </w:pPr>
      <w:r>
        <w:rPr>
          <w:rFonts w:hint="eastAsia" w:ascii="宋体" w:hAnsi="宋体" w:cs="宋体"/>
          <w:b/>
          <w:sz w:val="32"/>
          <w:szCs w:val="20"/>
        </w:rPr>
        <w:t>前附表</w:t>
      </w:r>
    </w:p>
    <w:tbl>
      <w:tblPr>
        <w:tblStyle w:val="65"/>
        <w:tblW w:w="9205" w:type="dxa"/>
        <w:jc w:val="center"/>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Layout w:type="fixed"/>
        <w:tblCellMar>
          <w:top w:w="0" w:type="dxa"/>
          <w:left w:w="28" w:type="dxa"/>
          <w:bottom w:w="0" w:type="dxa"/>
          <w:right w:w="28" w:type="dxa"/>
        </w:tblCellMar>
      </w:tblPr>
      <w:tblGrid>
        <w:gridCol w:w="629"/>
        <w:gridCol w:w="1843"/>
        <w:gridCol w:w="6733"/>
      </w:tblGrid>
      <w:tr w14:paraId="162B915E">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PrEx>
        <w:trPr>
          <w:jc w:val="center"/>
        </w:trPr>
        <w:tc>
          <w:tcPr>
            <w:tcW w:w="629" w:type="dxa"/>
            <w:tcBorders>
              <w:tl2br w:val="nil"/>
              <w:tr2bl w:val="nil"/>
            </w:tcBorders>
          </w:tcPr>
          <w:p w14:paraId="364A76CE">
            <w:pPr>
              <w:snapToGrid w:val="0"/>
              <w:spacing w:line="360" w:lineRule="auto"/>
              <w:jc w:val="center"/>
              <w:rPr>
                <w:rFonts w:hint="eastAsia" w:ascii="宋体" w:hAnsi="宋体" w:cs="宋体"/>
                <w:b/>
                <w:sz w:val="24"/>
              </w:rPr>
            </w:pPr>
            <w:r>
              <w:rPr>
                <w:rFonts w:hint="eastAsia" w:ascii="宋体" w:hAnsi="宋体" w:cs="宋体"/>
                <w:b/>
                <w:sz w:val="24"/>
              </w:rPr>
              <w:t>序号</w:t>
            </w:r>
          </w:p>
        </w:tc>
        <w:tc>
          <w:tcPr>
            <w:tcW w:w="1843" w:type="dxa"/>
            <w:tcBorders>
              <w:tl2br w:val="nil"/>
              <w:tr2bl w:val="nil"/>
            </w:tcBorders>
            <w:vAlign w:val="center"/>
          </w:tcPr>
          <w:p w14:paraId="61BC9B05">
            <w:pPr>
              <w:snapToGrid w:val="0"/>
              <w:spacing w:line="360" w:lineRule="auto"/>
              <w:jc w:val="center"/>
              <w:rPr>
                <w:rFonts w:hint="eastAsia" w:ascii="宋体" w:hAnsi="宋体" w:cs="宋体"/>
                <w:b/>
                <w:sz w:val="24"/>
              </w:rPr>
            </w:pPr>
            <w:r>
              <w:rPr>
                <w:rFonts w:hint="eastAsia" w:ascii="宋体" w:hAnsi="宋体" w:cs="宋体"/>
                <w:b/>
                <w:sz w:val="24"/>
              </w:rPr>
              <w:t>事项</w:t>
            </w:r>
          </w:p>
        </w:tc>
        <w:tc>
          <w:tcPr>
            <w:tcW w:w="6733" w:type="dxa"/>
            <w:tcBorders>
              <w:tl2br w:val="nil"/>
              <w:tr2bl w:val="nil"/>
            </w:tcBorders>
            <w:vAlign w:val="center"/>
          </w:tcPr>
          <w:p w14:paraId="1B93F505">
            <w:pPr>
              <w:snapToGrid w:val="0"/>
              <w:spacing w:line="360" w:lineRule="auto"/>
              <w:jc w:val="center"/>
              <w:rPr>
                <w:rFonts w:hint="eastAsia" w:ascii="宋体" w:hAnsi="宋体" w:cs="宋体"/>
                <w:b/>
                <w:sz w:val="24"/>
              </w:rPr>
            </w:pPr>
            <w:r>
              <w:rPr>
                <w:rFonts w:hint="eastAsia" w:ascii="宋体" w:hAnsi="宋体" w:cs="宋体"/>
                <w:b/>
                <w:sz w:val="24"/>
              </w:rPr>
              <w:t>本项目的特别规定</w:t>
            </w:r>
          </w:p>
        </w:tc>
      </w:tr>
      <w:tr w14:paraId="18962E2A">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07480BE">
            <w:pPr>
              <w:snapToGrid w:val="0"/>
              <w:spacing w:line="360" w:lineRule="auto"/>
              <w:jc w:val="center"/>
              <w:rPr>
                <w:rFonts w:hint="eastAsia" w:ascii="宋体" w:hAnsi="宋体" w:cs="宋体"/>
                <w:sz w:val="24"/>
              </w:rPr>
            </w:pPr>
            <w:r>
              <w:rPr>
                <w:rFonts w:hint="eastAsia" w:ascii="宋体" w:hAnsi="宋体" w:cs="宋体"/>
                <w:sz w:val="24"/>
              </w:rPr>
              <w:t>1</w:t>
            </w:r>
          </w:p>
        </w:tc>
        <w:tc>
          <w:tcPr>
            <w:tcW w:w="1843" w:type="dxa"/>
            <w:tcBorders>
              <w:tl2br w:val="nil"/>
              <w:tr2bl w:val="nil"/>
            </w:tcBorders>
            <w:vAlign w:val="center"/>
          </w:tcPr>
          <w:p w14:paraId="307BB857">
            <w:pPr>
              <w:snapToGrid w:val="0"/>
              <w:spacing w:line="360" w:lineRule="auto"/>
              <w:jc w:val="center"/>
              <w:rPr>
                <w:rFonts w:hint="eastAsia" w:ascii="宋体" w:hAnsi="宋体" w:cs="宋体"/>
                <w:b/>
                <w:sz w:val="24"/>
              </w:rPr>
            </w:pPr>
            <w:r>
              <w:rPr>
                <w:rFonts w:hint="eastAsia" w:ascii="宋体" w:hAnsi="宋体" w:cs="宋体"/>
                <w:b/>
                <w:sz w:val="24"/>
              </w:rPr>
              <w:t>报价要求</w:t>
            </w:r>
          </w:p>
        </w:tc>
        <w:tc>
          <w:tcPr>
            <w:tcW w:w="6733" w:type="dxa"/>
            <w:tcBorders>
              <w:tl2br w:val="nil"/>
              <w:tr2bl w:val="nil"/>
            </w:tcBorders>
            <w:vAlign w:val="center"/>
          </w:tcPr>
          <w:p w14:paraId="155BA7BE">
            <w:pPr>
              <w:snapToGrid w:val="0"/>
              <w:spacing w:line="360" w:lineRule="auto"/>
              <w:jc w:val="left"/>
              <w:rPr>
                <w:rFonts w:hint="eastAsia" w:ascii="宋体" w:hAnsi="宋体" w:cs="宋体"/>
                <w:b/>
                <w:kern w:val="0"/>
                <w:sz w:val="24"/>
                <w:lang w:val="zh-CN"/>
              </w:rPr>
            </w:pPr>
            <w:r>
              <w:rPr>
                <w:rFonts w:hint="eastAsia" w:ascii="宋体" w:hAnsi="宋体" w:cs="宋体"/>
                <w:kern w:val="0"/>
                <w:sz w:val="24"/>
                <w:lang w:val="zh-CN"/>
              </w:rPr>
              <w:t>有关本项目实施所需的所有费用（含税费）均计入报价。</w:t>
            </w:r>
            <w:r>
              <w:rPr>
                <w:rFonts w:hint="eastAsia" w:ascii="宋体" w:hAnsi="宋体" w:cs="宋体"/>
                <w:sz w:val="24"/>
              </w:rPr>
              <w:t>开标一览表（报价表）是报价的唯一载体</w:t>
            </w:r>
            <w:r>
              <w:rPr>
                <w:rFonts w:hint="eastAsia" w:ascii="宋体" w:hAnsi="宋体" w:cs="宋体"/>
                <w:kern w:val="0"/>
                <w:sz w:val="24"/>
                <w:lang w:val="zh-CN"/>
              </w:rPr>
              <w:t>。投标文件中价格全部采用人民币报价。招标文件未列明，而投标人认为必需的费用也需列入报价。</w:t>
            </w:r>
          </w:p>
          <w:p w14:paraId="783ED818">
            <w:pPr>
              <w:snapToGrid w:val="0"/>
              <w:spacing w:line="360" w:lineRule="auto"/>
              <w:jc w:val="left"/>
              <w:rPr>
                <w:rFonts w:hint="eastAsia" w:ascii="宋体" w:hAnsi="宋体" w:cs="宋体"/>
                <w:b/>
                <w:kern w:val="0"/>
                <w:sz w:val="24"/>
                <w:lang w:val="zh-CN"/>
              </w:rPr>
            </w:pPr>
            <w:r>
              <w:rPr>
                <w:rFonts w:hint="eastAsia" w:ascii="宋体" w:hAnsi="宋体" w:cs="宋体"/>
                <w:b/>
                <w:kern w:val="0"/>
                <w:sz w:val="24"/>
                <w:lang w:val="zh-CN"/>
              </w:rPr>
              <w:t>投标报价出现下列情形的，投标无效：</w:t>
            </w:r>
          </w:p>
          <w:p w14:paraId="1DF51A24">
            <w:pPr>
              <w:snapToGrid w:val="0"/>
              <w:spacing w:line="360" w:lineRule="auto"/>
              <w:ind w:firstLine="241" w:firstLineChars="100"/>
              <w:jc w:val="left"/>
              <w:rPr>
                <w:rFonts w:hint="eastAsia" w:ascii="宋体" w:hAnsi="宋体" w:cs="宋体"/>
                <w:b/>
                <w:kern w:val="0"/>
                <w:sz w:val="24"/>
                <w:lang w:val="zh-CN"/>
              </w:rPr>
            </w:pPr>
            <w:r>
              <w:rPr>
                <w:rFonts w:hint="eastAsia" w:ascii="宋体" w:hAnsi="宋体" w:cs="宋体"/>
                <w:b/>
                <w:kern w:val="0"/>
                <w:sz w:val="24"/>
                <w:lang w:val="zh-CN"/>
              </w:rPr>
              <w:t>投标文件出现不是唯一的、有选择性投标报价的；</w:t>
            </w:r>
          </w:p>
          <w:p w14:paraId="5EF88FA6">
            <w:pPr>
              <w:snapToGrid w:val="0"/>
              <w:spacing w:line="360" w:lineRule="auto"/>
              <w:ind w:firstLine="241" w:firstLineChars="100"/>
              <w:jc w:val="left"/>
              <w:rPr>
                <w:rFonts w:hint="eastAsia" w:ascii="宋体" w:hAnsi="宋体" w:cs="宋体"/>
                <w:kern w:val="0"/>
                <w:sz w:val="24"/>
                <w:lang w:val="zh-CN"/>
              </w:rPr>
            </w:pPr>
            <w:r>
              <w:rPr>
                <w:rFonts w:hint="eastAsia" w:ascii="宋体" w:hAnsi="宋体" w:cs="宋体"/>
                <w:b/>
                <w:kern w:val="0"/>
                <w:sz w:val="24"/>
                <w:lang w:val="zh-CN"/>
              </w:rPr>
              <w:t>投标报价超过招标文件中规定的预算金额或者最高限价的;</w:t>
            </w:r>
          </w:p>
          <w:p w14:paraId="00ABB278">
            <w:pPr>
              <w:spacing w:line="360" w:lineRule="auto"/>
              <w:ind w:firstLine="241" w:firstLineChars="100"/>
              <w:rPr>
                <w:rFonts w:hint="eastAsia" w:ascii="宋体" w:hAnsi="宋体" w:cs="宋体"/>
                <w:b/>
                <w:sz w:val="24"/>
              </w:rPr>
            </w:pPr>
            <w:r>
              <w:rPr>
                <w:rFonts w:hint="eastAsia" w:ascii="宋体" w:hAnsi="宋体" w:cs="宋体"/>
                <w:b/>
                <w:kern w:val="0"/>
                <w:sz w:val="24"/>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sz w:val="24"/>
                <w:szCs w:val="21"/>
              </w:rPr>
              <w:t>；</w:t>
            </w:r>
          </w:p>
          <w:p w14:paraId="55EA4CEE">
            <w:pPr>
              <w:spacing w:line="360" w:lineRule="auto"/>
              <w:ind w:firstLine="241" w:firstLineChars="100"/>
              <w:rPr>
                <w:rFonts w:hint="eastAsia" w:ascii="宋体" w:hAnsi="宋体" w:cs="宋体"/>
                <w:sz w:val="24"/>
              </w:rPr>
            </w:pPr>
            <w:r>
              <w:rPr>
                <w:rFonts w:hint="eastAsia" w:ascii="宋体" w:hAnsi="宋体" w:cs="宋体"/>
                <w:b/>
                <w:kern w:val="0"/>
                <w:sz w:val="24"/>
              </w:rPr>
              <w:t>投标人对根据修正原则修正后的报价不确认的</w:t>
            </w:r>
            <w:r>
              <w:rPr>
                <w:rFonts w:hint="eastAsia" w:ascii="宋体" w:hAnsi="宋体" w:cs="宋体"/>
                <w:b/>
                <w:sz w:val="24"/>
              </w:rPr>
              <w:t>。</w:t>
            </w:r>
          </w:p>
        </w:tc>
      </w:tr>
      <w:tr w14:paraId="296D7970">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475CF2F">
            <w:pPr>
              <w:snapToGrid w:val="0"/>
              <w:spacing w:line="360" w:lineRule="auto"/>
              <w:jc w:val="center"/>
              <w:rPr>
                <w:rFonts w:hint="eastAsia" w:ascii="宋体" w:hAnsi="宋体" w:cs="宋体"/>
                <w:sz w:val="24"/>
              </w:rPr>
            </w:pPr>
            <w:r>
              <w:rPr>
                <w:rFonts w:hint="eastAsia" w:ascii="宋体" w:hAnsi="宋体" w:cs="宋体"/>
                <w:sz w:val="24"/>
              </w:rPr>
              <w:t>2</w:t>
            </w:r>
          </w:p>
        </w:tc>
        <w:tc>
          <w:tcPr>
            <w:tcW w:w="1843" w:type="dxa"/>
            <w:tcBorders>
              <w:tl2br w:val="nil"/>
              <w:tr2bl w:val="nil"/>
            </w:tcBorders>
            <w:vAlign w:val="center"/>
          </w:tcPr>
          <w:p w14:paraId="469A1451">
            <w:pPr>
              <w:snapToGrid w:val="0"/>
              <w:spacing w:line="360" w:lineRule="auto"/>
              <w:jc w:val="center"/>
              <w:rPr>
                <w:rFonts w:hint="eastAsia" w:ascii="宋体" w:hAnsi="宋体" w:cs="宋体"/>
                <w:b/>
                <w:sz w:val="24"/>
              </w:rPr>
            </w:pPr>
            <w:r>
              <w:rPr>
                <w:rFonts w:hint="eastAsia" w:ascii="宋体" w:hAnsi="宋体" w:cs="宋体"/>
                <w:b/>
                <w:sz w:val="24"/>
              </w:rPr>
              <w:t>分包</w:t>
            </w:r>
          </w:p>
        </w:tc>
        <w:tc>
          <w:tcPr>
            <w:tcW w:w="6733" w:type="dxa"/>
            <w:tcBorders>
              <w:tl2br w:val="nil"/>
              <w:tr2bl w:val="nil"/>
            </w:tcBorders>
            <w:vAlign w:val="center"/>
          </w:tcPr>
          <w:p w14:paraId="200A43E4">
            <w:pPr>
              <w:spacing w:line="360" w:lineRule="auto"/>
              <w:rPr>
                <w:rFonts w:hint="eastAsia" w:ascii="宋体" w:hAnsi="宋体" w:cs="宋体"/>
                <w:sz w:val="24"/>
              </w:rPr>
            </w:pPr>
            <w:sdt>
              <w:sdtPr>
                <w:rPr>
                  <w:rFonts w:hint="eastAsia" w:ascii="宋体" w:hAnsi="宋体" w:cs="宋体"/>
                  <w:kern w:val="0"/>
                  <w:sz w:val="24"/>
                </w:rPr>
                <w:id w:val="-1477286927"/>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kern w:val="0"/>
                <w:sz w:val="24"/>
              </w:rPr>
              <w:t xml:space="preserve"> A</w:t>
            </w:r>
            <w:r>
              <w:rPr>
                <w:rFonts w:hint="eastAsia" w:ascii="宋体" w:hAnsi="宋体" w:cs="宋体"/>
                <w:sz w:val="24"/>
              </w:rPr>
              <w:t>同意将非主体、非关键性的工作分包。</w:t>
            </w:r>
          </w:p>
          <w:p w14:paraId="44DB3AD9">
            <w:pPr>
              <w:spacing w:line="360" w:lineRule="auto"/>
              <w:rPr>
                <w:rFonts w:hint="eastAsia" w:ascii="宋体" w:hAnsi="宋体" w:cs="宋体"/>
                <w:sz w:val="24"/>
              </w:rPr>
            </w:pPr>
            <w:sdt>
              <w:sdtPr>
                <w:rPr>
                  <w:rFonts w:hint="eastAsia" w:ascii="宋体" w:hAnsi="宋体" w:cs="宋体"/>
                  <w:kern w:val="0"/>
                  <w:sz w:val="24"/>
                </w:rPr>
                <w:id w:val="-1276331357"/>
              </w:sdtPr>
              <w:sdtEndPr>
                <w:rPr>
                  <w:rFonts w:hint="eastAsia" w:ascii="宋体" w:hAnsi="宋体" w:cs="宋体"/>
                  <w:kern w:val="0"/>
                  <w:sz w:val="24"/>
                </w:rPr>
              </w:sdtEndPr>
              <w:sdtContent>
                <w:sdt>
                  <w:sdtPr>
                    <w:rPr>
                      <w:rFonts w:hint="eastAsia" w:ascii="宋体" w:hAnsi="宋体" w:cs="宋体"/>
                      <w:kern w:val="0"/>
                      <w:sz w:val="24"/>
                    </w:rPr>
                    <w:id w:val="348868423"/>
                  </w:sdtPr>
                  <w:sdtEndPr>
                    <w:rPr>
                      <w:rFonts w:hint="eastAsia" w:ascii="宋体" w:hAnsi="宋体" w:cs="宋体"/>
                      <w:kern w:val="0"/>
                      <w:sz w:val="24"/>
                    </w:rPr>
                  </w:sdtEndPr>
                  <w:sdtContent>
                    <w:r>
                      <w:rPr>
                        <w:rFonts w:hint="eastAsia" w:ascii="宋体" w:hAnsi="宋体" w:cs="宋体"/>
                        <w:kern w:val="0"/>
                        <w:sz w:val="24"/>
                      </w:rPr>
                      <w:sym w:font="Wingdings" w:char="F0FE"/>
                    </w:r>
                  </w:sdtContent>
                </w:sdt>
              </w:sdtContent>
            </w:sdt>
            <w:r>
              <w:rPr>
                <w:rFonts w:hint="eastAsia" w:ascii="宋体" w:hAnsi="宋体" w:cs="宋体"/>
                <w:kern w:val="0"/>
                <w:sz w:val="24"/>
              </w:rPr>
              <w:t xml:space="preserve"> B</w:t>
            </w:r>
            <w:r>
              <w:rPr>
                <w:rFonts w:hint="eastAsia" w:ascii="宋体" w:hAnsi="宋体" w:cs="宋体"/>
                <w:sz w:val="24"/>
              </w:rPr>
              <w:t>不同意分包。</w:t>
            </w:r>
          </w:p>
        </w:tc>
      </w:tr>
      <w:tr w14:paraId="6E13082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restart"/>
            <w:tcBorders>
              <w:tl2br w:val="nil"/>
              <w:tr2bl w:val="nil"/>
            </w:tcBorders>
            <w:vAlign w:val="center"/>
          </w:tcPr>
          <w:p w14:paraId="67D89906">
            <w:pPr>
              <w:snapToGrid w:val="0"/>
              <w:spacing w:line="360" w:lineRule="auto"/>
              <w:jc w:val="center"/>
              <w:rPr>
                <w:rFonts w:hint="eastAsia" w:ascii="宋体" w:hAnsi="宋体" w:cs="宋体"/>
                <w:sz w:val="24"/>
              </w:rPr>
            </w:pPr>
            <w:r>
              <w:rPr>
                <w:rFonts w:hint="eastAsia" w:ascii="宋体" w:hAnsi="宋体" w:cs="宋体"/>
                <w:sz w:val="24"/>
              </w:rPr>
              <w:t>3</w:t>
            </w:r>
          </w:p>
        </w:tc>
        <w:tc>
          <w:tcPr>
            <w:tcW w:w="1843" w:type="dxa"/>
            <w:vMerge w:val="restart"/>
            <w:tcBorders>
              <w:tl2br w:val="nil"/>
              <w:tr2bl w:val="nil"/>
            </w:tcBorders>
            <w:vAlign w:val="center"/>
          </w:tcPr>
          <w:p w14:paraId="7B736520">
            <w:pPr>
              <w:snapToGrid w:val="0"/>
              <w:spacing w:line="360" w:lineRule="auto"/>
              <w:jc w:val="center"/>
              <w:rPr>
                <w:rFonts w:hint="eastAsia" w:ascii="宋体" w:hAnsi="宋体" w:cs="宋体"/>
                <w:b/>
                <w:sz w:val="24"/>
              </w:rPr>
            </w:pPr>
            <w:r>
              <w:rPr>
                <w:rFonts w:hint="eastAsia" w:ascii="宋体" w:hAnsi="宋体" w:cs="宋体"/>
                <w:b/>
                <w:sz w:val="24"/>
              </w:rPr>
              <w:t>投标人应当提供的资格、资信证明文件</w:t>
            </w:r>
          </w:p>
        </w:tc>
        <w:tc>
          <w:tcPr>
            <w:tcW w:w="6733" w:type="dxa"/>
            <w:tcBorders>
              <w:tl2br w:val="nil"/>
              <w:tr2bl w:val="nil"/>
            </w:tcBorders>
            <w:vAlign w:val="center"/>
          </w:tcPr>
          <w:p w14:paraId="14FB76B0">
            <w:pPr>
              <w:spacing w:line="360" w:lineRule="auto"/>
              <w:rPr>
                <w:rFonts w:hint="eastAsia" w:ascii="宋体" w:hAnsi="宋体" w:cs="宋体"/>
                <w:sz w:val="24"/>
              </w:rPr>
            </w:pPr>
            <w:r>
              <w:rPr>
                <w:rFonts w:hint="eastAsia" w:ascii="宋体" w:hAnsi="宋体" w:cs="宋体"/>
                <w:sz w:val="24"/>
              </w:rPr>
              <w:t>（1）资格证明文件：见招标文件第二部分11.1。</w:t>
            </w:r>
          </w:p>
          <w:p w14:paraId="0E04ED5F">
            <w:pPr>
              <w:spacing w:line="360" w:lineRule="auto"/>
              <w:rPr>
                <w:rFonts w:hint="eastAsia" w:ascii="宋体" w:hAnsi="宋体" w:cs="宋体"/>
                <w:snapToGrid w:val="0"/>
                <w:kern w:val="0"/>
                <w:szCs w:val="21"/>
              </w:rPr>
            </w:pPr>
            <w:r>
              <w:rPr>
                <w:rFonts w:hint="eastAsia" w:ascii="宋体" w:hAnsi="宋体" w:cs="宋体"/>
                <w:kern w:val="0"/>
                <w:sz w:val="24"/>
                <w:lang w:val="zh-CN"/>
              </w:rPr>
              <w:t>投标人未提供有效的资格证明文件的，视为投标人不具备招标文件中规定的资格要求，投标无效。</w:t>
            </w:r>
          </w:p>
        </w:tc>
      </w:tr>
      <w:tr w14:paraId="21FC78F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continue"/>
            <w:tcBorders>
              <w:tl2br w:val="nil"/>
              <w:tr2bl w:val="nil"/>
            </w:tcBorders>
            <w:vAlign w:val="center"/>
          </w:tcPr>
          <w:p w14:paraId="6B2D0501">
            <w:pPr>
              <w:snapToGrid w:val="0"/>
              <w:spacing w:line="360" w:lineRule="auto"/>
              <w:jc w:val="center"/>
              <w:rPr>
                <w:rFonts w:hint="eastAsia" w:ascii="宋体" w:hAnsi="宋体" w:cs="宋体"/>
                <w:sz w:val="24"/>
              </w:rPr>
            </w:pPr>
          </w:p>
        </w:tc>
        <w:tc>
          <w:tcPr>
            <w:tcW w:w="1843" w:type="dxa"/>
            <w:vMerge w:val="continue"/>
            <w:tcBorders>
              <w:tl2br w:val="nil"/>
              <w:tr2bl w:val="nil"/>
            </w:tcBorders>
            <w:vAlign w:val="center"/>
          </w:tcPr>
          <w:p w14:paraId="3925D7CC">
            <w:pPr>
              <w:snapToGrid w:val="0"/>
              <w:spacing w:line="360" w:lineRule="auto"/>
              <w:jc w:val="center"/>
              <w:rPr>
                <w:rFonts w:hint="eastAsia" w:ascii="宋体" w:hAnsi="宋体" w:cs="宋体"/>
                <w:b/>
                <w:sz w:val="24"/>
              </w:rPr>
            </w:pPr>
          </w:p>
        </w:tc>
        <w:tc>
          <w:tcPr>
            <w:tcW w:w="6733" w:type="dxa"/>
            <w:tcBorders>
              <w:tl2br w:val="nil"/>
              <w:tr2bl w:val="nil"/>
            </w:tcBorders>
            <w:vAlign w:val="center"/>
          </w:tcPr>
          <w:p w14:paraId="7BD47E41">
            <w:pPr>
              <w:spacing w:line="360" w:lineRule="auto"/>
              <w:rPr>
                <w:rFonts w:hint="eastAsia" w:ascii="宋体" w:hAnsi="宋体" w:cs="宋体"/>
                <w:sz w:val="24"/>
              </w:rPr>
            </w:pPr>
            <w:r>
              <w:rPr>
                <w:rFonts w:hint="eastAsia" w:ascii="宋体" w:hAnsi="宋体" w:cs="宋体"/>
                <w:sz w:val="24"/>
              </w:rPr>
              <w:t>（2）资信证明文件：根据招标文件第四部分评标标准提供。</w:t>
            </w:r>
          </w:p>
        </w:tc>
      </w:tr>
      <w:tr w14:paraId="38A966F8">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DB8ED7F">
            <w:pPr>
              <w:snapToGrid w:val="0"/>
              <w:spacing w:line="360" w:lineRule="auto"/>
              <w:jc w:val="center"/>
              <w:rPr>
                <w:rFonts w:hint="eastAsia" w:ascii="宋体" w:hAnsi="宋体" w:cs="宋体"/>
                <w:sz w:val="24"/>
              </w:rPr>
            </w:pPr>
            <w:r>
              <w:rPr>
                <w:rFonts w:hint="eastAsia" w:ascii="宋体" w:hAnsi="宋体" w:cs="宋体"/>
                <w:sz w:val="24"/>
              </w:rPr>
              <w:t>4</w:t>
            </w:r>
          </w:p>
        </w:tc>
        <w:tc>
          <w:tcPr>
            <w:tcW w:w="1843" w:type="dxa"/>
            <w:tcBorders>
              <w:tl2br w:val="nil"/>
              <w:tr2bl w:val="nil"/>
            </w:tcBorders>
            <w:vAlign w:val="center"/>
          </w:tcPr>
          <w:p w14:paraId="6A7C1E90">
            <w:pPr>
              <w:snapToGrid w:val="0"/>
              <w:spacing w:line="360" w:lineRule="auto"/>
              <w:jc w:val="center"/>
              <w:rPr>
                <w:rFonts w:hint="eastAsia" w:ascii="宋体" w:hAnsi="宋体" w:cs="宋体"/>
                <w:b/>
                <w:sz w:val="24"/>
              </w:rPr>
            </w:pPr>
            <w:r>
              <w:rPr>
                <w:rFonts w:hint="eastAsia" w:ascii="宋体" w:hAnsi="宋体" w:cs="宋体"/>
                <w:b/>
                <w:sz w:val="24"/>
              </w:rPr>
              <w:t>开标前答疑会或现场考察</w:t>
            </w:r>
          </w:p>
        </w:tc>
        <w:tc>
          <w:tcPr>
            <w:tcW w:w="6733" w:type="dxa"/>
            <w:tcBorders>
              <w:tl2br w:val="nil"/>
              <w:tr2bl w:val="nil"/>
            </w:tcBorders>
            <w:vAlign w:val="center"/>
          </w:tcPr>
          <w:p w14:paraId="36AD7D37">
            <w:pPr>
              <w:spacing w:line="360" w:lineRule="auto"/>
              <w:rPr>
                <w:rFonts w:hint="eastAsia" w:ascii="宋体" w:hAnsi="宋体" w:cs="宋体"/>
                <w:sz w:val="24"/>
                <w:szCs w:val="20"/>
              </w:rPr>
            </w:pPr>
            <w:sdt>
              <w:sdtPr>
                <w:rPr>
                  <w:rFonts w:hint="eastAsia" w:ascii="宋体" w:hAnsi="宋体" w:cs="宋体"/>
                  <w:kern w:val="0"/>
                  <w:sz w:val="24"/>
                </w:rPr>
                <w:id w:val="-212966419"/>
              </w:sdtPr>
              <w:sdtEndPr>
                <w:rPr>
                  <w:rFonts w:hint="eastAsia" w:ascii="宋体" w:hAnsi="宋体" w:cs="宋体"/>
                  <w:kern w:val="0"/>
                  <w:sz w:val="24"/>
                </w:rPr>
              </w:sdtEndPr>
              <w:sdtContent>
                <w:r>
                  <w:rPr>
                    <w:rFonts w:hint="eastAsia" w:ascii="宋体" w:hAnsi="宋体" w:cs="宋体"/>
                    <w:kern w:val="0"/>
                    <w:sz w:val="24"/>
                  </w:rPr>
                  <w:sym w:font="Wingdings" w:char="00FE"/>
                </w:r>
              </w:sdtContent>
            </w:sdt>
            <w:r>
              <w:rPr>
                <w:rFonts w:hint="eastAsia" w:ascii="宋体" w:hAnsi="宋体" w:cs="宋体"/>
                <w:kern w:val="0"/>
                <w:sz w:val="24"/>
              </w:rPr>
              <w:t>A</w:t>
            </w:r>
            <w:r>
              <w:rPr>
                <w:rFonts w:hint="eastAsia" w:ascii="宋体" w:hAnsi="宋体" w:cs="宋体"/>
                <w:sz w:val="24"/>
              </w:rPr>
              <w:t>不组织。</w:t>
            </w:r>
          </w:p>
        </w:tc>
      </w:tr>
      <w:tr w14:paraId="1BCE44D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5E01694">
            <w:pPr>
              <w:snapToGrid w:val="0"/>
              <w:spacing w:line="360" w:lineRule="auto"/>
              <w:jc w:val="center"/>
              <w:rPr>
                <w:rFonts w:hint="eastAsia" w:ascii="宋体" w:hAnsi="宋体" w:cs="宋体"/>
                <w:sz w:val="24"/>
              </w:rPr>
            </w:pPr>
            <w:r>
              <w:rPr>
                <w:rFonts w:hint="eastAsia" w:ascii="宋体" w:hAnsi="宋体" w:cs="宋体"/>
                <w:sz w:val="24"/>
              </w:rPr>
              <w:t>5</w:t>
            </w:r>
          </w:p>
        </w:tc>
        <w:tc>
          <w:tcPr>
            <w:tcW w:w="1843" w:type="dxa"/>
            <w:tcBorders>
              <w:tl2br w:val="nil"/>
              <w:tr2bl w:val="nil"/>
            </w:tcBorders>
            <w:vAlign w:val="center"/>
          </w:tcPr>
          <w:p w14:paraId="10CF077B">
            <w:pPr>
              <w:snapToGrid w:val="0"/>
              <w:spacing w:line="360" w:lineRule="auto"/>
              <w:jc w:val="center"/>
              <w:rPr>
                <w:rFonts w:hint="eastAsia" w:ascii="宋体" w:hAnsi="宋体" w:cs="宋体"/>
                <w:b/>
                <w:sz w:val="24"/>
              </w:rPr>
            </w:pPr>
            <w:r>
              <w:rPr>
                <w:rFonts w:hint="eastAsia" w:ascii="宋体" w:hAnsi="宋体" w:cs="宋体"/>
                <w:b/>
                <w:sz w:val="24"/>
              </w:rPr>
              <w:t>样品提供</w:t>
            </w:r>
          </w:p>
        </w:tc>
        <w:tc>
          <w:tcPr>
            <w:tcW w:w="6733" w:type="dxa"/>
            <w:tcBorders>
              <w:tl2br w:val="nil"/>
              <w:tr2bl w:val="nil"/>
            </w:tcBorders>
            <w:vAlign w:val="center"/>
          </w:tcPr>
          <w:p w14:paraId="715EB9BF">
            <w:pPr>
              <w:spacing w:line="360" w:lineRule="auto"/>
              <w:rPr>
                <w:rFonts w:hint="eastAsia" w:ascii="宋体" w:hAnsi="宋体" w:cs="宋体"/>
                <w:kern w:val="0"/>
                <w:sz w:val="24"/>
              </w:rPr>
            </w:pPr>
            <w:r>
              <w:rPr>
                <w:rFonts w:hint="eastAsia" w:ascii="宋体" w:hAnsi="宋体" w:cs="宋体"/>
                <w:kern w:val="0"/>
                <w:sz w:val="24"/>
              </w:rPr>
              <w:sym w:font="Wingdings" w:char="00FE"/>
            </w:r>
            <w:r>
              <w:rPr>
                <w:rFonts w:hint="eastAsia" w:ascii="宋体" w:hAnsi="宋体" w:cs="宋体"/>
                <w:kern w:val="0"/>
                <w:sz w:val="24"/>
              </w:rPr>
              <w:t>A 不要求提供。</w:t>
            </w:r>
          </w:p>
          <w:p w14:paraId="5A08B9D7">
            <w:pPr>
              <w:spacing w:line="360" w:lineRule="auto"/>
              <w:rPr>
                <w:rFonts w:hint="eastAsia" w:ascii="宋体" w:hAnsi="宋体" w:cs="宋体"/>
                <w:b/>
                <w:sz w:val="24"/>
              </w:rPr>
            </w:pPr>
            <w:r>
              <w:rPr>
                <w:rFonts w:hint="eastAsia" w:ascii="宋体" w:hAnsi="宋体" w:cs="宋体"/>
                <w:kern w:val="0"/>
                <w:sz w:val="24"/>
              </w:rPr>
              <w:sym w:font="Wingdings" w:char="00A8"/>
            </w:r>
            <w:r>
              <w:rPr>
                <w:rFonts w:hint="eastAsia" w:ascii="宋体" w:hAnsi="宋体" w:cs="宋体"/>
                <w:kern w:val="0"/>
                <w:sz w:val="24"/>
              </w:rPr>
              <w:t>B 要求提供，</w:t>
            </w:r>
          </w:p>
        </w:tc>
      </w:tr>
      <w:tr w14:paraId="7A7322E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53340735">
            <w:pPr>
              <w:snapToGrid w:val="0"/>
              <w:spacing w:line="360" w:lineRule="auto"/>
              <w:jc w:val="center"/>
              <w:rPr>
                <w:rFonts w:hint="eastAsia" w:ascii="宋体" w:hAnsi="宋体" w:cs="宋体"/>
                <w:sz w:val="24"/>
              </w:rPr>
            </w:pPr>
            <w:r>
              <w:rPr>
                <w:rFonts w:hint="eastAsia" w:ascii="宋体" w:hAnsi="宋体" w:cs="宋体"/>
                <w:sz w:val="24"/>
              </w:rPr>
              <w:t>6</w:t>
            </w:r>
          </w:p>
        </w:tc>
        <w:tc>
          <w:tcPr>
            <w:tcW w:w="1843" w:type="dxa"/>
            <w:tcBorders>
              <w:tl2br w:val="nil"/>
              <w:tr2bl w:val="nil"/>
            </w:tcBorders>
            <w:vAlign w:val="center"/>
          </w:tcPr>
          <w:p w14:paraId="0E0555F2">
            <w:pPr>
              <w:snapToGrid w:val="0"/>
              <w:spacing w:line="360" w:lineRule="auto"/>
              <w:jc w:val="center"/>
              <w:rPr>
                <w:rFonts w:hint="eastAsia" w:ascii="宋体" w:hAnsi="宋体" w:cs="宋体"/>
                <w:bCs/>
                <w:sz w:val="24"/>
              </w:rPr>
            </w:pPr>
            <w:r>
              <w:rPr>
                <w:rFonts w:hint="eastAsia" w:ascii="宋体" w:hAnsi="宋体" w:cs="宋体"/>
                <w:b/>
                <w:sz w:val="24"/>
              </w:rPr>
              <w:t>方案讲解演示</w:t>
            </w:r>
          </w:p>
        </w:tc>
        <w:tc>
          <w:tcPr>
            <w:tcW w:w="6733" w:type="dxa"/>
            <w:tcBorders>
              <w:tl2br w:val="nil"/>
              <w:tr2bl w:val="nil"/>
            </w:tcBorders>
            <w:vAlign w:val="center"/>
          </w:tcPr>
          <w:p w14:paraId="7DBEE8A5">
            <w:pPr>
              <w:spacing w:line="360" w:lineRule="auto"/>
              <w:rPr>
                <w:rFonts w:hint="eastAsia" w:ascii="宋体" w:hAnsi="宋体" w:cs="宋体"/>
                <w:sz w:val="24"/>
              </w:rPr>
            </w:pPr>
            <w:sdt>
              <w:sdtPr>
                <w:rPr>
                  <w:rFonts w:hint="eastAsia" w:ascii="宋体" w:hAnsi="宋体" w:cs="宋体"/>
                  <w:kern w:val="0"/>
                  <w:sz w:val="24"/>
                </w:rPr>
                <w:id w:val="147475194"/>
                <w14:checkbox>
                  <w14:checked w14:val="0"/>
                  <w14:checkedState w14:val="00FE" w14:font="Wingdings"/>
                  <w14:uncheckedState w14:val="2610" w14:font="MS Gothic"/>
                </w14:checkbox>
              </w:sdtPr>
              <w:sdtEndPr>
                <w:rPr>
                  <w:rFonts w:hint="eastAsia" w:ascii="宋体" w:hAnsi="宋体" w:cs="宋体"/>
                  <w:kern w:val="0"/>
                  <w:sz w:val="24"/>
                </w:rPr>
              </w:sdtEndPr>
              <w:sdtContent>
                <w:r>
                  <w:rPr>
                    <w:rFonts w:hint="eastAsia" w:ascii="MS Gothic" w:hAnsi="MS Gothic" w:cs="宋体"/>
                    <w:kern w:val="0"/>
                    <w:sz w:val="24"/>
                  </w:rPr>
                  <w:t>☐</w:t>
                </w:r>
              </w:sdtContent>
            </w:sdt>
            <w:r>
              <w:rPr>
                <w:rFonts w:hint="eastAsia" w:ascii="宋体" w:hAnsi="宋体" w:cs="宋体"/>
                <w:kern w:val="0"/>
                <w:sz w:val="24"/>
              </w:rPr>
              <w:t>A</w:t>
            </w:r>
            <w:r>
              <w:rPr>
                <w:rFonts w:hint="eastAsia" w:ascii="宋体" w:hAnsi="宋体" w:cs="宋体"/>
                <w:sz w:val="24"/>
              </w:rPr>
              <w:t>不组织。</w:t>
            </w:r>
          </w:p>
          <w:p w14:paraId="1FF009F0">
            <w:pPr>
              <w:spacing w:line="360" w:lineRule="auto"/>
              <w:rPr>
                <w:rFonts w:hint="eastAsia" w:ascii="宋体" w:hAnsi="宋体" w:cs="宋体"/>
                <w:kern w:val="0"/>
                <w:sz w:val="24"/>
              </w:rPr>
            </w:pPr>
            <w:sdt>
              <w:sdtPr>
                <w:rPr>
                  <w:rFonts w:hint="eastAsia" w:ascii="宋体" w:hAnsi="宋体" w:cs="宋体"/>
                  <w:kern w:val="0"/>
                  <w:sz w:val="24"/>
                </w:rPr>
                <w:id w:val="147455664"/>
                <w14:checkbox>
                  <w14:checked w14:val="1"/>
                  <w14:checkedState w14:val="00FE" w14:font="Wingdings"/>
                  <w14:uncheckedState w14:val="2610" w14:font="MS Gothic"/>
                </w14:checkbox>
              </w:sdtPr>
              <w:sdtEndPr>
                <w:rPr>
                  <w:rFonts w:hint="eastAsia" w:ascii="宋体" w:hAnsi="宋体" w:cs="宋体"/>
                  <w:kern w:val="0"/>
                  <w:sz w:val="24"/>
                </w:rPr>
              </w:sdtEndPr>
              <w:sdtContent>
                <w:r>
                  <w:rPr>
                    <w:rFonts w:hint="eastAsia" w:ascii="Wingdings" w:hAnsi="Wingdings" w:cs="宋体"/>
                    <w:kern w:val="0"/>
                    <w:sz w:val="24"/>
                  </w:rPr>
                  <w:t>þ</w:t>
                </w:r>
              </w:sdtContent>
            </w:sdt>
            <w:r>
              <w:rPr>
                <w:rFonts w:hint="eastAsia" w:ascii="宋体" w:hAnsi="宋体" w:cs="宋体"/>
                <w:kern w:val="0"/>
                <w:sz w:val="24"/>
              </w:rPr>
              <w:t>B组织。</w:t>
            </w:r>
          </w:p>
          <w:p w14:paraId="56BA09BD">
            <w:pPr>
              <w:spacing w:line="360" w:lineRule="auto"/>
              <w:rPr>
                <w:rFonts w:hint="eastAsia" w:ascii="宋体" w:hAnsi="宋体" w:cs="宋体"/>
                <w:sz w:val="24"/>
              </w:rPr>
            </w:pPr>
            <w:r>
              <w:rPr>
                <w:rFonts w:hint="eastAsia" w:ascii="宋体" w:hAnsi="宋体" w:cs="宋体"/>
                <w:sz w:val="24"/>
              </w:rPr>
              <w:t>1.要求演示所用设备必须与投标产品一致。本项目功能演示以录播视频播放形式进行，供应商应将完整的功能演示视频以u盘形式在投标截止时间前邮寄或现场送达至采购代理机构项目负责人，送达时间以签收人签收时间为准。采购代理机构将拒绝接受逾期送达的视频演示文件。</w:t>
            </w:r>
          </w:p>
          <w:p w14:paraId="3A14716D">
            <w:pPr>
              <w:spacing w:line="360" w:lineRule="auto"/>
              <w:rPr>
                <w:rFonts w:hint="eastAsia" w:ascii="宋体" w:hAnsi="宋体" w:cs="宋体"/>
                <w:sz w:val="24"/>
              </w:rPr>
            </w:pPr>
            <w:r>
              <w:rPr>
                <w:rFonts w:hint="eastAsia" w:ascii="宋体" w:hAnsi="宋体" w:cs="宋体"/>
                <w:sz w:val="24"/>
              </w:rPr>
              <w:t>2.邮寄过程中，视频演示文件发生泄露、遗失、损坏或延期送达等情况的，由投标人自行负责。</w:t>
            </w:r>
          </w:p>
          <w:p w14:paraId="3D502D4D">
            <w:pPr>
              <w:spacing w:line="360" w:lineRule="auto"/>
              <w:rPr>
                <w:rFonts w:hint="eastAsia" w:ascii="宋体" w:hAnsi="宋体" w:cs="宋体"/>
                <w:sz w:val="24"/>
              </w:rPr>
            </w:pPr>
            <w:r>
              <w:rPr>
                <w:rFonts w:hint="eastAsia" w:ascii="宋体" w:hAnsi="宋体" w:cs="宋体"/>
                <w:sz w:val="24"/>
              </w:rPr>
              <w:t>3.供应商邮寄或现场送达的视频演示文件应单独密封包装，注明项目名称、项目编号、投标供应商信息并加盖公章。不符合上述制作、存储、密封规定的将被视为无效或者被拒绝接收。</w:t>
            </w:r>
          </w:p>
          <w:p w14:paraId="47E6C07C">
            <w:pPr>
              <w:spacing w:line="360" w:lineRule="auto"/>
              <w:rPr>
                <w:rFonts w:hint="eastAsia" w:ascii="宋体" w:hAnsi="宋体" w:cs="宋体"/>
                <w:b/>
                <w:kern w:val="0"/>
                <w:sz w:val="24"/>
                <w:lang w:val="zh-CN"/>
              </w:rPr>
            </w:pPr>
            <w:r>
              <w:rPr>
                <w:rFonts w:hint="eastAsia" w:ascii="宋体" w:hAnsi="宋体" w:cs="宋体"/>
                <w:sz w:val="24"/>
              </w:rPr>
              <w:t>4.开标结束后U盘不予退还，作为投标文件的组成部分，不演示不得分。</w:t>
            </w:r>
          </w:p>
        </w:tc>
      </w:tr>
      <w:tr w14:paraId="3E2123C4">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E0EA0D5">
            <w:pPr>
              <w:snapToGrid w:val="0"/>
              <w:spacing w:line="360" w:lineRule="auto"/>
              <w:jc w:val="center"/>
              <w:rPr>
                <w:rFonts w:hint="eastAsia" w:ascii="宋体" w:hAnsi="宋体" w:cs="宋体"/>
                <w:sz w:val="24"/>
              </w:rPr>
            </w:pPr>
            <w:r>
              <w:rPr>
                <w:rFonts w:hint="eastAsia" w:ascii="宋体" w:hAnsi="宋体" w:cs="宋体"/>
                <w:sz w:val="24"/>
              </w:rPr>
              <w:t>7</w:t>
            </w:r>
          </w:p>
        </w:tc>
        <w:tc>
          <w:tcPr>
            <w:tcW w:w="1843" w:type="dxa"/>
            <w:tcBorders>
              <w:tl2br w:val="nil"/>
              <w:tr2bl w:val="nil"/>
            </w:tcBorders>
            <w:vAlign w:val="center"/>
          </w:tcPr>
          <w:p w14:paraId="023CC5C1">
            <w:pPr>
              <w:snapToGrid w:val="0"/>
              <w:spacing w:line="360" w:lineRule="auto"/>
              <w:jc w:val="center"/>
              <w:rPr>
                <w:rFonts w:hint="eastAsia" w:ascii="宋体" w:hAnsi="宋体" w:cs="宋体"/>
                <w:b/>
                <w:sz w:val="24"/>
              </w:rPr>
            </w:pPr>
            <w:r>
              <w:rPr>
                <w:rFonts w:hint="eastAsia" w:ascii="宋体" w:hAnsi="宋体" w:cs="宋体"/>
                <w:b/>
                <w:sz w:val="24"/>
              </w:rPr>
              <w:t>是否允许采购进口产品</w:t>
            </w:r>
          </w:p>
        </w:tc>
        <w:tc>
          <w:tcPr>
            <w:tcW w:w="6733" w:type="dxa"/>
            <w:tcBorders>
              <w:tl2br w:val="nil"/>
              <w:tr2bl w:val="nil"/>
            </w:tcBorders>
            <w:vAlign w:val="center"/>
          </w:tcPr>
          <w:p w14:paraId="707B1D54">
            <w:pPr>
              <w:spacing w:line="360" w:lineRule="auto"/>
              <w:rPr>
                <w:rFonts w:hint="eastAsia" w:ascii="宋体" w:hAnsi="宋体" w:cs="宋体"/>
              </w:rPr>
            </w:pPr>
            <w:sdt>
              <w:sdtPr>
                <w:rPr>
                  <w:rFonts w:hint="eastAsia" w:ascii="宋体" w:hAnsi="宋体" w:cs="宋体"/>
                  <w:kern w:val="0"/>
                  <w:sz w:val="24"/>
                </w:rPr>
                <w:id w:val="-1828425707"/>
              </w:sdtPr>
              <w:sdtEndPr>
                <w:rPr>
                  <w:rFonts w:hint="eastAsia" w:ascii="宋体" w:hAnsi="宋体" w:cs="宋体"/>
                  <w:kern w:val="0"/>
                  <w:sz w:val="24"/>
                </w:rPr>
              </w:sdtEndPr>
              <w:sdtContent>
                <w:r>
                  <w:rPr>
                    <w:rFonts w:hint="eastAsia" w:ascii="宋体" w:hAnsi="宋体" w:cs="宋体"/>
                    <w:kern w:val="0"/>
                    <w:sz w:val="24"/>
                  </w:rPr>
                  <w:sym w:font="Wingdings" w:char="F0FE"/>
                </w:r>
              </w:sdtContent>
            </w:sdt>
            <w:r>
              <w:rPr>
                <w:rFonts w:hint="eastAsia" w:ascii="宋体" w:hAnsi="宋体" w:cs="宋体"/>
                <w:kern w:val="0"/>
                <w:sz w:val="24"/>
              </w:rPr>
              <w:t>本项目不允许采购进口产品。</w:t>
            </w:r>
          </w:p>
        </w:tc>
      </w:tr>
      <w:tr w14:paraId="0A6F65D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1865F78A">
            <w:pPr>
              <w:snapToGrid w:val="0"/>
              <w:spacing w:line="360" w:lineRule="auto"/>
              <w:jc w:val="center"/>
              <w:rPr>
                <w:rFonts w:hint="eastAsia" w:ascii="宋体" w:hAnsi="宋体" w:cs="宋体"/>
                <w:sz w:val="24"/>
              </w:rPr>
            </w:pPr>
          </w:p>
          <w:p w14:paraId="1AD61ABD">
            <w:pPr>
              <w:snapToGrid w:val="0"/>
              <w:spacing w:line="360" w:lineRule="auto"/>
              <w:jc w:val="center"/>
              <w:rPr>
                <w:rFonts w:hint="eastAsia" w:ascii="宋体" w:hAnsi="宋体" w:cs="宋体"/>
                <w:sz w:val="24"/>
              </w:rPr>
            </w:pPr>
            <w:r>
              <w:rPr>
                <w:rFonts w:hint="eastAsia" w:ascii="宋体" w:hAnsi="宋体" w:cs="宋体"/>
                <w:sz w:val="24"/>
              </w:rPr>
              <w:t>8</w:t>
            </w:r>
          </w:p>
        </w:tc>
        <w:tc>
          <w:tcPr>
            <w:tcW w:w="1843" w:type="dxa"/>
            <w:tcBorders>
              <w:tl2br w:val="nil"/>
              <w:tr2bl w:val="nil"/>
            </w:tcBorders>
            <w:vAlign w:val="center"/>
          </w:tcPr>
          <w:p w14:paraId="22CC8194">
            <w:pPr>
              <w:snapToGrid w:val="0"/>
              <w:spacing w:line="360" w:lineRule="auto"/>
              <w:jc w:val="center"/>
              <w:rPr>
                <w:rFonts w:hint="eastAsia" w:ascii="宋体" w:hAnsi="宋体" w:cs="宋体"/>
                <w:b/>
                <w:sz w:val="24"/>
              </w:rPr>
            </w:pPr>
            <w:r>
              <w:rPr>
                <w:rFonts w:hint="eastAsia" w:ascii="宋体" w:hAnsi="宋体" w:cs="宋体"/>
                <w:b/>
                <w:sz w:val="24"/>
              </w:rPr>
              <w:t>项目属性与核心产品</w:t>
            </w:r>
          </w:p>
        </w:tc>
        <w:tc>
          <w:tcPr>
            <w:tcW w:w="6733" w:type="dxa"/>
            <w:tcBorders>
              <w:tl2br w:val="nil"/>
              <w:tr2bl w:val="nil"/>
            </w:tcBorders>
            <w:vAlign w:val="center"/>
          </w:tcPr>
          <w:p w14:paraId="1A93D818">
            <w:pPr>
              <w:spacing w:line="360" w:lineRule="auto"/>
              <w:rPr>
                <w:rFonts w:hint="eastAsia" w:ascii="宋体" w:hAnsi="宋体" w:cs="宋体"/>
                <w:sz w:val="24"/>
              </w:rPr>
            </w:pPr>
            <w:sdt>
              <w:sdtPr>
                <w:rPr>
                  <w:rFonts w:hint="eastAsia" w:ascii="宋体" w:hAnsi="宋体" w:cs="宋体"/>
                  <w:kern w:val="0"/>
                  <w:sz w:val="24"/>
                </w:rPr>
                <w:id w:val="118727868"/>
              </w:sdtPr>
              <w:sdtEndPr>
                <w:rPr>
                  <w:rFonts w:hint="eastAsia" w:ascii="宋体" w:hAnsi="宋体" w:cs="宋体"/>
                  <w:kern w:val="0"/>
                  <w:sz w:val="24"/>
                </w:rPr>
              </w:sdtEndPr>
              <w:sdtContent>
                <w:sdt>
                  <w:sdtPr>
                    <w:rPr>
                      <w:rFonts w:hint="eastAsia" w:ascii="宋体" w:hAnsi="宋体" w:cs="宋体"/>
                      <w:kern w:val="0"/>
                      <w:sz w:val="24"/>
                    </w:rPr>
                    <w:id w:val="349968548"/>
                  </w:sdtPr>
                  <w:sdtEndPr>
                    <w:rPr>
                      <w:rFonts w:hint="eastAsia" w:ascii="宋体" w:hAnsi="宋体" w:cs="宋体"/>
                      <w:kern w:val="0"/>
                      <w:sz w:val="24"/>
                    </w:rPr>
                  </w:sdtEndPr>
                  <w:sdtContent>
                    <w:r>
                      <w:rPr>
                        <w:rFonts w:hint="eastAsia" w:ascii="宋体" w:hAnsi="宋体" w:cs="宋体"/>
                        <w:kern w:val="0"/>
                        <w:sz w:val="24"/>
                      </w:rPr>
                      <w:sym w:font="Wingdings" w:char="00FE"/>
                    </w:r>
                  </w:sdtContent>
                </w:sdt>
              </w:sdtContent>
            </w:sdt>
            <w:r>
              <w:rPr>
                <w:rFonts w:hint="eastAsia" w:ascii="宋体" w:hAnsi="宋体" w:cs="宋体"/>
                <w:kern w:val="0"/>
                <w:sz w:val="24"/>
              </w:rPr>
              <w:t>A</w:t>
            </w:r>
            <w:r>
              <w:rPr>
                <w:rFonts w:hint="eastAsia" w:ascii="宋体" w:hAnsi="宋体" w:cs="宋体"/>
                <w:sz w:val="24"/>
              </w:rPr>
              <w:t>货物类，单一产品或</w:t>
            </w:r>
            <w:r>
              <w:rPr>
                <w:rFonts w:hint="eastAsia" w:ascii="宋体" w:hAnsi="宋体" w:cs="宋体"/>
                <w:kern w:val="0"/>
                <w:sz w:val="24"/>
              </w:rPr>
              <w:t>核心产品为：</w:t>
            </w:r>
            <w:r>
              <w:rPr>
                <w:rFonts w:hint="eastAsia" w:ascii="宋体" w:hAnsi="宋体" w:cs="宋体"/>
                <w:kern w:val="0"/>
                <w:sz w:val="24"/>
                <w:u w:val="single"/>
                <w:lang w:eastAsia="zh-CN"/>
              </w:rPr>
              <w:t>六类UTP双绞线、核心交换机、汇聚交换机、高清录播主机、监控摄像机、硬盘录像机、广播主机、互动教学终端、视频显示系统、报告厅音箱功放</w:t>
            </w:r>
            <w:r>
              <w:rPr>
                <w:rFonts w:hint="eastAsia" w:ascii="宋体" w:hAnsi="宋体" w:cs="宋体"/>
                <w:kern w:val="0"/>
                <w:sz w:val="24"/>
                <w:u w:val="single"/>
              </w:rPr>
              <w:t>。</w:t>
            </w:r>
          </w:p>
          <w:p w14:paraId="34D5D594">
            <w:pPr>
              <w:spacing w:line="360" w:lineRule="auto"/>
              <w:rPr>
                <w:rFonts w:hint="eastAsia" w:ascii="宋体" w:hAnsi="宋体" w:cs="宋体"/>
                <w:sz w:val="24"/>
              </w:rPr>
            </w:pPr>
            <w:sdt>
              <w:sdtPr>
                <w:rPr>
                  <w:rFonts w:hint="eastAsia" w:ascii="宋体" w:hAnsi="宋体" w:cs="宋体"/>
                  <w:kern w:val="0"/>
                  <w:sz w:val="24"/>
                </w:rPr>
                <w:id w:val="474885559"/>
              </w:sdtPr>
              <w:sdtEndPr>
                <w:rPr>
                  <w:rFonts w:hint="eastAsia" w:ascii="宋体" w:hAnsi="宋体" w:cs="宋体"/>
                  <w:kern w:val="0"/>
                  <w:sz w:val="24"/>
                </w:rPr>
              </w:sdtEndPr>
              <w:sdtContent>
                <w:sdt>
                  <w:sdtPr>
                    <w:rPr>
                      <w:rFonts w:hint="eastAsia" w:ascii="宋体" w:hAnsi="宋体" w:cs="宋体"/>
                      <w:kern w:val="0"/>
                      <w:sz w:val="24"/>
                    </w:rPr>
                    <w:id w:val="147476726"/>
                  </w:sdtPr>
                  <w:sdtEndPr>
                    <w:rPr>
                      <w:rFonts w:hint="eastAsia" w:ascii="宋体" w:hAnsi="宋体" w:cs="宋体"/>
                      <w:kern w:val="0"/>
                      <w:sz w:val="24"/>
                    </w:rPr>
                  </w:sdtEndPr>
                  <w:sdtContent>
                    <w:r>
                      <w:rPr>
                        <w:rFonts w:hint="eastAsia" w:ascii="宋体" w:hAnsi="宋体" w:cs="宋体"/>
                        <w:kern w:val="0"/>
                        <w:sz w:val="24"/>
                      </w:rPr>
                      <w:sym w:font="Wingdings" w:char="00A8"/>
                    </w:r>
                  </w:sdtContent>
                </w:sdt>
              </w:sdtContent>
            </w:sdt>
            <w:r>
              <w:rPr>
                <w:rFonts w:hint="eastAsia" w:ascii="宋体" w:hAnsi="宋体" w:cs="宋体"/>
                <w:kern w:val="0"/>
                <w:sz w:val="24"/>
              </w:rPr>
              <w:t>B</w:t>
            </w:r>
            <w:r>
              <w:rPr>
                <w:rFonts w:hint="eastAsia" w:ascii="宋体" w:hAnsi="宋体" w:cs="宋体"/>
                <w:sz w:val="24"/>
              </w:rPr>
              <w:t>服务类。</w:t>
            </w:r>
          </w:p>
        </w:tc>
      </w:tr>
      <w:tr w14:paraId="54E3F4F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EA278C3">
            <w:pPr>
              <w:snapToGrid w:val="0"/>
              <w:spacing w:line="360" w:lineRule="auto"/>
              <w:jc w:val="center"/>
              <w:rPr>
                <w:rFonts w:hint="eastAsia" w:ascii="宋体" w:hAnsi="宋体" w:cs="宋体"/>
                <w:sz w:val="24"/>
              </w:rPr>
            </w:pPr>
            <w:r>
              <w:rPr>
                <w:rFonts w:hint="eastAsia" w:ascii="宋体" w:hAnsi="宋体" w:cs="宋体"/>
                <w:sz w:val="24"/>
              </w:rPr>
              <w:t>9</w:t>
            </w:r>
          </w:p>
        </w:tc>
        <w:tc>
          <w:tcPr>
            <w:tcW w:w="1843" w:type="dxa"/>
            <w:tcBorders>
              <w:tl2br w:val="nil"/>
              <w:tr2bl w:val="nil"/>
            </w:tcBorders>
            <w:vAlign w:val="center"/>
          </w:tcPr>
          <w:p w14:paraId="69FFCF9E">
            <w:pPr>
              <w:snapToGrid w:val="0"/>
              <w:jc w:val="center"/>
              <w:rPr>
                <w:rFonts w:hint="eastAsia" w:ascii="宋体" w:hAnsi="宋体" w:cs="宋体"/>
                <w:b/>
                <w:sz w:val="24"/>
              </w:rPr>
            </w:pPr>
            <w:r>
              <w:rPr>
                <w:rFonts w:hint="eastAsia" w:ascii="宋体" w:hAnsi="宋体" w:cs="宋体"/>
                <w:b/>
                <w:sz w:val="24"/>
              </w:rPr>
              <w:t>采购标的对应的中小企业划分标准所属行业</w:t>
            </w:r>
          </w:p>
        </w:tc>
        <w:tc>
          <w:tcPr>
            <w:tcW w:w="6733" w:type="dxa"/>
            <w:tcBorders>
              <w:tl2br w:val="nil"/>
              <w:tr2bl w:val="nil"/>
            </w:tcBorders>
            <w:vAlign w:val="center"/>
          </w:tcPr>
          <w:p w14:paraId="15CCC721">
            <w:pPr>
              <w:snapToGrid w:val="0"/>
              <w:spacing w:line="360" w:lineRule="auto"/>
              <w:rPr>
                <w:rFonts w:hint="eastAsia" w:ascii="宋体" w:hAnsi="宋体" w:cs="宋体"/>
                <w:kern w:val="0"/>
                <w:sz w:val="24"/>
              </w:rPr>
            </w:pPr>
            <w:r>
              <w:rPr>
                <w:rFonts w:hint="eastAsia" w:ascii="宋体" w:hAnsi="宋体" w:cs="宋体"/>
                <w:kern w:val="0"/>
                <w:sz w:val="24"/>
              </w:rPr>
              <w:t>（1）标的：</w:t>
            </w:r>
            <w:r>
              <w:rPr>
                <w:rFonts w:hint="eastAsia" w:ascii="宋体" w:hAnsi="宋体" w:cs="宋体"/>
                <w:kern w:val="0"/>
                <w:sz w:val="24"/>
                <w:u w:val="single"/>
                <w:lang w:eastAsia="zh-CN"/>
              </w:rPr>
              <w:t>桐庐县方埠小学改扩建工程弱电设备（第二次）</w:t>
            </w:r>
            <w:r>
              <w:rPr>
                <w:rFonts w:hint="eastAsia" w:ascii="宋体" w:hAnsi="宋体" w:cs="宋体"/>
                <w:kern w:val="0"/>
                <w:sz w:val="24"/>
              </w:rPr>
              <w:t>，属于</w:t>
            </w:r>
            <w:r>
              <w:rPr>
                <w:rFonts w:hint="eastAsia" w:ascii="宋体" w:hAnsi="宋体" w:cs="宋体"/>
                <w:kern w:val="0"/>
                <w:sz w:val="24"/>
                <w:u w:val="single"/>
              </w:rPr>
              <w:t xml:space="preserve">工业 </w:t>
            </w:r>
            <w:r>
              <w:rPr>
                <w:rFonts w:hint="eastAsia" w:ascii="宋体" w:hAnsi="宋体" w:cs="宋体"/>
                <w:kern w:val="0"/>
                <w:sz w:val="24"/>
              </w:rPr>
              <w:t>；</w:t>
            </w:r>
          </w:p>
          <w:p w14:paraId="6BFFF196">
            <w:pPr>
              <w:snapToGrid w:val="0"/>
              <w:spacing w:line="360" w:lineRule="auto"/>
              <w:rPr>
                <w:rFonts w:hint="eastAsia" w:ascii="宋体" w:hAnsi="宋体" w:cs="宋体"/>
              </w:rPr>
            </w:pPr>
            <w:r>
              <w:rPr>
                <w:rFonts w:hint="eastAsia" w:ascii="宋体" w:hAnsi="宋体" w:cs="宋体"/>
                <w:kern w:val="0"/>
                <w:sz w:val="24"/>
              </w:rPr>
              <w:t>中小企业划型标准详见：工信部联企业〔2011〕300号</w:t>
            </w:r>
          </w:p>
        </w:tc>
      </w:tr>
      <w:tr w14:paraId="371132F9">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483969BE">
            <w:pPr>
              <w:snapToGrid w:val="0"/>
              <w:spacing w:line="360" w:lineRule="auto"/>
              <w:jc w:val="center"/>
              <w:rPr>
                <w:rFonts w:hint="eastAsia" w:ascii="宋体" w:hAnsi="宋体" w:cs="宋体"/>
                <w:sz w:val="24"/>
              </w:rPr>
            </w:pPr>
            <w:r>
              <w:rPr>
                <w:rFonts w:hint="eastAsia" w:ascii="宋体" w:hAnsi="宋体" w:cs="宋体"/>
                <w:sz w:val="24"/>
              </w:rPr>
              <w:t>10</w:t>
            </w:r>
          </w:p>
        </w:tc>
        <w:tc>
          <w:tcPr>
            <w:tcW w:w="1843" w:type="dxa"/>
            <w:tcBorders>
              <w:tl2br w:val="nil"/>
              <w:tr2bl w:val="nil"/>
            </w:tcBorders>
            <w:vAlign w:val="center"/>
          </w:tcPr>
          <w:p w14:paraId="5D9A78D6">
            <w:pPr>
              <w:spacing w:line="360" w:lineRule="auto"/>
              <w:jc w:val="center"/>
              <w:rPr>
                <w:rFonts w:hint="eastAsia" w:ascii="宋体" w:hAnsi="宋体" w:cs="宋体"/>
                <w:b/>
                <w:sz w:val="24"/>
              </w:rPr>
            </w:pPr>
            <w:r>
              <w:rPr>
                <w:rFonts w:hint="eastAsia" w:ascii="宋体" w:hAnsi="宋体" w:cs="宋体"/>
                <w:b/>
                <w:bCs/>
                <w:sz w:val="24"/>
              </w:rPr>
              <w:t>促进中小企业发展政策</w:t>
            </w:r>
          </w:p>
        </w:tc>
        <w:tc>
          <w:tcPr>
            <w:tcW w:w="6733" w:type="dxa"/>
            <w:tcBorders>
              <w:tl2br w:val="nil"/>
              <w:tr2bl w:val="nil"/>
            </w:tcBorders>
            <w:vAlign w:val="center"/>
          </w:tcPr>
          <w:p w14:paraId="0A1A8948">
            <w:pPr>
              <w:snapToGrid w:val="0"/>
              <w:spacing w:line="360" w:lineRule="auto"/>
              <w:rPr>
                <w:rFonts w:hint="eastAsia" w:ascii="宋体" w:hAnsi="宋体" w:cs="宋体"/>
                <w:kern w:val="0"/>
                <w:sz w:val="24"/>
              </w:rPr>
            </w:pPr>
            <w:r>
              <w:rPr>
                <w:rFonts w:hint="eastAsia" w:ascii="宋体" w:hAnsi="宋体" w:cs="宋体"/>
                <w:sz w:val="24"/>
              </w:rPr>
              <w:t>对于专门面向中、小、微型企业或者监狱企业或者残疾人福利性单位，符合资格条件的不再执行价格评审优惠的扶持政策。</w:t>
            </w:r>
          </w:p>
        </w:tc>
      </w:tr>
      <w:tr w14:paraId="732B0ED5">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9DD4D8E">
            <w:pPr>
              <w:snapToGrid w:val="0"/>
              <w:spacing w:line="360" w:lineRule="auto"/>
              <w:jc w:val="center"/>
              <w:rPr>
                <w:rFonts w:hint="eastAsia" w:ascii="宋体" w:hAnsi="宋体" w:cs="宋体"/>
                <w:sz w:val="24"/>
              </w:rPr>
            </w:pPr>
            <w:r>
              <w:rPr>
                <w:rFonts w:hint="eastAsia" w:ascii="宋体" w:hAnsi="宋体" w:cs="宋体"/>
                <w:sz w:val="24"/>
              </w:rPr>
              <w:t>11</w:t>
            </w:r>
          </w:p>
        </w:tc>
        <w:tc>
          <w:tcPr>
            <w:tcW w:w="1843" w:type="dxa"/>
            <w:tcBorders>
              <w:tl2br w:val="nil"/>
              <w:tr2bl w:val="nil"/>
            </w:tcBorders>
            <w:vAlign w:val="center"/>
          </w:tcPr>
          <w:p w14:paraId="29F504EC">
            <w:pPr>
              <w:snapToGrid w:val="0"/>
              <w:spacing w:line="360" w:lineRule="auto"/>
              <w:jc w:val="center"/>
              <w:rPr>
                <w:rFonts w:hint="eastAsia" w:ascii="宋体" w:hAnsi="宋体" w:cs="宋体"/>
                <w:b/>
                <w:sz w:val="24"/>
              </w:rPr>
            </w:pPr>
            <w:r>
              <w:rPr>
                <w:rFonts w:hint="eastAsia" w:ascii="宋体" w:hAnsi="宋体" w:cs="宋体"/>
                <w:b/>
                <w:sz w:val="24"/>
              </w:rPr>
              <w:t>节能产品、环境标志产品</w:t>
            </w:r>
          </w:p>
        </w:tc>
        <w:tc>
          <w:tcPr>
            <w:tcW w:w="6733" w:type="dxa"/>
            <w:tcBorders>
              <w:tl2br w:val="nil"/>
              <w:tr2bl w:val="nil"/>
            </w:tcBorders>
            <w:vAlign w:val="center"/>
          </w:tcPr>
          <w:p w14:paraId="37CA9E63">
            <w:pPr>
              <w:snapToGrid w:val="0"/>
              <w:spacing w:line="360" w:lineRule="auto"/>
              <w:rPr>
                <w:rFonts w:hint="eastAsia" w:ascii="宋体" w:hAnsi="宋体" w:cs="宋体"/>
              </w:rPr>
            </w:pPr>
            <w:r>
              <w:rPr>
                <w:rFonts w:hint="eastAsia" w:ascii="宋体" w:hAnsi="宋体" w:cs="宋体"/>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72DF2A73">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restart"/>
            <w:tcBorders>
              <w:tl2br w:val="nil"/>
              <w:tr2bl w:val="nil"/>
            </w:tcBorders>
            <w:vAlign w:val="center"/>
          </w:tcPr>
          <w:p w14:paraId="55E4FD89">
            <w:pPr>
              <w:snapToGrid w:val="0"/>
              <w:spacing w:line="360" w:lineRule="auto"/>
              <w:jc w:val="center"/>
              <w:rPr>
                <w:rFonts w:hint="eastAsia" w:ascii="宋体" w:hAnsi="宋体" w:cs="宋体"/>
                <w:sz w:val="24"/>
              </w:rPr>
            </w:pPr>
            <w:r>
              <w:rPr>
                <w:rFonts w:hint="eastAsia" w:ascii="宋体" w:hAnsi="宋体" w:cs="宋体"/>
                <w:sz w:val="24"/>
              </w:rPr>
              <w:t>12</w:t>
            </w:r>
          </w:p>
        </w:tc>
        <w:tc>
          <w:tcPr>
            <w:tcW w:w="1843" w:type="dxa"/>
            <w:vMerge w:val="restart"/>
            <w:tcBorders>
              <w:tl2br w:val="nil"/>
              <w:tr2bl w:val="nil"/>
            </w:tcBorders>
            <w:vAlign w:val="center"/>
          </w:tcPr>
          <w:p w14:paraId="4CDF49DC">
            <w:pPr>
              <w:snapToGrid w:val="0"/>
              <w:spacing w:line="360" w:lineRule="auto"/>
              <w:jc w:val="center"/>
              <w:rPr>
                <w:rFonts w:hint="eastAsia" w:ascii="宋体" w:hAnsi="宋体" w:cs="宋体"/>
                <w:b/>
                <w:sz w:val="24"/>
              </w:rPr>
            </w:pPr>
            <w:r>
              <w:rPr>
                <w:rFonts w:hint="eastAsia" w:ascii="宋体" w:hAnsi="宋体" w:cs="宋体"/>
                <w:b/>
                <w:sz w:val="24"/>
              </w:rPr>
              <w:t>中小企业信用融资</w:t>
            </w:r>
          </w:p>
        </w:tc>
        <w:tc>
          <w:tcPr>
            <w:tcW w:w="6733" w:type="dxa"/>
            <w:tcBorders>
              <w:tl2br w:val="nil"/>
              <w:tr2bl w:val="nil"/>
            </w:tcBorders>
            <w:vAlign w:val="center"/>
          </w:tcPr>
          <w:p w14:paraId="2D2155A3">
            <w:pPr>
              <w:spacing w:line="360" w:lineRule="auto"/>
              <w:rPr>
                <w:rFonts w:hint="eastAsia" w:ascii="宋体" w:hAnsi="宋体" w:cs="宋体"/>
                <w:sz w:val="24"/>
              </w:rPr>
            </w:pPr>
            <w:r>
              <w:rPr>
                <w:rFonts w:hint="eastAsia" w:ascii="宋体" w:hAnsi="宋体" w:cs="宋体"/>
                <w:snapToGrid w:val="0"/>
                <w:kern w:val="28"/>
                <w:sz w:val="24"/>
              </w:rPr>
              <w:t>为支持和促进中小企业发展，进一步发挥政府采购政策功能，杭州市财政局与省银保监局、市地方金融监督管理局、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p>
        </w:tc>
      </w:tr>
      <w:tr w14:paraId="3B0C4397">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vMerge w:val="continue"/>
            <w:tcBorders>
              <w:tl2br w:val="nil"/>
              <w:tr2bl w:val="nil"/>
            </w:tcBorders>
            <w:vAlign w:val="center"/>
          </w:tcPr>
          <w:p w14:paraId="766C6E9E">
            <w:pPr>
              <w:spacing w:line="360" w:lineRule="auto"/>
              <w:ind w:firstLine="420" w:firstLineChars="200"/>
              <w:jc w:val="center"/>
              <w:rPr>
                <w:rFonts w:hint="eastAsia" w:ascii="宋体" w:hAnsi="宋体" w:cs="宋体"/>
              </w:rPr>
            </w:pPr>
          </w:p>
        </w:tc>
        <w:tc>
          <w:tcPr>
            <w:tcW w:w="1843" w:type="dxa"/>
            <w:vMerge w:val="continue"/>
            <w:tcBorders>
              <w:tl2br w:val="nil"/>
              <w:tr2bl w:val="nil"/>
            </w:tcBorders>
            <w:vAlign w:val="center"/>
          </w:tcPr>
          <w:p w14:paraId="38DC9285">
            <w:pPr>
              <w:spacing w:line="360" w:lineRule="auto"/>
              <w:ind w:firstLine="420" w:firstLineChars="200"/>
              <w:jc w:val="center"/>
              <w:rPr>
                <w:rFonts w:hint="eastAsia" w:ascii="宋体" w:hAnsi="宋体" w:cs="宋体"/>
              </w:rPr>
            </w:pPr>
          </w:p>
        </w:tc>
        <w:tc>
          <w:tcPr>
            <w:tcW w:w="6733" w:type="dxa"/>
            <w:tcBorders>
              <w:tl2br w:val="nil"/>
              <w:tr2bl w:val="nil"/>
            </w:tcBorders>
            <w:vAlign w:val="center"/>
          </w:tcPr>
          <w:p w14:paraId="00EDBA2F">
            <w:pPr>
              <w:spacing w:line="360" w:lineRule="auto"/>
              <w:rPr>
                <w:rFonts w:hint="eastAsia" w:ascii="宋体" w:hAnsi="宋体" w:cs="宋体"/>
                <w:snapToGrid w:val="0"/>
                <w:kern w:val="28"/>
                <w:sz w:val="24"/>
              </w:rPr>
            </w:pPr>
            <w:r>
              <w:rPr>
                <w:rFonts w:hint="eastAsia" w:ascii="宋体" w:hAnsi="宋体" w:cs="宋体"/>
                <w:snapToGrid w:val="0"/>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474E8B3F">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6089B944">
            <w:pPr>
              <w:snapToGrid w:val="0"/>
              <w:spacing w:line="360" w:lineRule="auto"/>
              <w:jc w:val="center"/>
              <w:rPr>
                <w:rFonts w:hint="eastAsia" w:ascii="宋体" w:hAnsi="宋体" w:cs="宋体"/>
                <w:sz w:val="24"/>
              </w:rPr>
            </w:pPr>
            <w:r>
              <w:rPr>
                <w:rFonts w:hint="eastAsia" w:ascii="宋体" w:hAnsi="宋体" w:cs="宋体"/>
                <w:sz w:val="24"/>
              </w:rPr>
              <w:t>13</w:t>
            </w:r>
          </w:p>
        </w:tc>
        <w:tc>
          <w:tcPr>
            <w:tcW w:w="1843" w:type="dxa"/>
            <w:tcBorders>
              <w:tl2br w:val="nil"/>
              <w:tr2bl w:val="nil"/>
            </w:tcBorders>
            <w:vAlign w:val="center"/>
          </w:tcPr>
          <w:p w14:paraId="1E9560F6">
            <w:pPr>
              <w:snapToGrid w:val="0"/>
              <w:spacing w:line="360" w:lineRule="auto"/>
              <w:jc w:val="center"/>
              <w:rPr>
                <w:rFonts w:hint="eastAsia" w:ascii="宋体" w:hAnsi="宋体" w:cs="宋体"/>
                <w:b/>
                <w:sz w:val="24"/>
              </w:rPr>
            </w:pPr>
            <w:r>
              <w:rPr>
                <w:rFonts w:hint="eastAsia" w:ascii="宋体" w:hAnsi="宋体" w:cs="宋体"/>
                <w:b/>
                <w:sz w:val="24"/>
              </w:rPr>
              <w:t>备份投标文件送达地点和签收人员</w:t>
            </w:r>
          </w:p>
        </w:tc>
        <w:tc>
          <w:tcPr>
            <w:tcW w:w="6733" w:type="dxa"/>
            <w:tcBorders>
              <w:tl2br w:val="nil"/>
              <w:tr2bl w:val="nil"/>
            </w:tcBorders>
            <w:vAlign w:val="center"/>
          </w:tcPr>
          <w:p w14:paraId="63B58F7D">
            <w:pPr>
              <w:pStyle w:val="38"/>
              <w:spacing w:line="360" w:lineRule="auto"/>
              <w:rPr>
                <w:rFonts w:hint="eastAsia" w:hAnsi="宋体" w:cs="宋体"/>
                <w:kern w:val="28"/>
                <w:sz w:val="24"/>
              </w:rPr>
            </w:pPr>
            <w:r>
              <w:rPr>
                <w:rFonts w:hint="eastAsia" w:hAnsi="宋体" w:cs="宋体"/>
                <w:kern w:val="28"/>
                <w:sz w:val="24"/>
                <w:szCs w:val="24"/>
              </w:rPr>
              <w:t>备份投标文件送达地点：</w:t>
            </w:r>
            <w:r>
              <w:rPr>
                <w:rFonts w:hint="eastAsia" w:hAnsi="宋体" w:cs="宋体"/>
                <w:sz w:val="24"/>
                <w:u w:val="single"/>
              </w:rPr>
              <w:t xml:space="preserve">桐庐县迎春南路88号桦桐大厦1101室 </w:t>
            </w:r>
            <w:r>
              <w:rPr>
                <w:rFonts w:hint="eastAsia" w:hAnsi="宋体" w:cs="宋体"/>
                <w:kern w:val="28"/>
                <w:sz w:val="24"/>
                <w:szCs w:val="24"/>
              </w:rPr>
              <w:t>；备份投标文件签收人员：</w:t>
            </w:r>
            <w:r>
              <w:rPr>
                <w:rFonts w:hint="eastAsia" w:hAnsi="宋体" w:cs="宋体"/>
                <w:kern w:val="28"/>
                <w:sz w:val="24"/>
                <w:szCs w:val="24"/>
                <w:u w:val="single"/>
              </w:rPr>
              <w:t>陶张水</w:t>
            </w:r>
            <w:r>
              <w:rPr>
                <w:rFonts w:hint="eastAsia" w:hAnsi="宋体" w:cs="宋体"/>
                <w:kern w:val="28"/>
                <w:sz w:val="24"/>
                <w:szCs w:val="24"/>
              </w:rPr>
              <w:t>，联系电话：</w:t>
            </w:r>
            <w:r>
              <w:rPr>
                <w:rFonts w:hint="eastAsia" w:hAnsi="宋体" w:cs="宋体"/>
                <w:sz w:val="24"/>
                <w:u w:val="single"/>
              </w:rPr>
              <w:t>0571-64217869</w:t>
            </w:r>
            <w:r>
              <w:rPr>
                <w:rFonts w:hint="eastAsia" w:hAnsi="宋体" w:cs="宋体"/>
                <w:sz w:val="24"/>
                <w:szCs w:val="24"/>
              </w:rPr>
              <w:t>。</w:t>
            </w:r>
            <w:r>
              <w:rPr>
                <w:rFonts w:hint="eastAsia" w:hAnsi="宋体" w:cs="宋体"/>
                <w:b/>
                <w:sz w:val="24"/>
                <w:szCs w:val="24"/>
              </w:rPr>
              <w:t>采购人、采购机构不强制或变相强制投标人提交备份投标文件。</w:t>
            </w:r>
          </w:p>
        </w:tc>
      </w:tr>
      <w:tr w14:paraId="76285C96">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2B40CBC0">
            <w:pPr>
              <w:snapToGrid w:val="0"/>
              <w:spacing w:line="360" w:lineRule="auto"/>
              <w:jc w:val="center"/>
              <w:rPr>
                <w:rFonts w:hint="eastAsia" w:ascii="宋体" w:hAnsi="宋体" w:cs="宋体"/>
                <w:sz w:val="24"/>
              </w:rPr>
            </w:pPr>
            <w:r>
              <w:rPr>
                <w:rFonts w:hint="eastAsia" w:ascii="宋体" w:hAnsi="宋体" w:cs="宋体"/>
                <w:sz w:val="24"/>
              </w:rPr>
              <w:t>14</w:t>
            </w:r>
          </w:p>
        </w:tc>
        <w:tc>
          <w:tcPr>
            <w:tcW w:w="1843" w:type="dxa"/>
            <w:tcBorders>
              <w:tl2br w:val="nil"/>
              <w:tr2bl w:val="nil"/>
            </w:tcBorders>
            <w:vAlign w:val="center"/>
          </w:tcPr>
          <w:p w14:paraId="6FD552BF">
            <w:pPr>
              <w:spacing w:line="360" w:lineRule="auto"/>
              <w:jc w:val="center"/>
              <w:rPr>
                <w:rFonts w:hint="eastAsia" w:ascii="宋体" w:hAnsi="宋体" w:cs="宋体"/>
                <w:b/>
                <w:sz w:val="24"/>
              </w:rPr>
            </w:pPr>
            <w:r>
              <w:rPr>
                <w:rFonts w:hint="eastAsia" w:ascii="宋体" w:hAnsi="宋体" w:cs="宋体"/>
                <w:b/>
                <w:bCs/>
                <w:sz w:val="24"/>
              </w:rPr>
              <w:t>代理服务费</w:t>
            </w:r>
          </w:p>
        </w:tc>
        <w:tc>
          <w:tcPr>
            <w:tcW w:w="6733" w:type="dxa"/>
            <w:tcBorders>
              <w:tl2br w:val="nil"/>
              <w:tr2bl w:val="nil"/>
            </w:tcBorders>
            <w:vAlign w:val="center"/>
          </w:tcPr>
          <w:p w14:paraId="65D46CF5">
            <w:pPr>
              <w:widowControl/>
              <w:spacing w:line="360" w:lineRule="auto"/>
              <w:jc w:val="left"/>
              <w:rPr>
                <w:rFonts w:hint="eastAsia" w:ascii="宋体" w:hAnsi="宋体" w:cs="宋体"/>
                <w:bCs/>
                <w:sz w:val="24"/>
              </w:rPr>
            </w:pPr>
            <w:r>
              <w:rPr>
                <w:rFonts w:hint="eastAsia" w:ascii="宋体" w:hAnsi="宋体" w:cs="宋体"/>
                <w:bCs/>
                <w:sz w:val="24"/>
              </w:rPr>
              <w:t>本次采购的招标代理服务费由成交人支付，按浙价服[2003]77号文件（货物类）收费标准计取；由中标（成交）供应商在领取中标通知书前一次性支付给代理公司，费用应含在投标报价中（不得单独列项），供应商在投标报价中考虑上述费用。</w:t>
            </w:r>
          </w:p>
          <w:p w14:paraId="2164F1B6">
            <w:pPr>
              <w:widowControl/>
              <w:spacing w:line="360" w:lineRule="auto"/>
              <w:jc w:val="left"/>
              <w:rPr>
                <w:rFonts w:hint="eastAsia" w:ascii="宋体" w:hAnsi="宋体" w:cs="宋体"/>
                <w:bCs/>
                <w:sz w:val="24"/>
              </w:rPr>
            </w:pPr>
            <w:r>
              <w:rPr>
                <w:rFonts w:hint="eastAsia" w:ascii="宋体" w:hAnsi="宋体" w:cs="宋体"/>
                <w:bCs/>
                <w:sz w:val="24"/>
              </w:rPr>
              <w:t>收款单位名称：杭州桐庐正宏建设管理有限公司</w:t>
            </w:r>
          </w:p>
          <w:p w14:paraId="38998C83">
            <w:pPr>
              <w:widowControl/>
              <w:spacing w:line="360" w:lineRule="auto"/>
              <w:jc w:val="left"/>
              <w:rPr>
                <w:rFonts w:hint="eastAsia" w:ascii="宋体" w:hAnsi="宋体" w:cs="宋体"/>
                <w:bCs/>
                <w:sz w:val="24"/>
              </w:rPr>
            </w:pPr>
            <w:r>
              <w:rPr>
                <w:rFonts w:hint="eastAsia" w:ascii="宋体" w:hAnsi="宋体" w:cs="宋体"/>
                <w:bCs/>
                <w:sz w:val="24"/>
              </w:rPr>
              <w:t>帐号：33001617182059828828</w:t>
            </w:r>
          </w:p>
          <w:p w14:paraId="75B05CAC">
            <w:pPr>
              <w:widowControl/>
              <w:spacing w:line="360" w:lineRule="auto"/>
              <w:jc w:val="left"/>
              <w:rPr>
                <w:rFonts w:hint="eastAsia" w:ascii="宋体" w:hAnsi="宋体" w:cs="宋体"/>
                <w:bCs/>
                <w:sz w:val="24"/>
              </w:rPr>
            </w:pPr>
            <w:r>
              <w:rPr>
                <w:rFonts w:hint="eastAsia" w:ascii="宋体" w:hAnsi="宋体" w:cs="宋体"/>
                <w:bCs/>
                <w:sz w:val="24"/>
              </w:rPr>
              <w:t>开户行：建行桐庐江南支行</w:t>
            </w:r>
          </w:p>
          <w:p w14:paraId="09E01F95">
            <w:pPr>
              <w:widowControl/>
              <w:spacing w:line="360" w:lineRule="auto"/>
              <w:jc w:val="left"/>
              <w:rPr>
                <w:rFonts w:hint="eastAsia" w:ascii="宋体" w:hAnsi="宋体" w:cs="宋体"/>
                <w:b/>
                <w:bCs/>
                <w:sz w:val="24"/>
              </w:rPr>
            </w:pPr>
            <w:r>
              <w:rPr>
                <w:rFonts w:hint="eastAsia" w:ascii="宋体" w:hAnsi="宋体" w:cs="宋体"/>
                <w:bCs/>
                <w:sz w:val="24"/>
              </w:rPr>
              <w:t>（税号）统一社会信用代码：91330122723632132F</w:t>
            </w:r>
          </w:p>
        </w:tc>
      </w:tr>
      <w:tr w14:paraId="097450BC">
        <w:tblPrEx>
          <w:tblBorders>
            <w:top w:val="single" w:color="000000" w:sz="8" w:space="0"/>
            <w:left w:val="single" w:color="000000" w:sz="8" w:space="0"/>
            <w:bottom w:val="single" w:color="000000" w:sz="8" w:space="0"/>
            <w:right w:val="single" w:color="000000" w:sz="8" w:space="0"/>
            <w:insideH w:val="single" w:color="000000" w:sz="8" w:space="0"/>
            <w:insideV w:val="single" w:color="000000" w:sz="8" w:space="0"/>
          </w:tblBorders>
          <w:tblCellMar>
            <w:top w:w="0" w:type="dxa"/>
            <w:left w:w="28" w:type="dxa"/>
            <w:bottom w:w="0" w:type="dxa"/>
            <w:right w:w="28" w:type="dxa"/>
          </w:tblCellMar>
        </w:tblPrEx>
        <w:trPr>
          <w:jc w:val="center"/>
        </w:trPr>
        <w:tc>
          <w:tcPr>
            <w:tcW w:w="629" w:type="dxa"/>
            <w:tcBorders>
              <w:tl2br w:val="nil"/>
              <w:tr2bl w:val="nil"/>
            </w:tcBorders>
            <w:vAlign w:val="center"/>
          </w:tcPr>
          <w:p w14:paraId="0574CEF2">
            <w:pPr>
              <w:snapToGrid w:val="0"/>
              <w:spacing w:line="360" w:lineRule="auto"/>
              <w:jc w:val="center"/>
              <w:rPr>
                <w:rFonts w:hint="eastAsia" w:ascii="宋体" w:hAnsi="宋体" w:cs="宋体"/>
                <w:sz w:val="24"/>
              </w:rPr>
            </w:pPr>
            <w:r>
              <w:rPr>
                <w:rFonts w:hint="eastAsia" w:ascii="宋体" w:hAnsi="宋体" w:cs="宋体"/>
                <w:sz w:val="24"/>
              </w:rPr>
              <w:t>15</w:t>
            </w:r>
          </w:p>
        </w:tc>
        <w:tc>
          <w:tcPr>
            <w:tcW w:w="1843" w:type="dxa"/>
            <w:tcBorders>
              <w:tl2br w:val="nil"/>
              <w:tr2bl w:val="nil"/>
            </w:tcBorders>
            <w:vAlign w:val="center"/>
          </w:tcPr>
          <w:p w14:paraId="6D33D57B">
            <w:pPr>
              <w:snapToGrid w:val="0"/>
              <w:spacing w:line="360" w:lineRule="auto"/>
              <w:jc w:val="center"/>
              <w:rPr>
                <w:rFonts w:hint="eastAsia" w:ascii="宋体" w:hAnsi="宋体" w:cs="宋体"/>
                <w:b/>
                <w:sz w:val="24"/>
              </w:rPr>
            </w:pPr>
            <w:r>
              <w:rPr>
                <w:rFonts w:hint="eastAsia" w:ascii="宋体" w:hAnsi="宋体" w:cs="宋体"/>
                <w:b/>
                <w:sz w:val="24"/>
              </w:rPr>
              <w:t>特别说明</w:t>
            </w:r>
          </w:p>
        </w:tc>
        <w:tc>
          <w:tcPr>
            <w:tcW w:w="6733" w:type="dxa"/>
            <w:tcBorders>
              <w:tl2br w:val="nil"/>
              <w:tr2bl w:val="nil"/>
            </w:tcBorders>
            <w:vAlign w:val="center"/>
          </w:tcPr>
          <w:p w14:paraId="7891B908">
            <w:pPr>
              <w:spacing w:line="360" w:lineRule="auto"/>
              <w:rPr>
                <w:rFonts w:hint="eastAsia" w:ascii="宋体" w:hAnsi="宋体" w:cs="宋体"/>
                <w:bCs/>
                <w:sz w:val="24"/>
              </w:rPr>
            </w:pPr>
            <w:r>
              <w:rPr>
                <w:rFonts w:hint="eastAsia" w:ascii="宋体" w:hAnsi="宋体" w:cs="宋体"/>
                <w:kern w:val="0"/>
                <w:sz w:val="24"/>
                <w:lang w:val="zh-CN"/>
              </w:rPr>
              <w:t>中标单位在领取中标通知书时，向采购机构提供本项目纸质投标文件（“资格文件”、“报价文件”和“商务技术文件”）</w:t>
            </w:r>
            <w:r>
              <w:rPr>
                <w:rFonts w:hint="eastAsia" w:ascii="宋体" w:hAnsi="宋体" w:cs="宋体"/>
                <w:kern w:val="0"/>
                <w:sz w:val="24"/>
              </w:rPr>
              <w:t>三</w:t>
            </w:r>
            <w:r>
              <w:rPr>
                <w:rFonts w:hint="eastAsia" w:ascii="宋体" w:hAnsi="宋体" w:cs="宋体"/>
                <w:kern w:val="0"/>
                <w:sz w:val="24"/>
                <w:lang w:val="zh-CN"/>
              </w:rPr>
              <w:t>份。</w:t>
            </w:r>
          </w:p>
        </w:tc>
      </w:tr>
      <w:bookmarkEnd w:id="3"/>
    </w:tbl>
    <w:p w14:paraId="20EE2312">
      <w:pPr>
        <w:adjustRightInd/>
        <w:spacing w:line="360" w:lineRule="auto"/>
        <w:ind w:firstLine="3845" w:firstLineChars="1197"/>
        <w:outlineLvl w:val="0"/>
        <w:rPr>
          <w:rFonts w:hint="eastAsia" w:ascii="宋体" w:hAnsi="宋体" w:cs="宋体"/>
          <w:b/>
          <w:sz w:val="32"/>
          <w:szCs w:val="20"/>
        </w:rPr>
        <w:sectPr>
          <w:pgSz w:w="11906" w:h="16838"/>
          <w:pgMar w:top="1440" w:right="1418" w:bottom="1440" w:left="1418" w:header="851" w:footer="992" w:gutter="0"/>
          <w:cols w:space="0" w:num="1"/>
          <w:titlePg/>
          <w:docGrid w:linePitch="312" w:charSpace="0"/>
        </w:sectPr>
      </w:pPr>
      <w:bookmarkStart w:id="4" w:name="第三部分"/>
      <w:bookmarkStart w:id="5" w:name="_Toc164416483"/>
    </w:p>
    <w:p w14:paraId="062CC8D9">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一、总则</w:t>
      </w:r>
    </w:p>
    <w:p w14:paraId="7F21CEC5">
      <w:pPr>
        <w:snapToGrid w:val="0"/>
        <w:spacing w:line="360" w:lineRule="auto"/>
        <w:ind w:firstLine="361" w:firstLineChars="150"/>
        <w:jc w:val="left"/>
        <w:outlineLvl w:val="1"/>
        <w:rPr>
          <w:rFonts w:hint="eastAsia" w:ascii="宋体" w:hAnsi="宋体" w:cs="宋体"/>
          <w:b/>
          <w:sz w:val="24"/>
        </w:rPr>
      </w:pPr>
      <w:r>
        <w:rPr>
          <w:rFonts w:hint="eastAsia" w:ascii="宋体" w:hAnsi="宋体" w:cs="宋体"/>
          <w:b/>
          <w:sz w:val="24"/>
        </w:rPr>
        <w:t>1. 适用范围</w:t>
      </w:r>
    </w:p>
    <w:p w14:paraId="4F0666A2">
      <w:pPr>
        <w:snapToGrid w:val="0"/>
        <w:spacing w:line="360" w:lineRule="auto"/>
        <w:ind w:firstLine="480" w:firstLineChars="200"/>
        <w:jc w:val="left"/>
        <w:rPr>
          <w:rFonts w:hint="eastAsia" w:ascii="宋体" w:hAnsi="宋体" w:cs="宋体"/>
          <w:sz w:val="24"/>
        </w:rPr>
      </w:pPr>
      <w:r>
        <w:rPr>
          <w:rFonts w:hint="eastAsia" w:ascii="宋体" w:hAnsi="宋体" w:cs="宋体"/>
          <w:sz w:val="24"/>
        </w:rPr>
        <w:t>本招标文件适用于该项目的招标、投标、开标、资格审查及信用信息查询、评标、定标、合同、验收等行为（法律、法规另有规定的，从其规定）。</w:t>
      </w:r>
    </w:p>
    <w:p w14:paraId="439C337C">
      <w:pPr>
        <w:adjustRightInd/>
        <w:spacing w:line="360" w:lineRule="auto"/>
        <w:outlineLvl w:val="0"/>
        <w:rPr>
          <w:rFonts w:hint="eastAsia" w:ascii="宋体" w:hAnsi="宋体" w:cs="宋体"/>
          <w:b/>
          <w:sz w:val="24"/>
        </w:rPr>
      </w:pPr>
      <w:r>
        <w:rPr>
          <w:rFonts w:hint="eastAsia" w:ascii="宋体" w:hAnsi="宋体" w:cs="宋体"/>
          <w:b/>
          <w:sz w:val="24"/>
        </w:rPr>
        <w:t xml:space="preserve">   2.定义</w:t>
      </w:r>
    </w:p>
    <w:p w14:paraId="5A7005B2">
      <w:pPr>
        <w:spacing w:line="360" w:lineRule="auto"/>
        <w:ind w:firstLine="480" w:firstLineChars="200"/>
        <w:rPr>
          <w:rFonts w:hint="eastAsia" w:ascii="宋体" w:hAnsi="宋体" w:cs="宋体"/>
          <w:sz w:val="24"/>
        </w:rPr>
      </w:pPr>
      <w:r>
        <w:rPr>
          <w:rFonts w:hint="eastAsia" w:ascii="宋体" w:hAnsi="宋体" w:cs="宋体"/>
          <w:sz w:val="24"/>
        </w:rPr>
        <w:t>2.1 “采购人”系指招标公告中载明的本项目的采购人。</w:t>
      </w:r>
    </w:p>
    <w:p w14:paraId="16975BDA">
      <w:pPr>
        <w:spacing w:line="360" w:lineRule="auto"/>
        <w:ind w:firstLine="480" w:firstLineChars="200"/>
        <w:rPr>
          <w:rFonts w:hint="eastAsia" w:ascii="宋体" w:hAnsi="宋体" w:cs="宋体"/>
          <w:sz w:val="24"/>
        </w:rPr>
      </w:pPr>
      <w:r>
        <w:rPr>
          <w:rFonts w:hint="eastAsia" w:ascii="宋体" w:hAnsi="宋体" w:cs="宋体"/>
          <w:sz w:val="24"/>
        </w:rPr>
        <w:t>2.2 “采购机构”系指招标公告中载明的本项目的采购机构。</w:t>
      </w:r>
    </w:p>
    <w:p w14:paraId="47AB7A09">
      <w:pPr>
        <w:spacing w:line="360" w:lineRule="auto"/>
        <w:ind w:firstLine="480" w:firstLineChars="200"/>
        <w:rPr>
          <w:rFonts w:hint="eastAsia" w:ascii="宋体" w:hAnsi="宋体" w:cs="宋体"/>
          <w:sz w:val="24"/>
        </w:rPr>
      </w:pPr>
      <w:r>
        <w:rPr>
          <w:rFonts w:hint="eastAsia" w:ascii="宋体" w:hAnsi="宋体" w:cs="宋体"/>
          <w:sz w:val="24"/>
        </w:rPr>
        <w:t>2.3 “投标人”系指是指响应招标、参加投标竞争的法人、其他组织或者自然人。</w:t>
      </w:r>
    </w:p>
    <w:p w14:paraId="18757BD2">
      <w:pPr>
        <w:spacing w:line="360" w:lineRule="auto"/>
        <w:ind w:firstLine="480" w:firstLineChars="200"/>
        <w:rPr>
          <w:rFonts w:hint="eastAsia" w:ascii="宋体" w:hAnsi="宋体" w:cs="宋体"/>
          <w:sz w:val="24"/>
        </w:rPr>
      </w:pPr>
      <w:r>
        <w:rPr>
          <w:rFonts w:hint="eastAsia" w:ascii="宋体" w:hAnsi="宋体" w:cs="宋体"/>
          <w:sz w:val="24"/>
        </w:rPr>
        <w:t>2.4 “负责人”系指法人企业的法定负责人，或其他组织为法律、行政法规规定代表单位行使职权的主要负责人，或自然人本人。</w:t>
      </w:r>
    </w:p>
    <w:p w14:paraId="6E1BE4E1">
      <w:pPr>
        <w:spacing w:line="360" w:lineRule="auto"/>
        <w:ind w:firstLine="480" w:firstLineChars="200"/>
        <w:rPr>
          <w:rFonts w:hint="eastAsia" w:ascii="宋体" w:hAnsi="宋体" w:cs="宋体"/>
          <w:sz w:val="24"/>
        </w:rPr>
      </w:pPr>
      <w:r>
        <w:rPr>
          <w:rFonts w:hint="eastAsia" w:ascii="宋体" w:hAnsi="宋体" w:cs="宋体"/>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3F28716B">
      <w:pPr>
        <w:spacing w:line="360" w:lineRule="auto"/>
        <w:ind w:firstLine="480" w:firstLineChars="200"/>
        <w:rPr>
          <w:rFonts w:hint="eastAsia" w:ascii="宋体" w:hAnsi="宋体" w:cs="宋体"/>
          <w:sz w:val="24"/>
        </w:rPr>
      </w:pPr>
      <w:r>
        <w:rPr>
          <w:rFonts w:hint="eastAsia" w:ascii="宋体" w:hAnsi="宋体" w:cs="宋体"/>
          <w:sz w:val="24"/>
        </w:rPr>
        <w:t>2.6“电子交易平台”是指本项目政府采购活动所依托的政府采购云平台（https://www.zcygov.cn/）。</w:t>
      </w:r>
    </w:p>
    <w:p w14:paraId="0D93DC15">
      <w:pPr>
        <w:spacing w:line="360" w:lineRule="auto"/>
        <w:ind w:firstLine="480" w:firstLineChars="200"/>
        <w:rPr>
          <w:rFonts w:hint="eastAsia" w:ascii="宋体" w:hAnsi="宋体" w:cs="宋体"/>
          <w:sz w:val="24"/>
        </w:rPr>
      </w:pPr>
      <w:r>
        <w:rPr>
          <w:rFonts w:hint="eastAsia" w:ascii="宋体" w:hAnsi="宋体" w:cs="宋体"/>
          <w:sz w:val="24"/>
        </w:rPr>
        <w:t>2.7 “▲” 系指实质性要求条款，</w:t>
      </w:r>
      <w:r>
        <w:rPr>
          <w:rFonts w:hint="eastAsia" w:asciiTheme="minorEastAsia" w:hAnsiTheme="minorEastAsia" w:eastAsiaTheme="minorEastAsia" w:cstheme="minorEastAsia"/>
          <w:sz w:val="24"/>
        </w:rPr>
        <w:t>“</w:t>
      </w:r>
      <w:sdt>
        <w:sdtPr>
          <w:rPr>
            <w:rFonts w:hint="eastAsia" w:asciiTheme="minorEastAsia" w:hAnsiTheme="minorEastAsia" w:eastAsiaTheme="minorEastAsia" w:cstheme="minorEastAsia"/>
            <w:kern w:val="0"/>
            <w:sz w:val="24"/>
          </w:rPr>
          <w:id w:val="147478220"/>
        </w:sdtPr>
        <w:sdtEndPr>
          <w:rPr>
            <w:rFonts w:hint="eastAsia" w:asciiTheme="minorEastAsia" w:hAnsiTheme="minorEastAsia" w:eastAsiaTheme="minorEastAsia" w:cstheme="minorEastAsia"/>
            <w:kern w:val="0"/>
            <w:sz w:val="24"/>
          </w:rPr>
        </w:sdtEndPr>
        <w:sdtContent>
          <w:sdt>
            <w:sdtPr>
              <w:rPr>
                <w:rFonts w:hint="eastAsia" w:ascii="宋体" w:hAnsi="宋体" w:cs="宋体"/>
                <w:kern w:val="0"/>
                <w:sz w:val="24"/>
              </w:rPr>
              <w:id w:val="147457178"/>
            </w:sdtPr>
            <w:sdtEndPr>
              <w:rPr>
                <w:rFonts w:hint="eastAsia" w:ascii="宋体" w:hAnsi="宋体" w:cs="宋体"/>
                <w:kern w:val="0"/>
                <w:sz w:val="24"/>
              </w:rPr>
            </w:sdtEndPr>
            <w:sdtContent>
              <w:r>
                <w:rPr>
                  <w:rFonts w:ascii="Wingdings" w:hAnsi="Wingdings" w:cs="宋体"/>
                  <w:kern w:val="0"/>
                  <w:sz w:val="24"/>
                </w:rPr>
                <w:t></w:t>
              </w:r>
            </w:sdtContent>
          </w:sdt>
        </w:sdtContent>
      </w:sdt>
      <w:r>
        <w:rPr>
          <w:rFonts w:hint="eastAsia" w:asciiTheme="minorEastAsia" w:hAnsiTheme="minorEastAsia" w:eastAsiaTheme="minorEastAsia" w:cstheme="minorEastAsia"/>
          <w:sz w:val="24"/>
        </w:rPr>
        <w:t>”</w:t>
      </w:r>
      <w:r>
        <w:rPr>
          <w:rFonts w:hint="eastAsia" w:ascii="宋体" w:hAnsi="宋体" w:cs="宋体"/>
          <w:sz w:val="24"/>
        </w:rPr>
        <w:t>系指适用本项目的要求，“</w:t>
      </w:r>
      <w:sdt>
        <w:sdtPr>
          <w:rPr>
            <w:rFonts w:hint="eastAsia" w:ascii="宋体" w:hAnsi="宋体" w:cs="宋体"/>
            <w:kern w:val="0"/>
            <w:sz w:val="24"/>
          </w:rPr>
          <w:id w:val="404888855"/>
        </w:sdtPr>
        <w:sdtEndPr>
          <w:rPr>
            <w:rFonts w:hint="eastAsia" w:ascii="宋体" w:hAnsi="宋体" w:cs="宋体"/>
            <w:kern w:val="0"/>
            <w:sz w:val="24"/>
          </w:rPr>
        </w:sdtEndPr>
        <w:sdtContent>
          <w:r>
            <w:rPr>
              <w:rFonts w:hint="eastAsia" w:ascii="宋体" w:hAnsi="宋体" w:cs="宋体"/>
              <w:kern w:val="0"/>
              <w:sz w:val="24"/>
            </w:rPr>
            <w:t>☐</w:t>
          </w:r>
        </w:sdtContent>
      </w:sdt>
      <w:r>
        <w:rPr>
          <w:rFonts w:hint="eastAsia" w:ascii="宋体" w:hAnsi="宋体" w:cs="宋体"/>
          <w:sz w:val="24"/>
        </w:rPr>
        <w:t>” 系指不适用本项目的要求。</w:t>
      </w:r>
    </w:p>
    <w:p w14:paraId="7C6ECCAB">
      <w:pPr>
        <w:spacing w:line="360" w:lineRule="auto"/>
        <w:ind w:firstLine="241" w:firstLineChars="100"/>
        <w:rPr>
          <w:rFonts w:hint="eastAsia" w:ascii="宋体" w:hAnsi="宋体" w:cs="宋体"/>
          <w:b/>
          <w:sz w:val="24"/>
        </w:rPr>
      </w:pPr>
      <w:r>
        <w:rPr>
          <w:rFonts w:hint="eastAsia" w:ascii="宋体" w:hAnsi="宋体" w:cs="宋体"/>
          <w:b/>
          <w:sz w:val="24"/>
        </w:rPr>
        <w:t>3.采购项目需要落实的政府采购政策</w:t>
      </w:r>
    </w:p>
    <w:p w14:paraId="41AEC16B">
      <w:pPr>
        <w:spacing w:line="360" w:lineRule="auto"/>
        <w:ind w:firstLine="240" w:firstLineChars="100"/>
        <w:rPr>
          <w:rFonts w:hint="eastAsia" w:ascii="宋体" w:hAnsi="宋体" w:cs="宋体"/>
          <w:sz w:val="24"/>
        </w:rPr>
      </w:pPr>
      <w:r>
        <w:rPr>
          <w:rFonts w:hint="eastAsia" w:ascii="宋体" w:hAnsi="宋体" w:cs="宋体"/>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83F051A">
      <w:pPr>
        <w:spacing w:line="360" w:lineRule="auto"/>
        <w:ind w:firstLine="240" w:firstLineChars="100"/>
        <w:rPr>
          <w:rFonts w:hint="eastAsia" w:ascii="宋体" w:hAnsi="宋体" w:cs="宋体"/>
          <w:sz w:val="24"/>
        </w:rPr>
      </w:pPr>
      <w:r>
        <w:rPr>
          <w:rFonts w:hint="eastAsia" w:ascii="宋体" w:hAnsi="宋体" w:cs="宋体"/>
          <w:sz w:val="24"/>
        </w:rPr>
        <w:t>3.2 支持绿色发展</w:t>
      </w:r>
    </w:p>
    <w:p w14:paraId="54B3B17A">
      <w:pPr>
        <w:spacing w:line="360" w:lineRule="auto"/>
        <w:ind w:firstLine="480" w:firstLineChars="200"/>
        <w:rPr>
          <w:rFonts w:hint="eastAsia" w:ascii="宋体" w:hAnsi="宋体" w:cs="宋体"/>
          <w:b/>
          <w:sz w:val="24"/>
        </w:rPr>
      </w:pPr>
      <w:r>
        <w:rPr>
          <w:rFonts w:hint="eastAsia" w:ascii="宋体" w:hAnsi="宋体" w:cs="宋体"/>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sz w:val="24"/>
        </w:rPr>
        <w:t>采购人拟采购的产品属于政府强制采购的节能产品品目清单范围的，投标人未按招标文件要求提供国家确定的认证机构出具的、处于有效期之内的节能产品认证证书的，投标无效。</w:t>
      </w:r>
    </w:p>
    <w:p w14:paraId="0CAC78E7">
      <w:pPr>
        <w:spacing w:line="360" w:lineRule="auto"/>
        <w:ind w:firstLine="480" w:firstLineChars="200"/>
        <w:rPr>
          <w:rFonts w:hint="eastAsia" w:ascii="宋体" w:hAnsi="宋体" w:cs="宋体"/>
          <w:sz w:val="24"/>
        </w:rPr>
      </w:pPr>
      <w:r>
        <w:rPr>
          <w:rFonts w:hint="eastAsia" w:ascii="宋体" w:hAnsi="宋体" w:cs="宋体"/>
          <w:sz w:val="24"/>
        </w:rPr>
        <w:t>3.2.2 修缮、装修类项目采购建材的，采购人应将绿色建筑和绿色建材性能、指标等作为实质性条件纳入招标文件和合同。</w:t>
      </w:r>
    </w:p>
    <w:p w14:paraId="4FA6F8C1">
      <w:pPr>
        <w:spacing w:line="360" w:lineRule="auto"/>
        <w:ind w:firstLine="480" w:firstLineChars="200"/>
        <w:rPr>
          <w:rFonts w:hint="eastAsia" w:ascii="宋体" w:hAnsi="宋体" w:cs="宋体"/>
          <w:sz w:val="24"/>
        </w:rPr>
      </w:pPr>
      <w:r>
        <w:rPr>
          <w:rFonts w:hint="eastAsia" w:ascii="宋体" w:hAnsi="宋体" w:cs="宋体"/>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53A1DEDA">
      <w:pPr>
        <w:spacing w:line="360" w:lineRule="auto"/>
        <w:ind w:firstLine="240" w:firstLineChars="100"/>
        <w:rPr>
          <w:rFonts w:hint="eastAsia" w:ascii="宋体" w:hAnsi="宋体" w:cs="宋体"/>
          <w:sz w:val="24"/>
        </w:rPr>
      </w:pPr>
      <w:r>
        <w:rPr>
          <w:rFonts w:hint="eastAsia" w:ascii="宋体" w:hAnsi="宋体" w:cs="宋体"/>
          <w:sz w:val="24"/>
        </w:rPr>
        <w:t>3.3支持中小企业发展</w:t>
      </w:r>
    </w:p>
    <w:p w14:paraId="03EF29C4">
      <w:pPr>
        <w:spacing w:line="360" w:lineRule="auto"/>
        <w:ind w:firstLine="480" w:firstLineChars="200"/>
        <w:rPr>
          <w:rFonts w:hint="eastAsia" w:ascii="宋体" w:hAnsi="宋体" w:cs="宋体"/>
          <w:sz w:val="24"/>
        </w:rPr>
      </w:pPr>
      <w:r>
        <w:rPr>
          <w:rFonts w:hint="eastAsia" w:ascii="宋体" w:hAnsi="宋体" w:cs="宋体"/>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921EC25">
      <w:pPr>
        <w:spacing w:line="360" w:lineRule="auto"/>
        <w:ind w:firstLine="480" w:firstLineChars="200"/>
        <w:rPr>
          <w:rFonts w:hint="eastAsia" w:ascii="宋体" w:hAnsi="宋体" w:cs="宋体"/>
          <w:sz w:val="24"/>
        </w:rPr>
      </w:pPr>
      <w:r>
        <w:rPr>
          <w:rFonts w:hint="eastAsia" w:ascii="宋体" w:hAnsi="宋体" w:cs="宋体"/>
          <w:sz w:val="24"/>
        </w:rPr>
        <w:t>符合中小企业划分标准的个体工商户，在政府采购活动中视同中小企业。</w:t>
      </w:r>
    </w:p>
    <w:p w14:paraId="756CF3CC">
      <w:pPr>
        <w:widowControl/>
        <w:spacing w:line="360" w:lineRule="auto"/>
        <w:ind w:firstLine="480" w:firstLineChars="200"/>
        <w:jc w:val="left"/>
        <w:rPr>
          <w:rFonts w:hint="eastAsia" w:ascii="宋体" w:hAnsi="宋体" w:cs="宋体"/>
          <w:kern w:val="0"/>
          <w:sz w:val="24"/>
        </w:rPr>
      </w:pPr>
      <w:r>
        <w:rPr>
          <w:rFonts w:hint="eastAsia" w:ascii="宋体" w:hAnsi="宋体" w:cs="宋体"/>
          <w:bCs/>
          <w:sz w:val="24"/>
        </w:rPr>
        <w:t>3.3.2</w:t>
      </w:r>
      <w:r>
        <w:rPr>
          <w:rFonts w:hint="eastAsia" w:ascii="宋体" w:hAnsi="宋体" w:cs="宋体"/>
          <w:kern w:val="0"/>
          <w:sz w:val="24"/>
        </w:rPr>
        <w:t>在政府采购活动中，投标人提供的货物、工程或者服务符合下列情形的，享受中小企业扶持政策：</w:t>
      </w:r>
    </w:p>
    <w:p w14:paraId="6FD1C754">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3.3.2.1在货物采购项目中，货物由中小企业制造，即货物由中小企业生产且使用该中小企业商号或者注册商标；</w:t>
      </w:r>
    </w:p>
    <w:p w14:paraId="5DD8C2D9">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3.3.2.2在工程采购项目中，工程由中小企业承建，即工程施工单位为中小企业；</w:t>
      </w:r>
    </w:p>
    <w:p w14:paraId="5FB7D6DF">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3.3.2.3在服务采购项目中，服务由中小企业承接，即提供服务的人员为中小企业依照《中华人民共和国劳动合同法》订立劳动合同的从业人员。</w:t>
      </w:r>
    </w:p>
    <w:p w14:paraId="2ABB1343">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在货物采购项目中，投标人提供的货物既有中小企业制造货物，也有大型企业制造货物的，不享受中小企业扶持政策。</w:t>
      </w:r>
    </w:p>
    <w:p w14:paraId="65DEBA8B">
      <w:pPr>
        <w:widowControl/>
        <w:spacing w:line="360" w:lineRule="auto"/>
        <w:ind w:firstLine="480" w:firstLineChars="200"/>
        <w:jc w:val="left"/>
        <w:rPr>
          <w:rFonts w:hint="eastAsia" w:ascii="宋体" w:hAnsi="宋体" w:cs="宋体"/>
          <w:kern w:val="0"/>
          <w:sz w:val="24"/>
        </w:rPr>
      </w:pPr>
      <w:r>
        <w:rPr>
          <w:rFonts w:hint="eastAsia" w:ascii="宋体" w:hAnsi="宋体" w:cs="宋体"/>
          <w:kern w:val="0"/>
          <w:sz w:val="24"/>
        </w:rPr>
        <w:t>以联合体形式参加政府采购活动，联合体各方均为中小企业的，联合体视同中小企业。其中，联合体各方均为小微企业的，联合体视同小微企业。</w:t>
      </w:r>
    </w:p>
    <w:p w14:paraId="2CA75218">
      <w:pPr>
        <w:spacing w:line="360" w:lineRule="auto"/>
        <w:ind w:firstLine="480" w:firstLineChars="200"/>
        <w:rPr>
          <w:rFonts w:hint="eastAsia" w:ascii="宋体" w:hAnsi="宋体" w:cs="宋体"/>
          <w:sz w:val="24"/>
        </w:rPr>
      </w:pPr>
      <w:r>
        <w:rPr>
          <w:rFonts w:hint="eastAsia" w:ascii="宋体" w:hAnsi="宋体" w:cs="宋体"/>
          <w:sz w:val="24"/>
        </w:rPr>
        <w:t>3.3.3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2A053644">
      <w:pPr>
        <w:spacing w:line="360" w:lineRule="auto"/>
        <w:ind w:firstLine="480" w:firstLineChars="200"/>
        <w:rPr>
          <w:rFonts w:hint="eastAsia" w:ascii="宋体" w:hAnsi="宋体" w:cs="宋体"/>
          <w:sz w:val="24"/>
        </w:rPr>
      </w:pPr>
      <w:r>
        <w:rPr>
          <w:rFonts w:hint="eastAsia" w:ascii="宋体" w:hAnsi="宋体" w:cs="宋体"/>
          <w:sz w:val="24"/>
        </w:rPr>
        <w:t>3.3.4符合《关于促进残疾人就业政府采购政策的通知》（财库〔2017〕141号）规定的条件并提供《残疾人福利性单位声明函》（附件1）的残疾人福利性单位视同小型、微型企业；</w:t>
      </w:r>
    </w:p>
    <w:p w14:paraId="24FF967D">
      <w:pPr>
        <w:spacing w:line="360" w:lineRule="auto"/>
        <w:ind w:firstLine="480" w:firstLineChars="200"/>
        <w:rPr>
          <w:rFonts w:hint="eastAsia" w:ascii="宋体" w:hAnsi="宋体" w:cs="宋体"/>
          <w:sz w:val="24"/>
        </w:rPr>
      </w:pPr>
      <w:r>
        <w:rPr>
          <w:rFonts w:hint="eastAsia" w:ascii="宋体" w:hAnsi="宋体" w:cs="宋体"/>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7C3CED55">
      <w:pPr>
        <w:spacing w:line="360" w:lineRule="auto"/>
        <w:ind w:firstLine="480" w:firstLineChars="200"/>
        <w:rPr>
          <w:rFonts w:hint="eastAsia" w:ascii="宋体" w:hAnsi="宋体" w:cs="宋体"/>
          <w:sz w:val="24"/>
        </w:rPr>
      </w:pPr>
      <w:r>
        <w:rPr>
          <w:rFonts w:hint="eastAsia" w:ascii="宋体" w:hAnsi="宋体" w:cs="宋体"/>
          <w:sz w:val="24"/>
        </w:rPr>
        <w:t>3.3.6可享受中小企业扶持政策的投标人应按照招标文件格式要求提供《中小企业声明函》，投标人提供的《中小企业声明函》与实际情况不符的，不享受中小企业扶持政策。声明内容不实的，属于提供虚假材料谋取中标、成交的，依法承担法律责任。</w:t>
      </w:r>
    </w:p>
    <w:p w14:paraId="4869D15C">
      <w:pPr>
        <w:spacing w:line="360" w:lineRule="auto"/>
        <w:ind w:firstLine="480" w:firstLineChars="200"/>
        <w:rPr>
          <w:rFonts w:hint="eastAsia" w:ascii="宋体" w:hAnsi="宋体" w:cs="宋体"/>
          <w:sz w:val="24"/>
        </w:rPr>
      </w:pPr>
      <w:r>
        <w:rPr>
          <w:rFonts w:hint="eastAsia" w:ascii="宋体" w:hAnsi="宋体" w:cs="宋体"/>
          <w:sz w:val="24"/>
        </w:rPr>
        <w:t>3.3.7中小企业享受扶持政策获得政府采购合同的，小微企业不得将合同分包给大中型企业，中型企业不得将合同分包给大型企业。</w:t>
      </w:r>
    </w:p>
    <w:p w14:paraId="1E919D73">
      <w:pPr>
        <w:spacing w:line="360" w:lineRule="auto"/>
        <w:ind w:firstLine="240" w:firstLineChars="100"/>
        <w:rPr>
          <w:rFonts w:hint="eastAsia" w:ascii="宋体" w:hAnsi="宋体" w:cs="宋体"/>
          <w:sz w:val="24"/>
        </w:rPr>
      </w:pPr>
      <w:r>
        <w:rPr>
          <w:rFonts w:hint="eastAsia" w:ascii="宋体" w:hAnsi="宋体" w:cs="宋体"/>
          <w:sz w:val="24"/>
        </w:rPr>
        <w:t>3.4</w:t>
      </w:r>
      <w:r>
        <w:rPr>
          <w:rFonts w:hint="eastAsia" w:ascii="宋体" w:hAnsi="宋体" w:cs="宋体"/>
          <w:bCs/>
          <w:sz w:val="24"/>
        </w:rPr>
        <w:t>支持创新发展</w:t>
      </w:r>
    </w:p>
    <w:p w14:paraId="53521540">
      <w:pPr>
        <w:spacing w:line="360" w:lineRule="auto"/>
        <w:ind w:firstLine="480" w:firstLineChars="200"/>
        <w:rPr>
          <w:rFonts w:hint="eastAsia" w:ascii="宋体" w:hAnsi="宋体" w:cs="宋体"/>
          <w:sz w:val="24"/>
        </w:rPr>
      </w:pPr>
      <w:r>
        <w:rPr>
          <w:rFonts w:hint="eastAsia" w:ascii="宋体" w:hAnsi="宋体" w:cs="宋体"/>
          <w:sz w:val="24"/>
        </w:rPr>
        <w:t>3.4.1 采购人优先采购被认定为首台套产品和“制造精品”的自主创新产品。</w:t>
      </w:r>
    </w:p>
    <w:p w14:paraId="0F06153D">
      <w:pPr>
        <w:spacing w:line="360" w:lineRule="auto"/>
        <w:ind w:firstLine="480" w:firstLineChars="200"/>
        <w:rPr>
          <w:rFonts w:hint="eastAsia" w:ascii="宋体" w:hAnsi="宋体" w:cs="宋体"/>
          <w:sz w:val="24"/>
        </w:rPr>
      </w:pPr>
      <w:r>
        <w:rPr>
          <w:rFonts w:hint="eastAsia" w:ascii="宋体" w:hAnsi="宋体" w:cs="宋体"/>
          <w:sz w:val="24"/>
        </w:rPr>
        <w:t>3.4.2首台套产品被纳入《首台套产品推广应用指导目录》之日起2年内，以及产品核心技术高于国内领先水平，并具有明晰自主知识产权的“制造精品”产品，自认定之日起2年内视同已具备相应销售业绩，参加政府采购活动时业绩分值为满分。</w:t>
      </w:r>
    </w:p>
    <w:p w14:paraId="77698898">
      <w:pPr>
        <w:spacing w:line="360" w:lineRule="auto"/>
        <w:rPr>
          <w:rFonts w:hint="eastAsia" w:ascii="宋体" w:hAnsi="宋体" w:cs="宋体"/>
          <w:b/>
          <w:sz w:val="24"/>
        </w:rPr>
      </w:pPr>
      <w:r>
        <w:rPr>
          <w:rFonts w:hint="eastAsia" w:ascii="宋体" w:hAnsi="宋体" w:cs="宋体"/>
          <w:sz w:val="24"/>
        </w:rPr>
        <w:t>3.5中小企业信用融资：为支持和促进中小企业发展，进一步发挥政府采购政策功能，杭州市财政局与省银保监局、市金融办、市经信局共同出台了《杭州市政府采购支持中小企业信用融资管理办法》，供应商若有融资意向，详见《政府采购支持中小企业信用融资相关事项通知》，或登录杭州市政府采购网“中小企业信用融资”模块，查看信用融资政策文件及各相关银行服务方案。</w:t>
      </w:r>
      <w:r>
        <w:rPr>
          <w:rFonts w:hint="eastAsia" w:ascii="宋体" w:hAnsi="宋体" w:cs="宋体"/>
          <w:sz w:val="24"/>
        </w:rPr>
        <w:cr/>
      </w:r>
      <w:r>
        <w:rPr>
          <w:rFonts w:hint="eastAsia" w:ascii="宋体" w:hAnsi="宋体" w:cs="宋体"/>
          <w:b/>
          <w:sz w:val="24"/>
        </w:rPr>
        <w:t>4. 询问、质疑、投诉</w:t>
      </w:r>
    </w:p>
    <w:p w14:paraId="26AA1B58">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4.1供应商询问</w:t>
      </w:r>
    </w:p>
    <w:p w14:paraId="66E7B6A3">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25689D8">
      <w:pPr>
        <w:autoSpaceDE w:val="0"/>
        <w:autoSpaceDN w:val="0"/>
        <w:spacing w:line="360" w:lineRule="auto"/>
        <w:ind w:firstLine="240" w:firstLineChars="100"/>
        <w:jc w:val="left"/>
        <w:rPr>
          <w:rFonts w:hint="eastAsia" w:ascii="宋体" w:hAnsi="宋体" w:cs="宋体"/>
          <w:kern w:val="0"/>
          <w:sz w:val="24"/>
          <w:lang w:val="zh-CN"/>
        </w:rPr>
      </w:pPr>
      <w:r>
        <w:rPr>
          <w:rFonts w:hint="eastAsia" w:ascii="宋体" w:hAnsi="宋体" w:cs="宋体"/>
          <w:kern w:val="0"/>
          <w:sz w:val="24"/>
          <w:lang w:val="zh-CN"/>
        </w:rPr>
        <w:t>4.2供应商质疑</w:t>
      </w:r>
    </w:p>
    <w:p w14:paraId="2CF2FC43">
      <w:pPr>
        <w:pStyle w:val="38"/>
        <w:spacing w:line="360" w:lineRule="auto"/>
        <w:ind w:firstLine="480" w:firstLineChars="200"/>
        <w:rPr>
          <w:rFonts w:hint="eastAsia" w:hAnsi="宋体" w:cs="宋体"/>
          <w:sz w:val="24"/>
        </w:rPr>
      </w:pPr>
      <w:r>
        <w:rPr>
          <w:rFonts w:hint="eastAsia" w:hAnsi="宋体" w:cs="宋体"/>
          <w:kern w:val="0"/>
          <w:sz w:val="24"/>
          <w:lang w:val="zh-CN"/>
        </w:rPr>
        <w:t>4.2</w:t>
      </w:r>
      <w:r>
        <w:rPr>
          <w:rFonts w:hint="eastAsia" w:hAnsi="宋体" w:cs="宋体"/>
          <w:sz w:val="24"/>
        </w:rPr>
        <w:t>.1提出质疑的供应商应当是参与所质疑项目采购活动的供应商。潜在供应商已依法获取其可质疑的招标文件的，可以对该文件提出质疑。</w:t>
      </w:r>
    </w:p>
    <w:p w14:paraId="00C45330">
      <w:pPr>
        <w:pStyle w:val="38"/>
        <w:spacing w:line="360" w:lineRule="auto"/>
        <w:ind w:firstLine="480" w:firstLineChars="200"/>
        <w:rPr>
          <w:rFonts w:hint="eastAsia" w:hAnsi="宋体" w:cs="宋体"/>
          <w:sz w:val="24"/>
        </w:rPr>
      </w:pPr>
      <w:r>
        <w:rPr>
          <w:rFonts w:hint="eastAsia" w:hAnsi="宋体" w:cs="宋体"/>
          <w:kern w:val="0"/>
          <w:sz w:val="24"/>
          <w:lang w:val="zh-CN"/>
        </w:rPr>
        <w:t>4.2</w:t>
      </w:r>
      <w:r>
        <w:rPr>
          <w:rFonts w:hint="eastAsia" w:hAnsi="宋体" w:cs="宋体"/>
          <w:sz w:val="24"/>
        </w:rPr>
        <w:t>.2供应商认为招标文件、采购过程和中标结果使自己的权益受到损害的，可以在知道或者应知其权益受到损害之日起七个工作日内，以书面形式向采购人或者采购机构提出质疑，否则，采购人或者采购机构不予受理：</w:t>
      </w:r>
    </w:p>
    <w:p w14:paraId="06B7F870">
      <w:pPr>
        <w:pStyle w:val="18"/>
        <w:spacing w:line="360" w:lineRule="auto"/>
        <w:ind w:firstLine="480" w:firstLineChars="200"/>
        <w:rPr>
          <w:rFonts w:hint="eastAsia" w:hAnsi="宋体" w:cs="宋体"/>
          <w:snapToGrid/>
          <w:color w:val="auto"/>
          <w:kern w:val="2"/>
          <w:sz w:val="24"/>
        </w:rPr>
      </w:pPr>
      <w:r>
        <w:rPr>
          <w:rFonts w:hint="eastAsia" w:hAnsi="宋体" w:cs="宋体"/>
          <w:snapToGrid/>
          <w:color w:val="auto"/>
          <w:kern w:val="2"/>
          <w:sz w:val="24"/>
        </w:rPr>
        <w:t>4.2.2.1对招标文件提出质疑的，质疑期限为供应商获得招标文件之日或者招标文件公告期限届满之日起计算。</w:t>
      </w:r>
    </w:p>
    <w:p w14:paraId="5AC2834E">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4.2.2.2对采购过程提出质疑的，质疑期限为各采购程序环节结束之日起计算。对同一采购程序环节的质疑，供应商须一次性提出。</w:t>
      </w:r>
    </w:p>
    <w:p w14:paraId="73342987">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4.2.2.3对采购结果提出质疑的，质疑期限自采购结果公告期限届满之日起计算。</w:t>
      </w:r>
    </w:p>
    <w:p w14:paraId="332A0EA3">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4.2.3供应商提出质疑应当提交质疑函和必要的证明材料。质疑函应当包括下列内容：</w:t>
      </w:r>
    </w:p>
    <w:p w14:paraId="6F8060F3">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4.2.3.1供应商的姓名或者名称、地址、邮编、联系人及联系电话；</w:t>
      </w:r>
    </w:p>
    <w:p w14:paraId="2B142D09">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4.2.3.2质疑项目的名称、编号；</w:t>
      </w:r>
    </w:p>
    <w:p w14:paraId="40107555">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4.2.3.3具体、明确的质疑事项和与质疑事项相关的请求；</w:t>
      </w:r>
    </w:p>
    <w:p w14:paraId="52720728">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4.2.3.4事实依据；</w:t>
      </w:r>
    </w:p>
    <w:p w14:paraId="7B897C18">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4.2.3.5必要的法律依据；</w:t>
      </w:r>
    </w:p>
    <w:p w14:paraId="646A9A81">
      <w:pPr>
        <w:pStyle w:val="38"/>
        <w:spacing w:line="360" w:lineRule="auto"/>
        <w:ind w:firstLine="480" w:firstLineChars="200"/>
        <w:rPr>
          <w:rFonts w:hint="eastAsia" w:hAnsi="宋体" w:cs="宋体"/>
          <w:kern w:val="0"/>
          <w:sz w:val="24"/>
          <w:lang w:val="zh-CN"/>
        </w:rPr>
      </w:pPr>
      <w:r>
        <w:rPr>
          <w:rFonts w:hint="eastAsia" w:hAnsi="宋体" w:cs="宋体"/>
          <w:kern w:val="0"/>
          <w:sz w:val="24"/>
          <w:lang w:val="zh-CN"/>
        </w:rPr>
        <w:t>4.2.3.6提出质疑的日期。</w:t>
      </w:r>
    </w:p>
    <w:p w14:paraId="68B63561">
      <w:pPr>
        <w:pStyle w:val="38"/>
        <w:spacing w:line="360" w:lineRule="auto"/>
        <w:ind w:firstLine="480" w:firstLineChars="200"/>
        <w:rPr>
          <w:rFonts w:hint="eastAsia" w:hAnsi="宋体" w:cs="宋体"/>
        </w:rPr>
      </w:pPr>
      <w:r>
        <w:rPr>
          <w:rFonts w:hint="eastAsia" w:hAnsi="宋体" w:cs="宋体"/>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312AC75F">
      <w:pPr>
        <w:pStyle w:val="890"/>
        <w:shd w:val="clear" w:color="auto" w:fill="FFFFFF"/>
        <w:snapToGrid w:val="0"/>
        <w:spacing w:after="240" w:afterAutospacing="0" w:line="360" w:lineRule="auto"/>
        <w:ind w:firstLine="400"/>
        <w:contextualSpacing/>
        <w:rPr>
          <w:rFonts w:hint="eastAsia"/>
        </w:rPr>
      </w:pPr>
      <w:r>
        <w:rPr>
          <w:rFonts w:hint="eastAsia"/>
        </w:rPr>
        <w:t>质疑函范本及制作说明详见附件2。</w:t>
      </w:r>
    </w:p>
    <w:p w14:paraId="512F4806">
      <w:pPr>
        <w:pStyle w:val="890"/>
        <w:shd w:val="clear" w:color="auto" w:fill="FFFFFF"/>
        <w:snapToGrid w:val="0"/>
        <w:spacing w:after="240" w:afterAutospacing="0" w:line="360" w:lineRule="auto"/>
        <w:ind w:firstLine="400"/>
        <w:contextualSpacing/>
        <w:rPr>
          <w:rFonts w:hint="eastAsia"/>
        </w:rPr>
      </w:pPr>
      <w:r>
        <w:rPr>
          <w:rFonts w:hint="eastAsia"/>
          <w:lang w:val="zh-CN"/>
        </w:rPr>
        <w:t>4.2</w:t>
      </w:r>
      <w:r>
        <w:rPr>
          <w:rFonts w:hint="eastAsia"/>
        </w:rPr>
        <w:t>.4采购人或者采购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机构在质疑回复后5个工作日内，在浙江政府采购网的“其他公告”栏目公开质疑答复，答复内容应当完整。质疑函作为附件上传。</w:t>
      </w:r>
    </w:p>
    <w:p w14:paraId="1DEAF715">
      <w:pPr>
        <w:pStyle w:val="890"/>
        <w:shd w:val="clear" w:color="auto" w:fill="FFFFFF"/>
        <w:snapToGrid w:val="0"/>
        <w:spacing w:after="240" w:afterAutospacing="0" w:line="360" w:lineRule="auto"/>
        <w:ind w:firstLine="400"/>
        <w:contextualSpacing/>
        <w:rPr>
          <w:rFonts w:hint="eastAsia"/>
        </w:rPr>
      </w:pPr>
      <w:r>
        <w:rPr>
          <w:rFonts w:hint="eastAsia"/>
          <w:lang w:val="zh-CN"/>
        </w:rPr>
        <w:t>4.2</w:t>
      </w:r>
      <w:r>
        <w:rPr>
          <w:rFonts w:hint="eastAsia"/>
        </w:rPr>
        <w:t>.5询问或者质疑事项可能影响采购结果的，采购人应当暂停签订合同，已经签订合同的，应当中止履行合同。</w:t>
      </w:r>
    </w:p>
    <w:p w14:paraId="5A159F7E">
      <w:pPr>
        <w:pStyle w:val="890"/>
        <w:shd w:val="clear" w:color="auto" w:fill="FFFFFF"/>
        <w:snapToGrid w:val="0"/>
        <w:spacing w:after="240" w:afterAutospacing="0" w:line="360" w:lineRule="auto"/>
        <w:ind w:firstLine="480" w:firstLineChars="200"/>
        <w:contextualSpacing/>
        <w:rPr>
          <w:rFonts w:hint="eastAsia"/>
          <w:lang w:val="zh-CN"/>
        </w:rPr>
      </w:pPr>
      <w:r>
        <w:rPr>
          <w:rFonts w:hint="eastAsia"/>
          <w:lang w:val="zh-CN"/>
        </w:rPr>
        <w:t>4.3供应商投诉</w:t>
      </w:r>
    </w:p>
    <w:p w14:paraId="0A948DD4">
      <w:pPr>
        <w:pStyle w:val="890"/>
        <w:shd w:val="clear" w:color="auto" w:fill="FFFFFF"/>
        <w:snapToGrid w:val="0"/>
        <w:spacing w:after="240" w:afterAutospacing="0" w:line="360" w:lineRule="auto"/>
        <w:ind w:firstLine="400"/>
        <w:contextualSpacing/>
        <w:rPr>
          <w:rFonts w:hint="eastAsia"/>
        </w:rPr>
      </w:pPr>
      <w:r>
        <w:rPr>
          <w:rFonts w:hint="eastAsia"/>
        </w:rPr>
        <w:t>4.3.1质疑供应商对采购人、采购机构的答复不满意或者采购人、采购机构未在规定的时间内作出答复的，可以在答复期满后十五个工作日内向同级政府采购监督管理部门提出投诉。</w:t>
      </w:r>
    </w:p>
    <w:p w14:paraId="0011A475">
      <w:pPr>
        <w:pStyle w:val="890"/>
        <w:shd w:val="clear" w:color="auto" w:fill="FFFFFF"/>
        <w:snapToGrid w:val="0"/>
        <w:spacing w:after="240" w:afterAutospacing="0" w:line="360" w:lineRule="auto"/>
        <w:ind w:firstLine="400"/>
        <w:contextualSpacing/>
        <w:rPr>
          <w:rFonts w:hint="eastAsia"/>
        </w:rPr>
      </w:pPr>
      <w:r>
        <w:rPr>
          <w:rFonts w:hint="eastAsia"/>
        </w:rPr>
        <w:t>4.3.</w:t>
      </w:r>
      <w:r>
        <w:rPr>
          <w:rFonts w:hint="eastAsia"/>
          <w:lang w:val="zh-CN"/>
        </w:rPr>
        <w:t>2</w:t>
      </w:r>
      <w:r>
        <w:rPr>
          <w:rFonts w:hint="eastAsia"/>
        </w:rPr>
        <w:t>供应商投诉的事项不得超出已质疑事项的范围，基于质疑答复内容提出的投诉事项除外。</w:t>
      </w:r>
    </w:p>
    <w:p w14:paraId="3FDED6F3">
      <w:pPr>
        <w:pStyle w:val="890"/>
        <w:shd w:val="clear" w:color="auto" w:fill="FFFFFF"/>
        <w:snapToGrid w:val="0"/>
        <w:spacing w:after="240" w:afterAutospacing="0" w:line="360" w:lineRule="auto"/>
        <w:ind w:firstLine="400"/>
        <w:contextualSpacing/>
        <w:rPr>
          <w:rFonts w:hint="eastAsia"/>
        </w:rPr>
      </w:pPr>
      <w:r>
        <w:rPr>
          <w:rFonts w:hint="eastAsia"/>
        </w:rPr>
        <w:t>4.3.3供应商投诉应当有明确的请求和必要的证明材料。</w:t>
      </w:r>
    </w:p>
    <w:p w14:paraId="62E8F5D4">
      <w:pPr>
        <w:pStyle w:val="890"/>
        <w:shd w:val="clear" w:color="auto" w:fill="FFFFFF"/>
        <w:snapToGrid w:val="0"/>
        <w:spacing w:after="240" w:afterAutospacing="0" w:line="360" w:lineRule="auto"/>
        <w:ind w:firstLine="400"/>
        <w:contextualSpacing/>
        <w:rPr>
          <w:rFonts w:hint="eastAsia"/>
        </w:rPr>
      </w:pPr>
      <w:r>
        <w:rPr>
          <w:rFonts w:hint="eastAsia"/>
        </w:rPr>
        <w:t>4.3.5 以联合体形式参加政府采购活动的，其投诉应当由组成联合体的所有供应商共同提出。</w:t>
      </w:r>
    </w:p>
    <w:p w14:paraId="1E2BAD6B">
      <w:pPr>
        <w:pStyle w:val="890"/>
        <w:shd w:val="clear" w:color="auto" w:fill="FFFFFF"/>
        <w:snapToGrid w:val="0"/>
        <w:spacing w:after="240" w:afterAutospacing="0" w:line="360" w:lineRule="auto"/>
        <w:ind w:firstLine="400"/>
        <w:contextualSpacing/>
        <w:rPr>
          <w:rFonts w:hint="eastAsia"/>
        </w:rPr>
      </w:pPr>
      <w:r>
        <w:rPr>
          <w:rFonts w:hint="eastAsia"/>
        </w:rPr>
        <w:t>投诉书范本及制作说明详见附件3</w:t>
      </w:r>
    </w:p>
    <w:p w14:paraId="0CA8AED3">
      <w:pPr>
        <w:adjustRightInd/>
        <w:spacing w:line="360" w:lineRule="auto"/>
        <w:jc w:val="center"/>
        <w:outlineLvl w:val="0"/>
        <w:rPr>
          <w:rFonts w:hint="eastAsia" w:ascii="宋体" w:hAnsi="宋体" w:cs="宋体"/>
          <w:b/>
          <w:sz w:val="32"/>
          <w:szCs w:val="20"/>
        </w:rPr>
      </w:pPr>
      <w:r>
        <w:rPr>
          <w:rFonts w:hint="eastAsia" w:ascii="宋体" w:hAnsi="宋体" w:cs="宋体"/>
          <w:b/>
          <w:sz w:val="32"/>
          <w:szCs w:val="20"/>
        </w:rPr>
        <w:t xml:space="preserve">      二、招标文件的构成、澄清、修改</w:t>
      </w:r>
    </w:p>
    <w:p w14:paraId="3E479D09">
      <w:pPr>
        <w:pStyle w:val="38"/>
        <w:spacing w:line="360" w:lineRule="auto"/>
        <w:rPr>
          <w:rFonts w:hint="eastAsia" w:hAnsi="宋体" w:cs="宋体"/>
          <w:b/>
          <w:sz w:val="24"/>
          <w:szCs w:val="24"/>
        </w:rPr>
      </w:pPr>
      <w:r>
        <w:rPr>
          <w:rFonts w:hint="eastAsia" w:hAnsi="宋体" w:cs="宋体"/>
          <w:b/>
          <w:sz w:val="24"/>
          <w:szCs w:val="24"/>
        </w:rPr>
        <w:t>5．招标文件的构成</w:t>
      </w:r>
    </w:p>
    <w:p w14:paraId="5C602794">
      <w:pPr>
        <w:pStyle w:val="38"/>
        <w:spacing w:line="360" w:lineRule="auto"/>
        <w:ind w:firstLine="480" w:firstLineChars="200"/>
        <w:rPr>
          <w:rFonts w:hint="eastAsia" w:hAnsi="宋体" w:cs="宋体"/>
          <w:sz w:val="24"/>
          <w:szCs w:val="24"/>
        </w:rPr>
      </w:pPr>
      <w:r>
        <w:rPr>
          <w:rFonts w:hint="eastAsia" w:hAnsi="宋体" w:cs="宋体"/>
          <w:sz w:val="24"/>
          <w:szCs w:val="24"/>
        </w:rPr>
        <w:t>5.1 招标文件包括下列文件及附件：</w:t>
      </w:r>
    </w:p>
    <w:p w14:paraId="6FDB3347">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5.1.1招标公告；</w:t>
      </w:r>
    </w:p>
    <w:p w14:paraId="474B14D1">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5.1.2投标人须知；</w:t>
      </w:r>
    </w:p>
    <w:p w14:paraId="266A70AA">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5.1.3采购需求；</w:t>
      </w:r>
    </w:p>
    <w:p w14:paraId="5C710252">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5.1.4评标办法；</w:t>
      </w:r>
    </w:p>
    <w:p w14:paraId="7672F873">
      <w:pPr>
        <w:pStyle w:val="38"/>
        <w:tabs>
          <w:tab w:val="left" w:pos="840"/>
        </w:tabs>
        <w:spacing w:line="360" w:lineRule="auto"/>
        <w:ind w:firstLine="960" w:firstLineChars="400"/>
        <w:rPr>
          <w:rFonts w:hint="eastAsia" w:hAnsi="宋体" w:cs="宋体"/>
          <w:sz w:val="24"/>
          <w:szCs w:val="24"/>
        </w:rPr>
      </w:pPr>
      <w:r>
        <w:rPr>
          <w:rFonts w:hint="eastAsia" w:hAnsi="宋体" w:cs="宋体"/>
          <w:sz w:val="24"/>
          <w:szCs w:val="24"/>
        </w:rPr>
        <w:t>5.1.5拟签订的合同文本；</w:t>
      </w:r>
    </w:p>
    <w:p w14:paraId="33B24CDD">
      <w:pPr>
        <w:pStyle w:val="38"/>
        <w:tabs>
          <w:tab w:val="left" w:pos="840"/>
        </w:tabs>
        <w:spacing w:line="360" w:lineRule="auto"/>
        <w:ind w:firstLine="960" w:firstLineChars="400"/>
        <w:rPr>
          <w:rFonts w:hint="eastAsia" w:hAnsi="宋体" w:cs="宋体"/>
          <w:sz w:val="24"/>
          <w:szCs w:val="24"/>
        </w:rPr>
      </w:pPr>
      <w:r>
        <w:rPr>
          <w:rFonts w:hint="eastAsia" w:hAnsi="宋体" w:cs="宋体"/>
          <w:sz w:val="24"/>
        </w:rPr>
        <w:t>5.1.6</w:t>
      </w:r>
      <w:r>
        <w:rPr>
          <w:rFonts w:hint="eastAsia" w:hAnsi="宋体" w:cs="宋体"/>
          <w:sz w:val="24"/>
          <w:szCs w:val="24"/>
        </w:rPr>
        <w:t>应提交的有关格式范例。</w:t>
      </w:r>
    </w:p>
    <w:p w14:paraId="5A3B8224">
      <w:pPr>
        <w:spacing w:line="360" w:lineRule="auto"/>
        <w:ind w:firstLine="480" w:firstLineChars="200"/>
        <w:rPr>
          <w:rFonts w:hint="eastAsia" w:ascii="宋体" w:hAnsi="宋体" w:cs="宋体"/>
          <w:sz w:val="24"/>
        </w:rPr>
      </w:pPr>
      <w:r>
        <w:rPr>
          <w:rFonts w:hint="eastAsia" w:ascii="宋体" w:hAnsi="宋体" w:cs="宋体"/>
          <w:sz w:val="24"/>
        </w:rPr>
        <w:t>5.2与本项目有关的</w:t>
      </w:r>
      <w:r>
        <w:rPr>
          <w:rFonts w:hint="eastAsia" w:ascii="宋体" w:hAnsi="宋体" w:cs="宋体"/>
          <w:bCs/>
          <w:sz w:val="24"/>
        </w:rPr>
        <w:t>澄清或者修改的内容为招标文件的组成部分</w:t>
      </w:r>
      <w:r>
        <w:rPr>
          <w:rFonts w:hint="eastAsia" w:ascii="宋体" w:hAnsi="宋体" w:cs="宋体"/>
          <w:sz w:val="24"/>
        </w:rPr>
        <w:t>。</w:t>
      </w:r>
    </w:p>
    <w:p w14:paraId="37FC8056">
      <w:pPr>
        <w:pStyle w:val="38"/>
        <w:spacing w:line="360" w:lineRule="auto"/>
        <w:rPr>
          <w:rFonts w:hint="eastAsia" w:hAnsi="宋体" w:cs="宋体"/>
          <w:b/>
          <w:sz w:val="24"/>
          <w:szCs w:val="24"/>
        </w:rPr>
      </w:pPr>
      <w:r>
        <w:rPr>
          <w:rFonts w:hint="eastAsia" w:hAnsi="宋体" w:cs="宋体"/>
          <w:b/>
          <w:sz w:val="24"/>
          <w:szCs w:val="24"/>
        </w:rPr>
        <w:t>6. 招标文件的澄清、修改</w:t>
      </w:r>
    </w:p>
    <w:p w14:paraId="6CD4343D">
      <w:pPr>
        <w:pStyle w:val="131"/>
        <w:snapToGrid w:val="0"/>
        <w:spacing w:before="0"/>
        <w:ind w:firstLine="480"/>
        <w:rPr>
          <w:rFonts w:hint="eastAsia" w:ascii="宋体" w:hAnsi="宋体" w:cs="宋体"/>
        </w:rPr>
      </w:pPr>
      <w:r>
        <w:rPr>
          <w:rFonts w:hint="eastAsia" w:ascii="宋体" w:hAnsi="宋体" w:cs="宋体"/>
        </w:rPr>
        <w:t>6.1已获取招标文件的潜在投标人，若有问题需要澄清，应于投标截止时间前，以书面形式向采购机构提出。</w:t>
      </w:r>
    </w:p>
    <w:p w14:paraId="23E4EF90">
      <w:pPr>
        <w:pStyle w:val="131"/>
        <w:snapToGrid w:val="0"/>
        <w:spacing w:before="0"/>
        <w:ind w:firstLine="480"/>
        <w:rPr>
          <w:rFonts w:hint="eastAsia" w:ascii="宋体" w:hAnsi="宋体" w:cs="宋体"/>
        </w:rPr>
      </w:pPr>
      <w:r>
        <w:rPr>
          <w:rFonts w:hint="eastAsia" w:ascii="宋体" w:hAnsi="宋体" w:cs="宋体"/>
        </w:rPr>
        <w:t>6.2 采购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20C73444">
      <w:pPr>
        <w:adjustRightInd/>
        <w:spacing w:line="360" w:lineRule="auto"/>
        <w:jc w:val="center"/>
        <w:outlineLvl w:val="0"/>
        <w:rPr>
          <w:rFonts w:hint="eastAsia" w:ascii="宋体" w:hAnsi="宋体" w:cs="宋体"/>
          <w:b/>
          <w:sz w:val="30"/>
          <w:szCs w:val="20"/>
        </w:rPr>
      </w:pPr>
      <w:r>
        <w:rPr>
          <w:rFonts w:hint="eastAsia" w:ascii="宋体" w:hAnsi="宋体" w:cs="宋体"/>
          <w:b/>
          <w:sz w:val="30"/>
          <w:szCs w:val="20"/>
        </w:rPr>
        <w:t>三、投标</w:t>
      </w:r>
    </w:p>
    <w:p w14:paraId="152CDD16">
      <w:pPr>
        <w:pStyle w:val="38"/>
        <w:spacing w:line="360" w:lineRule="auto"/>
        <w:rPr>
          <w:rFonts w:hint="eastAsia" w:hAnsi="宋体" w:cs="宋体"/>
          <w:b/>
          <w:sz w:val="24"/>
          <w:szCs w:val="24"/>
        </w:rPr>
      </w:pPr>
      <w:r>
        <w:rPr>
          <w:rFonts w:hint="eastAsia" w:hAnsi="宋体" w:cs="宋体"/>
          <w:b/>
          <w:sz w:val="24"/>
          <w:szCs w:val="24"/>
        </w:rPr>
        <w:t>7. 招标文件的获取</w:t>
      </w:r>
    </w:p>
    <w:p w14:paraId="752A5A4C">
      <w:pPr>
        <w:spacing w:line="360" w:lineRule="auto"/>
        <w:ind w:firstLine="480" w:firstLineChars="200"/>
        <w:rPr>
          <w:rFonts w:hint="eastAsia" w:ascii="宋体" w:hAnsi="宋体" w:cs="宋体"/>
          <w:snapToGrid w:val="0"/>
          <w:kern w:val="28"/>
          <w:sz w:val="24"/>
        </w:rPr>
      </w:pPr>
      <w:r>
        <w:rPr>
          <w:rFonts w:hint="eastAsia" w:ascii="宋体" w:hAnsi="宋体" w:cs="宋体"/>
          <w:snapToGrid w:val="0"/>
          <w:kern w:val="28"/>
          <w:sz w:val="24"/>
        </w:rPr>
        <w:t>详见招标公告中获取招标文件的时间期限、地点、方式及招标文件售价。</w:t>
      </w:r>
    </w:p>
    <w:p w14:paraId="74D7167C">
      <w:pPr>
        <w:pStyle w:val="38"/>
        <w:spacing w:line="360" w:lineRule="auto"/>
        <w:rPr>
          <w:rFonts w:hint="eastAsia" w:hAnsi="宋体" w:cs="宋体"/>
          <w:b/>
          <w:sz w:val="24"/>
          <w:szCs w:val="24"/>
        </w:rPr>
      </w:pPr>
      <w:r>
        <w:rPr>
          <w:rFonts w:hint="eastAsia" w:hAnsi="宋体" w:cs="宋体"/>
          <w:b/>
          <w:sz w:val="24"/>
          <w:szCs w:val="24"/>
        </w:rPr>
        <w:t>8.开标前答疑会或现场考察</w:t>
      </w:r>
    </w:p>
    <w:p w14:paraId="7A867D11">
      <w:pPr>
        <w:pStyle w:val="38"/>
        <w:spacing w:line="360" w:lineRule="auto"/>
        <w:ind w:firstLine="480" w:firstLineChars="200"/>
        <w:rPr>
          <w:rFonts w:hint="eastAsia" w:hAnsi="宋体" w:cs="宋体"/>
          <w:sz w:val="24"/>
          <w:szCs w:val="24"/>
        </w:rPr>
      </w:pPr>
      <w:r>
        <w:rPr>
          <w:rFonts w:hint="eastAsia" w:hAnsi="宋体" w:cs="宋体"/>
          <w:sz w:val="24"/>
          <w:szCs w:val="24"/>
        </w:rPr>
        <w:t>采购人组织潜在投标人现场考察或者召开开标前答疑会的，潜在投标人按第二部分投标人须知前附表的规定参加现场考察或者开标前答疑会。</w:t>
      </w:r>
    </w:p>
    <w:p w14:paraId="1478F648">
      <w:pPr>
        <w:pStyle w:val="38"/>
        <w:spacing w:line="360" w:lineRule="auto"/>
        <w:rPr>
          <w:rFonts w:hint="eastAsia" w:hAnsi="宋体" w:cs="宋体"/>
          <w:b/>
          <w:szCs w:val="24"/>
        </w:rPr>
      </w:pPr>
      <w:r>
        <w:rPr>
          <w:rFonts w:hint="eastAsia" w:hAnsi="宋体" w:cs="宋体"/>
          <w:b/>
          <w:kern w:val="28"/>
          <w:sz w:val="24"/>
          <w:szCs w:val="24"/>
        </w:rPr>
        <w:t>9.投标保证金</w:t>
      </w:r>
    </w:p>
    <w:p w14:paraId="7F8CDA6E">
      <w:pPr>
        <w:pStyle w:val="18"/>
        <w:spacing w:line="360" w:lineRule="auto"/>
        <w:ind w:firstLine="470" w:firstLineChars="196"/>
        <w:rPr>
          <w:rFonts w:hint="eastAsia" w:hAnsi="宋体" w:cs="宋体"/>
          <w:color w:val="auto"/>
          <w:sz w:val="24"/>
        </w:rPr>
      </w:pPr>
      <w:r>
        <w:rPr>
          <w:rFonts w:hint="eastAsia" w:hAnsi="宋体" w:cs="宋体"/>
          <w:color w:val="auto"/>
          <w:sz w:val="24"/>
        </w:rPr>
        <w:t>本项目不需缴纳投标保证金。</w:t>
      </w:r>
    </w:p>
    <w:p w14:paraId="59A4A997">
      <w:pPr>
        <w:pStyle w:val="38"/>
        <w:spacing w:line="360" w:lineRule="auto"/>
        <w:rPr>
          <w:rFonts w:hint="eastAsia" w:hAnsi="宋体" w:cs="宋体"/>
          <w:b/>
          <w:sz w:val="24"/>
          <w:szCs w:val="24"/>
        </w:rPr>
      </w:pPr>
      <w:r>
        <w:rPr>
          <w:rFonts w:hint="eastAsia" w:hAnsi="宋体" w:cs="宋体"/>
          <w:b/>
          <w:sz w:val="24"/>
          <w:szCs w:val="24"/>
        </w:rPr>
        <w:t>10. 投标文件的语言</w:t>
      </w:r>
    </w:p>
    <w:p w14:paraId="1D0AFAF9">
      <w:pPr>
        <w:autoSpaceDE w:val="0"/>
        <w:autoSpaceDN w:val="0"/>
        <w:spacing w:line="360" w:lineRule="auto"/>
        <w:ind w:firstLine="480" w:firstLineChars="200"/>
        <w:rPr>
          <w:rFonts w:hint="eastAsia" w:ascii="宋体" w:hAnsi="宋体" w:cs="宋体"/>
          <w:sz w:val="24"/>
          <w:lang w:val="zh-CN"/>
        </w:rPr>
      </w:pPr>
      <w:r>
        <w:rPr>
          <w:rFonts w:hint="eastAsia" w:ascii="宋体" w:hAnsi="宋体" w:cs="宋体"/>
          <w:sz w:val="24"/>
        </w:rPr>
        <w:t>投标文件及投标人与采购有关的来往通知、函件和文件均应使用中文。</w:t>
      </w:r>
    </w:p>
    <w:p w14:paraId="494AD243">
      <w:pPr>
        <w:pStyle w:val="38"/>
        <w:spacing w:line="360" w:lineRule="auto"/>
        <w:rPr>
          <w:rFonts w:hint="eastAsia" w:hAnsi="宋体" w:cs="宋体"/>
          <w:b/>
          <w:sz w:val="24"/>
          <w:szCs w:val="24"/>
        </w:rPr>
      </w:pPr>
      <w:r>
        <w:rPr>
          <w:rFonts w:hint="eastAsia" w:hAnsi="宋体" w:cs="宋体"/>
          <w:b/>
          <w:sz w:val="24"/>
          <w:szCs w:val="24"/>
        </w:rPr>
        <w:t>11. 投标文件的组成</w:t>
      </w:r>
    </w:p>
    <w:p w14:paraId="567129D5">
      <w:pPr>
        <w:snapToGrid w:val="0"/>
        <w:spacing w:line="360" w:lineRule="auto"/>
        <w:ind w:firstLine="480" w:firstLineChars="200"/>
        <w:rPr>
          <w:rFonts w:hint="eastAsia" w:ascii="宋体" w:hAnsi="宋体" w:cs="宋体"/>
          <w:sz w:val="24"/>
        </w:rPr>
      </w:pPr>
      <w:r>
        <w:rPr>
          <w:rFonts w:hint="eastAsia" w:ascii="宋体" w:hAnsi="宋体" w:cs="宋体"/>
          <w:sz w:val="24"/>
        </w:rPr>
        <w:t>11.1</w:t>
      </w:r>
      <w:r>
        <w:rPr>
          <w:rFonts w:hint="eastAsia" w:ascii="宋体" w:hAnsi="宋体" w:cs="宋体"/>
          <w:b/>
          <w:sz w:val="24"/>
        </w:rPr>
        <w:t>资格文件</w:t>
      </w:r>
      <w:r>
        <w:rPr>
          <w:rFonts w:hint="eastAsia" w:ascii="宋体" w:hAnsi="宋体" w:cs="宋体"/>
          <w:sz w:val="24"/>
        </w:rPr>
        <w:t>：</w:t>
      </w:r>
    </w:p>
    <w:p w14:paraId="4E5EB3E2">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11.1.1提供有效的营业执照(或事业法人登记证或其他工商等登记证明材料)；</w:t>
      </w:r>
    </w:p>
    <w:p w14:paraId="2227C756">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11.1.2符合参加政府采购活动应当具备的一般条件的承诺函；</w:t>
      </w:r>
    </w:p>
    <w:p w14:paraId="6B16E6BC">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11.1.3落实政府采购政策需满足的资格要求；（如有)</w:t>
      </w:r>
    </w:p>
    <w:p w14:paraId="689EB8D9">
      <w:pPr>
        <w:snapToGrid w:val="0"/>
        <w:spacing w:line="360" w:lineRule="auto"/>
        <w:ind w:firstLine="960" w:firstLineChars="400"/>
        <w:rPr>
          <w:rFonts w:hint="eastAsia" w:asciiTheme="minorEastAsia" w:hAnsiTheme="minorEastAsia" w:eastAsiaTheme="minorEastAsia" w:cstheme="minorEastAsia"/>
          <w:sz w:val="24"/>
        </w:rPr>
      </w:pPr>
      <w:r>
        <w:rPr>
          <w:rFonts w:hint="eastAsia" w:asciiTheme="minorEastAsia" w:hAnsiTheme="minorEastAsia" w:eastAsiaTheme="minorEastAsia" w:cstheme="minorEastAsia"/>
          <w:sz w:val="24"/>
        </w:rPr>
        <w:t>11.1.4本项目的特定资格要求。（如有）</w:t>
      </w:r>
    </w:p>
    <w:p w14:paraId="2C265518">
      <w:pPr>
        <w:snapToGrid w:val="0"/>
        <w:spacing w:line="360" w:lineRule="auto"/>
        <w:ind w:firstLine="482" w:firstLineChars="200"/>
        <w:rPr>
          <w:rFonts w:hint="eastAsia" w:ascii="宋体" w:hAnsi="宋体" w:cs="宋体"/>
          <w:b/>
          <w:bCs/>
          <w:sz w:val="24"/>
          <w:lang w:val="zh-CN"/>
        </w:rPr>
      </w:pPr>
      <w:r>
        <w:rPr>
          <w:rFonts w:hint="eastAsia" w:ascii="宋体" w:hAnsi="宋体" w:cs="宋体"/>
          <w:b/>
          <w:bCs/>
          <w:sz w:val="24"/>
          <w:lang w:val="zh-CN"/>
        </w:rPr>
        <w:t>11.</w:t>
      </w:r>
      <w:r>
        <w:rPr>
          <w:rFonts w:hint="eastAsia" w:ascii="宋体" w:hAnsi="宋体" w:cs="宋体"/>
          <w:b/>
          <w:bCs/>
          <w:sz w:val="24"/>
        </w:rPr>
        <w:t>2商务技术</w:t>
      </w:r>
      <w:r>
        <w:rPr>
          <w:rFonts w:hint="eastAsia" w:ascii="宋体" w:hAnsi="宋体" w:cs="宋体"/>
          <w:b/>
          <w:bCs/>
          <w:sz w:val="24"/>
          <w:lang w:val="zh-CN"/>
        </w:rPr>
        <w:t>文件：</w:t>
      </w:r>
    </w:p>
    <w:p w14:paraId="559B41A6">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11.2.1投标函；</w:t>
      </w:r>
    </w:p>
    <w:p w14:paraId="40326588">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11.2.2授权委托书或法定代表人（单位负责人、自然人本人）身份证明；</w:t>
      </w:r>
    </w:p>
    <w:p w14:paraId="686DDF48">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11.2.3符合性审查资料；</w:t>
      </w:r>
    </w:p>
    <w:p w14:paraId="5A1BB4EE">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11.2.4评标标准相应的商务技术资料；</w:t>
      </w:r>
    </w:p>
    <w:p w14:paraId="73F8FE40">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11.2.5投标标的清单；</w:t>
      </w:r>
    </w:p>
    <w:p w14:paraId="323EDDC1">
      <w:pPr>
        <w:snapToGrid w:val="0"/>
        <w:spacing w:line="360" w:lineRule="auto"/>
        <w:ind w:firstLine="960" w:firstLineChars="400"/>
        <w:rPr>
          <w:rFonts w:hint="eastAsia" w:cs="宋体" w:asciiTheme="minorEastAsia" w:hAnsiTheme="minorEastAsia" w:eastAsiaTheme="minorEastAsia"/>
          <w:sz w:val="24"/>
        </w:rPr>
      </w:pPr>
      <w:r>
        <w:rPr>
          <w:rFonts w:hint="eastAsia" w:cs="宋体" w:asciiTheme="minorEastAsia" w:hAnsiTheme="minorEastAsia" w:eastAsiaTheme="minorEastAsia"/>
          <w:sz w:val="24"/>
        </w:rPr>
        <w:t>11.2.6商务技术偏离表；</w:t>
      </w:r>
    </w:p>
    <w:p w14:paraId="30CDFC5F">
      <w:pPr>
        <w:snapToGrid w:val="0"/>
        <w:spacing w:line="360" w:lineRule="auto"/>
        <w:ind w:firstLine="960" w:firstLineChars="400"/>
        <w:rPr>
          <w:rFonts w:hint="eastAsia" w:cs="宋体" w:asciiTheme="minorEastAsia" w:hAnsiTheme="minorEastAsia" w:eastAsiaTheme="minorEastAsia"/>
          <w:sz w:val="24"/>
          <w:lang w:val="zh-CN"/>
        </w:rPr>
      </w:pPr>
      <w:r>
        <w:rPr>
          <w:rFonts w:hint="eastAsia" w:cs="宋体" w:asciiTheme="minorEastAsia" w:hAnsiTheme="minorEastAsia" w:eastAsiaTheme="minorEastAsia"/>
          <w:sz w:val="24"/>
          <w:lang w:val="zh-CN"/>
        </w:rPr>
        <w:t>11.</w:t>
      </w:r>
      <w:r>
        <w:rPr>
          <w:rFonts w:hint="eastAsia" w:cs="宋体" w:asciiTheme="minorEastAsia" w:hAnsiTheme="minorEastAsia" w:eastAsiaTheme="minorEastAsia"/>
          <w:sz w:val="24"/>
        </w:rPr>
        <w:t>2</w:t>
      </w:r>
      <w:r>
        <w:rPr>
          <w:rFonts w:hint="eastAsia" w:cs="宋体" w:asciiTheme="minorEastAsia" w:hAnsiTheme="minorEastAsia" w:eastAsiaTheme="minorEastAsia"/>
          <w:sz w:val="24"/>
          <w:lang w:val="zh-CN"/>
        </w:rPr>
        <w:t>.</w:t>
      </w:r>
      <w:r>
        <w:rPr>
          <w:rFonts w:hint="eastAsia" w:cs="宋体" w:asciiTheme="minorEastAsia" w:hAnsiTheme="minorEastAsia" w:eastAsiaTheme="minorEastAsia"/>
          <w:sz w:val="24"/>
        </w:rPr>
        <w:t>7</w:t>
      </w:r>
      <w:r>
        <w:rPr>
          <w:rFonts w:hint="eastAsia" w:cs="宋体" w:asciiTheme="minorEastAsia" w:hAnsiTheme="minorEastAsia" w:eastAsiaTheme="minorEastAsia"/>
          <w:sz w:val="24"/>
          <w:lang w:val="zh-CN"/>
        </w:rPr>
        <w:t>政府采购供应商廉洁自律承诺书；</w:t>
      </w:r>
    </w:p>
    <w:p w14:paraId="69579862">
      <w:pPr>
        <w:snapToGrid w:val="0"/>
        <w:spacing w:line="360" w:lineRule="auto"/>
        <w:ind w:firstLine="482" w:firstLineChars="200"/>
        <w:rPr>
          <w:rFonts w:hint="eastAsia" w:ascii="宋体" w:hAnsi="宋体" w:cs="宋体"/>
          <w:sz w:val="24"/>
          <w:u w:val="single"/>
          <w:lang w:val="zh-CN"/>
        </w:rPr>
      </w:pPr>
      <w:r>
        <w:rPr>
          <w:rFonts w:hint="eastAsia" w:ascii="宋体" w:hAnsi="宋体" w:cs="宋体"/>
          <w:b/>
          <w:bCs/>
          <w:kern w:val="0"/>
          <w:sz w:val="24"/>
          <w:lang w:val="zh-CN"/>
        </w:rPr>
        <w:t>11.</w:t>
      </w:r>
      <w:r>
        <w:rPr>
          <w:rFonts w:hint="eastAsia" w:ascii="宋体" w:hAnsi="宋体" w:cs="宋体"/>
          <w:b/>
          <w:bCs/>
          <w:kern w:val="0"/>
          <w:sz w:val="24"/>
        </w:rPr>
        <w:t>3</w:t>
      </w:r>
      <w:r>
        <w:rPr>
          <w:rFonts w:hint="eastAsia" w:ascii="宋体" w:hAnsi="宋体" w:cs="宋体"/>
          <w:b/>
          <w:bCs/>
          <w:sz w:val="24"/>
        </w:rPr>
        <w:t>报价文</w:t>
      </w:r>
      <w:r>
        <w:rPr>
          <w:rFonts w:hint="eastAsia" w:ascii="宋体" w:hAnsi="宋体" w:cs="宋体"/>
          <w:b/>
          <w:sz w:val="24"/>
        </w:rPr>
        <w:t>件：</w:t>
      </w:r>
    </w:p>
    <w:p w14:paraId="607DD991">
      <w:pPr>
        <w:snapToGrid w:val="0"/>
        <w:spacing w:line="360" w:lineRule="auto"/>
        <w:ind w:firstLine="960" w:firstLineChars="400"/>
        <w:rPr>
          <w:rFonts w:hint="eastAsia" w:ascii="宋体" w:hAnsi="宋体" w:cs="宋体"/>
          <w:sz w:val="24"/>
        </w:rPr>
      </w:pPr>
      <w:r>
        <w:rPr>
          <w:rFonts w:hint="eastAsia" w:ascii="宋体" w:hAnsi="宋体" w:cs="宋体"/>
          <w:sz w:val="24"/>
        </w:rPr>
        <w:t>11.3.1开标一览表（报价表）；</w:t>
      </w:r>
    </w:p>
    <w:p w14:paraId="57107414">
      <w:pPr>
        <w:snapToGrid w:val="0"/>
        <w:spacing w:line="360" w:lineRule="auto"/>
        <w:ind w:firstLine="960" w:firstLineChars="400"/>
        <w:rPr>
          <w:rFonts w:hint="eastAsia" w:ascii="宋体" w:hAnsi="宋体" w:cs="宋体"/>
          <w:sz w:val="24"/>
        </w:rPr>
      </w:pPr>
      <w:r>
        <w:rPr>
          <w:rFonts w:hint="eastAsia" w:ascii="宋体" w:hAnsi="宋体" w:cs="宋体"/>
          <w:sz w:val="24"/>
        </w:rPr>
        <w:t>11.3.2中小企业声明函。</w:t>
      </w:r>
    </w:p>
    <w:p w14:paraId="2D420C64">
      <w:pPr>
        <w:spacing w:line="360" w:lineRule="auto"/>
        <w:ind w:firstLine="723" w:firstLineChars="300"/>
        <w:rPr>
          <w:rFonts w:hint="eastAsia" w:ascii="宋体" w:hAnsi="宋体" w:cs="宋体"/>
          <w:b/>
          <w:sz w:val="24"/>
        </w:rPr>
      </w:pPr>
      <w:r>
        <w:rPr>
          <w:rFonts w:hint="eastAsia" w:ascii="宋体" w:hAnsi="宋体" w:cs="宋体"/>
          <w:b/>
          <w:sz w:val="24"/>
        </w:rPr>
        <w:t>投标文件含有采购人不能接受的附加条件的，投标无效；</w:t>
      </w:r>
    </w:p>
    <w:p w14:paraId="59E22C19">
      <w:pPr>
        <w:spacing w:line="360" w:lineRule="auto"/>
        <w:ind w:firstLine="723" w:firstLineChars="300"/>
        <w:rPr>
          <w:rFonts w:hint="eastAsia" w:ascii="宋体" w:hAnsi="宋体" w:cs="宋体"/>
          <w:b/>
          <w:sz w:val="24"/>
          <w:szCs w:val="21"/>
        </w:rPr>
      </w:pPr>
      <w:r>
        <w:rPr>
          <w:rFonts w:hint="eastAsia" w:ascii="宋体" w:hAnsi="宋体" w:cs="宋体"/>
          <w:b/>
          <w:sz w:val="24"/>
        </w:rPr>
        <w:t>投标人提供虚假材料投标的，投标无效。</w:t>
      </w:r>
    </w:p>
    <w:p w14:paraId="54C297C4">
      <w:pPr>
        <w:pStyle w:val="131"/>
        <w:snapToGrid w:val="0"/>
        <w:spacing w:before="0"/>
        <w:ind w:firstLine="0" w:firstLineChars="0"/>
        <w:outlineLvl w:val="0"/>
        <w:rPr>
          <w:rFonts w:hint="eastAsia" w:ascii="宋体" w:hAnsi="宋体" w:cs="宋体"/>
          <w:b/>
          <w:szCs w:val="24"/>
        </w:rPr>
      </w:pPr>
      <w:r>
        <w:rPr>
          <w:rFonts w:hint="eastAsia" w:ascii="宋体" w:hAnsi="宋体" w:cs="宋体"/>
          <w:b/>
          <w:szCs w:val="24"/>
        </w:rPr>
        <w:t>12</w:t>
      </w:r>
      <w:r>
        <w:rPr>
          <w:rFonts w:hint="eastAsia" w:ascii="宋体" w:hAnsi="宋体" w:cs="宋体"/>
          <w:b/>
          <w:kern w:val="0"/>
          <w:szCs w:val="24"/>
          <w:lang w:val="zh-CN"/>
        </w:rPr>
        <w:t xml:space="preserve">. </w:t>
      </w:r>
      <w:r>
        <w:rPr>
          <w:rFonts w:hint="eastAsia" w:ascii="宋体" w:hAnsi="宋体" w:cs="宋体"/>
          <w:b/>
          <w:szCs w:val="24"/>
        </w:rPr>
        <w:t>投标文件的编制</w:t>
      </w:r>
    </w:p>
    <w:p w14:paraId="48452E7E">
      <w:pPr>
        <w:spacing w:line="360" w:lineRule="auto"/>
        <w:ind w:firstLine="480" w:firstLineChars="200"/>
        <w:rPr>
          <w:rFonts w:hint="eastAsia" w:ascii="宋体" w:hAnsi="宋体" w:cs="宋体"/>
          <w:b/>
          <w:sz w:val="24"/>
        </w:rPr>
      </w:pPr>
      <w:r>
        <w:rPr>
          <w:rFonts w:hint="eastAsia" w:ascii="宋体" w:hAnsi="宋体" w:cs="宋体"/>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r>
        <w:rPr>
          <w:rFonts w:hint="eastAsia" w:ascii="宋体" w:hAnsi="宋体" w:cs="宋体"/>
          <w:b/>
        </w:rPr>
        <w:t>▲</w:t>
      </w:r>
      <w:r>
        <w:rPr>
          <w:rFonts w:hint="eastAsia" w:ascii="宋体" w:hAnsi="宋体" w:cs="宋体"/>
          <w:b/>
          <w:sz w:val="24"/>
          <w:szCs w:val="20"/>
        </w:rPr>
        <w:t>投标文件未按规定的格式编制的，投标无效；</w:t>
      </w:r>
    </w:p>
    <w:p w14:paraId="21156E05">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4E2A6BEA">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12.3使用“政采云电子交易客户端”需要提前申领CA数字证书，申领流程请自行前往“浙江政府采购网-下载专区-电子交易客户端-CA驱动和申领流程”进行查阅。</w:t>
      </w:r>
    </w:p>
    <w:p w14:paraId="4C7ACF64">
      <w:pPr>
        <w:snapToGrid w:val="0"/>
        <w:spacing w:line="360" w:lineRule="auto"/>
        <w:rPr>
          <w:rFonts w:hint="eastAsia" w:ascii="宋体" w:hAnsi="宋体" w:cs="宋体"/>
          <w:b/>
          <w:sz w:val="24"/>
        </w:rPr>
      </w:pPr>
      <w:r>
        <w:rPr>
          <w:rFonts w:hint="eastAsia" w:ascii="宋体" w:hAnsi="宋体" w:cs="宋体"/>
          <w:b/>
          <w:sz w:val="24"/>
        </w:rPr>
        <w:t>13.投标文件的签署、盖章</w:t>
      </w:r>
    </w:p>
    <w:p w14:paraId="1E7311F0">
      <w:pPr>
        <w:pStyle w:val="131"/>
        <w:snapToGrid w:val="0"/>
        <w:spacing w:before="0"/>
        <w:ind w:firstLine="480"/>
        <w:rPr>
          <w:rFonts w:hint="eastAsia" w:ascii="宋体" w:hAnsi="宋体" w:cs="宋体"/>
          <w:b/>
        </w:rPr>
      </w:pPr>
      <w:r>
        <w:rPr>
          <w:rFonts w:hint="eastAsia" w:ascii="宋体" w:hAnsi="宋体" w:cs="宋体"/>
          <w:szCs w:val="24"/>
        </w:rPr>
        <w:t>13.1投标文件按照招标文件第六部分格式要</w:t>
      </w:r>
      <w:r>
        <w:rPr>
          <w:rFonts w:hint="eastAsia" w:ascii="宋体" w:hAnsi="宋体" w:cs="宋体"/>
        </w:rPr>
        <w:t>求进行签署、盖章。</w:t>
      </w:r>
      <w:r>
        <w:rPr>
          <w:rFonts w:hint="eastAsia" w:ascii="宋体" w:hAnsi="宋体" w:cs="宋体"/>
          <w:b/>
        </w:rPr>
        <w:t>▲投标人的投标文件未按照招标文件要求签署、盖章的，其投标无效</w:t>
      </w:r>
      <w:r>
        <w:rPr>
          <w:rFonts w:hint="eastAsia" w:ascii="宋体" w:hAnsi="宋体" w:cs="宋体"/>
          <w:szCs w:val="24"/>
        </w:rPr>
        <w:t>。</w:t>
      </w:r>
    </w:p>
    <w:p w14:paraId="3F83D92A">
      <w:pPr>
        <w:pStyle w:val="131"/>
        <w:snapToGrid w:val="0"/>
        <w:spacing w:before="0"/>
        <w:ind w:firstLine="480"/>
        <w:rPr>
          <w:rFonts w:hint="eastAsia" w:ascii="宋体" w:hAnsi="宋体" w:cs="宋体"/>
        </w:rPr>
      </w:pPr>
      <w:r>
        <w:rPr>
          <w:rFonts w:hint="eastAsia" w:ascii="宋体" w:hAnsi="宋体" w:cs="宋体"/>
        </w:rPr>
        <w:t>13.2为确保网上操作合法、有效和安全，投标人应当在投标截止时间前完成在“政府采购云平台”的身份认证，确保在电子投标过程中能够对相关数据电文进行加密和使用电子签名。</w:t>
      </w:r>
    </w:p>
    <w:p w14:paraId="402EE3D8">
      <w:pPr>
        <w:pStyle w:val="131"/>
        <w:snapToGrid w:val="0"/>
        <w:spacing w:before="0"/>
        <w:ind w:firstLine="480"/>
        <w:rPr>
          <w:rFonts w:hint="eastAsia" w:ascii="宋体" w:hAnsi="宋体" w:cs="宋体"/>
          <w:szCs w:val="24"/>
        </w:rPr>
      </w:pPr>
      <w:r>
        <w:rPr>
          <w:rFonts w:hint="eastAsia" w:ascii="宋体" w:hAnsi="宋体" w:cs="宋体"/>
        </w:rPr>
        <w:t>13.3招标文件对投标文件签署、盖章的要求适用于电子签名。</w:t>
      </w:r>
    </w:p>
    <w:p w14:paraId="61E7A929">
      <w:pPr>
        <w:pStyle w:val="131"/>
        <w:spacing w:before="0"/>
        <w:ind w:firstLine="0" w:firstLineChars="0"/>
        <w:rPr>
          <w:rFonts w:hint="eastAsia" w:ascii="宋体" w:hAnsi="宋体" w:cs="宋体"/>
          <w:b/>
          <w:szCs w:val="24"/>
        </w:rPr>
      </w:pPr>
      <w:r>
        <w:rPr>
          <w:rFonts w:hint="eastAsia" w:ascii="宋体" w:hAnsi="宋体" w:cs="宋体"/>
          <w:b/>
          <w:szCs w:val="24"/>
        </w:rPr>
        <w:t>14. 投标文件的提交、补充、修改、撤回</w:t>
      </w:r>
    </w:p>
    <w:p w14:paraId="0F5185FB">
      <w:pPr>
        <w:pStyle w:val="131"/>
        <w:ind w:firstLine="480"/>
        <w:rPr>
          <w:rFonts w:hint="eastAsia" w:ascii="宋体" w:hAnsi="宋体" w:cs="宋体"/>
          <w:szCs w:val="24"/>
        </w:rPr>
      </w:pPr>
      <w:r>
        <w:rPr>
          <w:rFonts w:hint="eastAsia" w:ascii="宋体" w:hAnsi="宋体" w:cs="宋体"/>
          <w:szCs w:val="24"/>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458D99DE">
      <w:pPr>
        <w:pStyle w:val="131"/>
        <w:spacing w:before="0"/>
        <w:ind w:firstLine="480"/>
        <w:rPr>
          <w:rFonts w:hint="eastAsia" w:ascii="宋体" w:hAnsi="宋体" w:cs="宋体"/>
          <w:szCs w:val="24"/>
        </w:rPr>
      </w:pPr>
      <w:r>
        <w:rPr>
          <w:rFonts w:hint="eastAsia" w:ascii="宋体" w:hAnsi="宋体" w:cs="宋体"/>
          <w:szCs w:val="24"/>
        </w:rPr>
        <w:t>14.2电子交易平台收到投标文件，将妥善保存并即时向供应商发出确认回执通知。在投标截止时间前，除供应商补充、修改或者撤回投标文件外，任何单位和个人不得解密或提取投标文件。</w:t>
      </w:r>
    </w:p>
    <w:p w14:paraId="6454AF84">
      <w:pPr>
        <w:pStyle w:val="131"/>
        <w:spacing w:before="0"/>
        <w:ind w:firstLine="480"/>
        <w:rPr>
          <w:rFonts w:hint="eastAsia" w:ascii="宋体" w:hAnsi="宋体" w:cs="宋体"/>
          <w:szCs w:val="24"/>
        </w:rPr>
      </w:pPr>
      <w:r>
        <w:rPr>
          <w:rFonts w:hint="eastAsia" w:ascii="宋体" w:hAnsi="宋体" w:cs="宋体"/>
          <w:szCs w:val="24"/>
        </w:rPr>
        <w:t>14.3采购人、采购机构可以视情况延长投标文件提交的截止时间。在上述情况下，采购机构与投标人以前在投标截止期方面的全部权利、责任和义务，将适用于延长至新的投标截止期。</w:t>
      </w:r>
    </w:p>
    <w:p w14:paraId="1FDE3AF0">
      <w:pPr>
        <w:pStyle w:val="38"/>
        <w:spacing w:line="360" w:lineRule="auto"/>
        <w:rPr>
          <w:rFonts w:hint="eastAsia" w:hAnsi="宋体" w:cs="宋体"/>
          <w:b/>
          <w:sz w:val="24"/>
          <w:szCs w:val="24"/>
        </w:rPr>
      </w:pPr>
      <w:r>
        <w:rPr>
          <w:rFonts w:hint="eastAsia" w:hAnsi="宋体" w:cs="宋体"/>
          <w:b/>
          <w:sz w:val="24"/>
          <w:szCs w:val="24"/>
        </w:rPr>
        <w:t>15.备份投标文件</w:t>
      </w:r>
    </w:p>
    <w:p w14:paraId="2B87D6D1">
      <w:pPr>
        <w:pStyle w:val="38"/>
        <w:spacing w:line="360" w:lineRule="auto"/>
        <w:ind w:firstLine="360" w:firstLineChars="150"/>
        <w:rPr>
          <w:rFonts w:hint="eastAsia" w:hAnsi="宋体" w:cs="宋体"/>
          <w:b/>
          <w:sz w:val="24"/>
          <w:szCs w:val="24"/>
        </w:rPr>
      </w:pPr>
      <w:r>
        <w:rPr>
          <w:rFonts w:hint="eastAsia" w:hAnsi="宋体" w:cs="宋体"/>
          <w:sz w:val="24"/>
          <w:szCs w:val="24"/>
        </w:rPr>
        <w:t xml:space="preserve"> 15.1投标人在电子交易平台传输递交投标文件后，还可以在投标截止时间前直接提交或者以邮政快递方式递交备份投标文件1份，</w:t>
      </w:r>
      <w:r>
        <w:rPr>
          <w:rFonts w:hint="eastAsia" w:hAnsi="宋体" w:cs="宋体"/>
          <w:b/>
          <w:sz w:val="24"/>
          <w:szCs w:val="24"/>
        </w:rPr>
        <w:t>但采购人、采购机构不强制或变相强制投标人提交备份投标文件。</w:t>
      </w:r>
    </w:p>
    <w:p w14:paraId="1548CA4C">
      <w:pPr>
        <w:pStyle w:val="38"/>
        <w:spacing w:line="360" w:lineRule="auto"/>
        <w:ind w:firstLine="480" w:firstLineChars="200"/>
        <w:rPr>
          <w:rFonts w:hint="eastAsia" w:hAnsi="宋体" w:cs="宋体"/>
          <w:b/>
          <w:sz w:val="24"/>
          <w:szCs w:val="24"/>
        </w:rPr>
      </w:pPr>
      <w:r>
        <w:rPr>
          <w:rFonts w:hint="eastAsia" w:hAnsi="宋体" w:cs="宋体"/>
          <w:sz w:val="24"/>
          <w:szCs w:val="24"/>
        </w:rPr>
        <w:t>15.2备份投标文件须在“政采云投标客户端”制作生成，并储存在</w:t>
      </w:r>
      <w:r>
        <w:rPr>
          <w:rFonts w:hint="eastAsia" w:hAnsi="宋体" w:cs="宋体"/>
          <w:sz w:val="24"/>
        </w:rPr>
        <w:t>DVD光盘或U盘</w:t>
      </w:r>
      <w:r>
        <w:rPr>
          <w:rFonts w:hint="eastAsia" w:hAnsi="宋体" w:cs="宋体"/>
          <w:sz w:val="24"/>
          <w:szCs w:val="24"/>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hAnsi="宋体" w:cs="宋体"/>
          <w:b/>
          <w:sz w:val="24"/>
        </w:rPr>
        <w:t>不符合上述制作、</w:t>
      </w:r>
      <w:r>
        <w:rPr>
          <w:rFonts w:hint="eastAsia" w:hAnsi="宋体" w:cs="宋体"/>
          <w:b/>
          <w:sz w:val="24"/>
          <w:szCs w:val="24"/>
        </w:rPr>
        <w:t>存储、密封规定的备份投标文件将被视为无效或者被拒绝接收。</w:t>
      </w:r>
    </w:p>
    <w:p w14:paraId="24858C32">
      <w:pPr>
        <w:pStyle w:val="38"/>
        <w:spacing w:line="360" w:lineRule="auto"/>
        <w:ind w:firstLine="480" w:firstLineChars="200"/>
        <w:rPr>
          <w:rFonts w:hint="eastAsia" w:hAnsi="宋体" w:cs="宋体"/>
          <w:sz w:val="24"/>
          <w:szCs w:val="24"/>
        </w:rPr>
      </w:pPr>
      <w:r>
        <w:rPr>
          <w:rFonts w:hint="eastAsia" w:hAnsi="宋体" w:cs="宋体"/>
          <w:sz w:val="24"/>
          <w:szCs w:val="24"/>
        </w:rPr>
        <w:t>15.3直接提交备份投标文件的，投标人应于投标截止时间前在招标公告中载明的开标地点将备份投标文件提交给采购机构，采购机构将拒绝接受逾期送达的备份投标文件。</w:t>
      </w:r>
    </w:p>
    <w:p w14:paraId="326011B0">
      <w:pPr>
        <w:pStyle w:val="38"/>
        <w:spacing w:line="360" w:lineRule="auto"/>
        <w:ind w:firstLine="480" w:firstLineChars="200"/>
        <w:rPr>
          <w:rFonts w:hint="eastAsia" w:hAnsi="宋体" w:cs="宋体"/>
          <w:sz w:val="24"/>
          <w:szCs w:val="24"/>
        </w:rPr>
      </w:pPr>
      <w:r>
        <w:rPr>
          <w:rFonts w:hint="eastAsia" w:hAnsi="宋体" w:cs="宋体"/>
          <w:sz w:val="24"/>
          <w:szCs w:val="24"/>
        </w:rPr>
        <w:t>15.4以邮政快递方式递交备份投标文件的，投标人应先将备份投标文件按要求密封和标记，再进行邮政快递包装后邮寄。备份投标文件须在投标截止时间之前送达</w:t>
      </w:r>
      <w:r>
        <w:rPr>
          <w:rFonts w:hint="eastAsia" w:hAnsi="宋体" w:cs="宋体"/>
          <w:snapToGrid/>
          <w:sz w:val="24"/>
          <w:szCs w:val="24"/>
        </w:rPr>
        <w:t>招标文件第二部分投标人须知前附表规定的备份投标文件送达地点；</w:t>
      </w:r>
      <w:r>
        <w:rPr>
          <w:rFonts w:hint="eastAsia" w:hAnsi="宋体" w:cs="宋体"/>
          <w:sz w:val="24"/>
          <w:szCs w:val="24"/>
        </w:rPr>
        <w:t>送达时间以签收人签收时间为准。采购机构将拒绝接受逾期送达的备份投标文件。邮寄过程中，电子备份投标文件发生泄露、遗失、损坏或延期送达等情况的，由投标人自行负责。</w:t>
      </w:r>
    </w:p>
    <w:p w14:paraId="2A935745">
      <w:pPr>
        <w:pStyle w:val="38"/>
        <w:spacing w:line="360" w:lineRule="auto"/>
        <w:ind w:firstLine="479" w:firstLineChars="199"/>
        <w:rPr>
          <w:rFonts w:hint="eastAsia" w:hAnsi="宋体" w:cs="宋体"/>
          <w:b/>
          <w:sz w:val="24"/>
          <w:szCs w:val="24"/>
        </w:rPr>
      </w:pPr>
      <w:r>
        <w:rPr>
          <w:rFonts w:hint="eastAsia" w:hAnsi="宋体" w:cs="宋体"/>
          <w:b/>
          <w:sz w:val="24"/>
          <w:szCs w:val="24"/>
        </w:rPr>
        <w:t>15.5投标人仅提交备份投标文件，没有在电子交易平台传输递交投标文件的，投标无效。</w:t>
      </w:r>
    </w:p>
    <w:p w14:paraId="7187ACBC">
      <w:pPr>
        <w:pStyle w:val="131"/>
        <w:spacing w:before="0"/>
        <w:ind w:firstLine="0" w:firstLineChars="0"/>
        <w:rPr>
          <w:rFonts w:hint="eastAsia" w:ascii="宋体" w:hAnsi="宋体" w:cs="宋体"/>
          <w:b/>
          <w:szCs w:val="24"/>
        </w:rPr>
      </w:pPr>
      <w:r>
        <w:rPr>
          <w:rFonts w:hint="eastAsia" w:ascii="宋体" w:hAnsi="宋体" w:cs="宋体"/>
          <w:b/>
          <w:szCs w:val="24"/>
        </w:rPr>
        <w:t>16.投标文件的无效处理</w:t>
      </w:r>
    </w:p>
    <w:p w14:paraId="7CFA8AC0">
      <w:pPr>
        <w:pStyle w:val="30"/>
        <w:spacing w:line="360" w:lineRule="auto"/>
        <w:ind w:firstLine="360" w:firstLineChars="150"/>
        <w:rPr>
          <w:rFonts w:hint="eastAsia" w:cs="宋体"/>
          <w:szCs w:val="21"/>
        </w:rPr>
      </w:pPr>
      <w:r>
        <w:rPr>
          <w:rFonts w:hint="eastAsia" w:cs="宋体"/>
          <w:szCs w:val="21"/>
        </w:rPr>
        <w:t>有招标文件第四部分</w:t>
      </w:r>
      <w:r>
        <w:rPr>
          <w:rFonts w:hint="eastAsia" w:cs="宋体"/>
        </w:rPr>
        <w:t>第13项规定</w:t>
      </w:r>
      <w:r>
        <w:rPr>
          <w:rFonts w:hint="eastAsia" w:cs="宋体"/>
          <w:szCs w:val="21"/>
        </w:rPr>
        <w:t>的情形之一的，投标无效：</w:t>
      </w:r>
    </w:p>
    <w:p w14:paraId="32A9DBAA">
      <w:pPr>
        <w:pStyle w:val="131"/>
        <w:spacing w:before="0"/>
        <w:ind w:firstLine="0" w:firstLineChars="0"/>
        <w:rPr>
          <w:rFonts w:hint="eastAsia" w:ascii="宋体" w:hAnsi="宋体" w:cs="宋体"/>
          <w:b/>
          <w:szCs w:val="24"/>
        </w:rPr>
      </w:pPr>
      <w:r>
        <w:rPr>
          <w:rFonts w:hint="eastAsia" w:ascii="宋体" w:hAnsi="宋体" w:cs="宋体"/>
          <w:b/>
          <w:szCs w:val="24"/>
        </w:rPr>
        <w:t>17.投标有效期</w:t>
      </w:r>
    </w:p>
    <w:p w14:paraId="395CE299">
      <w:pPr>
        <w:spacing w:line="360" w:lineRule="auto"/>
        <w:ind w:firstLine="480" w:firstLineChars="200"/>
        <w:rPr>
          <w:rFonts w:hint="eastAsia" w:ascii="宋体" w:hAnsi="宋体" w:cs="宋体"/>
          <w:b/>
          <w:sz w:val="24"/>
          <w:szCs w:val="21"/>
        </w:rPr>
      </w:pPr>
      <w:r>
        <w:rPr>
          <w:rFonts w:hint="eastAsia" w:ascii="宋体" w:hAnsi="宋体" w:cs="宋体"/>
          <w:sz w:val="24"/>
          <w:szCs w:val="20"/>
        </w:rPr>
        <w:t>17.1投标有效期为从提交投标文件的截止之日起90天。▲</w:t>
      </w:r>
      <w:r>
        <w:rPr>
          <w:rFonts w:hint="eastAsia" w:ascii="宋体" w:hAnsi="宋体" w:cs="宋体"/>
          <w:b/>
          <w:sz w:val="24"/>
          <w:szCs w:val="20"/>
        </w:rPr>
        <w:t>投标人的投标文件中承</w:t>
      </w:r>
      <w:r>
        <w:rPr>
          <w:rFonts w:hint="eastAsia" w:ascii="宋体" w:hAnsi="宋体" w:cs="宋体"/>
          <w:b/>
          <w:sz w:val="24"/>
          <w:szCs w:val="21"/>
        </w:rPr>
        <w:t>诺的投标有效期少于招标文件中载明的投标有效期的，投标无效。</w:t>
      </w:r>
    </w:p>
    <w:p w14:paraId="3B6DD941">
      <w:pPr>
        <w:pStyle w:val="131"/>
        <w:spacing w:before="0"/>
        <w:ind w:firstLine="480"/>
        <w:rPr>
          <w:rFonts w:hint="eastAsia" w:ascii="宋体" w:hAnsi="宋体" w:cs="宋体"/>
        </w:rPr>
      </w:pPr>
      <w:r>
        <w:rPr>
          <w:rFonts w:hint="eastAsia" w:ascii="宋体" w:hAnsi="宋体" w:cs="宋体"/>
        </w:rPr>
        <w:t>17.2投标文件合格投递后，自投标截止日期起，在投标有效期内有效。</w:t>
      </w:r>
    </w:p>
    <w:p w14:paraId="00346C02">
      <w:pPr>
        <w:pStyle w:val="131"/>
        <w:spacing w:before="0"/>
        <w:ind w:firstLine="480"/>
        <w:rPr>
          <w:rFonts w:hint="eastAsia" w:ascii="宋体" w:hAnsi="宋体" w:cs="宋体"/>
        </w:rPr>
      </w:pPr>
      <w:r>
        <w:rPr>
          <w:rFonts w:hint="eastAsia" w:ascii="宋体" w:hAnsi="宋体" w:cs="宋体"/>
        </w:rPr>
        <w:t>17.3在原定投标有效期满之前，如果出现特殊情况，采购机构可以以书面形式通知投标人延长投标有效期。投标人同意延长的，不得要求或被允许修改其投标文件，投标人拒绝延长的，其投标无效。</w:t>
      </w:r>
    </w:p>
    <w:p w14:paraId="76203096">
      <w:pPr>
        <w:pStyle w:val="131"/>
        <w:spacing w:before="0"/>
        <w:ind w:firstLine="1928" w:firstLineChars="600"/>
        <w:rPr>
          <w:rFonts w:hint="eastAsia" w:ascii="宋体" w:hAnsi="宋体" w:cs="宋体"/>
          <w:b/>
          <w:sz w:val="32"/>
        </w:rPr>
      </w:pPr>
      <w:r>
        <w:rPr>
          <w:rFonts w:hint="eastAsia" w:ascii="宋体" w:hAnsi="宋体" w:cs="宋体"/>
          <w:b/>
          <w:sz w:val="32"/>
        </w:rPr>
        <w:t>四、开标、资格审查与信用信息查询</w:t>
      </w:r>
    </w:p>
    <w:p w14:paraId="4BF4DC9C">
      <w:pPr>
        <w:pStyle w:val="557"/>
        <w:spacing w:before="0" w:line="360" w:lineRule="auto"/>
        <w:ind w:left="0" w:firstLine="241" w:firstLineChars="100"/>
        <w:contextualSpacing/>
        <w:rPr>
          <w:rFonts w:hint="eastAsia" w:ascii="宋体" w:hAnsi="宋体" w:cs="宋体"/>
          <w:sz w:val="24"/>
        </w:rPr>
      </w:pPr>
      <w:r>
        <w:rPr>
          <w:rFonts w:hint="eastAsia" w:ascii="宋体" w:hAnsi="宋体" w:cs="宋体"/>
          <w:b/>
          <w:sz w:val="24"/>
          <w:szCs w:val="24"/>
        </w:rPr>
        <w:t>18.开标</w:t>
      </w:r>
    </w:p>
    <w:p w14:paraId="0BC0271D">
      <w:pPr>
        <w:pStyle w:val="557"/>
        <w:spacing w:before="0" w:line="360" w:lineRule="auto"/>
        <w:ind w:left="0" w:firstLine="480" w:firstLineChars="200"/>
        <w:contextualSpacing/>
        <w:rPr>
          <w:rFonts w:hint="eastAsia" w:ascii="宋体" w:hAnsi="宋体" w:cs="宋体"/>
          <w:sz w:val="24"/>
        </w:rPr>
      </w:pPr>
      <w:r>
        <w:rPr>
          <w:rFonts w:hint="eastAsia" w:ascii="宋体" w:hAnsi="宋体" w:cs="宋体"/>
          <w:sz w:val="24"/>
        </w:rPr>
        <w:t>18.1采购机构按照招标文件规定的时间通过电子交易平台组织开标，所有投标人均应当准时在线参加。投标人不足3家的，不得开标。</w:t>
      </w:r>
    </w:p>
    <w:p w14:paraId="65A9403A">
      <w:pPr>
        <w:pStyle w:val="557"/>
        <w:spacing w:before="0" w:line="360" w:lineRule="auto"/>
        <w:ind w:left="0" w:firstLine="240" w:firstLineChars="100"/>
        <w:contextualSpacing/>
        <w:rPr>
          <w:rFonts w:hint="eastAsia" w:ascii="宋体" w:hAnsi="宋体" w:cs="宋体"/>
          <w:sz w:val="24"/>
        </w:rPr>
      </w:pPr>
      <w:r>
        <w:rPr>
          <w:rFonts w:hint="eastAsia" w:ascii="宋体" w:hAnsi="宋体" w:cs="宋体"/>
          <w:sz w:val="24"/>
        </w:rPr>
        <w:t>　18.2开标时，电子交易平台按开标时间自动提取所有投标文件。采购机构依托电子交易平台发起开始解密指令，投标人按照平台提示和招标文件的规定在半小时内完成在线解密。</w:t>
      </w:r>
    </w:p>
    <w:p w14:paraId="2911CFDB">
      <w:pPr>
        <w:pStyle w:val="557"/>
        <w:spacing w:before="0" w:line="360" w:lineRule="auto"/>
        <w:ind w:left="0" w:firstLine="240" w:firstLineChars="100"/>
        <w:contextualSpacing/>
        <w:rPr>
          <w:rFonts w:hint="eastAsia" w:ascii="宋体" w:hAnsi="宋体" w:cs="宋体"/>
          <w:b/>
          <w:sz w:val="24"/>
        </w:rPr>
      </w:pPr>
      <w:r>
        <w:rPr>
          <w:rFonts w:hint="eastAsia" w:ascii="宋体" w:hAnsi="宋体" w:cs="宋体"/>
          <w:sz w:val="24"/>
        </w:rPr>
        <w:t>　18.3</w:t>
      </w:r>
      <w:r>
        <w:rPr>
          <w:rFonts w:hint="eastAsia" w:ascii="宋体" w:hAnsi="宋体" w:cs="宋体"/>
          <w:b/>
          <w:sz w:val="24"/>
        </w:rPr>
        <w:t>投标文件未按时解密，投标人提供了备份投标文件的，以备份投标文件作为依据，否则视为投标文件撤回。投标文件已按时解密的，备份投标文件自动失效。</w:t>
      </w:r>
    </w:p>
    <w:p w14:paraId="2B5FD5C8">
      <w:pPr>
        <w:pStyle w:val="557"/>
        <w:spacing w:before="0" w:line="360" w:lineRule="auto"/>
        <w:ind w:left="0" w:firstLine="0"/>
        <w:contextualSpacing/>
        <w:rPr>
          <w:rFonts w:hint="eastAsia" w:ascii="宋体" w:hAnsi="宋体" w:cs="宋体"/>
          <w:b/>
          <w:sz w:val="24"/>
          <w:szCs w:val="24"/>
        </w:rPr>
      </w:pPr>
      <w:r>
        <w:rPr>
          <w:rFonts w:hint="eastAsia" w:ascii="宋体" w:hAnsi="宋体" w:cs="宋体"/>
          <w:b/>
          <w:sz w:val="24"/>
          <w:szCs w:val="24"/>
        </w:rPr>
        <w:t>19、资格审查</w:t>
      </w:r>
    </w:p>
    <w:p w14:paraId="16992F9A">
      <w:pPr>
        <w:pStyle w:val="131"/>
        <w:spacing w:before="0"/>
        <w:ind w:firstLine="480"/>
        <w:rPr>
          <w:rFonts w:hint="eastAsia" w:ascii="宋体" w:hAnsi="宋体" w:cs="宋体"/>
          <w:kern w:val="0"/>
          <w:szCs w:val="24"/>
        </w:rPr>
      </w:pPr>
      <w:r>
        <w:rPr>
          <w:rFonts w:hint="eastAsia" w:ascii="宋体" w:hAnsi="宋体" w:cs="宋体"/>
          <w:kern w:val="0"/>
          <w:szCs w:val="24"/>
        </w:rPr>
        <w:t>19.1开标后，采购人或采购机构将依法对投标人的资格进行审查。</w:t>
      </w:r>
    </w:p>
    <w:p w14:paraId="0DC3E789">
      <w:pPr>
        <w:snapToGrid w:val="0"/>
        <w:spacing w:line="360" w:lineRule="auto"/>
        <w:ind w:firstLine="480" w:firstLineChars="200"/>
        <w:rPr>
          <w:rFonts w:hint="eastAsia" w:ascii="宋体" w:hAnsi="宋体" w:cs="宋体"/>
          <w:sz w:val="24"/>
        </w:rPr>
      </w:pPr>
      <w:r>
        <w:rPr>
          <w:rFonts w:hint="eastAsia" w:ascii="宋体" w:hAnsi="宋体" w:cs="宋体"/>
          <w:kern w:val="0"/>
          <w:sz w:val="24"/>
        </w:rPr>
        <w:t>19.2</w:t>
      </w:r>
      <w:r>
        <w:rPr>
          <w:rFonts w:hint="eastAsia" w:ascii="宋体" w:hAnsi="宋体" w:cs="宋体"/>
          <w:sz w:val="24"/>
        </w:rPr>
        <w:t>采购人或采购机构依据法律法规和招标文件的规定，对投标人的基本资格条件、特定资格条件进行审查。</w:t>
      </w:r>
    </w:p>
    <w:p w14:paraId="2F963C47">
      <w:pPr>
        <w:pStyle w:val="131"/>
        <w:spacing w:before="0"/>
        <w:ind w:firstLine="480"/>
        <w:rPr>
          <w:rFonts w:hint="eastAsia" w:ascii="宋体" w:hAnsi="宋体" w:cs="宋体"/>
        </w:rPr>
      </w:pPr>
      <w:r>
        <w:rPr>
          <w:rFonts w:hint="eastAsia" w:ascii="宋体" w:hAnsi="宋体" w:cs="宋体"/>
          <w:kern w:val="0"/>
          <w:szCs w:val="24"/>
        </w:rPr>
        <w:t>19.3投标人未按照招标文件要求提供与</w:t>
      </w:r>
      <w:r>
        <w:rPr>
          <w:rFonts w:hint="eastAsia" w:ascii="宋体" w:hAnsi="宋体" w:cs="宋体"/>
        </w:rPr>
        <w:t>基本资格条件、特定资格条件相应的</w:t>
      </w:r>
      <w:r>
        <w:rPr>
          <w:rFonts w:hint="eastAsia" w:ascii="宋体" w:hAnsi="宋体" w:cs="宋体"/>
          <w:kern w:val="0"/>
          <w:szCs w:val="24"/>
        </w:rPr>
        <w:t>有效资格证明材料的，视为</w:t>
      </w:r>
      <w:r>
        <w:rPr>
          <w:rFonts w:hint="eastAsia" w:ascii="宋体" w:hAnsi="宋体" w:cs="宋体"/>
        </w:rPr>
        <w:t>投标人不具备招标文件中规定的资格要求，其投标无效。</w:t>
      </w:r>
    </w:p>
    <w:p w14:paraId="31932A8A">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4对未通过资格审查的投标人，采购人或采购机构告知其未通过的原因。</w:t>
      </w:r>
    </w:p>
    <w:p w14:paraId="75D3B331">
      <w:pPr>
        <w:pStyle w:val="131"/>
        <w:spacing w:before="0"/>
        <w:ind w:firstLine="480"/>
        <w:rPr>
          <w:rFonts w:hint="eastAsia" w:ascii="宋体" w:hAnsi="宋体" w:cs="宋体"/>
        </w:rPr>
      </w:pPr>
      <w:r>
        <w:rPr>
          <w:rFonts w:hint="eastAsia" w:ascii="宋体" w:hAnsi="宋体" w:cs="宋体"/>
          <w:kern w:val="0"/>
          <w:szCs w:val="24"/>
        </w:rPr>
        <w:t>19.</w:t>
      </w:r>
      <w:r>
        <w:rPr>
          <w:rFonts w:hint="eastAsia" w:ascii="宋体" w:hAnsi="宋体" w:cs="宋体"/>
        </w:rPr>
        <w:t>5合格投标人不足3家的，不再评标。</w:t>
      </w:r>
    </w:p>
    <w:p w14:paraId="558E4E71">
      <w:pPr>
        <w:pStyle w:val="131"/>
        <w:spacing w:before="0"/>
        <w:ind w:firstLine="0" w:firstLineChars="0"/>
        <w:rPr>
          <w:rFonts w:hint="eastAsia" w:ascii="宋体" w:hAnsi="宋体" w:cs="宋体"/>
          <w:b/>
          <w:szCs w:val="24"/>
        </w:rPr>
      </w:pPr>
      <w:r>
        <w:rPr>
          <w:rFonts w:hint="eastAsia" w:ascii="宋体" w:hAnsi="宋体" w:cs="宋体"/>
          <w:b/>
          <w:szCs w:val="24"/>
        </w:rPr>
        <w:t>20、信用信息查询</w:t>
      </w:r>
    </w:p>
    <w:p w14:paraId="4F6437C4">
      <w:pPr>
        <w:pStyle w:val="131"/>
        <w:spacing w:before="0"/>
        <w:ind w:firstLine="495" w:firstLineChars="0"/>
        <w:rPr>
          <w:rFonts w:hint="eastAsia" w:ascii="宋体" w:hAnsi="宋体" w:cs="宋体"/>
          <w:kern w:val="0"/>
          <w:szCs w:val="24"/>
        </w:rPr>
      </w:pPr>
      <w:r>
        <w:rPr>
          <w:rFonts w:hint="eastAsia" w:ascii="宋体" w:hAnsi="宋体" w:cs="宋体"/>
          <w:kern w:val="0"/>
          <w:szCs w:val="24"/>
        </w:rPr>
        <w:t>20.1信用信息查询渠道及截止时间：采购机构将通过“信用中国”网站(www.creditchina.gov.cn)、中国政府采购网(www.ccgp.gov.cn)渠道查询投标人投标截止时间当天的信用记录。</w:t>
      </w:r>
    </w:p>
    <w:p w14:paraId="52BC3790">
      <w:pPr>
        <w:pStyle w:val="131"/>
        <w:spacing w:before="0"/>
        <w:ind w:firstLine="495" w:firstLineChars="0"/>
        <w:rPr>
          <w:rFonts w:hint="eastAsia" w:ascii="宋体" w:hAnsi="宋体" w:cs="宋体"/>
          <w:kern w:val="0"/>
          <w:szCs w:val="24"/>
        </w:rPr>
      </w:pPr>
      <w:r>
        <w:rPr>
          <w:rFonts w:hint="eastAsia" w:ascii="宋体" w:hAnsi="宋体" w:cs="宋体"/>
          <w:kern w:val="0"/>
          <w:szCs w:val="24"/>
        </w:rPr>
        <w:t>20.2信用信息查询记录和证据留存的具体方式：现场查询的投标人的信用记录、查询结果经确认后将与采购文件一起存档。</w:t>
      </w:r>
    </w:p>
    <w:p w14:paraId="19AC7598">
      <w:pPr>
        <w:pStyle w:val="131"/>
        <w:spacing w:before="0"/>
        <w:ind w:firstLine="495" w:firstLineChars="0"/>
        <w:rPr>
          <w:rFonts w:hint="eastAsia" w:ascii="宋体" w:hAnsi="宋体" w:cs="宋体"/>
          <w:kern w:val="0"/>
          <w:szCs w:val="24"/>
        </w:rPr>
      </w:pPr>
      <w:r>
        <w:rPr>
          <w:rFonts w:hint="eastAsia" w:ascii="宋体" w:hAnsi="宋体" w:cs="宋体"/>
          <w:kern w:val="0"/>
          <w:szCs w:val="24"/>
        </w:rPr>
        <w:t>20.3信用信息的使用规则：经查询列入失信被执行人名单、重大税收违法案件当事人名单、政府采购严重违法失信行为记录名单的投标人将被拒绝参与政府采购活动。</w:t>
      </w:r>
    </w:p>
    <w:p w14:paraId="0827F960">
      <w:pPr>
        <w:pStyle w:val="131"/>
        <w:spacing w:before="0"/>
        <w:ind w:firstLine="480"/>
        <w:rPr>
          <w:rFonts w:hint="eastAsia" w:ascii="宋体" w:hAnsi="宋体" w:cs="宋体"/>
          <w:kern w:val="0"/>
          <w:szCs w:val="24"/>
        </w:rPr>
      </w:pPr>
      <w:r>
        <w:rPr>
          <w:rFonts w:hint="eastAsia" w:ascii="宋体" w:hAnsi="宋体" w:cs="宋体"/>
          <w:kern w:val="0"/>
          <w:szCs w:val="24"/>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rPr>
        <w:t>。</w:t>
      </w:r>
    </w:p>
    <w:p w14:paraId="00969159">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五、评标</w:t>
      </w:r>
    </w:p>
    <w:p w14:paraId="2B52C306">
      <w:pPr>
        <w:spacing w:line="360" w:lineRule="auto"/>
        <w:rPr>
          <w:rFonts w:hint="eastAsia" w:ascii="宋体" w:hAnsi="宋体" w:cs="宋体"/>
          <w:b/>
          <w:sz w:val="24"/>
        </w:rPr>
      </w:pPr>
      <w:bookmarkStart w:id="6" w:name="_Toc91899903"/>
      <w:r>
        <w:rPr>
          <w:rFonts w:hint="eastAsia" w:ascii="宋体" w:hAnsi="宋体" w:cs="宋体"/>
          <w:b/>
          <w:sz w:val="24"/>
        </w:rPr>
        <w:t>21.</w:t>
      </w:r>
      <w:r>
        <w:rPr>
          <w:rFonts w:hint="eastAsia" w:ascii="宋体" w:hAnsi="宋体" w:cs="宋体"/>
          <w:sz w:val="24"/>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sz w:val="24"/>
        </w:rPr>
        <w:t>详见招标文件第四部分评标办法。</w:t>
      </w:r>
    </w:p>
    <w:p w14:paraId="21107FCB">
      <w:pPr>
        <w:snapToGrid w:val="0"/>
        <w:spacing w:line="360" w:lineRule="auto"/>
        <w:jc w:val="center"/>
        <w:outlineLvl w:val="0"/>
        <w:rPr>
          <w:rFonts w:hint="eastAsia" w:ascii="宋体" w:hAnsi="宋体" w:cs="宋体"/>
          <w:b/>
          <w:sz w:val="36"/>
          <w:szCs w:val="36"/>
        </w:rPr>
      </w:pPr>
      <w:r>
        <w:rPr>
          <w:rFonts w:hint="eastAsia" w:ascii="宋体" w:hAnsi="宋体" w:cs="宋体"/>
          <w:b/>
          <w:sz w:val="36"/>
          <w:szCs w:val="36"/>
        </w:rPr>
        <w:t>六、定 标</w:t>
      </w:r>
    </w:p>
    <w:p w14:paraId="11036015">
      <w:pPr>
        <w:pStyle w:val="30"/>
        <w:spacing w:line="360" w:lineRule="auto"/>
        <w:ind w:left="479" w:hanging="479" w:hangingChars="199"/>
        <w:rPr>
          <w:rFonts w:hint="eastAsia" w:cs="宋体"/>
          <w:b/>
        </w:rPr>
      </w:pPr>
      <w:r>
        <w:rPr>
          <w:rFonts w:hint="eastAsia" w:cs="宋体"/>
          <w:b/>
        </w:rPr>
        <w:t>22. 确定中标供应商</w:t>
      </w:r>
    </w:p>
    <w:p w14:paraId="4989D2D8">
      <w:pPr>
        <w:pStyle w:val="131"/>
        <w:snapToGrid w:val="0"/>
        <w:spacing w:before="0"/>
        <w:ind w:firstLine="480"/>
        <w:rPr>
          <w:rFonts w:hint="eastAsia" w:ascii="宋体" w:hAnsi="宋体" w:cs="宋体"/>
          <w:b/>
          <w:szCs w:val="24"/>
        </w:rPr>
      </w:pPr>
      <w:r>
        <w:rPr>
          <w:rFonts w:hint="eastAsia" w:ascii="宋体" w:hAnsi="宋体" w:cs="宋体"/>
          <w:szCs w:val="24"/>
        </w:rPr>
        <w:t>采购人将自收到评审报告之日起5个工作日内通过电子交易平台在评审报告推荐的中标候选人中按顺序确定中标供应商。</w:t>
      </w:r>
    </w:p>
    <w:p w14:paraId="476A760F">
      <w:pPr>
        <w:pStyle w:val="131"/>
        <w:snapToGrid w:val="0"/>
        <w:spacing w:before="0"/>
        <w:ind w:firstLine="0" w:firstLineChars="0"/>
        <w:rPr>
          <w:rFonts w:hint="eastAsia" w:ascii="宋体" w:hAnsi="宋体" w:cs="宋体"/>
          <w:b/>
          <w:szCs w:val="24"/>
        </w:rPr>
      </w:pPr>
      <w:r>
        <w:rPr>
          <w:rFonts w:hint="eastAsia" w:ascii="宋体" w:hAnsi="宋体" w:cs="宋体"/>
          <w:b/>
          <w:szCs w:val="24"/>
        </w:rPr>
        <w:t>23. 中标通知与中标结果公告</w:t>
      </w:r>
    </w:p>
    <w:p w14:paraId="5A3FE77A">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23.1自中标人确定之日起2个工作日内，采购机构通过电子交易平台向中标人发出中标通知书，同时编制发布采购结果公告。采购机构也可以以纸质形式进行中标通知。</w:t>
      </w:r>
    </w:p>
    <w:p w14:paraId="60A01ED7">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23.2中标结果公告内容包括采购人及其委托的采购机构的名称、地址、联系方式，项目名称和项目编号，中标人名称、地址和中标金额，主要中标标的的名称、规格型号、数量、单价、服务要求，开标记录、未中标情况说明、中标公告期限以及评审专家名单、评分汇总及明细。</w:t>
      </w:r>
    </w:p>
    <w:p w14:paraId="79CC110B">
      <w:pPr>
        <w:widowControl/>
        <w:shd w:val="clear" w:color="auto" w:fill="FFFFFF"/>
        <w:spacing w:line="360" w:lineRule="auto"/>
        <w:ind w:firstLine="480"/>
        <w:jc w:val="left"/>
        <w:rPr>
          <w:rFonts w:hint="eastAsia" w:ascii="宋体" w:hAnsi="宋体" w:cs="宋体"/>
          <w:sz w:val="24"/>
        </w:rPr>
      </w:pPr>
      <w:r>
        <w:rPr>
          <w:rFonts w:hint="eastAsia" w:ascii="宋体" w:hAnsi="宋体" w:cs="宋体"/>
          <w:sz w:val="24"/>
        </w:rPr>
        <w:t>23.3公告期限为1个工作日。</w:t>
      </w:r>
    </w:p>
    <w:p w14:paraId="24B6C544">
      <w:pPr>
        <w:snapToGrid w:val="0"/>
        <w:spacing w:line="360" w:lineRule="auto"/>
        <w:jc w:val="center"/>
        <w:rPr>
          <w:rFonts w:hint="eastAsia" w:ascii="宋体" w:hAnsi="宋体" w:cs="宋体"/>
          <w:b/>
          <w:sz w:val="32"/>
        </w:rPr>
      </w:pPr>
      <w:r>
        <w:rPr>
          <w:rFonts w:hint="eastAsia" w:ascii="宋体" w:hAnsi="宋体" w:cs="宋体"/>
          <w:b/>
          <w:sz w:val="32"/>
        </w:rPr>
        <w:t>七、合同授予</w:t>
      </w:r>
    </w:p>
    <w:p w14:paraId="12BA7555">
      <w:pPr>
        <w:pStyle w:val="30"/>
        <w:spacing w:line="360" w:lineRule="auto"/>
        <w:ind w:left="479" w:hanging="479" w:hangingChars="199"/>
        <w:rPr>
          <w:rFonts w:hint="eastAsia" w:cs="宋体"/>
          <w:b/>
        </w:rPr>
      </w:pPr>
      <w:r>
        <w:rPr>
          <w:rFonts w:hint="eastAsia" w:cs="宋体"/>
          <w:b/>
        </w:rPr>
        <w:t xml:space="preserve">24. </w:t>
      </w:r>
      <w:r>
        <w:rPr>
          <w:rFonts w:hint="eastAsia" w:cs="宋体"/>
        </w:rPr>
        <w:t>合同主要条款详见第五部分拟签订的合同文本。</w:t>
      </w:r>
    </w:p>
    <w:p w14:paraId="1633F721">
      <w:pPr>
        <w:pStyle w:val="30"/>
        <w:spacing w:line="360" w:lineRule="auto"/>
        <w:ind w:left="479" w:hanging="479" w:hangingChars="199"/>
        <w:rPr>
          <w:rFonts w:hint="eastAsia" w:cs="宋体"/>
          <w:b/>
        </w:rPr>
      </w:pPr>
      <w:r>
        <w:rPr>
          <w:rFonts w:hint="eastAsia" w:cs="宋体"/>
          <w:b/>
        </w:rPr>
        <w:t>25. 合同的签订</w:t>
      </w:r>
    </w:p>
    <w:p w14:paraId="629C57C5">
      <w:pPr>
        <w:widowControl/>
        <w:shd w:val="clear" w:color="auto" w:fill="FFFFFF"/>
        <w:spacing w:line="360" w:lineRule="auto"/>
        <w:ind w:firstLine="480"/>
        <w:jc w:val="left"/>
        <w:rPr>
          <w:rFonts w:hint="eastAsia" w:ascii="宋体" w:hAnsi="宋体" w:cs="宋体"/>
          <w:kern w:val="0"/>
          <w:sz w:val="24"/>
        </w:rPr>
      </w:pPr>
      <w:r>
        <w:rPr>
          <w:rFonts w:hint="eastAsia" w:ascii="宋体" w:hAnsi="宋体" w:cs="宋体"/>
          <w:sz w:val="24"/>
        </w:rPr>
        <w:t>25.1</w:t>
      </w:r>
      <w:r>
        <w:rPr>
          <w:rFonts w:hint="eastAsia" w:ascii="宋体" w:hAnsi="宋体" w:cs="宋体"/>
          <w:kern w:val="0"/>
          <w:sz w:val="24"/>
        </w:rPr>
        <w:t xml:space="preserve"> 采购人与中标人应当通过电子交易平台在中标通知书发出之日起三十日内，按照招标文件确定的事项签订政府采购合同，并在合同签订之日起2个工作日内依法发布合同公告。</w:t>
      </w:r>
    </w:p>
    <w:p w14:paraId="22E015E8">
      <w:pPr>
        <w:pStyle w:val="131"/>
        <w:snapToGrid w:val="0"/>
        <w:spacing w:before="0"/>
        <w:ind w:firstLine="480"/>
        <w:rPr>
          <w:rFonts w:hint="eastAsia" w:ascii="宋体" w:hAnsi="宋体" w:cs="宋体"/>
          <w:kern w:val="0"/>
        </w:rPr>
      </w:pPr>
      <w:r>
        <w:rPr>
          <w:rFonts w:hint="eastAsia" w:ascii="宋体" w:hAnsi="宋体" w:cs="宋体"/>
          <w:kern w:val="0"/>
          <w:lang w:val="zh-CN"/>
        </w:rPr>
        <w:t>25.2中标人按规定的日期、时间、地点，由法定代表人或其授权代表与采购人代表签订合同。如中标人为联合体的，由联合体成员各方法定代表人或其授权代表与采购人代表签订合同。</w:t>
      </w:r>
    </w:p>
    <w:p w14:paraId="09B529FE">
      <w:pPr>
        <w:pStyle w:val="131"/>
        <w:snapToGrid w:val="0"/>
        <w:spacing w:before="0"/>
        <w:ind w:firstLine="480"/>
        <w:rPr>
          <w:rFonts w:hint="eastAsia" w:ascii="宋体" w:hAnsi="宋体" w:cs="宋体"/>
        </w:rPr>
      </w:pPr>
      <w:r>
        <w:rPr>
          <w:rFonts w:hint="eastAsia" w:ascii="宋体" w:hAnsi="宋体" w:cs="宋体"/>
        </w:rPr>
        <w:t>25.3如签订合同并生效后，供应商无故拒绝或延期，除按照合同条款处理外，列入不良行为记录一次，并给予通报。</w:t>
      </w:r>
    </w:p>
    <w:p w14:paraId="0618BE68">
      <w:pPr>
        <w:pStyle w:val="131"/>
        <w:snapToGrid w:val="0"/>
        <w:spacing w:before="0"/>
        <w:ind w:firstLine="480"/>
        <w:rPr>
          <w:rFonts w:hint="eastAsia" w:ascii="宋体" w:hAnsi="宋体" w:cs="宋体"/>
        </w:rPr>
      </w:pPr>
      <w:r>
        <w:rPr>
          <w:rFonts w:hint="eastAsia" w:ascii="宋体" w:hAnsi="宋体" w:cs="宋体"/>
        </w:rPr>
        <w:t>25.4中标供应商拒绝与采购人签订合同的，采购人可以按照评审报告推荐的中标或者成交候选人名单排序，确定下一候选人为中标供应商，也可以重新开展政府采购活动。</w:t>
      </w:r>
    </w:p>
    <w:p w14:paraId="7E4D5A0B">
      <w:pPr>
        <w:pStyle w:val="131"/>
        <w:snapToGrid w:val="0"/>
        <w:spacing w:before="0" w:after="120"/>
        <w:ind w:firstLine="480"/>
        <w:rPr>
          <w:rFonts w:hint="eastAsia" w:ascii="宋体" w:hAnsi="宋体" w:cs="宋体"/>
        </w:rPr>
      </w:pPr>
      <w:r>
        <w:rPr>
          <w:rFonts w:hint="eastAsia" w:ascii="宋体" w:hAnsi="宋体" w:cs="宋体"/>
        </w:rPr>
        <w:t>25.5采购合同由采购人与中标供应商根据招标文件、投标文件等内容通过政府采购电子交易平台在线签订，自动备案。</w:t>
      </w:r>
    </w:p>
    <w:p w14:paraId="78845606">
      <w:pPr>
        <w:pStyle w:val="131"/>
        <w:snapToGrid w:val="0"/>
        <w:spacing w:before="0"/>
        <w:ind w:firstLine="0" w:firstLineChars="0"/>
        <w:rPr>
          <w:rFonts w:hint="eastAsia" w:ascii="宋体" w:hAnsi="宋体" w:cs="宋体"/>
          <w:b/>
          <w:szCs w:val="24"/>
        </w:rPr>
      </w:pPr>
      <w:r>
        <w:rPr>
          <w:rFonts w:hint="eastAsia" w:ascii="宋体" w:hAnsi="宋体" w:cs="宋体"/>
          <w:b/>
          <w:szCs w:val="24"/>
        </w:rPr>
        <w:t>26. 履约保证金</w:t>
      </w:r>
    </w:p>
    <w:p w14:paraId="07E5121A">
      <w:pPr>
        <w:pStyle w:val="131"/>
        <w:snapToGrid w:val="0"/>
        <w:spacing w:before="0"/>
        <w:ind w:firstLine="480"/>
        <w:rPr>
          <w:rFonts w:hint="eastAsia" w:ascii="宋体" w:hAnsi="宋体" w:cs="宋体"/>
        </w:rPr>
      </w:pPr>
      <w:r>
        <w:rPr>
          <w:rFonts w:hint="eastAsia" w:ascii="宋体" w:hAnsi="宋体" w:cs="宋体"/>
        </w:rPr>
        <w:t>拟签订的合同文本要求中标供应商提交履约保证金的，供应商应当以支票、汇票、本票或者金融机构、担保机构出具的保函等非现金形式提交。履约保证金的数额不得超过政府采购合同金额的0.1%。鼓励和支持供应商以银行、保险公司出具的保函形式提供履约保证金。采购人不得拒收履约保函，项目验收结束后应及时退还，延迟退还的，应当按照合同约定和法律规定承担相应的赔偿责任。</w:t>
      </w:r>
    </w:p>
    <w:p w14:paraId="79F434E7">
      <w:pPr>
        <w:pStyle w:val="131"/>
        <w:snapToGrid w:val="0"/>
        <w:spacing w:before="0"/>
        <w:ind w:firstLine="480"/>
        <w:rPr>
          <w:rFonts w:hint="eastAsia" w:ascii="宋体" w:hAnsi="宋体" w:cs="宋体"/>
        </w:rPr>
      </w:pPr>
      <w:r>
        <w:rPr>
          <w:rFonts w:hint="eastAsia" w:ascii="宋体" w:hAnsi="宋体" w:cs="宋体"/>
        </w:rPr>
        <w:t>供应商可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289E6A5F">
      <w:pPr>
        <w:pStyle w:val="131"/>
        <w:snapToGrid w:val="0"/>
        <w:spacing w:before="0"/>
        <w:ind w:firstLine="0" w:firstLineChars="0"/>
        <w:jc w:val="center"/>
        <w:rPr>
          <w:rFonts w:hint="eastAsia" w:ascii="宋体" w:hAnsi="宋体" w:cs="宋体"/>
          <w:b/>
        </w:rPr>
      </w:pPr>
      <w:r>
        <w:rPr>
          <w:rFonts w:hint="eastAsia" w:ascii="宋体" w:hAnsi="宋体" w:cs="宋体"/>
          <w:b/>
          <w:sz w:val="32"/>
        </w:rPr>
        <w:t>八、电子交易活动的中止</w:t>
      </w:r>
    </w:p>
    <w:p w14:paraId="60637A14">
      <w:pPr>
        <w:pStyle w:val="131"/>
        <w:snapToGrid w:val="0"/>
        <w:spacing w:before="0"/>
        <w:ind w:firstLine="0" w:firstLineChars="0"/>
        <w:rPr>
          <w:rFonts w:hint="eastAsia" w:ascii="宋体" w:hAnsi="宋体" w:cs="宋体"/>
          <w:b/>
          <w:szCs w:val="24"/>
        </w:rPr>
      </w:pPr>
      <w:r>
        <w:rPr>
          <w:rFonts w:hint="eastAsia" w:ascii="宋体" w:hAnsi="宋体" w:cs="宋体"/>
          <w:b/>
          <w:szCs w:val="24"/>
        </w:rPr>
        <w:t>27. 电子交易活动的中止</w:t>
      </w:r>
    </w:p>
    <w:p w14:paraId="634F3A9D">
      <w:pPr>
        <w:pStyle w:val="131"/>
        <w:snapToGrid w:val="0"/>
        <w:spacing w:before="0"/>
        <w:ind w:firstLine="480"/>
        <w:rPr>
          <w:rFonts w:hint="eastAsia" w:ascii="宋体" w:hAnsi="宋体" w:cs="宋体"/>
        </w:rPr>
      </w:pPr>
      <w:r>
        <w:rPr>
          <w:rFonts w:hint="eastAsia" w:ascii="宋体" w:hAnsi="宋体" w:cs="宋体"/>
        </w:rPr>
        <w:t>采购过程中出现以下情形，导致电子交易平台无法正常运行，或者无法保证电子交易的公平、公正和安全时，采购机构可中止电子交易活动：</w:t>
      </w:r>
    </w:p>
    <w:p w14:paraId="718881B5">
      <w:pPr>
        <w:pStyle w:val="131"/>
        <w:snapToGrid w:val="0"/>
        <w:spacing w:before="0"/>
        <w:ind w:firstLine="480"/>
        <w:rPr>
          <w:rFonts w:hint="eastAsia" w:ascii="宋体" w:hAnsi="宋体" w:cs="宋体"/>
        </w:rPr>
      </w:pPr>
      <w:r>
        <w:rPr>
          <w:rFonts w:hint="eastAsia" w:ascii="宋体" w:hAnsi="宋体" w:cs="宋体"/>
        </w:rPr>
        <w:t xml:space="preserve">27.1电子交易平台发生故障而无法登录访问的； </w:t>
      </w:r>
    </w:p>
    <w:p w14:paraId="1CE4F371">
      <w:pPr>
        <w:pStyle w:val="131"/>
        <w:snapToGrid w:val="0"/>
        <w:spacing w:before="0"/>
        <w:ind w:firstLine="480"/>
        <w:rPr>
          <w:rFonts w:hint="eastAsia" w:ascii="宋体" w:hAnsi="宋体" w:cs="宋体"/>
        </w:rPr>
      </w:pPr>
      <w:r>
        <w:rPr>
          <w:rFonts w:hint="eastAsia" w:ascii="宋体" w:hAnsi="宋体" w:cs="宋体"/>
        </w:rPr>
        <w:t>27.2电子交易平台应用或数据库出现错误，不能进行正常操作的；</w:t>
      </w:r>
    </w:p>
    <w:p w14:paraId="165C051A">
      <w:pPr>
        <w:pStyle w:val="131"/>
        <w:snapToGrid w:val="0"/>
        <w:spacing w:before="0"/>
        <w:ind w:firstLine="480"/>
        <w:rPr>
          <w:rFonts w:hint="eastAsia" w:ascii="宋体" w:hAnsi="宋体" w:cs="宋体"/>
        </w:rPr>
      </w:pPr>
      <w:r>
        <w:rPr>
          <w:rFonts w:hint="eastAsia" w:ascii="宋体" w:hAnsi="宋体" w:cs="宋体"/>
        </w:rPr>
        <w:t>27.3电子交易平台发现严重安全漏洞，有潜在泄密危险的；</w:t>
      </w:r>
    </w:p>
    <w:p w14:paraId="633C821F">
      <w:pPr>
        <w:pStyle w:val="131"/>
        <w:snapToGrid w:val="0"/>
        <w:spacing w:before="0"/>
        <w:ind w:firstLine="480"/>
        <w:rPr>
          <w:rFonts w:hint="eastAsia" w:ascii="宋体" w:hAnsi="宋体" w:cs="宋体"/>
        </w:rPr>
      </w:pPr>
      <w:r>
        <w:rPr>
          <w:rFonts w:hint="eastAsia" w:ascii="宋体" w:hAnsi="宋体" w:cs="宋体"/>
        </w:rPr>
        <w:t xml:space="preserve">27.4病毒发作导致不能进行正常操作的； </w:t>
      </w:r>
    </w:p>
    <w:p w14:paraId="2358CAA3">
      <w:pPr>
        <w:pStyle w:val="131"/>
        <w:snapToGrid w:val="0"/>
        <w:spacing w:before="0"/>
        <w:ind w:firstLine="480"/>
        <w:rPr>
          <w:rFonts w:hint="eastAsia" w:ascii="宋体" w:hAnsi="宋体" w:cs="宋体"/>
        </w:rPr>
      </w:pPr>
      <w:r>
        <w:rPr>
          <w:rFonts w:hint="eastAsia" w:ascii="宋体" w:hAnsi="宋体" w:cs="宋体"/>
        </w:rPr>
        <w:t>27.5其他无法保证电子交易的公平、公正和安全的情况。</w:t>
      </w:r>
    </w:p>
    <w:p w14:paraId="20628DDB">
      <w:pPr>
        <w:pStyle w:val="131"/>
        <w:snapToGrid w:val="0"/>
        <w:spacing w:before="0"/>
        <w:ind w:firstLine="0" w:firstLineChars="0"/>
        <w:rPr>
          <w:rFonts w:hint="eastAsia" w:ascii="宋体" w:hAnsi="宋体" w:cs="宋体"/>
        </w:rPr>
      </w:pPr>
      <w:r>
        <w:rPr>
          <w:rFonts w:hint="eastAsia" w:ascii="宋体" w:hAnsi="宋体" w:cs="宋体"/>
        </w:rPr>
        <w:t xml:space="preserve"> 28.出现以上情形，不影响采购公平、公正性的，采购组织机构可以待上述情形消除后继续组织电子交易活动，也可以决定某些环节以纸质形式进行；影响或可能影响采购公平、公正性的，应当重新采购。</w:t>
      </w:r>
    </w:p>
    <w:p w14:paraId="7FE8DEB3">
      <w:pPr>
        <w:snapToGrid w:val="0"/>
        <w:spacing w:line="360" w:lineRule="auto"/>
        <w:ind w:left="120" w:leftChars="57" w:firstLine="482" w:firstLineChars="150"/>
        <w:jc w:val="center"/>
        <w:rPr>
          <w:rFonts w:hint="eastAsia" w:ascii="宋体" w:hAnsi="宋体" w:cs="宋体"/>
          <w:b/>
          <w:sz w:val="32"/>
        </w:rPr>
      </w:pPr>
      <w:r>
        <w:rPr>
          <w:rFonts w:hint="eastAsia" w:ascii="宋体" w:hAnsi="宋体" w:cs="宋体"/>
          <w:b/>
          <w:sz w:val="32"/>
        </w:rPr>
        <w:t>九、验收</w:t>
      </w:r>
    </w:p>
    <w:p w14:paraId="23B4788F">
      <w:pPr>
        <w:pStyle w:val="30"/>
        <w:spacing w:line="360" w:lineRule="auto"/>
        <w:ind w:firstLine="0" w:firstLineChars="0"/>
        <w:rPr>
          <w:rFonts w:hint="eastAsia" w:cs="宋体"/>
          <w:b/>
        </w:rPr>
      </w:pPr>
      <w:r>
        <w:rPr>
          <w:rFonts w:hint="eastAsia" w:cs="宋体"/>
          <w:b/>
        </w:rPr>
        <w:t>29.验收</w:t>
      </w:r>
    </w:p>
    <w:p w14:paraId="5D81BF6B">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559951EC">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29.2采购人可以邀请参加本项目的其他投标人或者第三方机构参与验收。参与验收的投标人或者第三方机构的意见作为验收书的参考资料一并存档。</w:t>
      </w:r>
    </w:p>
    <w:p w14:paraId="75E8B3B5">
      <w:pPr>
        <w:tabs>
          <w:tab w:val="left" w:pos="0"/>
        </w:tabs>
        <w:spacing w:line="360" w:lineRule="auto"/>
        <w:ind w:firstLine="480"/>
        <w:rPr>
          <w:rFonts w:hint="eastAsia" w:ascii="宋体" w:hAnsi="宋体" w:cs="宋体"/>
          <w:kern w:val="0"/>
          <w:sz w:val="24"/>
        </w:rPr>
      </w:pPr>
      <w:r>
        <w:rPr>
          <w:rFonts w:hint="eastAsia" w:ascii="宋体" w:hAnsi="宋体" w:cs="宋体"/>
          <w:kern w:val="0"/>
          <w:sz w:val="24"/>
        </w:rPr>
        <w:t>29.3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条件挂钩。履约验收的各项资料应当存档备查。</w:t>
      </w:r>
    </w:p>
    <w:p w14:paraId="7B4312F2">
      <w:pPr>
        <w:tabs>
          <w:tab w:val="left" w:pos="0"/>
        </w:tabs>
        <w:spacing w:line="360" w:lineRule="auto"/>
        <w:ind w:firstLine="480"/>
        <w:rPr>
          <w:rFonts w:hint="eastAsia" w:ascii="宋体" w:hAnsi="宋体" w:cs="宋体"/>
          <w:sz w:val="18"/>
          <w:szCs w:val="18"/>
        </w:rPr>
      </w:pPr>
      <w:r>
        <w:rPr>
          <w:rFonts w:hint="eastAsia" w:ascii="宋体" w:hAnsi="宋体" w:cs="宋体"/>
          <w:kern w:val="0"/>
          <w:sz w:val="24"/>
        </w:rPr>
        <w:t>29.4验收合格的项目，采购人将根据采购合同的约定及时向供应商支付采购资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6"/>
    <w:p w14:paraId="4EA6435F">
      <w:pPr>
        <w:tabs>
          <w:tab w:val="left" w:pos="0"/>
        </w:tabs>
        <w:spacing w:line="360" w:lineRule="auto"/>
        <w:ind w:firstLine="480"/>
        <w:rPr>
          <w:rFonts w:hint="eastAsia" w:ascii="宋体" w:hAnsi="宋体" w:cs="宋体"/>
          <w:kern w:val="0"/>
          <w:sz w:val="24"/>
        </w:rPr>
        <w:sectPr>
          <w:pgSz w:w="11906" w:h="16838"/>
          <w:pgMar w:top="1440" w:right="1418" w:bottom="1440" w:left="1418" w:header="851" w:footer="992" w:gutter="0"/>
          <w:cols w:space="0" w:num="1"/>
          <w:titlePg/>
          <w:docGrid w:linePitch="312" w:charSpace="0"/>
        </w:sectPr>
      </w:pPr>
      <w:bookmarkStart w:id="7" w:name="_Hlt74730295"/>
      <w:bookmarkEnd w:id="7"/>
      <w:bookmarkStart w:id="8" w:name="_Hlt75236290"/>
      <w:bookmarkEnd w:id="8"/>
      <w:bookmarkStart w:id="9" w:name="_Hlt75236101"/>
      <w:bookmarkEnd w:id="9"/>
      <w:bookmarkStart w:id="10" w:name="_Hlt68057669"/>
      <w:bookmarkEnd w:id="10"/>
      <w:bookmarkStart w:id="11" w:name="_Hlt75236011"/>
      <w:bookmarkEnd w:id="11"/>
      <w:bookmarkStart w:id="12" w:name="_Hlt68072990"/>
      <w:bookmarkEnd w:id="12"/>
      <w:bookmarkStart w:id="13" w:name="_Hlt74707468"/>
      <w:bookmarkEnd w:id="13"/>
      <w:bookmarkStart w:id="14" w:name="_Hlt68072998"/>
      <w:bookmarkEnd w:id="14"/>
      <w:bookmarkStart w:id="15" w:name="_Hlt68073093"/>
      <w:bookmarkEnd w:id="15"/>
      <w:bookmarkStart w:id="16" w:name="_Hlt74714665"/>
      <w:bookmarkEnd w:id="16"/>
      <w:bookmarkStart w:id="17" w:name="_Hlt68403820"/>
      <w:bookmarkEnd w:id="17"/>
      <w:bookmarkStart w:id="18" w:name="_Hlt74729768"/>
      <w:bookmarkEnd w:id="18"/>
    </w:p>
    <w:bookmarkEnd w:id="4"/>
    <w:bookmarkEnd w:id="5"/>
    <w:p w14:paraId="1D8257F5">
      <w:pPr>
        <w:spacing w:line="360" w:lineRule="auto"/>
        <w:jc w:val="center"/>
        <w:outlineLvl w:val="0"/>
        <w:rPr>
          <w:rFonts w:hint="eastAsia" w:ascii="宋体" w:hAnsi="宋体" w:cs="宋体"/>
          <w:b/>
          <w:sz w:val="36"/>
          <w:szCs w:val="36"/>
        </w:rPr>
      </w:pPr>
      <w:bookmarkStart w:id="19" w:name="第四部分"/>
      <w:r>
        <w:rPr>
          <w:rFonts w:hint="eastAsia" w:ascii="宋体" w:hAnsi="宋体" w:cs="宋体"/>
          <w:b/>
          <w:sz w:val="36"/>
          <w:szCs w:val="36"/>
        </w:rPr>
        <w:t>第三部分   采购需求</w:t>
      </w:r>
    </w:p>
    <w:p w14:paraId="48DFEEAE">
      <w:pPr>
        <w:pStyle w:val="3"/>
        <w:rPr>
          <w:rFonts w:hint="eastAsia"/>
          <w:sz w:val="28"/>
          <w:szCs w:val="28"/>
          <w:lang w:val="en-US"/>
        </w:rPr>
      </w:pPr>
      <w:r>
        <w:rPr>
          <w:rFonts w:hint="eastAsia" w:ascii="宋体" w:hAnsi="宋体" w:eastAsia="宋体" w:cs="宋体"/>
          <w:color w:val="000000"/>
          <w:kern w:val="0"/>
          <w:sz w:val="28"/>
          <w:szCs w:val="28"/>
          <w:lang w:val="en-US" w:bidi="ar"/>
        </w:rPr>
        <w:t>一、总体要求</w:t>
      </w:r>
    </w:p>
    <w:p w14:paraId="5765F5AD">
      <w:pPr>
        <w:widowControl/>
        <w:adjustRightInd/>
        <w:spacing w:line="360" w:lineRule="auto"/>
        <w:ind w:firstLine="480" w:firstLineChars="200"/>
        <w:textAlignment w:val="center"/>
        <w:rPr>
          <w:rFonts w:hint="eastAsia" w:ascii="宋体" w:hAnsi="宋体" w:cs="宋体"/>
          <w:color w:val="000000"/>
          <w:kern w:val="0"/>
          <w:sz w:val="24"/>
          <w:lang w:bidi="ar"/>
        </w:rPr>
      </w:pPr>
      <w:r>
        <w:rPr>
          <w:rFonts w:hint="eastAsia" w:ascii="宋体" w:hAnsi="宋体" w:cs="宋体"/>
          <w:color w:val="000000"/>
          <w:kern w:val="0"/>
          <w:sz w:val="24"/>
          <w:lang w:bidi="ar"/>
        </w:rPr>
        <w:t>本项目属于交钥匙工程，所有软、硬件(如线缆、软件、硬件、模块等，包括未列出而系统实施又必需的软件、硬件)需配齐、安装，以构成一套完整实用系统。本次招标不统一组织现场勘察，投标前请各投标人自行勘察现场。若招标文件中遗漏了本次项目建设所必须具备的设备、配件或服务，投标人可在投标文件中指出，并提出解决方案供参考。投标未勘察现场或勘察现场后投标文件中遗漏了本次项目建设所必须具备的设备、配件或服务，并影响整个项目各模块的正常运行，中标人须承诺免费提供相应的设备、配件或服务，以保证项目的正常运转。</w:t>
      </w:r>
    </w:p>
    <w:p w14:paraId="440169AB">
      <w:pPr>
        <w:widowControl/>
        <w:adjustRightInd/>
        <w:spacing w:line="360" w:lineRule="auto"/>
        <w:ind w:firstLine="480" w:firstLineChars="200"/>
        <w:textAlignment w:val="center"/>
      </w:pPr>
      <w:r>
        <w:rPr>
          <w:rFonts w:hint="eastAsia" w:ascii="宋体" w:hAnsi="宋体" w:cs="宋体"/>
          <w:color w:val="000000"/>
          <w:kern w:val="0"/>
          <w:sz w:val="24"/>
          <w:lang w:bidi="ar"/>
        </w:rPr>
        <w:t>本项目是改扩建（新建为主包含两幢老教学楼升级改造），2幢老教学楼需拆除原旧设备，并将更新设备安装到位，确保新老教学楼弱电系统完整可用</w:t>
      </w:r>
      <w:r>
        <w:rPr>
          <w:rFonts w:hint="eastAsia" w:ascii="宋体" w:hAnsi="宋体" w:cs="宋体"/>
          <w:sz w:val="24"/>
        </w:rPr>
        <w:t>，施工方案需经用户审核同意后实施</w:t>
      </w:r>
      <w:r>
        <w:rPr>
          <w:rFonts w:hint="eastAsia" w:ascii="宋体" w:hAnsi="宋体" w:cs="宋体"/>
          <w:color w:val="000000"/>
          <w:kern w:val="0"/>
          <w:sz w:val="24"/>
          <w:lang w:bidi="ar"/>
        </w:rPr>
        <w:t>。</w:t>
      </w:r>
    </w:p>
    <w:p w14:paraId="0CAC02DD">
      <w:pPr>
        <w:pStyle w:val="3"/>
        <w:numPr>
          <w:ilvl w:val="0"/>
          <w:numId w:val="1"/>
        </w:numPr>
        <w:rPr>
          <w:rFonts w:hint="eastAsia" w:ascii="宋体" w:hAnsi="宋体" w:eastAsia="宋体" w:cs="宋体"/>
          <w:sz w:val="24"/>
          <w:szCs w:val="24"/>
          <w:lang w:val="en-US"/>
        </w:rPr>
      </w:pPr>
      <w:r>
        <w:rPr>
          <w:rFonts w:hint="eastAsia" w:ascii="宋体" w:hAnsi="宋体" w:eastAsia="宋体" w:cs="宋体"/>
          <w:color w:val="000000"/>
          <w:kern w:val="0"/>
          <w:sz w:val="28"/>
          <w:szCs w:val="28"/>
          <w:lang w:val="en-US" w:bidi="ar"/>
        </w:rPr>
        <w:t>采购内容及规格</w:t>
      </w:r>
    </w:p>
    <w:p w14:paraId="3EEB0E89">
      <w:pPr>
        <w:widowControl/>
        <w:snapToGrid w:val="0"/>
        <w:spacing w:line="288" w:lineRule="auto"/>
        <w:textAlignment w:val="center"/>
        <w:rPr>
          <w:rFonts w:hint="eastAsia" w:ascii="宋体" w:hAnsi="宋体" w:cs="宋体"/>
          <w:b/>
          <w:bCs/>
          <w:color w:val="000000"/>
          <w:kern w:val="0"/>
          <w:sz w:val="24"/>
          <w:lang w:bidi="ar"/>
        </w:rPr>
      </w:pPr>
      <w:r>
        <w:rPr>
          <w:rFonts w:hint="eastAsia" w:ascii="宋体" w:hAnsi="宋体" w:cs="宋体"/>
          <w:b/>
          <w:bCs/>
          <w:color w:val="000000"/>
          <w:kern w:val="0"/>
          <w:sz w:val="24"/>
          <w:lang w:bidi="ar"/>
        </w:rPr>
        <w:t>（一）采购清单</w:t>
      </w:r>
    </w:p>
    <w:tbl>
      <w:tblPr>
        <w:tblStyle w:val="65"/>
        <w:tblW w:w="9178" w:type="dxa"/>
        <w:tblInd w:w="9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8"/>
        <w:gridCol w:w="4369"/>
        <w:gridCol w:w="1643"/>
        <w:gridCol w:w="2028"/>
      </w:tblGrid>
      <w:tr w14:paraId="3B80DB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trPr>
        <w:tc>
          <w:tcPr>
            <w:tcW w:w="1138" w:type="dxa"/>
            <w:shd w:val="clear" w:color="auto" w:fill="DDEBF7"/>
            <w:noWrap/>
            <w:vAlign w:val="center"/>
          </w:tcPr>
          <w:p w14:paraId="31785C2C">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 w:val="22"/>
                <w:szCs w:val="22"/>
                <w:lang w:bidi="ar"/>
              </w:rPr>
              <w:t>序号</w:t>
            </w:r>
          </w:p>
        </w:tc>
        <w:tc>
          <w:tcPr>
            <w:tcW w:w="4369" w:type="dxa"/>
            <w:shd w:val="clear" w:color="auto" w:fill="DDEBF7"/>
            <w:noWrap/>
            <w:vAlign w:val="center"/>
          </w:tcPr>
          <w:p w14:paraId="23BEDCA3">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设备名称</w:t>
            </w:r>
          </w:p>
        </w:tc>
        <w:tc>
          <w:tcPr>
            <w:tcW w:w="1643" w:type="dxa"/>
            <w:shd w:val="clear" w:color="auto" w:fill="DDEBF7"/>
            <w:noWrap/>
            <w:vAlign w:val="center"/>
          </w:tcPr>
          <w:p w14:paraId="146A4BAB">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单位</w:t>
            </w:r>
          </w:p>
        </w:tc>
        <w:tc>
          <w:tcPr>
            <w:tcW w:w="2028" w:type="dxa"/>
            <w:shd w:val="clear" w:color="auto" w:fill="DDEBF7"/>
            <w:noWrap/>
            <w:vAlign w:val="center"/>
          </w:tcPr>
          <w:p w14:paraId="1E18B691">
            <w:pPr>
              <w:widowControl/>
              <w:jc w:val="center"/>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数量</w:t>
            </w:r>
          </w:p>
        </w:tc>
      </w:tr>
      <w:tr w14:paraId="7898A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E1CD8A5">
            <w:pPr>
              <w:widowControl/>
              <w:jc w:val="center"/>
              <w:textAlignment w:val="center"/>
              <w:rPr>
                <w:rFonts w:hint="eastAsia" w:ascii="宋体" w:hAnsi="宋体" w:cs="宋体"/>
                <w:b/>
                <w:bCs/>
                <w:color w:val="000000"/>
                <w:szCs w:val="21"/>
              </w:rPr>
            </w:pPr>
            <w:r>
              <w:rPr>
                <w:rFonts w:hint="eastAsia" w:ascii="宋体" w:hAnsi="宋体" w:cs="宋体"/>
                <w:b/>
                <w:bCs/>
                <w:color w:val="000000"/>
                <w:kern w:val="0"/>
                <w:sz w:val="22"/>
                <w:szCs w:val="22"/>
                <w:lang w:bidi="ar"/>
              </w:rPr>
              <w:t>一</w:t>
            </w:r>
          </w:p>
        </w:tc>
        <w:tc>
          <w:tcPr>
            <w:tcW w:w="4369" w:type="dxa"/>
            <w:shd w:val="clear" w:color="auto" w:fill="FFFFFF"/>
            <w:vAlign w:val="center"/>
          </w:tcPr>
          <w:p w14:paraId="1950D533">
            <w:pPr>
              <w:widowControl/>
              <w:jc w:val="left"/>
              <w:textAlignment w:val="center"/>
              <w:rPr>
                <w:rFonts w:hint="eastAsia" w:ascii="宋体" w:hAnsi="宋体" w:cs="宋体"/>
                <w:b/>
                <w:bCs/>
                <w:color w:val="000000"/>
                <w:szCs w:val="21"/>
              </w:rPr>
            </w:pPr>
            <w:r>
              <w:rPr>
                <w:rFonts w:hint="eastAsia" w:ascii="宋体" w:hAnsi="宋体" w:cs="宋体"/>
                <w:b/>
                <w:bCs/>
                <w:kern w:val="0"/>
                <w:sz w:val="22"/>
                <w:szCs w:val="22"/>
              </w:rPr>
              <w:t>综合布线系统</w:t>
            </w:r>
          </w:p>
        </w:tc>
        <w:tc>
          <w:tcPr>
            <w:tcW w:w="1643" w:type="dxa"/>
            <w:shd w:val="clear" w:color="auto" w:fill="FFFFFF"/>
            <w:vAlign w:val="bottom"/>
          </w:tcPr>
          <w:p w14:paraId="3C7330D8">
            <w:pPr>
              <w:widowControl/>
              <w:jc w:val="center"/>
              <w:textAlignment w:val="bottom"/>
              <w:rPr>
                <w:rFonts w:hint="eastAsia" w:ascii="宋体" w:hAnsi="宋体" w:cs="宋体"/>
                <w:color w:val="000000"/>
                <w:szCs w:val="21"/>
              </w:rPr>
            </w:pPr>
          </w:p>
        </w:tc>
        <w:tc>
          <w:tcPr>
            <w:tcW w:w="2028" w:type="dxa"/>
            <w:shd w:val="clear" w:color="auto" w:fill="FFFFFF"/>
            <w:vAlign w:val="center"/>
          </w:tcPr>
          <w:p w14:paraId="737D87EF">
            <w:pPr>
              <w:widowControl/>
              <w:jc w:val="center"/>
              <w:textAlignment w:val="bottom"/>
              <w:rPr>
                <w:rFonts w:hint="eastAsia" w:ascii="宋体" w:hAnsi="宋体" w:cs="宋体"/>
                <w:color w:val="000000"/>
                <w:szCs w:val="21"/>
              </w:rPr>
            </w:pPr>
          </w:p>
        </w:tc>
      </w:tr>
      <w:tr w14:paraId="0AF9B0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D9FBDE0">
            <w:pPr>
              <w:widowControl/>
              <w:jc w:val="center"/>
              <w:textAlignment w:val="center"/>
              <w:rPr>
                <w:rFonts w:hint="eastAsia" w:ascii="宋体" w:hAnsi="宋体" w:cs="宋体"/>
                <w:color w:val="000000"/>
                <w:szCs w:val="21"/>
              </w:rPr>
            </w:pPr>
            <w:r>
              <w:rPr>
                <w:rFonts w:hint="eastAsia" w:ascii="宋体" w:hAnsi="宋体" w:cs="宋体"/>
                <w:kern w:val="0"/>
                <w:sz w:val="22"/>
                <w:szCs w:val="22"/>
              </w:rPr>
              <w:t>1</w:t>
            </w:r>
          </w:p>
        </w:tc>
        <w:tc>
          <w:tcPr>
            <w:tcW w:w="4369" w:type="dxa"/>
            <w:shd w:val="clear" w:color="auto" w:fill="FFFFFF"/>
            <w:vAlign w:val="center"/>
          </w:tcPr>
          <w:p w14:paraId="187D5647">
            <w:pPr>
              <w:widowControl/>
              <w:jc w:val="center"/>
              <w:textAlignment w:val="center"/>
              <w:rPr>
                <w:rFonts w:hint="eastAsia" w:ascii="宋体" w:hAnsi="宋体" w:cs="宋体"/>
                <w:color w:val="000000"/>
                <w:szCs w:val="21"/>
              </w:rPr>
            </w:pPr>
            <w:r>
              <w:rPr>
                <w:rFonts w:hint="eastAsia" w:ascii="宋体" w:hAnsi="宋体" w:cs="宋体"/>
                <w:kern w:val="0"/>
                <w:sz w:val="22"/>
                <w:szCs w:val="22"/>
              </w:rPr>
              <w:t>RJ45单口面板</w:t>
            </w:r>
          </w:p>
        </w:tc>
        <w:tc>
          <w:tcPr>
            <w:tcW w:w="1643" w:type="dxa"/>
            <w:shd w:val="clear" w:color="auto" w:fill="FFFFFF"/>
            <w:vAlign w:val="center"/>
          </w:tcPr>
          <w:p w14:paraId="69BB648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250BCE5C">
            <w:pPr>
              <w:widowControl/>
              <w:jc w:val="center"/>
              <w:textAlignment w:val="bottom"/>
              <w:rPr>
                <w:rFonts w:hint="eastAsia" w:ascii="宋体" w:hAnsi="宋体" w:cs="宋体"/>
                <w:color w:val="000000"/>
                <w:szCs w:val="21"/>
              </w:rPr>
            </w:pPr>
            <w:r>
              <w:rPr>
                <w:rFonts w:hint="eastAsia" w:ascii="宋体" w:hAnsi="宋体" w:cs="宋体"/>
                <w:kern w:val="0"/>
                <w:sz w:val="22"/>
                <w:szCs w:val="22"/>
              </w:rPr>
              <w:t>480</w:t>
            </w:r>
          </w:p>
        </w:tc>
      </w:tr>
      <w:tr w14:paraId="7966B2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4D4417AF">
            <w:pPr>
              <w:widowControl/>
              <w:jc w:val="center"/>
              <w:textAlignment w:val="center"/>
              <w:rPr>
                <w:rFonts w:hint="eastAsia" w:ascii="宋体" w:hAnsi="宋体" w:cs="宋体"/>
                <w:color w:val="000000"/>
                <w:szCs w:val="21"/>
              </w:rPr>
            </w:pPr>
            <w:r>
              <w:rPr>
                <w:rFonts w:hint="eastAsia" w:ascii="宋体" w:hAnsi="宋体" w:cs="宋体"/>
                <w:kern w:val="0"/>
                <w:sz w:val="22"/>
                <w:szCs w:val="22"/>
              </w:rPr>
              <w:t>2</w:t>
            </w:r>
          </w:p>
        </w:tc>
        <w:tc>
          <w:tcPr>
            <w:tcW w:w="4369" w:type="dxa"/>
            <w:shd w:val="clear" w:color="auto" w:fill="FFFFFF"/>
            <w:vAlign w:val="center"/>
          </w:tcPr>
          <w:p w14:paraId="22376027">
            <w:pPr>
              <w:widowControl/>
              <w:jc w:val="center"/>
              <w:textAlignment w:val="center"/>
              <w:rPr>
                <w:rFonts w:hint="eastAsia" w:ascii="宋体" w:hAnsi="宋体" w:cs="宋体"/>
                <w:color w:val="000000"/>
                <w:szCs w:val="21"/>
              </w:rPr>
            </w:pPr>
            <w:r>
              <w:rPr>
                <w:rFonts w:hint="eastAsia" w:ascii="宋体" w:hAnsi="宋体" w:cs="宋体"/>
                <w:kern w:val="0"/>
                <w:sz w:val="22"/>
                <w:szCs w:val="22"/>
              </w:rPr>
              <w:t>RJ45双口面板</w:t>
            </w:r>
          </w:p>
        </w:tc>
        <w:tc>
          <w:tcPr>
            <w:tcW w:w="1643" w:type="dxa"/>
            <w:shd w:val="clear" w:color="auto" w:fill="FFFFFF"/>
            <w:vAlign w:val="center"/>
          </w:tcPr>
          <w:p w14:paraId="7BD83F4E">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689A7A88">
            <w:pPr>
              <w:widowControl/>
              <w:jc w:val="center"/>
              <w:textAlignment w:val="bottom"/>
              <w:rPr>
                <w:rFonts w:hint="eastAsia" w:ascii="宋体" w:hAnsi="宋体" w:cs="宋体"/>
                <w:color w:val="000000"/>
                <w:szCs w:val="21"/>
              </w:rPr>
            </w:pPr>
            <w:r>
              <w:rPr>
                <w:rFonts w:hint="eastAsia" w:ascii="宋体" w:hAnsi="宋体" w:cs="宋体"/>
                <w:kern w:val="0"/>
                <w:sz w:val="22"/>
                <w:szCs w:val="22"/>
              </w:rPr>
              <w:t>88</w:t>
            </w:r>
          </w:p>
        </w:tc>
      </w:tr>
      <w:tr w14:paraId="2B9F7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75E6F06">
            <w:pPr>
              <w:widowControl/>
              <w:jc w:val="center"/>
              <w:textAlignment w:val="center"/>
              <w:rPr>
                <w:rFonts w:hint="eastAsia" w:ascii="宋体" w:hAnsi="宋体" w:cs="宋体"/>
                <w:color w:val="000000"/>
                <w:szCs w:val="21"/>
              </w:rPr>
            </w:pPr>
            <w:r>
              <w:rPr>
                <w:rFonts w:hint="eastAsia" w:ascii="宋体" w:hAnsi="宋体" w:cs="宋体"/>
                <w:kern w:val="0"/>
                <w:sz w:val="22"/>
                <w:szCs w:val="22"/>
              </w:rPr>
              <w:t>3</w:t>
            </w:r>
          </w:p>
        </w:tc>
        <w:tc>
          <w:tcPr>
            <w:tcW w:w="4369" w:type="dxa"/>
            <w:shd w:val="clear" w:color="auto" w:fill="FFFFFF"/>
            <w:vAlign w:val="center"/>
          </w:tcPr>
          <w:p w14:paraId="6EEB57CA">
            <w:pPr>
              <w:widowControl/>
              <w:jc w:val="center"/>
              <w:textAlignment w:val="center"/>
              <w:rPr>
                <w:rFonts w:hint="eastAsia" w:ascii="宋体" w:hAnsi="宋体" w:cs="宋体"/>
                <w:color w:val="000000"/>
                <w:szCs w:val="21"/>
              </w:rPr>
            </w:pPr>
            <w:r>
              <w:rPr>
                <w:rFonts w:hint="eastAsia" w:ascii="宋体" w:hAnsi="宋体" w:cs="宋体"/>
                <w:kern w:val="0"/>
                <w:sz w:val="22"/>
                <w:szCs w:val="22"/>
              </w:rPr>
              <w:t>RJ45四口面板</w:t>
            </w:r>
          </w:p>
        </w:tc>
        <w:tc>
          <w:tcPr>
            <w:tcW w:w="1643" w:type="dxa"/>
            <w:shd w:val="clear" w:color="auto" w:fill="FFFFFF"/>
            <w:vAlign w:val="center"/>
          </w:tcPr>
          <w:p w14:paraId="04A5E90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35225DB6">
            <w:pPr>
              <w:widowControl/>
              <w:jc w:val="center"/>
              <w:textAlignment w:val="bottom"/>
              <w:rPr>
                <w:rFonts w:hint="eastAsia" w:ascii="宋体" w:hAnsi="宋体" w:cs="宋体"/>
                <w:color w:val="000000"/>
                <w:szCs w:val="21"/>
              </w:rPr>
            </w:pPr>
            <w:r>
              <w:rPr>
                <w:rFonts w:hint="eastAsia" w:ascii="宋体" w:hAnsi="宋体" w:cs="宋体"/>
                <w:kern w:val="0"/>
                <w:sz w:val="22"/>
                <w:szCs w:val="22"/>
              </w:rPr>
              <w:t>21</w:t>
            </w:r>
          </w:p>
        </w:tc>
      </w:tr>
      <w:tr w14:paraId="1B70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7125081">
            <w:pPr>
              <w:widowControl/>
              <w:jc w:val="center"/>
              <w:textAlignment w:val="center"/>
              <w:rPr>
                <w:rFonts w:hint="eastAsia" w:ascii="宋体" w:hAnsi="宋体" w:cs="宋体"/>
                <w:color w:val="000000"/>
                <w:szCs w:val="21"/>
              </w:rPr>
            </w:pPr>
            <w:r>
              <w:rPr>
                <w:rFonts w:hint="eastAsia" w:ascii="宋体" w:hAnsi="宋体" w:cs="宋体"/>
                <w:kern w:val="0"/>
                <w:sz w:val="22"/>
                <w:szCs w:val="22"/>
              </w:rPr>
              <w:t>4</w:t>
            </w:r>
          </w:p>
        </w:tc>
        <w:tc>
          <w:tcPr>
            <w:tcW w:w="4369" w:type="dxa"/>
            <w:shd w:val="clear" w:color="auto" w:fill="FFFFFF"/>
            <w:vAlign w:val="center"/>
          </w:tcPr>
          <w:p w14:paraId="33FBF177">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六类非屏蔽免打模块</w:t>
            </w:r>
          </w:p>
        </w:tc>
        <w:tc>
          <w:tcPr>
            <w:tcW w:w="1643" w:type="dxa"/>
            <w:shd w:val="clear" w:color="auto" w:fill="FFFFFF"/>
            <w:vAlign w:val="center"/>
          </w:tcPr>
          <w:p w14:paraId="7C2A1471">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shd w:val="clear" w:color="auto" w:fill="FFFFFF"/>
            <w:vAlign w:val="center"/>
          </w:tcPr>
          <w:p w14:paraId="5E125A99">
            <w:pPr>
              <w:widowControl/>
              <w:jc w:val="center"/>
              <w:textAlignment w:val="bottom"/>
              <w:rPr>
                <w:rFonts w:hint="eastAsia" w:ascii="宋体" w:hAnsi="宋体" w:cs="宋体"/>
                <w:color w:val="000000"/>
                <w:szCs w:val="21"/>
              </w:rPr>
            </w:pPr>
            <w:r>
              <w:rPr>
                <w:rFonts w:hint="eastAsia" w:ascii="宋体" w:hAnsi="宋体" w:cs="宋体"/>
                <w:kern w:val="0"/>
                <w:sz w:val="22"/>
                <w:szCs w:val="22"/>
              </w:rPr>
              <w:t>740</w:t>
            </w:r>
          </w:p>
        </w:tc>
      </w:tr>
      <w:tr w14:paraId="47C792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3A81B3D4">
            <w:pPr>
              <w:widowControl/>
              <w:jc w:val="center"/>
              <w:textAlignment w:val="center"/>
              <w:rPr>
                <w:rFonts w:hint="eastAsia" w:ascii="宋体" w:hAnsi="宋体" w:cs="宋体"/>
                <w:color w:val="000000"/>
                <w:szCs w:val="21"/>
              </w:rPr>
            </w:pPr>
            <w:r>
              <w:rPr>
                <w:rFonts w:hint="eastAsia" w:ascii="宋体" w:hAnsi="宋体" w:cs="宋体"/>
                <w:kern w:val="0"/>
                <w:sz w:val="22"/>
                <w:szCs w:val="22"/>
              </w:rPr>
              <w:t>5</w:t>
            </w:r>
          </w:p>
        </w:tc>
        <w:tc>
          <w:tcPr>
            <w:tcW w:w="4369" w:type="dxa"/>
            <w:shd w:val="clear" w:color="auto" w:fill="auto"/>
            <w:vAlign w:val="center"/>
          </w:tcPr>
          <w:p w14:paraId="31E52C59">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六类非屏蔽跳线-2米</w:t>
            </w:r>
          </w:p>
        </w:tc>
        <w:tc>
          <w:tcPr>
            <w:tcW w:w="1643" w:type="dxa"/>
            <w:shd w:val="clear" w:color="auto" w:fill="FFFFFF"/>
            <w:vAlign w:val="center"/>
          </w:tcPr>
          <w:p w14:paraId="133387EE">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798B8504">
            <w:pPr>
              <w:widowControl/>
              <w:jc w:val="center"/>
              <w:textAlignment w:val="bottom"/>
              <w:rPr>
                <w:rFonts w:hint="eastAsia" w:ascii="宋体" w:hAnsi="宋体" w:cs="宋体"/>
                <w:color w:val="000000"/>
                <w:szCs w:val="21"/>
              </w:rPr>
            </w:pPr>
            <w:r>
              <w:rPr>
                <w:rFonts w:hint="eastAsia" w:ascii="宋体" w:hAnsi="宋体" w:cs="宋体"/>
                <w:kern w:val="0"/>
                <w:sz w:val="22"/>
                <w:szCs w:val="22"/>
              </w:rPr>
              <w:t>1003</w:t>
            </w:r>
          </w:p>
        </w:tc>
      </w:tr>
      <w:tr w14:paraId="75C86D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32EE52BE">
            <w:pPr>
              <w:widowControl/>
              <w:jc w:val="center"/>
              <w:textAlignment w:val="center"/>
              <w:rPr>
                <w:rFonts w:hint="eastAsia" w:ascii="宋体" w:hAnsi="宋体" w:cs="宋体"/>
                <w:color w:val="000000"/>
                <w:szCs w:val="21"/>
              </w:rPr>
            </w:pPr>
            <w:r>
              <w:rPr>
                <w:rFonts w:hint="eastAsia" w:ascii="宋体" w:hAnsi="宋体" w:cs="宋体"/>
                <w:kern w:val="0"/>
                <w:sz w:val="22"/>
                <w:szCs w:val="22"/>
              </w:rPr>
              <w:t>6</w:t>
            </w:r>
          </w:p>
        </w:tc>
        <w:tc>
          <w:tcPr>
            <w:tcW w:w="4369" w:type="dxa"/>
            <w:shd w:val="clear" w:color="auto" w:fill="auto"/>
            <w:vAlign w:val="center"/>
          </w:tcPr>
          <w:p w14:paraId="779040BB">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六类非屏蔽跳线-3米</w:t>
            </w:r>
          </w:p>
        </w:tc>
        <w:tc>
          <w:tcPr>
            <w:tcW w:w="1643" w:type="dxa"/>
            <w:shd w:val="clear" w:color="auto" w:fill="FFFFFF"/>
            <w:vAlign w:val="center"/>
          </w:tcPr>
          <w:p w14:paraId="07AB9172">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7B324F6D">
            <w:pPr>
              <w:widowControl/>
              <w:jc w:val="center"/>
              <w:textAlignment w:val="bottom"/>
              <w:rPr>
                <w:rFonts w:hint="eastAsia" w:ascii="宋体" w:hAnsi="宋体" w:cs="宋体"/>
                <w:color w:val="000000"/>
                <w:szCs w:val="21"/>
              </w:rPr>
            </w:pPr>
            <w:r>
              <w:rPr>
                <w:rFonts w:hint="eastAsia" w:ascii="宋体" w:hAnsi="宋体" w:cs="宋体"/>
                <w:kern w:val="0"/>
                <w:sz w:val="22"/>
                <w:szCs w:val="22"/>
              </w:rPr>
              <w:t>300</w:t>
            </w:r>
          </w:p>
        </w:tc>
      </w:tr>
      <w:tr w14:paraId="4EDAB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CF9B4BC">
            <w:pPr>
              <w:widowControl/>
              <w:jc w:val="center"/>
              <w:textAlignment w:val="center"/>
              <w:rPr>
                <w:rFonts w:hint="eastAsia" w:ascii="宋体" w:hAnsi="宋体" w:cs="宋体"/>
                <w:color w:val="000000"/>
                <w:szCs w:val="21"/>
              </w:rPr>
            </w:pPr>
            <w:r>
              <w:rPr>
                <w:rFonts w:hint="eastAsia" w:ascii="宋体" w:hAnsi="宋体" w:cs="宋体"/>
                <w:kern w:val="0"/>
                <w:sz w:val="22"/>
                <w:szCs w:val="22"/>
              </w:rPr>
              <w:t>7</w:t>
            </w:r>
          </w:p>
        </w:tc>
        <w:tc>
          <w:tcPr>
            <w:tcW w:w="4369" w:type="dxa"/>
            <w:shd w:val="clear" w:color="auto" w:fill="auto"/>
            <w:vAlign w:val="center"/>
          </w:tcPr>
          <w:p w14:paraId="37EFE5E2">
            <w:pPr>
              <w:widowControl/>
              <w:jc w:val="center"/>
              <w:textAlignment w:val="center"/>
              <w:rPr>
                <w:rFonts w:hint="eastAsia" w:ascii="宋体" w:hAnsi="宋体" w:cs="宋体"/>
                <w:color w:val="000000"/>
                <w:szCs w:val="21"/>
              </w:rPr>
            </w:pPr>
            <w:r>
              <w:rPr>
                <w:rFonts w:hint="eastAsia" w:ascii="宋体" w:hAnsi="宋体" w:cs="宋体"/>
                <w:kern w:val="0"/>
                <w:sz w:val="22"/>
                <w:szCs w:val="22"/>
              </w:rPr>
              <w:t>六类UTP双绞线</w:t>
            </w:r>
          </w:p>
        </w:tc>
        <w:tc>
          <w:tcPr>
            <w:tcW w:w="1643" w:type="dxa"/>
            <w:shd w:val="clear" w:color="auto" w:fill="FFFFFF"/>
            <w:vAlign w:val="center"/>
          </w:tcPr>
          <w:p w14:paraId="2AE488A3">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箱</w:t>
            </w:r>
          </w:p>
        </w:tc>
        <w:tc>
          <w:tcPr>
            <w:tcW w:w="2028" w:type="dxa"/>
            <w:shd w:val="clear" w:color="auto" w:fill="FFFFFF"/>
            <w:vAlign w:val="center"/>
          </w:tcPr>
          <w:p w14:paraId="39BFA4DE">
            <w:pPr>
              <w:widowControl/>
              <w:jc w:val="center"/>
              <w:textAlignment w:val="bottom"/>
              <w:rPr>
                <w:rFonts w:hint="eastAsia" w:ascii="宋体" w:hAnsi="宋体" w:cs="宋体"/>
                <w:color w:val="000000"/>
                <w:szCs w:val="21"/>
              </w:rPr>
            </w:pPr>
            <w:r>
              <w:rPr>
                <w:rFonts w:hint="eastAsia" w:ascii="宋体" w:hAnsi="宋体" w:cs="宋体"/>
                <w:kern w:val="0"/>
                <w:sz w:val="22"/>
                <w:szCs w:val="22"/>
              </w:rPr>
              <w:t>230</w:t>
            </w:r>
          </w:p>
        </w:tc>
      </w:tr>
      <w:tr w14:paraId="274C8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1DDF9266">
            <w:pPr>
              <w:widowControl/>
              <w:jc w:val="center"/>
              <w:textAlignment w:val="center"/>
              <w:rPr>
                <w:rFonts w:hint="eastAsia" w:ascii="宋体" w:hAnsi="宋体" w:cs="宋体"/>
                <w:color w:val="000000"/>
                <w:szCs w:val="21"/>
              </w:rPr>
            </w:pPr>
            <w:r>
              <w:rPr>
                <w:rFonts w:hint="eastAsia" w:ascii="宋体" w:hAnsi="宋体" w:cs="宋体"/>
                <w:kern w:val="0"/>
                <w:sz w:val="22"/>
                <w:szCs w:val="22"/>
              </w:rPr>
              <w:t>8</w:t>
            </w:r>
          </w:p>
        </w:tc>
        <w:tc>
          <w:tcPr>
            <w:tcW w:w="4369" w:type="dxa"/>
            <w:shd w:val="clear" w:color="auto" w:fill="auto"/>
            <w:vAlign w:val="center"/>
          </w:tcPr>
          <w:p w14:paraId="301025C2">
            <w:pPr>
              <w:widowControl/>
              <w:jc w:val="center"/>
              <w:textAlignment w:val="center"/>
              <w:rPr>
                <w:rFonts w:hint="eastAsia" w:ascii="宋体" w:hAnsi="宋体" w:cs="宋体"/>
                <w:color w:val="000000"/>
                <w:szCs w:val="21"/>
              </w:rPr>
            </w:pPr>
            <w:r>
              <w:rPr>
                <w:rFonts w:hint="eastAsia" w:ascii="宋体" w:hAnsi="宋体" w:cs="宋体"/>
                <w:kern w:val="0"/>
                <w:sz w:val="22"/>
                <w:szCs w:val="22"/>
              </w:rPr>
              <w:t>1U 24口模块式非屏蔽配线架</w:t>
            </w:r>
          </w:p>
        </w:tc>
        <w:tc>
          <w:tcPr>
            <w:tcW w:w="1643" w:type="dxa"/>
            <w:shd w:val="clear" w:color="auto" w:fill="FFFFFF"/>
            <w:vAlign w:val="center"/>
          </w:tcPr>
          <w:p w14:paraId="7A9CD359">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vAlign w:val="center"/>
          </w:tcPr>
          <w:p w14:paraId="4CB482B8">
            <w:pPr>
              <w:widowControl/>
              <w:jc w:val="center"/>
              <w:textAlignment w:val="bottom"/>
              <w:rPr>
                <w:rFonts w:hint="eastAsia" w:ascii="宋体" w:hAnsi="宋体" w:cs="宋体"/>
                <w:color w:val="000000"/>
                <w:szCs w:val="21"/>
              </w:rPr>
            </w:pPr>
            <w:r>
              <w:rPr>
                <w:rFonts w:hint="eastAsia" w:ascii="宋体" w:hAnsi="宋体" w:cs="宋体"/>
                <w:kern w:val="0"/>
                <w:sz w:val="22"/>
                <w:szCs w:val="22"/>
              </w:rPr>
              <w:t>42</w:t>
            </w:r>
          </w:p>
        </w:tc>
      </w:tr>
      <w:tr w14:paraId="1CEED8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63D4057B">
            <w:pPr>
              <w:widowControl/>
              <w:jc w:val="center"/>
              <w:textAlignment w:val="center"/>
              <w:rPr>
                <w:rFonts w:hint="eastAsia" w:ascii="宋体" w:hAnsi="宋体" w:cs="宋体"/>
                <w:color w:val="000000"/>
                <w:szCs w:val="21"/>
              </w:rPr>
            </w:pPr>
            <w:r>
              <w:rPr>
                <w:rFonts w:hint="eastAsia" w:ascii="宋体" w:hAnsi="宋体" w:cs="宋体"/>
                <w:kern w:val="0"/>
                <w:sz w:val="22"/>
                <w:szCs w:val="22"/>
              </w:rPr>
              <w:t>9</w:t>
            </w:r>
          </w:p>
        </w:tc>
        <w:tc>
          <w:tcPr>
            <w:tcW w:w="4369" w:type="dxa"/>
            <w:vAlign w:val="center"/>
          </w:tcPr>
          <w:p w14:paraId="699478C2">
            <w:pPr>
              <w:widowControl/>
              <w:jc w:val="center"/>
              <w:textAlignment w:val="center"/>
              <w:rPr>
                <w:rFonts w:hint="eastAsia" w:ascii="宋体" w:hAnsi="宋体" w:cs="宋体"/>
                <w:color w:val="000000"/>
                <w:szCs w:val="21"/>
              </w:rPr>
            </w:pPr>
            <w:r>
              <w:rPr>
                <w:rFonts w:hint="eastAsia" w:ascii="宋体" w:hAnsi="宋体" w:cs="宋体"/>
                <w:kern w:val="0"/>
                <w:sz w:val="22"/>
                <w:szCs w:val="22"/>
              </w:rPr>
              <w:t>精致款19″1U 24档 理线器烤漆</w:t>
            </w:r>
          </w:p>
        </w:tc>
        <w:tc>
          <w:tcPr>
            <w:tcW w:w="1643" w:type="dxa"/>
            <w:noWrap/>
            <w:vAlign w:val="center"/>
          </w:tcPr>
          <w:p w14:paraId="7BC02920">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个</w:t>
            </w:r>
          </w:p>
        </w:tc>
        <w:tc>
          <w:tcPr>
            <w:tcW w:w="2028" w:type="dxa"/>
            <w:noWrap/>
            <w:vAlign w:val="center"/>
          </w:tcPr>
          <w:p w14:paraId="20FD1DD8">
            <w:pPr>
              <w:widowControl/>
              <w:jc w:val="center"/>
              <w:textAlignment w:val="bottom"/>
              <w:rPr>
                <w:rFonts w:hint="eastAsia" w:ascii="宋体" w:hAnsi="宋体" w:cs="宋体"/>
                <w:color w:val="000000"/>
                <w:szCs w:val="21"/>
              </w:rPr>
            </w:pPr>
            <w:r>
              <w:rPr>
                <w:rFonts w:hint="eastAsia" w:ascii="宋体" w:hAnsi="宋体" w:cs="宋体"/>
                <w:kern w:val="0"/>
                <w:sz w:val="22"/>
                <w:szCs w:val="22"/>
              </w:rPr>
              <w:t>113</w:t>
            </w:r>
          </w:p>
        </w:tc>
      </w:tr>
      <w:tr w14:paraId="0AC57A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25A2FD2E">
            <w:pPr>
              <w:widowControl/>
              <w:jc w:val="center"/>
              <w:textAlignment w:val="center"/>
              <w:rPr>
                <w:rFonts w:hint="eastAsia" w:ascii="宋体" w:hAnsi="宋体" w:cs="宋体"/>
                <w:color w:val="000000"/>
                <w:szCs w:val="21"/>
              </w:rPr>
            </w:pPr>
            <w:r>
              <w:rPr>
                <w:rFonts w:hint="eastAsia" w:ascii="宋体" w:hAnsi="宋体" w:cs="宋体"/>
                <w:kern w:val="0"/>
                <w:sz w:val="22"/>
                <w:szCs w:val="22"/>
              </w:rPr>
              <w:t>10</w:t>
            </w:r>
          </w:p>
        </w:tc>
        <w:tc>
          <w:tcPr>
            <w:tcW w:w="4369" w:type="dxa"/>
            <w:shd w:val="clear" w:color="auto" w:fill="auto"/>
            <w:vAlign w:val="center"/>
          </w:tcPr>
          <w:p w14:paraId="0799D32B">
            <w:pPr>
              <w:widowControl/>
              <w:jc w:val="center"/>
              <w:textAlignment w:val="center"/>
              <w:rPr>
                <w:rFonts w:hint="eastAsia" w:ascii="宋体" w:hAnsi="宋体" w:cs="宋体"/>
                <w:color w:val="000000"/>
                <w:szCs w:val="21"/>
              </w:rPr>
            </w:pPr>
            <w:r>
              <w:rPr>
                <w:rFonts w:hint="eastAsia" w:ascii="宋体" w:hAnsi="宋体" w:cs="宋体"/>
                <w:kern w:val="0"/>
                <w:sz w:val="22"/>
                <w:szCs w:val="22"/>
              </w:rPr>
              <w:t>12芯中心束管式单模光缆</w:t>
            </w:r>
          </w:p>
        </w:tc>
        <w:tc>
          <w:tcPr>
            <w:tcW w:w="1643" w:type="dxa"/>
            <w:shd w:val="clear" w:color="auto" w:fill="FFFFFF"/>
            <w:vAlign w:val="center"/>
          </w:tcPr>
          <w:p w14:paraId="4C49266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vAlign w:val="center"/>
          </w:tcPr>
          <w:p w14:paraId="01F350DF">
            <w:pPr>
              <w:widowControl/>
              <w:jc w:val="center"/>
              <w:textAlignment w:val="bottom"/>
              <w:rPr>
                <w:rFonts w:hint="eastAsia" w:ascii="宋体" w:hAnsi="宋体" w:cs="宋体"/>
                <w:color w:val="000000"/>
                <w:szCs w:val="21"/>
              </w:rPr>
            </w:pPr>
            <w:r>
              <w:rPr>
                <w:rFonts w:hint="eastAsia" w:ascii="宋体" w:hAnsi="宋体" w:cs="宋体"/>
                <w:kern w:val="0"/>
                <w:sz w:val="22"/>
                <w:szCs w:val="22"/>
              </w:rPr>
              <w:t>3300</w:t>
            </w:r>
          </w:p>
        </w:tc>
      </w:tr>
      <w:tr w14:paraId="31085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2DBDF7D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11</w:t>
            </w:r>
          </w:p>
        </w:tc>
        <w:tc>
          <w:tcPr>
            <w:tcW w:w="4369" w:type="dxa"/>
            <w:shd w:val="clear" w:color="auto" w:fill="auto"/>
            <w:vAlign w:val="center"/>
          </w:tcPr>
          <w:p w14:paraId="1ACCA57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6芯中心束管式单模光缆</w:t>
            </w:r>
          </w:p>
        </w:tc>
        <w:tc>
          <w:tcPr>
            <w:tcW w:w="1643" w:type="dxa"/>
            <w:shd w:val="clear" w:color="auto" w:fill="FFFFFF"/>
            <w:vAlign w:val="center"/>
          </w:tcPr>
          <w:p w14:paraId="68EC283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vAlign w:val="center"/>
          </w:tcPr>
          <w:p w14:paraId="70C7EB63">
            <w:pPr>
              <w:widowControl/>
              <w:jc w:val="center"/>
              <w:textAlignment w:val="bottom"/>
              <w:rPr>
                <w:rFonts w:hint="eastAsia" w:ascii="宋体" w:hAnsi="宋体" w:cs="宋体"/>
                <w:color w:val="000000"/>
                <w:szCs w:val="21"/>
              </w:rPr>
            </w:pPr>
            <w:r>
              <w:rPr>
                <w:rFonts w:hint="eastAsia" w:ascii="宋体" w:hAnsi="宋体" w:cs="宋体"/>
                <w:kern w:val="0"/>
                <w:sz w:val="22"/>
                <w:szCs w:val="22"/>
              </w:rPr>
              <w:t>1000</w:t>
            </w:r>
          </w:p>
        </w:tc>
      </w:tr>
      <w:tr w14:paraId="59B5CB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54E4625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12</w:t>
            </w:r>
          </w:p>
        </w:tc>
        <w:tc>
          <w:tcPr>
            <w:tcW w:w="4369" w:type="dxa"/>
            <w:shd w:val="clear" w:color="auto" w:fill="auto"/>
            <w:vAlign w:val="center"/>
          </w:tcPr>
          <w:p w14:paraId="50FE9D6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 xml:space="preserve"> 3米 LC-LC/UPC单模光跳线-2芯</w:t>
            </w:r>
          </w:p>
        </w:tc>
        <w:tc>
          <w:tcPr>
            <w:tcW w:w="1643" w:type="dxa"/>
            <w:shd w:val="clear" w:color="auto" w:fill="FFFFFF"/>
            <w:vAlign w:val="center"/>
          </w:tcPr>
          <w:p w14:paraId="4F123EF5">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27E450DB">
            <w:pPr>
              <w:widowControl/>
              <w:jc w:val="center"/>
              <w:textAlignment w:val="bottom"/>
              <w:rPr>
                <w:rFonts w:hint="eastAsia" w:ascii="宋体" w:hAnsi="宋体" w:cs="宋体"/>
                <w:color w:val="000000"/>
                <w:szCs w:val="21"/>
              </w:rPr>
            </w:pPr>
            <w:r>
              <w:rPr>
                <w:rFonts w:hint="eastAsia" w:ascii="宋体" w:hAnsi="宋体" w:cs="宋体"/>
                <w:kern w:val="0"/>
                <w:sz w:val="22"/>
                <w:szCs w:val="22"/>
              </w:rPr>
              <w:t>80</w:t>
            </w:r>
          </w:p>
        </w:tc>
      </w:tr>
      <w:tr w14:paraId="6993B1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5CB6C2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13</w:t>
            </w:r>
          </w:p>
        </w:tc>
        <w:tc>
          <w:tcPr>
            <w:tcW w:w="4369" w:type="dxa"/>
            <w:shd w:val="clear" w:color="auto" w:fill="auto"/>
            <w:vAlign w:val="center"/>
          </w:tcPr>
          <w:p w14:paraId="35608725">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1米 LC/UPC单模尾纤-1芯</w:t>
            </w:r>
          </w:p>
        </w:tc>
        <w:tc>
          <w:tcPr>
            <w:tcW w:w="1643" w:type="dxa"/>
            <w:shd w:val="clear" w:color="auto" w:fill="FFFFFF"/>
            <w:vAlign w:val="center"/>
          </w:tcPr>
          <w:p w14:paraId="2776776B">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条</w:t>
            </w:r>
          </w:p>
        </w:tc>
        <w:tc>
          <w:tcPr>
            <w:tcW w:w="2028" w:type="dxa"/>
            <w:vAlign w:val="center"/>
          </w:tcPr>
          <w:p w14:paraId="36FBD30E">
            <w:pPr>
              <w:widowControl/>
              <w:jc w:val="center"/>
              <w:textAlignment w:val="bottom"/>
              <w:rPr>
                <w:rFonts w:hint="eastAsia" w:ascii="宋体" w:hAnsi="宋体" w:cs="宋体"/>
                <w:color w:val="000000"/>
                <w:szCs w:val="21"/>
              </w:rPr>
            </w:pPr>
            <w:r>
              <w:rPr>
                <w:rFonts w:hint="eastAsia" w:ascii="宋体" w:hAnsi="宋体" w:cs="宋体"/>
                <w:kern w:val="0"/>
                <w:sz w:val="22"/>
                <w:szCs w:val="22"/>
              </w:rPr>
              <w:t>312</w:t>
            </w:r>
          </w:p>
        </w:tc>
      </w:tr>
      <w:tr w14:paraId="01495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4287DB59">
            <w:pPr>
              <w:widowControl/>
              <w:jc w:val="center"/>
              <w:textAlignment w:val="center"/>
              <w:rPr>
                <w:rFonts w:hint="eastAsia" w:ascii="宋体" w:hAnsi="宋体" w:cs="宋体"/>
                <w:color w:val="000000"/>
                <w:szCs w:val="21"/>
              </w:rPr>
            </w:pPr>
            <w:r>
              <w:rPr>
                <w:rFonts w:hint="eastAsia" w:ascii="宋体" w:hAnsi="宋体" w:cs="宋体"/>
                <w:kern w:val="0"/>
                <w:sz w:val="22"/>
                <w:szCs w:val="22"/>
              </w:rPr>
              <w:t>14</w:t>
            </w:r>
          </w:p>
        </w:tc>
        <w:tc>
          <w:tcPr>
            <w:tcW w:w="4369" w:type="dxa"/>
            <w:shd w:val="clear" w:color="auto" w:fill="auto"/>
            <w:vAlign w:val="center"/>
          </w:tcPr>
          <w:p w14:paraId="5ED33933">
            <w:pPr>
              <w:widowControl/>
              <w:jc w:val="center"/>
              <w:textAlignment w:val="center"/>
              <w:rPr>
                <w:rFonts w:hint="eastAsia" w:ascii="宋体" w:hAnsi="宋体" w:cs="宋体"/>
                <w:color w:val="000000"/>
                <w:szCs w:val="21"/>
              </w:rPr>
            </w:pPr>
            <w:r>
              <w:rPr>
                <w:rFonts w:hint="eastAsia" w:ascii="宋体" w:hAnsi="宋体" w:cs="宋体"/>
                <w:kern w:val="0"/>
                <w:sz w:val="22"/>
                <w:szCs w:val="22"/>
              </w:rPr>
              <w:t>12口光纤配线架（含12个双芯LC法兰）</w:t>
            </w:r>
          </w:p>
        </w:tc>
        <w:tc>
          <w:tcPr>
            <w:tcW w:w="1643" w:type="dxa"/>
            <w:shd w:val="clear" w:color="auto" w:fill="FFFFFF"/>
            <w:vAlign w:val="center"/>
          </w:tcPr>
          <w:p w14:paraId="03E1F133">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vAlign w:val="center"/>
          </w:tcPr>
          <w:p w14:paraId="58E77094">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51990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F3E5DF3">
            <w:pPr>
              <w:widowControl/>
              <w:jc w:val="center"/>
              <w:textAlignment w:val="center"/>
              <w:rPr>
                <w:rFonts w:hint="eastAsia" w:ascii="宋体" w:hAnsi="宋体" w:cs="宋体"/>
                <w:color w:val="000000"/>
                <w:szCs w:val="21"/>
              </w:rPr>
            </w:pPr>
            <w:r>
              <w:rPr>
                <w:rFonts w:hint="eastAsia" w:ascii="宋体" w:hAnsi="宋体" w:cs="宋体"/>
                <w:kern w:val="0"/>
                <w:sz w:val="22"/>
                <w:szCs w:val="22"/>
              </w:rPr>
              <w:t>15</w:t>
            </w:r>
          </w:p>
        </w:tc>
        <w:tc>
          <w:tcPr>
            <w:tcW w:w="4369" w:type="dxa"/>
            <w:shd w:val="clear" w:color="auto" w:fill="auto"/>
            <w:vAlign w:val="center"/>
          </w:tcPr>
          <w:p w14:paraId="6F25279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12口光纤终端盒</w:t>
            </w:r>
          </w:p>
        </w:tc>
        <w:tc>
          <w:tcPr>
            <w:tcW w:w="1643" w:type="dxa"/>
            <w:shd w:val="clear" w:color="auto" w:fill="FFFFFF"/>
            <w:vAlign w:val="center"/>
          </w:tcPr>
          <w:p w14:paraId="7DF5E7CD">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582861FA">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2C16E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76F2A1BB">
            <w:pPr>
              <w:widowControl/>
              <w:jc w:val="center"/>
              <w:textAlignment w:val="center"/>
              <w:rPr>
                <w:rFonts w:hint="eastAsia" w:ascii="宋体" w:hAnsi="宋体" w:cs="宋体"/>
                <w:color w:val="000000"/>
                <w:szCs w:val="21"/>
              </w:rPr>
            </w:pPr>
            <w:r>
              <w:rPr>
                <w:rFonts w:hint="eastAsia" w:ascii="宋体" w:hAnsi="宋体" w:cs="宋体"/>
                <w:kern w:val="0"/>
                <w:sz w:val="22"/>
                <w:szCs w:val="22"/>
              </w:rPr>
              <w:t>16</w:t>
            </w:r>
          </w:p>
        </w:tc>
        <w:tc>
          <w:tcPr>
            <w:tcW w:w="4369" w:type="dxa"/>
            <w:vAlign w:val="center"/>
          </w:tcPr>
          <w:p w14:paraId="418E496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19"机柜(42U)</w:t>
            </w:r>
          </w:p>
        </w:tc>
        <w:tc>
          <w:tcPr>
            <w:tcW w:w="1643" w:type="dxa"/>
            <w:vAlign w:val="center"/>
          </w:tcPr>
          <w:p w14:paraId="17EEFE42">
            <w:pPr>
              <w:widowControl/>
              <w:jc w:val="center"/>
              <w:textAlignment w:val="bottom"/>
              <w:rPr>
                <w:rFonts w:hint="eastAsia" w:ascii="宋体" w:hAnsi="宋体" w:cs="宋体"/>
                <w:color w:val="000000"/>
                <w:szCs w:val="21"/>
              </w:rPr>
            </w:pPr>
            <w:r>
              <w:rPr>
                <w:rFonts w:hint="eastAsia" w:ascii="宋体" w:hAnsi="宋体" w:cs="宋体"/>
                <w:color w:val="000000"/>
                <w:kern w:val="0"/>
                <w:sz w:val="22"/>
                <w:szCs w:val="22"/>
              </w:rPr>
              <w:t>台</w:t>
            </w:r>
          </w:p>
        </w:tc>
        <w:tc>
          <w:tcPr>
            <w:tcW w:w="2028" w:type="dxa"/>
            <w:vAlign w:val="center"/>
          </w:tcPr>
          <w:p w14:paraId="5D9B9C2C">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717647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vAlign w:val="center"/>
          </w:tcPr>
          <w:p w14:paraId="3A8D8B27">
            <w:pPr>
              <w:widowControl/>
              <w:jc w:val="center"/>
              <w:textAlignment w:val="center"/>
              <w:rPr>
                <w:rFonts w:hint="eastAsia" w:ascii="宋体" w:hAnsi="宋体" w:cs="宋体"/>
                <w:color w:val="000000"/>
                <w:szCs w:val="21"/>
              </w:rPr>
            </w:pPr>
            <w:r>
              <w:rPr>
                <w:rFonts w:hint="eastAsia" w:ascii="宋体" w:hAnsi="宋体" w:cs="宋体"/>
                <w:kern w:val="0"/>
                <w:sz w:val="22"/>
                <w:szCs w:val="22"/>
              </w:rPr>
              <w:t>17</w:t>
            </w:r>
          </w:p>
        </w:tc>
        <w:tc>
          <w:tcPr>
            <w:tcW w:w="4369" w:type="dxa"/>
            <w:vAlign w:val="center"/>
          </w:tcPr>
          <w:p w14:paraId="23C55A8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高级防水监控专用线CAT6 UTP (PE)</w:t>
            </w:r>
          </w:p>
        </w:tc>
        <w:tc>
          <w:tcPr>
            <w:tcW w:w="1643" w:type="dxa"/>
            <w:vAlign w:val="center"/>
          </w:tcPr>
          <w:p w14:paraId="4FBCF704">
            <w:pPr>
              <w:widowControl/>
              <w:jc w:val="center"/>
              <w:textAlignment w:val="bottom"/>
              <w:rPr>
                <w:rFonts w:hint="eastAsia" w:ascii="宋体" w:hAnsi="宋体" w:cs="宋体"/>
                <w:color w:val="000000"/>
                <w:szCs w:val="21"/>
              </w:rPr>
            </w:pPr>
            <w:r>
              <w:rPr>
                <w:rFonts w:hint="eastAsia" w:ascii="宋体" w:hAnsi="宋体" w:cs="宋体"/>
                <w:kern w:val="0"/>
                <w:sz w:val="22"/>
                <w:szCs w:val="22"/>
              </w:rPr>
              <w:t>箱</w:t>
            </w:r>
          </w:p>
        </w:tc>
        <w:tc>
          <w:tcPr>
            <w:tcW w:w="2028" w:type="dxa"/>
            <w:vAlign w:val="center"/>
          </w:tcPr>
          <w:p w14:paraId="7DD4D4B9">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13AEE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005031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18</w:t>
            </w:r>
          </w:p>
        </w:tc>
        <w:tc>
          <w:tcPr>
            <w:tcW w:w="4369" w:type="dxa"/>
            <w:shd w:val="clear" w:color="auto" w:fill="FFFFFF"/>
            <w:vAlign w:val="center"/>
          </w:tcPr>
          <w:p w14:paraId="71ECEDE6">
            <w:pPr>
              <w:widowControl/>
              <w:jc w:val="center"/>
              <w:textAlignment w:val="center"/>
              <w:rPr>
                <w:rFonts w:hint="eastAsia" w:ascii="宋体" w:hAnsi="宋体" w:cs="宋体"/>
                <w:color w:val="000000"/>
                <w:szCs w:val="21"/>
              </w:rPr>
            </w:pPr>
            <w:r>
              <w:rPr>
                <w:rFonts w:hint="eastAsia" w:ascii="宋体" w:hAnsi="宋体" w:cs="宋体"/>
                <w:kern w:val="0"/>
                <w:sz w:val="22"/>
                <w:szCs w:val="22"/>
              </w:rPr>
              <w:t>100对110配线架（含模块）</w:t>
            </w:r>
          </w:p>
        </w:tc>
        <w:tc>
          <w:tcPr>
            <w:tcW w:w="1643" w:type="dxa"/>
            <w:shd w:val="clear" w:color="auto" w:fill="FFFFFF"/>
            <w:vAlign w:val="center"/>
          </w:tcPr>
          <w:p w14:paraId="3B193CB6">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2D78612">
            <w:pPr>
              <w:widowControl/>
              <w:jc w:val="center"/>
              <w:textAlignment w:val="bottom"/>
              <w:rPr>
                <w:rFonts w:hint="eastAsia" w:ascii="宋体" w:hAnsi="宋体" w:cs="宋体"/>
                <w:color w:val="000000"/>
                <w:szCs w:val="21"/>
              </w:rPr>
            </w:pPr>
            <w:r>
              <w:rPr>
                <w:rFonts w:hint="eastAsia" w:ascii="宋体" w:hAnsi="宋体" w:cs="宋体"/>
                <w:kern w:val="0"/>
                <w:sz w:val="22"/>
                <w:szCs w:val="22"/>
              </w:rPr>
              <w:t>11</w:t>
            </w:r>
          </w:p>
        </w:tc>
      </w:tr>
      <w:tr w14:paraId="64454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atLeast"/>
        </w:trPr>
        <w:tc>
          <w:tcPr>
            <w:tcW w:w="1138" w:type="dxa"/>
            <w:shd w:val="clear" w:color="auto" w:fill="auto"/>
            <w:vAlign w:val="center"/>
          </w:tcPr>
          <w:p w14:paraId="6524D7B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19</w:t>
            </w:r>
          </w:p>
        </w:tc>
        <w:tc>
          <w:tcPr>
            <w:tcW w:w="4369" w:type="dxa"/>
            <w:shd w:val="clear" w:color="auto" w:fill="FFFFFF"/>
            <w:vAlign w:val="center"/>
          </w:tcPr>
          <w:p w14:paraId="6C3577A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水晶头</w:t>
            </w:r>
          </w:p>
        </w:tc>
        <w:tc>
          <w:tcPr>
            <w:tcW w:w="1643" w:type="dxa"/>
            <w:shd w:val="clear" w:color="auto" w:fill="FFFFFF"/>
            <w:vAlign w:val="center"/>
          </w:tcPr>
          <w:p w14:paraId="030F550B">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1A9EF276">
            <w:pPr>
              <w:widowControl/>
              <w:jc w:val="center"/>
              <w:textAlignment w:val="bottom"/>
              <w:rPr>
                <w:rFonts w:hint="eastAsia" w:ascii="宋体" w:hAnsi="宋体" w:cs="宋体"/>
                <w:color w:val="000000"/>
                <w:szCs w:val="21"/>
              </w:rPr>
            </w:pPr>
            <w:r>
              <w:rPr>
                <w:rFonts w:hint="eastAsia" w:ascii="宋体" w:hAnsi="宋体" w:cs="宋体"/>
                <w:kern w:val="0"/>
                <w:sz w:val="22"/>
                <w:szCs w:val="22"/>
              </w:rPr>
              <w:t>400</w:t>
            </w:r>
          </w:p>
        </w:tc>
      </w:tr>
      <w:tr w14:paraId="24E793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F1294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20</w:t>
            </w:r>
          </w:p>
        </w:tc>
        <w:tc>
          <w:tcPr>
            <w:tcW w:w="4369" w:type="dxa"/>
            <w:shd w:val="clear" w:color="auto" w:fill="FFFFFF"/>
            <w:vAlign w:val="center"/>
          </w:tcPr>
          <w:p w14:paraId="66AA682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服务器机柜</w:t>
            </w:r>
          </w:p>
        </w:tc>
        <w:tc>
          <w:tcPr>
            <w:tcW w:w="1643" w:type="dxa"/>
            <w:shd w:val="clear" w:color="auto" w:fill="FFFFFF"/>
            <w:vAlign w:val="center"/>
          </w:tcPr>
          <w:p w14:paraId="3DF89A67">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C24517C">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121283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A3C6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21</w:t>
            </w:r>
          </w:p>
        </w:tc>
        <w:tc>
          <w:tcPr>
            <w:tcW w:w="4369" w:type="dxa"/>
            <w:shd w:val="clear" w:color="auto" w:fill="FFFFFF"/>
            <w:vAlign w:val="center"/>
          </w:tcPr>
          <w:p w14:paraId="4073AE7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喇叭线</w:t>
            </w:r>
          </w:p>
        </w:tc>
        <w:tc>
          <w:tcPr>
            <w:tcW w:w="1643" w:type="dxa"/>
            <w:shd w:val="clear" w:color="auto" w:fill="FFFFFF"/>
            <w:vAlign w:val="center"/>
          </w:tcPr>
          <w:p w14:paraId="6DB2B36E">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1F174E23">
            <w:pPr>
              <w:widowControl/>
              <w:jc w:val="center"/>
              <w:textAlignment w:val="bottom"/>
              <w:rPr>
                <w:rFonts w:hint="eastAsia" w:ascii="宋体" w:hAnsi="宋体" w:cs="宋体"/>
                <w:color w:val="000000"/>
                <w:szCs w:val="21"/>
              </w:rPr>
            </w:pPr>
            <w:r>
              <w:rPr>
                <w:rFonts w:hint="eastAsia" w:ascii="宋体" w:hAnsi="宋体" w:cs="宋体"/>
                <w:kern w:val="0"/>
                <w:sz w:val="22"/>
                <w:szCs w:val="22"/>
              </w:rPr>
              <w:t>2500</w:t>
            </w:r>
          </w:p>
        </w:tc>
      </w:tr>
      <w:tr w14:paraId="0B9B5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6B1D2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22</w:t>
            </w:r>
          </w:p>
        </w:tc>
        <w:tc>
          <w:tcPr>
            <w:tcW w:w="4369" w:type="dxa"/>
            <w:shd w:val="clear" w:color="auto" w:fill="FFFFFF"/>
            <w:vAlign w:val="center"/>
          </w:tcPr>
          <w:p w14:paraId="2F12473F">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电源线</w:t>
            </w:r>
          </w:p>
        </w:tc>
        <w:tc>
          <w:tcPr>
            <w:tcW w:w="1643" w:type="dxa"/>
            <w:shd w:val="clear" w:color="auto" w:fill="FFFFFF"/>
            <w:vAlign w:val="center"/>
          </w:tcPr>
          <w:p w14:paraId="63F7F8C7">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73253D05">
            <w:pPr>
              <w:widowControl/>
              <w:jc w:val="center"/>
              <w:textAlignment w:val="bottom"/>
              <w:rPr>
                <w:rFonts w:hint="eastAsia" w:ascii="宋体" w:hAnsi="宋体" w:cs="宋体"/>
                <w:color w:val="000000"/>
                <w:szCs w:val="21"/>
              </w:rPr>
            </w:pPr>
            <w:r>
              <w:rPr>
                <w:rFonts w:hint="eastAsia" w:ascii="宋体" w:hAnsi="宋体" w:cs="宋体"/>
                <w:kern w:val="0"/>
                <w:sz w:val="22"/>
                <w:szCs w:val="22"/>
              </w:rPr>
              <w:t>3500</w:t>
            </w:r>
          </w:p>
        </w:tc>
      </w:tr>
      <w:tr w14:paraId="7C73F9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5798E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23</w:t>
            </w:r>
          </w:p>
        </w:tc>
        <w:tc>
          <w:tcPr>
            <w:tcW w:w="4369" w:type="dxa"/>
            <w:shd w:val="clear" w:color="auto" w:fill="FFFFFF"/>
            <w:vAlign w:val="center"/>
          </w:tcPr>
          <w:p w14:paraId="3B2D00BA">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PVC管材</w:t>
            </w:r>
          </w:p>
        </w:tc>
        <w:tc>
          <w:tcPr>
            <w:tcW w:w="1643" w:type="dxa"/>
            <w:shd w:val="clear" w:color="auto" w:fill="FFFFFF"/>
            <w:vAlign w:val="center"/>
          </w:tcPr>
          <w:p w14:paraId="0FD57676">
            <w:pPr>
              <w:widowControl/>
              <w:jc w:val="center"/>
              <w:textAlignment w:val="bottom"/>
              <w:rPr>
                <w:rFonts w:hint="eastAsia" w:ascii="宋体" w:hAnsi="宋体" w:cs="宋体"/>
                <w:color w:val="000000"/>
                <w:szCs w:val="21"/>
              </w:rPr>
            </w:pPr>
            <w:r>
              <w:rPr>
                <w:rFonts w:hint="eastAsia" w:ascii="宋体" w:hAnsi="宋体" w:cs="宋体"/>
                <w:kern w:val="0"/>
                <w:sz w:val="22"/>
                <w:szCs w:val="22"/>
              </w:rPr>
              <w:t>批</w:t>
            </w:r>
          </w:p>
        </w:tc>
        <w:tc>
          <w:tcPr>
            <w:tcW w:w="2028" w:type="dxa"/>
            <w:shd w:val="clear" w:color="auto" w:fill="FFFFFF"/>
            <w:vAlign w:val="center"/>
          </w:tcPr>
          <w:p w14:paraId="6C57034F">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E5836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B62E9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24</w:t>
            </w:r>
          </w:p>
        </w:tc>
        <w:tc>
          <w:tcPr>
            <w:tcW w:w="4369" w:type="dxa"/>
            <w:shd w:val="clear" w:color="auto" w:fill="FFFFFF"/>
            <w:vAlign w:val="center"/>
          </w:tcPr>
          <w:p w14:paraId="41295D8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金属桥架</w:t>
            </w:r>
          </w:p>
        </w:tc>
        <w:tc>
          <w:tcPr>
            <w:tcW w:w="1643" w:type="dxa"/>
            <w:shd w:val="clear" w:color="auto" w:fill="FFFFFF"/>
            <w:vAlign w:val="center"/>
          </w:tcPr>
          <w:p w14:paraId="2B46AC05">
            <w:pPr>
              <w:widowControl/>
              <w:jc w:val="center"/>
              <w:textAlignment w:val="bottom"/>
              <w:rPr>
                <w:rFonts w:hint="eastAsia" w:ascii="宋体" w:hAnsi="宋体" w:cs="宋体"/>
                <w:color w:val="000000"/>
                <w:szCs w:val="21"/>
              </w:rPr>
            </w:pPr>
            <w:r>
              <w:rPr>
                <w:rFonts w:hint="eastAsia" w:ascii="宋体" w:hAnsi="宋体" w:cs="宋体"/>
                <w:kern w:val="0"/>
                <w:sz w:val="22"/>
                <w:szCs w:val="22"/>
              </w:rPr>
              <w:t>米</w:t>
            </w:r>
          </w:p>
        </w:tc>
        <w:tc>
          <w:tcPr>
            <w:tcW w:w="2028" w:type="dxa"/>
            <w:shd w:val="clear" w:color="auto" w:fill="FFFFFF"/>
            <w:vAlign w:val="center"/>
          </w:tcPr>
          <w:p w14:paraId="2589729D">
            <w:pPr>
              <w:widowControl/>
              <w:jc w:val="center"/>
              <w:textAlignment w:val="bottom"/>
              <w:rPr>
                <w:rFonts w:hint="eastAsia" w:ascii="宋体" w:hAnsi="宋体" w:cs="宋体"/>
                <w:color w:val="000000"/>
                <w:szCs w:val="21"/>
              </w:rPr>
            </w:pPr>
            <w:r>
              <w:rPr>
                <w:rFonts w:hint="eastAsia" w:ascii="宋体" w:hAnsi="宋体" w:cs="宋体"/>
                <w:kern w:val="0"/>
                <w:sz w:val="22"/>
                <w:szCs w:val="22"/>
              </w:rPr>
              <w:t>120</w:t>
            </w:r>
          </w:p>
        </w:tc>
      </w:tr>
      <w:tr w14:paraId="7C07A0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9517B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25</w:t>
            </w:r>
          </w:p>
        </w:tc>
        <w:tc>
          <w:tcPr>
            <w:tcW w:w="4369" w:type="dxa"/>
            <w:shd w:val="clear" w:color="auto" w:fill="FFFFFF"/>
            <w:vAlign w:val="center"/>
          </w:tcPr>
          <w:p w14:paraId="5E960EE4">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金属软管</w:t>
            </w:r>
          </w:p>
        </w:tc>
        <w:tc>
          <w:tcPr>
            <w:tcW w:w="1643" w:type="dxa"/>
            <w:shd w:val="clear" w:color="auto" w:fill="FFFFFF"/>
            <w:vAlign w:val="center"/>
          </w:tcPr>
          <w:p w14:paraId="695A11F4">
            <w:pPr>
              <w:widowControl/>
              <w:jc w:val="center"/>
              <w:textAlignment w:val="bottom"/>
              <w:rPr>
                <w:rFonts w:hint="eastAsia" w:ascii="宋体" w:hAnsi="宋体" w:cs="宋体"/>
                <w:color w:val="000000"/>
                <w:szCs w:val="21"/>
              </w:rPr>
            </w:pPr>
            <w:r>
              <w:rPr>
                <w:rFonts w:hint="eastAsia" w:ascii="宋体" w:hAnsi="宋体" w:cs="宋体"/>
                <w:kern w:val="0"/>
                <w:sz w:val="22"/>
                <w:szCs w:val="22"/>
              </w:rPr>
              <w:t>批</w:t>
            </w:r>
          </w:p>
        </w:tc>
        <w:tc>
          <w:tcPr>
            <w:tcW w:w="2028" w:type="dxa"/>
            <w:shd w:val="clear" w:color="auto" w:fill="FFFFFF"/>
            <w:vAlign w:val="center"/>
          </w:tcPr>
          <w:p w14:paraId="4289EE3B">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BAE8F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4E2CDD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26</w:t>
            </w:r>
          </w:p>
        </w:tc>
        <w:tc>
          <w:tcPr>
            <w:tcW w:w="4369" w:type="dxa"/>
            <w:shd w:val="clear" w:color="auto" w:fill="FFFFFF"/>
            <w:vAlign w:val="center"/>
          </w:tcPr>
          <w:p w14:paraId="0DE4FB8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安装调试及系统集成费</w:t>
            </w:r>
          </w:p>
        </w:tc>
        <w:tc>
          <w:tcPr>
            <w:tcW w:w="1643" w:type="dxa"/>
            <w:shd w:val="clear" w:color="auto" w:fill="FFFFFF"/>
            <w:vAlign w:val="center"/>
          </w:tcPr>
          <w:p w14:paraId="5D066292">
            <w:pPr>
              <w:widowControl/>
              <w:jc w:val="center"/>
              <w:textAlignment w:val="bottom"/>
              <w:rPr>
                <w:rFonts w:hint="eastAsia" w:ascii="宋体" w:hAnsi="宋体" w:cs="宋体"/>
                <w:color w:val="000000"/>
                <w:szCs w:val="21"/>
              </w:rPr>
            </w:pPr>
            <w:r>
              <w:rPr>
                <w:rFonts w:hint="eastAsia" w:ascii="宋体" w:hAnsi="宋体" w:cs="宋体"/>
                <w:kern w:val="0"/>
                <w:sz w:val="22"/>
                <w:szCs w:val="22"/>
              </w:rPr>
              <w:t>项</w:t>
            </w:r>
          </w:p>
        </w:tc>
        <w:tc>
          <w:tcPr>
            <w:tcW w:w="2028" w:type="dxa"/>
            <w:shd w:val="clear" w:color="auto" w:fill="FFFFFF"/>
            <w:vAlign w:val="center"/>
          </w:tcPr>
          <w:p w14:paraId="2F4F05A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1EC86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F476AD">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w:t>
            </w:r>
          </w:p>
        </w:tc>
        <w:tc>
          <w:tcPr>
            <w:tcW w:w="4369" w:type="dxa"/>
            <w:shd w:val="clear" w:color="auto" w:fill="FFFFFF"/>
            <w:vAlign w:val="center"/>
          </w:tcPr>
          <w:p w14:paraId="1FA41EF4">
            <w:pPr>
              <w:widowControl/>
              <w:jc w:val="left"/>
              <w:textAlignment w:val="center"/>
              <w:rPr>
                <w:rFonts w:hint="eastAsia" w:ascii="宋体" w:hAnsi="宋体" w:cs="宋体"/>
                <w:b/>
                <w:bCs/>
                <w:color w:val="000000"/>
                <w:kern w:val="0"/>
                <w:sz w:val="22"/>
                <w:szCs w:val="22"/>
              </w:rPr>
            </w:pPr>
            <w:r>
              <w:rPr>
                <w:rFonts w:hint="eastAsia" w:ascii="宋体" w:hAnsi="宋体" w:cs="宋体"/>
                <w:b/>
                <w:bCs/>
                <w:color w:val="000000"/>
                <w:kern w:val="0"/>
                <w:sz w:val="22"/>
                <w:szCs w:val="22"/>
              </w:rPr>
              <w:t>网络设备系统</w:t>
            </w:r>
          </w:p>
        </w:tc>
        <w:tc>
          <w:tcPr>
            <w:tcW w:w="1643" w:type="dxa"/>
            <w:shd w:val="clear" w:color="auto" w:fill="FFFFFF"/>
            <w:vAlign w:val="center"/>
          </w:tcPr>
          <w:p w14:paraId="089EAD71">
            <w:pPr>
              <w:widowControl/>
              <w:jc w:val="center"/>
              <w:textAlignment w:val="bottom"/>
              <w:rPr>
                <w:rFonts w:hint="eastAsia" w:ascii="宋体" w:hAnsi="宋体" w:cs="宋体"/>
                <w:color w:val="000000"/>
                <w:szCs w:val="21"/>
              </w:rPr>
            </w:pPr>
          </w:p>
        </w:tc>
        <w:tc>
          <w:tcPr>
            <w:tcW w:w="2028" w:type="dxa"/>
            <w:shd w:val="clear" w:color="auto" w:fill="FFFFFF"/>
            <w:vAlign w:val="center"/>
          </w:tcPr>
          <w:p w14:paraId="426D7CFF">
            <w:pPr>
              <w:widowControl/>
              <w:jc w:val="center"/>
              <w:textAlignment w:val="bottom"/>
              <w:rPr>
                <w:rFonts w:hint="eastAsia" w:ascii="宋体" w:hAnsi="宋体" w:cs="宋体"/>
                <w:color w:val="000000"/>
                <w:szCs w:val="21"/>
              </w:rPr>
            </w:pPr>
          </w:p>
        </w:tc>
      </w:tr>
      <w:tr w14:paraId="535110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E12589">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二（1）</w:t>
            </w:r>
          </w:p>
        </w:tc>
        <w:tc>
          <w:tcPr>
            <w:tcW w:w="4369" w:type="dxa"/>
            <w:shd w:val="clear" w:color="auto" w:fill="FFFFFF"/>
            <w:vAlign w:val="center"/>
          </w:tcPr>
          <w:p w14:paraId="6D44FC8D">
            <w:pPr>
              <w:widowControl/>
              <w:jc w:val="left"/>
              <w:textAlignment w:val="center"/>
              <w:rPr>
                <w:rFonts w:hint="eastAsia" w:ascii="宋体" w:hAnsi="宋体" w:cs="宋体"/>
                <w:b/>
                <w:bCs/>
                <w:color w:val="000000"/>
                <w:kern w:val="0"/>
                <w:sz w:val="22"/>
                <w:szCs w:val="22"/>
              </w:rPr>
            </w:pPr>
            <w:r>
              <w:rPr>
                <w:rFonts w:hint="eastAsia" w:ascii="宋体" w:hAnsi="宋体" w:cs="宋体"/>
                <w:b/>
                <w:bCs/>
                <w:color w:val="000000"/>
                <w:kern w:val="0"/>
                <w:sz w:val="22"/>
                <w:szCs w:val="22"/>
              </w:rPr>
              <w:t>教育网设备</w:t>
            </w:r>
          </w:p>
        </w:tc>
        <w:tc>
          <w:tcPr>
            <w:tcW w:w="1643" w:type="dxa"/>
            <w:shd w:val="clear" w:color="auto" w:fill="FFFFFF"/>
            <w:vAlign w:val="center"/>
          </w:tcPr>
          <w:p w14:paraId="40747B5A">
            <w:pPr>
              <w:widowControl/>
              <w:jc w:val="center"/>
              <w:textAlignment w:val="bottom"/>
              <w:rPr>
                <w:rFonts w:hint="eastAsia" w:ascii="宋体" w:hAnsi="宋体" w:cs="宋体"/>
                <w:color w:val="000000"/>
                <w:szCs w:val="21"/>
              </w:rPr>
            </w:pPr>
          </w:p>
        </w:tc>
        <w:tc>
          <w:tcPr>
            <w:tcW w:w="2028" w:type="dxa"/>
            <w:shd w:val="clear" w:color="auto" w:fill="FFFFFF"/>
            <w:vAlign w:val="center"/>
          </w:tcPr>
          <w:p w14:paraId="06F7CFBC">
            <w:pPr>
              <w:widowControl/>
              <w:jc w:val="center"/>
              <w:textAlignment w:val="bottom"/>
              <w:rPr>
                <w:rFonts w:hint="eastAsia" w:ascii="宋体" w:hAnsi="宋体" w:cs="宋体"/>
                <w:color w:val="000000"/>
                <w:szCs w:val="21"/>
              </w:rPr>
            </w:pPr>
          </w:p>
        </w:tc>
      </w:tr>
      <w:tr w14:paraId="6A3EB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1BAD0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2448B8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核心交换机</w:t>
            </w:r>
          </w:p>
        </w:tc>
        <w:tc>
          <w:tcPr>
            <w:tcW w:w="1643" w:type="dxa"/>
            <w:shd w:val="clear" w:color="auto" w:fill="FFFFFF"/>
            <w:vAlign w:val="center"/>
          </w:tcPr>
          <w:p w14:paraId="0B7DD2D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165420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E01A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53ABE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B45FE2A">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无线控制器</w:t>
            </w:r>
          </w:p>
        </w:tc>
        <w:tc>
          <w:tcPr>
            <w:tcW w:w="1643" w:type="dxa"/>
            <w:shd w:val="clear" w:color="auto" w:fill="FFFFFF"/>
            <w:vAlign w:val="center"/>
          </w:tcPr>
          <w:p w14:paraId="2E2B393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5F15380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C99C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93C5A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2FD2FF8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无线AP管理License</w:t>
            </w:r>
          </w:p>
        </w:tc>
        <w:tc>
          <w:tcPr>
            <w:tcW w:w="1643" w:type="dxa"/>
            <w:shd w:val="clear" w:color="auto" w:fill="FFFFFF"/>
            <w:vAlign w:val="center"/>
          </w:tcPr>
          <w:p w14:paraId="2CC56F2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项</w:t>
            </w:r>
          </w:p>
        </w:tc>
        <w:tc>
          <w:tcPr>
            <w:tcW w:w="2028" w:type="dxa"/>
            <w:shd w:val="clear" w:color="auto" w:fill="FFFFFF"/>
            <w:vAlign w:val="center"/>
          </w:tcPr>
          <w:p w14:paraId="47DF07DE">
            <w:pPr>
              <w:widowControl/>
              <w:jc w:val="center"/>
              <w:textAlignment w:val="bottom"/>
              <w:rPr>
                <w:rFonts w:hint="eastAsia" w:ascii="宋体" w:hAnsi="宋体" w:cs="宋体"/>
                <w:color w:val="000000"/>
                <w:szCs w:val="21"/>
              </w:rPr>
            </w:pPr>
            <w:r>
              <w:rPr>
                <w:rFonts w:hint="eastAsia" w:ascii="宋体" w:hAnsi="宋体" w:cs="宋体"/>
                <w:kern w:val="0"/>
                <w:sz w:val="20"/>
                <w:szCs w:val="20"/>
              </w:rPr>
              <w:t>64</w:t>
            </w:r>
          </w:p>
        </w:tc>
      </w:tr>
      <w:tr w14:paraId="55DB99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7CAC6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5B09DBF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wifi6无线AP</w:t>
            </w:r>
          </w:p>
        </w:tc>
        <w:tc>
          <w:tcPr>
            <w:tcW w:w="1643" w:type="dxa"/>
            <w:shd w:val="clear" w:color="auto" w:fill="FFFFFF"/>
            <w:vAlign w:val="center"/>
          </w:tcPr>
          <w:p w14:paraId="14B2773C">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8CD3199">
            <w:pPr>
              <w:widowControl/>
              <w:jc w:val="center"/>
              <w:textAlignment w:val="bottom"/>
              <w:rPr>
                <w:rFonts w:hint="eastAsia" w:ascii="宋体" w:hAnsi="宋体" w:cs="宋体"/>
                <w:color w:val="000000"/>
                <w:szCs w:val="21"/>
              </w:rPr>
            </w:pPr>
            <w:r>
              <w:rPr>
                <w:rFonts w:hint="eastAsia" w:ascii="宋体" w:hAnsi="宋体" w:cs="宋体"/>
                <w:kern w:val="0"/>
                <w:sz w:val="20"/>
                <w:szCs w:val="20"/>
              </w:rPr>
              <w:t>50</w:t>
            </w:r>
          </w:p>
        </w:tc>
      </w:tr>
      <w:tr w14:paraId="730C1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58328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0DC5D073">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wifi6高密无线AP</w:t>
            </w:r>
          </w:p>
        </w:tc>
        <w:tc>
          <w:tcPr>
            <w:tcW w:w="1643" w:type="dxa"/>
            <w:shd w:val="clear" w:color="auto" w:fill="FFFFFF"/>
            <w:vAlign w:val="center"/>
          </w:tcPr>
          <w:p w14:paraId="466C412E">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2200C29">
            <w:pPr>
              <w:widowControl/>
              <w:jc w:val="center"/>
              <w:textAlignment w:val="bottom"/>
              <w:rPr>
                <w:rFonts w:hint="eastAsia" w:ascii="宋体" w:hAnsi="宋体" w:cs="宋体"/>
                <w:color w:val="000000"/>
                <w:szCs w:val="21"/>
              </w:rPr>
            </w:pPr>
            <w:r>
              <w:rPr>
                <w:rFonts w:hint="eastAsia" w:ascii="宋体" w:hAnsi="宋体" w:cs="宋体"/>
                <w:kern w:val="0"/>
                <w:sz w:val="20"/>
                <w:szCs w:val="20"/>
              </w:rPr>
              <w:t>11</w:t>
            </w:r>
          </w:p>
        </w:tc>
      </w:tr>
      <w:tr w14:paraId="60B0D5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067D6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0E315E8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汇聚交换机</w:t>
            </w:r>
          </w:p>
        </w:tc>
        <w:tc>
          <w:tcPr>
            <w:tcW w:w="1643" w:type="dxa"/>
            <w:shd w:val="clear" w:color="auto" w:fill="FFFFFF"/>
            <w:vAlign w:val="center"/>
          </w:tcPr>
          <w:p w14:paraId="5CD10245">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6DA6BCE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w:t>
            </w:r>
          </w:p>
        </w:tc>
      </w:tr>
      <w:tr w14:paraId="5087B6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D9034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7</w:t>
            </w:r>
          </w:p>
        </w:tc>
        <w:tc>
          <w:tcPr>
            <w:tcW w:w="4369" w:type="dxa"/>
            <w:shd w:val="clear" w:color="auto" w:fill="FFFFFF"/>
            <w:vAlign w:val="center"/>
          </w:tcPr>
          <w:p w14:paraId="583BEB4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48口接入交换机</w:t>
            </w:r>
          </w:p>
        </w:tc>
        <w:tc>
          <w:tcPr>
            <w:tcW w:w="1643" w:type="dxa"/>
            <w:shd w:val="clear" w:color="auto" w:fill="FFFFFF"/>
            <w:vAlign w:val="center"/>
          </w:tcPr>
          <w:p w14:paraId="1DF156D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39B796C">
            <w:pPr>
              <w:widowControl/>
              <w:jc w:val="center"/>
              <w:textAlignment w:val="bottom"/>
              <w:rPr>
                <w:rFonts w:hint="eastAsia" w:ascii="宋体" w:hAnsi="宋体" w:cs="宋体"/>
                <w:color w:val="000000"/>
                <w:szCs w:val="21"/>
              </w:rPr>
            </w:pPr>
            <w:r>
              <w:rPr>
                <w:rFonts w:hint="eastAsia" w:ascii="宋体" w:hAnsi="宋体" w:cs="宋体"/>
                <w:kern w:val="0"/>
                <w:sz w:val="20"/>
                <w:szCs w:val="20"/>
              </w:rPr>
              <w:t>15</w:t>
            </w:r>
          </w:p>
        </w:tc>
      </w:tr>
      <w:tr w14:paraId="278297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7948FA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8</w:t>
            </w:r>
          </w:p>
        </w:tc>
        <w:tc>
          <w:tcPr>
            <w:tcW w:w="4369" w:type="dxa"/>
            <w:shd w:val="clear" w:color="auto" w:fill="FFFFFF"/>
            <w:vAlign w:val="center"/>
          </w:tcPr>
          <w:p w14:paraId="1D3ACB9A">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24口接入交换机</w:t>
            </w:r>
          </w:p>
        </w:tc>
        <w:tc>
          <w:tcPr>
            <w:tcW w:w="1643" w:type="dxa"/>
            <w:shd w:val="clear" w:color="auto" w:fill="FFFFFF"/>
            <w:vAlign w:val="center"/>
          </w:tcPr>
          <w:p w14:paraId="42A703D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F50915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w:t>
            </w:r>
          </w:p>
        </w:tc>
      </w:tr>
      <w:tr w14:paraId="126F71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51885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9</w:t>
            </w:r>
          </w:p>
        </w:tc>
        <w:tc>
          <w:tcPr>
            <w:tcW w:w="4369" w:type="dxa"/>
            <w:shd w:val="clear" w:color="auto" w:fill="FFFFFF"/>
            <w:vAlign w:val="center"/>
          </w:tcPr>
          <w:p w14:paraId="5ACA591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8口接入交换机</w:t>
            </w:r>
          </w:p>
        </w:tc>
        <w:tc>
          <w:tcPr>
            <w:tcW w:w="1643" w:type="dxa"/>
            <w:shd w:val="clear" w:color="auto" w:fill="FFFFFF"/>
            <w:vAlign w:val="center"/>
          </w:tcPr>
          <w:p w14:paraId="65080577">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06E59E2A">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1</w:t>
            </w:r>
          </w:p>
        </w:tc>
      </w:tr>
      <w:tr w14:paraId="4F0C38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198151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10</w:t>
            </w:r>
          </w:p>
        </w:tc>
        <w:tc>
          <w:tcPr>
            <w:tcW w:w="4369" w:type="dxa"/>
            <w:shd w:val="clear" w:color="auto" w:fill="FFFFFF"/>
            <w:vAlign w:val="center"/>
          </w:tcPr>
          <w:p w14:paraId="71A2D256">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24口POE交换机</w:t>
            </w:r>
          </w:p>
        </w:tc>
        <w:tc>
          <w:tcPr>
            <w:tcW w:w="1643" w:type="dxa"/>
            <w:shd w:val="clear" w:color="auto" w:fill="FFFFFF"/>
            <w:vAlign w:val="center"/>
          </w:tcPr>
          <w:p w14:paraId="788415FF">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31EFDF9">
            <w:pPr>
              <w:widowControl/>
              <w:jc w:val="center"/>
              <w:textAlignment w:val="bottom"/>
              <w:rPr>
                <w:rFonts w:hint="eastAsia" w:ascii="宋体" w:hAnsi="宋体" w:cs="宋体"/>
                <w:color w:val="000000"/>
                <w:szCs w:val="21"/>
              </w:rPr>
            </w:pPr>
            <w:r>
              <w:rPr>
                <w:rFonts w:hint="eastAsia" w:ascii="宋体" w:hAnsi="宋体" w:cs="宋体"/>
                <w:kern w:val="0"/>
                <w:sz w:val="20"/>
                <w:szCs w:val="20"/>
              </w:rPr>
              <w:t>7</w:t>
            </w:r>
          </w:p>
        </w:tc>
      </w:tr>
      <w:tr w14:paraId="2B5CC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C4D982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11</w:t>
            </w:r>
          </w:p>
        </w:tc>
        <w:tc>
          <w:tcPr>
            <w:tcW w:w="4369" w:type="dxa"/>
            <w:shd w:val="clear" w:color="auto" w:fill="FFFFFF"/>
            <w:vAlign w:val="center"/>
          </w:tcPr>
          <w:p w14:paraId="68F2773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8口POE交换机</w:t>
            </w:r>
          </w:p>
        </w:tc>
        <w:tc>
          <w:tcPr>
            <w:tcW w:w="1643" w:type="dxa"/>
            <w:shd w:val="clear" w:color="auto" w:fill="FFFFFF"/>
            <w:vAlign w:val="center"/>
          </w:tcPr>
          <w:p w14:paraId="63BF679A">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82CF68B">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4</w:t>
            </w:r>
          </w:p>
        </w:tc>
      </w:tr>
      <w:tr w14:paraId="5142F3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44C585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12</w:t>
            </w:r>
          </w:p>
        </w:tc>
        <w:tc>
          <w:tcPr>
            <w:tcW w:w="4369" w:type="dxa"/>
            <w:shd w:val="clear" w:color="auto" w:fill="FFFFFF"/>
            <w:vAlign w:val="center"/>
          </w:tcPr>
          <w:p w14:paraId="037DD24D">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千兆单模光模块</w:t>
            </w:r>
          </w:p>
        </w:tc>
        <w:tc>
          <w:tcPr>
            <w:tcW w:w="1643" w:type="dxa"/>
            <w:shd w:val="clear" w:color="auto" w:fill="FFFFFF"/>
            <w:vAlign w:val="center"/>
          </w:tcPr>
          <w:p w14:paraId="1BDD548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块</w:t>
            </w:r>
          </w:p>
        </w:tc>
        <w:tc>
          <w:tcPr>
            <w:tcW w:w="2028" w:type="dxa"/>
            <w:shd w:val="clear" w:color="auto" w:fill="FFFFFF"/>
            <w:vAlign w:val="center"/>
          </w:tcPr>
          <w:p w14:paraId="31C70C60">
            <w:pPr>
              <w:widowControl/>
              <w:jc w:val="center"/>
              <w:textAlignment w:val="bottom"/>
              <w:rPr>
                <w:rFonts w:hint="default" w:ascii="宋体" w:hAnsi="宋体" w:eastAsia="宋体" w:cs="宋体"/>
                <w:color w:val="000000"/>
                <w:szCs w:val="21"/>
                <w:lang w:val="en-US" w:eastAsia="zh-CN"/>
              </w:rPr>
            </w:pPr>
            <w:r>
              <w:rPr>
                <w:rFonts w:hint="eastAsia" w:ascii="宋体" w:hAnsi="宋体" w:cs="宋体"/>
                <w:kern w:val="0"/>
                <w:sz w:val="20"/>
                <w:szCs w:val="20"/>
                <w:lang w:val="en-US" w:eastAsia="zh-CN"/>
              </w:rPr>
              <w:t>54</w:t>
            </w:r>
          </w:p>
        </w:tc>
      </w:tr>
      <w:tr w14:paraId="2BB90F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D145929">
            <w:pPr>
              <w:widowControl/>
              <w:jc w:val="center"/>
              <w:textAlignment w:val="center"/>
              <w:rPr>
                <w:rFonts w:hint="default" w:ascii="宋体" w:hAnsi="宋体" w:eastAsia="宋体" w:cs="宋体"/>
                <w:kern w:val="0"/>
                <w:sz w:val="22"/>
                <w:szCs w:val="22"/>
                <w:lang w:val="en-US" w:eastAsia="zh-CN"/>
              </w:rPr>
            </w:pPr>
            <w:r>
              <w:rPr>
                <w:rFonts w:hint="eastAsia" w:ascii="宋体" w:hAnsi="宋体" w:cs="宋体"/>
                <w:kern w:val="0"/>
                <w:sz w:val="22"/>
                <w:szCs w:val="22"/>
                <w:lang w:val="en-US" w:eastAsia="zh-CN"/>
              </w:rPr>
              <w:t>13</w:t>
            </w:r>
          </w:p>
        </w:tc>
        <w:tc>
          <w:tcPr>
            <w:tcW w:w="4369" w:type="dxa"/>
            <w:shd w:val="clear" w:color="auto" w:fill="FFFFFF"/>
            <w:vAlign w:val="center"/>
          </w:tcPr>
          <w:p w14:paraId="7CB00530">
            <w:pPr>
              <w:widowControl/>
              <w:jc w:val="center"/>
              <w:textAlignment w:val="center"/>
              <w:rPr>
                <w:rFonts w:hint="default" w:ascii="宋体" w:hAnsi="宋体" w:eastAsia="宋体" w:cs="宋体"/>
                <w:kern w:val="0"/>
                <w:sz w:val="22"/>
                <w:szCs w:val="22"/>
                <w:lang w:val="en-US" w:eastAsia="zh-CN"/>
              </w:rPr>
            </w:pPr>
            <w:r>
              <w:rPr>
                <w:rFonts w:hint="eastAsia" w:ascii="宋体" w:hAnsi="宋体" w:cs="宋体"/>
                <w:kern w:val="0"/>
                <w:sz w:val="22"/>
                <w:szCs w:val="22"/>
                <w:lang w:val="en-US" w:eastAsia="zh-CN"/>
              </w:rPr>
              <w:t>万兆单模</w:t>
            </w:r>
            <w:r>
              <w:rPr>
                <w:rFonts w:hint="eastAsia" w:ascii="宋体" w:hAnsi="宋体" w:cs="宋体"/>
                <w:kern w:val="0"/>
                <w:sz w:val="22"/>
                <w:szCs w:val="22"/>
              </w:rPr>
              <w:t>光</w:t>
            </w:r>
            <w:r>
              <w:rPr>
                <w:rFonts w:hint="eastAsia" w:ascii="宋体" w:hAnsi="宋体" w:cs="宋体"/>
                <w:kern w:val="0"/>
                <w:sz w:val="22"/>
                <w:szCs w:val="22"/>
                <w:lang w:val="en-US" w:eastAsia="zh-CN"/>
              </w:rPr>
              <w:t>模块</w:t>
            </w:r>
          </w:p>
        </w:tc>
        <w:tc>
          <w:tcPr>
            <w:tcW w:w="1643" w:type="dxa"/>
            <w:shd w:val="clear" w:color="auto" w:fill="FFFFFF"/>
            <w:vAlign w:val="center"/>
          </w:tcPr>
          <w:p w14:paraId="0BF7BC2D">
            <w:pPr>
              <w:widowControl/>
              <w:jc w:val="center"/>
              <w:textAlignment w:val="bottom"/>
              <w:rPr>
                <w:rFonts w:hint="eastAsia" w:ascii="微软雅黑" w:hAnsi="微软雅黑" w:eastAsia="微软雅黑" w:cs="宋体"/>
                <w:kern w:val="0"/>
                <w:sz w:val="16"/>
                <w:szCs w:val="16"/>
              </w:rPr>
            </w:pPr>
            <w:r>
              <w:rPr>
                <w:rFonts w:hint="eastAsia" w:ascii="微软雅黑" w:hAnsi="微软雅黑" w:eastAsia="微软雅黑" w:cs="宋体"/>
                <w:kern w:val="0"/>
                <w:sz w:val="16"/>
                <w:szCs w:val="16"/>
              </w:rPr>
              <w:t>块</w:t>
            </w:r>
          </w:p>
        </w:tc>
        <w:tc>
          <w:tcPr>
            <w:tcW w:w="2028" w:type="dxa"/>
            <w:shd w:val="clear" w:color="auto" w:fill="FFFFFF"/>
            <w:vAlign w:val="center"/>
          </w:tcPr>
          <w:p w14:paraId="1983972B">
            <w:pPr>
              <w:widowControl/>
              <w:jc w:val="center"/>
              <w:textAlignment w:val="bottom"/>
              <w:rPr>
                <w:rFonts w:hint="eastAsia" w:ascii="宋体" w:hAnsi="宋体" w:eastAsia="宋体" w:cs="宋体"/>
                <w:kern w:val="0"/>
                <w:sz w:val="20"/>
                <w:szCs w:val="20"/>
                <w:lang w:val="en-US" w:eastAsia="zh-CN"/>
              </w:rPr>
            </w:pPr>
            <w:r>
              <w:rPr>
                <w:rFonts w:hint="eastAsia" w:ascii="宋体" w:hAnsi="宋体" w:cs="宋体"/>
                <w:kern w:val="0"/>
                <w:sz w:val="20"/>
                <w:szCs w:val="20"/>
                <w:lang w:val="en-US" w:eastAsia="zh-CN"/>
              </w:rPr>
              <w:t>6</w:t>
            </w:r>
          </w:p>
        </w:tc>
      </w:tr>
      <w:tr w14:paraId="2E1DEE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5489D3">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二（2）</w:t>
            </w:r>
          </w:p>
        </w:tc>
        <w:tc>
          <w:tcPr>
            <w:tcW w:w="4369" w:type="dxa"/>
            <w:shd w:val="clear" w:color="auto" w:fill="FFFFFF"/>
            <w:vAlign w:val="center"/>
          </w:tcPr>
          <w:p w14:paraId="1F84BE36">
            <w:pPr>
              <w:widowControl/>
              <w:jc w:val="left"/>
              <w:textAlignment w:val="center"/>
              <w:rPr>
                <w:rFonts w:hint="eastAsia" w:ascii="宋体" w:hAnsi="宋体" w:cs="宋体"/>
                <w:b/>
                <w:bCs/>
                <w:color w:val="000000"/>
                <w:kern w:val="0"/>
                <w:szCs w:val="21"/>
                <w:lang w:bidi="ar"/>
              </w:rPr>
            </w:pPr>
            <w:r>
              <w:rPr>
                <w:rFonts w:hint="eastAsia" w:ascii="宋体" w:hAnsi="宋体" w:cs="宋体"/>
                <w:b/>
                <w:bCs/>
                <w:color w:val="000000"/>
                <w:kern w:val="0"/>
                <w:szCs w:val="21"/>
                <w:lang w:bidi="ar"/>
              </w:rPr>
              <w:t>设备网设备</w:t>
            </w:r>
          </w:p>
        </w:tc>
        <w:tc>
          <w:tcPr>
            <w:tcW w:w="1643" w:type="dxa"/>
            <w:shd w:val="clear" w:color="auto" w:fill="FFFFFF"/>
            <w:vAlign w:val="center"/>
          </w:tcPr>
          <w:p w14:paraId="7981463D">
            <w:pPr>
              <w:widowControl/>
              <w:jc w:val="center"/>
              <w:textAlignment w:val="bottom"/>
              <w:rPr>
                <w:rFonts w:hint="eastAsia" w:ascii="宋体" w:hAnsi="宋体" w:cs="宋体"/>
                <w:color w:val="000000"/>
                <w:szCs w:val="21"/>
              </w:rPr>
            </w:pPr>
          </w:p>
        </w:tc>
        <w:tc>
          <w:tcPr>
            <w:tcW w:w="2028" w:type="dxa"/>
            <w:shd w:val="clear" w:color="auto" w:fill="FFFFFF"/>
            <w:vAlign w:val="center"/>
          </w:tcPr>
          <w:p w14:paraId="50DA2E30">
            <w:pPr>
              <w:widowControl/>
              <w:jc w:val="center"/>
              <w:textAlignment w:val="bottom"/>
              <w:rPr>
                <w:rFonts w:hint="eastAsia" w:ascii="宋体" w:hAnsi="宋体" w:cs="宋体"/>
                <w:color w:val="000000"/>
                <w:szCs w:val="21"/>
              </w:rPr>
            </w:pPr>
          </w:p>
        </w:tc>
      </w:tr>
      <w:tr w14:paraId="25A17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63EAB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779AE81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监控汇聚交换机</w:t>
            </w:r>
          </w:p>
        </w:tc>
        <w:tc>
          <w:tcPr>
            <w:tcW w:w="1643" w:type="dxa"/>
            <w:shd w:val="clear" w:color="auto" w:fill="FFFFFF"/>
            <w:vAlign w:val="center"/>
          </w:tcPr>
          <w:p w14:paraId="6D22FEF9">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1BC77F95">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2</w:t>
            </w:r>
          </w:p>
        </w:tc>
      </w:tr>
      <w:tr w14:paraId="77D1D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C9410C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7E51E013">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24口POE交换机</w:t>
            </w:r>
          </w:p>
        </w:tc>
        <w:tc>
          <w:tcPr>
            <w:tcW w:w="1643" w:type="dxa"/>
            <w:shd w:val="clear" w:color="auto" w:fill="FFFFFF"/>
            <w:vAlign w:val="center"/>
          </w:tcPr>
          <w:p w14:paraId="05D113FD">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D397D5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11</w:t>
            </w:r>
          </w:p>
        </w:tc>
      </w:tr>
      <w:tr w14:paraId="15997B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77D64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6503A1D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8口POE交换机</w:t>
            </w:r>
          </w:p>
        </w:tc>
        <w:tc>
          <w:tcPr>
            <w:tcW w:w="1643" w:type="dxa"/>
            <w:shd w:val="clear" w:color="auto" w:fill="FFFFFF"/>
            <w:vAlign w:val="center"/>
          </w:tcPr>
          <w:p w14:paraId="67DCC4AE">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2F65839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6</w:t>
            </w:r>
          </w:p>
        </w:tc>
      </w:tr>
      <w:tr w14:paraId="4E1652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CF15D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7E04DFB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千兆光模块</w:t>
            </w:r>
          </w:p>
        </w:tc>
        <w:tc>
          <w:tcPr>
            <w:tcW w:w="1643" w:type="dxa"/>
            <w:shd w:val="clear" w:color="auto" w:fill="FFFFFF"/>
            <w:vAlign w:val="center"/>
          </w:tcPr>
          <w:p w14:paraId="7986C96F">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块</w:t>
            </w:r>
          </w:p>
        </w:tc>
        <w:tc>
          <w:tcPr>
            <w:tcW w:w="2028" w:type="dxa"/>
            <w:shd w:val="clear" w:color="auto" w:fill="FFFFFF"/>
            <w:vAlign w:val="center"/>
          </w:tcPr>
          <w:p w14:paraId="10CE8337">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38</w:t>
            </w:r>
          </w:p>
        </w:tc>
      </w:tr>
      <w:tr w14:paraId="63DFFF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54AD69">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w:t>
            </w:r>
          </w:p>
        </w:tc>
        <w:tc>
          <w:tcPr>
            <w:tcW w:w="4369" w:type="dxa"/>
            <w:shd w:val="clear" w:color="auto" w:fill="FFFFFF"/>
            <w:vAlign w:val="center"/>
          </w:tcPr>
          <w:p w14:paraId="7818762B">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安防系统</w:t>
            </w:r>
          </w:p>
        </w:tc>
        <w:tc>
          <w:tcPr>
            <w:tcW w:w="1643" w:type="dxa"/>
            <w:shd w:val="clear" w:color="auto" w:fill="FFFFFF"/>
            <w:vAlign w:val="center"/>
          </w:tcPr>
          <w:p w14:paraId="0DD3316E">
            <w:pPr>
              <w:widowControl/>
              <w:jc w:val="center"/>
              <w:textAlignment w:val="bottom"/>
              <w:rPr>
                <w:rFonts w:hint="eastAsia" w:ascii="宋体" w:hAnsi="宋体" w:cs="宋体"/>
                <w:color w:val="000000"/>
                <w:szCs w:val="21"/>
              </w:rPr>
            </w:pPr>
          </w:p>
        </w:tc>
        <w:tc>
          <w:tcPr>
            <w:tcW w:w="2028" w:type="dxa"/>
            <w:shd w:val="clear" w:color="auto" w:fill="FFFFFF"/>
            <w:vAlign w:val="center"/>
          </w:tcPr>
          <w:p w14:paraId="0BFD482D">
            <w:pPr>
              <w:widowControl/>
              <w:jc w:val="center"/>
              <w:textAlignment w:val="bottom"/>
              <w:rPr>
                <w:rFonts w:hint="eastAsia" w:ascii="宋体" w:hAnsi="宋体" w:cs="宋体"/>
                <w:color w:val="000000"/>
                <w:szCs w:val="21"/>
              </w:rPr>
            </w:pPr>
          </w:p>
        </w:tc>
      </w:tr>
      <w:tr w14:paraId="062A7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D31635">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三（1）</w:t>
            </w:r>
          </w:p>
        </w:tc>
        <w:tc>
          <w:tcPr>
            <w:tcW w:w="4369" w:type="dxa"/>
            <w:shd w:val="clear" w:color="auto" w:fill="FFFFFF"/>
            <w:vAlign w:val="center"/>
          </w:tcPr>
          <w:p w14:paraId="2E027CF5">
            <w:pPr>
              <w:widowControl/>
              <w:jc w:val="left"/>
              <w:textAlignment w:val="center"/>
              <w:rPr>
                <w:rFonts w:hint="eastAsia" w:ascii="宋体" w:hAnsi="宋体" w:cs="宋体"/>
                <w:b/>
                <w:bCs/>
                <w:color w:val="000000"/>
                <w:kern w:val="0"/>
                <w:szCs w:val="21"/>
                <w:lang w:bidi="ar"/>
              </w:rPr>
            </w:pPr>
            <w:r>
              <w:rPr>
                <w:rFonts w:hint="eastAsia" w:ascii="宋体" w:hAnsi="宋体" w:cs="宋体"/>
                <w:b/>
                <w:bCs/>
                <w:kern w:val="0"/>
                <w:sz w:val="22"/>
                <w:szCs w:val="22"/>
              </w:rPr>
              <w:t>视频监控系统</w:t>
            </w:r>
          </w:p>
        </w:tc>
        <w:tc>
          <w:tcPr>
            <w:tcW w:w="1643" w:type="dxa"/>
            <w:shd w:val="clear" w:color="auto" w:fill="FFFFFF"/>
            <w:vAlign w:val="center"/>
          </w:tcPr>
          <w:p w14:paraId="30460C58">
            <w:pPr>
              <w:widowControl/>
              <w:jc w:val="center"/>
              <w:textAlignment w:val="bottom"/>
              <w:rPr>
                <w:rFonts w:hint="eastAsia" w:ascii="宋体" w:hAnsi="宋体" w:cs="宋体"/>
                <w:color w:val="000000"/>
                <w:szCs w:val="21"/>
              </w:rPr>
            </w:pPr>
          </w:p>
        </w:tc>
        <w:tc>
          <w:tcPr>
            <w:tcW w:w="2028" w:type="dxa"/>
            <w:shd w:val="clear" w:color="auto" w:fill="FFFFFF"/>
            <w:vAlign w:val="center"/>
          </w:tcPr>
          <w:p w14:paraId="204C742E">
            <w:pPr>
              <w:widowControl/>
              <w:jc w:val="center"/>
              <w:textAlignment w:val="bottom"/>
              <w:rPr>
                <w:rFonts w:hint="eastAsia" w:ascii="宋体" w:hAnsi="宋体" w:cs="宋体"/>
                <w:color w:val="000000"/>
                <w:szCs w:val="21"/>
              </w:rPr>
            </w:pPr>
          </w:p>
        </w:tc>
      </w:tr>
      <w:tr w14:paraId="1D4C3E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09759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w:t>
            </w:r>
          </w:p>
        </w:tc>
        <w:tc>
          <w:tcPr>
            <w:tcW w:w="4369" w:type="dxa"/>
            <w:shd w:val="clear" w:color="auto" w:fill="FFFFFF"/>
            <w:vAlign w:val="center"/>
          </w:tcPr>
          <w:p w14:paraId="5CB67DA0">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400万全彩半球网络摄像机</w:t>
            </w:r>
          </w:p>
        </w:tc>
        <w:tc>
          <w:tcPr>
            <w:tcW w:w="1643" w:type="dxa"/>
            <w:shd w:val="clear" w:color="auto" w:fill="FFFFFF"/>
            <w:vAlign w:val="center"/>
          </w:tcPr>
          <w:p w14:paraId="31843DBA">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F983812">
            <w:pPr>
              <w:widowControl/>
              <w:jc w:val="center"/>
              <w:textAlignment w:val="bottom"/>
              <w:rPr>
                <w:rFonts w:hint="eastAsia" w:ascii="宋体" w:hAnsi="宋体" w:cs="宋体"/>
                <w:color w:val="000000"/>
                <w:szCs w:val="21"/>
              </w:rPr>
            </w:pPr>
            <w:r>
              <w:rPr>
                <w:rFonts w:hint="eastAsia" w:ascii="宋体" w:hAnsi="宋体" w:cs="宋体"/>
                <w:kern w:val="0"/>
                <w:sz w:val="22"/>
                <w:szCs w:val="22"/>
              </w:rPr>
              <w:t>67</w:t>
            </w:r>
          </w:p>
        </w:tc>
      </w:tr>
      <w:tr w14:paraId="51A2C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0884F1">
            <w:pPr>
              <w:widowControl/>
              <w:jc w:val="center"/>
              <w:textAlignment w:val="center"/>
              <w:rPr>
                <w:rFonts w:hint="eastAsia" w:ascii="宋体" w:hAnsi="宋体" w:cs="宋体"/>
                <w:kern w:val="0"/>
                <w:sz w:val="22"/>
                <w:szCs w:val="22"/>
              </w:rPr>
            </w:pPr>
            <w:r>
              <w:rPr>
                <w:rFonts w:hint="eastAsia" w:ascii="宋体" w:hAnsi="宋体" w:cs="宋体"/>
                <w:kern w:val="0"/>
                <w:sz w:val="22"/>
                <w:szCs w:val="22"/>
              </w:rPr>
              <w:t>2</w:t>
            </w:r>
          </w:p>
        </w:tc>
        <w:tc>
          <w:tcPr>
            <w:tcW w:w="4369" w:type="dxa"/>
            <w:shd w:val="clear" w:color="auto" w:fill="FFFFFF"/>
            <w:vAlign w:val="center"/>
          </w:tcPr>
          <w:p w14:paraId="0A5E930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400万全彩枪式网络摄像机</w:t>
            </w:r>
          </w:p>
        </w:tc>
        <w:tc>
          <w:tcPr>
            <w:tcW w:w="1643" w:type="dxa"/>
            <w:shd w:val="clear" w:color="auto" w:fill="FFFFFF"/>
            <w:vAlign w:val="center"/>
          </w:tcPr>
          <w:p w14:paraId="1D36D77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70065CE">
            <w:pPr>
              <w:widowControl/>
              <w:jc w:val="center"/>
              <w:textAlignment w:val="bottom"/>
              <w:rPr>
                <w:rFonts w:hint="eastAsia" w:ascii="宋体" w:hAnsi="宋体" w:cs="宋体"/>
                <w:color w:val="000000"/>
                <w:szCs w:val="21"/>
              </w:rPr>
            </w:pPr>
            <w:r>
              <w:rPr>
                <w:rFonts w:hint="eastAsia" w:ascii="宋体" w:hAnsi="宋体" w:cs="宋体"/>
                <w:kern w:val="0"/>
                <w:sz w:val="22"/>
                <w:szCs w:val="22"/>
              </w:rPr>
              <w:t>124</w:t>
            </w:r>
          </w:p>
        </w:tc>
      </w:tr>
      <w:tr w14:paraId="0D27D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4D312F">
            <w:pPr>
              <w:widowControl/>
              <w:jc w:val="center"/>
              <w:textAlignment w:val="center"/>
              <w:rPr>
                <w:rFonts w:hint="eastAsia" w:ascii="宋体" w:hAnsi="宋体" w:cs="宋体"/>
                <w:kern w:val="0"/>
                <w:sz w:val="22"/>
                <w:szCs w:val="22"/>
              </w:rPr>
            </w:pPr>
            <w:r>
              <w:rPr>
                <w:rFonts w:hint="eastAsia" w:ascii="宋体" w:hAnsi="宋体" w:cs="宋体"/>
                <w:kern w:val="0"/>
                <w:sz w:val="22"/>
                <w:szCs w:val="22"/>
              </w:rPr>
              <w:t>3</w:t>
            </w:r>
          </w:p>
        </w:tc>
        <w:tc>
          <w:tcPr>
            <w:tcW w:w="4369" w:type="dxa"/>
            <w:shd w:val="clear" w:color="auto" w:fill="FFFFFF"/>
            <w:vAlign w:val="center"/>
          </w:tcPr>
          <w:p w14:paraId="4CB02C24">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周界摄像机</w:t>
            </w:r>
          </w:p>
        </w:tc>
        <w:tc>
          <w:tcPr>
            <w:tcW w:w="1643" w:type="dxa"/>
            <w:shd w:val="clear" w:color="auto" w:fill="FFFFFF"/>
            <w:vAlign w:val="center"/>
          </w:tcPr>
          <w:p w14:paraId="2DC15211">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D91E549">
            <w:pPr>
              <w:widowControl/>
              <w:jc w:val="center"/>
              <w:textAlignment w:val="bottom"/>
              <w:rPr>
                <w:rFonts w:hint="eastAsia" w:ascii="宋体" w:hAnsi="宋体" w:cs="宋体"/>
                <w:color w:val="000000"/>
                <w:szCs w:val="21"/>
              </w:rPr>
            </w:pPr>
            <w:r>
              <w:rPr>
                <w:rFonts w:hint="eastAsia" w:ascii="宋体" w:hAnsi="宋体" w:cs="宋体"/>
                <w:kern w:val="0"/>
                <w:sz w:val="22"/>
                <w:szCs w:val="22"/>
              </w:rPr>
              <w:t>21</w:t>
            </w:r>
          </w:p>
        </w:tc>
      </w:tr>
      <w:tr w14:paraId="3B85E0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FAAAC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4</w:t>
            </w:r>
          </w:p>
        </w:tc>
        <w:tc>
          <w:tcPr>
            <w:tcW w:w="4369" w:type="dxa"/>
            <w:shd w:val="clear" w:color="auto" w:fill="FFFFFF"/>
            <w:vAlign w:val="center"/>
          </w:tcPr>
          <w:p w14:paraId="199755DB">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球机</w:t>
            </w:r>
          </w:p>
        </w:tc>
        <w:tc>
          <w:tcPr>
            <w:tcW w:w="1643" w:type="dxa"/>
            <w:shd w:val="clear" w:color="auto" w:fill="FFFFFF"/>
            <w:vAlign w:val="center"/>
          </w:tcPr>
          <w:p w14:paraId="6F9F0FC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F70458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A9C90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9B70BF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5</w:t>
            </w:r>
          </w:p>
        </w:tc>
        <w:tc>
          <w:tcPr>
            <w:tcW w:w="4369" w:type="dxa"/>
            <w:shd w:val="clear" w:color="auto" w:fill="FFFFFF"/>
            <w:vAlign w:val="center"/>
          </w:tcPr>
          <w:p w14:paraId="64EDEC1C">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鹰眼</w:t>
            </w:r>
          </w:p>
        </w:tc>
        <w:tc>
          <w:tcPr>
            <w:tcW w:w="1643" w:type="dxa"/>
            <w:shd w:val="clear" w:color="auto" w:fill="FFFFFF"/>
            <w:vAlign w:val="center"/>
          </w:tcPr>
          <w:p w14:paraId="119B67C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D4BFA93">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15A92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A2AAF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6</w:t>
            </w:r>
          </w:p>
        </w:tc>
        <w:tc>
          <w:tcPr>
            <w:tcW w:w="4369" w:type="dxa"/>
            <w:shd w:val="clear" w:color="auto" w:fill="FFFFFF"/>
            <w:vAlign w:val="center"/>
          </w:tcPr>
          <w:p w14:paraId="23ACC73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摄像机支架</w:t>
            </w:r>
          </w:p>
        </w:tc>
        <w:tc>
          <w:tcPr>
            <w:tcW w:w="1643" w:type="dxa"/>
            <w:shd w:val="clear" w:color="auto" w:fill="FFFFFF"/>
            <w:vAlign w:val="center"/>
          </w:tcPr>
          <w:p w14:paraId="402691B7">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AE933F7">
            <w:pPr>
              <w:widowControl/>
              <w:jc w:val="center"/>
              <w:textAlignment w:val="bottom"/>
              <w:rPr>
                <w:rFonts w:hint="eastAsia" w:ascii="宋体" w:hAnsi="宋体" w:cs="宋体"/>
                <w:color w:val="000000"/>
                <w:szCs w:val="21"/>
              </w:rPr>
            </w:pPr>
            <w:r>
              <w:rPr>
                <w:rFonts w:hint="eastAsia" w:ascii="宋体" w:hAnsi="宋体" w:cs="宋体"/>
                <w:kern w:val="0"/>
                <w:sz w:val="22"/>
                <w:szCs w:val="22"/>
              </w:rPr>
              <w:t>225</w:t>
            </w:r>
          </w:p>
        </w:tc>
      </w:tr>
      <w:tr w14:paraId="1CE7EE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776B3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7</w:t>
            </w:r>
          </w:p>
        </w:tc>
        <w:tc>
          <w:tcPr>
            <w:tcW w:w="4369" w:type="dxa"/>
            <w:shd w:val="clear" w:color="auto" w:fill="FFFFFF"/>
            <w:vAlign w:val="center"/>
          </w:tcPr>
          <w:p w14:paraId="4E7F4A0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室外监控集线箱</w:t>
            </w:r>
          </w:p>
        </w:tc>
        <w:tc>
          <w:tcPr>
            <w:tcW w:w="1643" w:type="dxa"/>
            <w:shd w:val="clear" w:color="auto" w:fill="FFFFFF"/>
            <w:vAlign w:val="center"/>
          </w:tcPr>
          <w:p w14:paraId="0BBECBF1">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6B809EA2">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6878A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8441F3">
            <w:pPr>
              <w:widowControl/>
              <w:jc w:val="center"/>
              <w:textAlignment w:val="center"/>
              <w:rPr>
                <w:rFonts w:hint="eastAsia" w:ascii="宋体" w:hAnsi="宋体" w:cs="宋体"/>
                <w:kern w:val="0"/>
                <w:sz w:val="22"/>
                <w:szCs w:val="22"/>
              </w:rPr>
            </w:pPr>
            <w:r>
              <w:rPr>
                <w:rFonts w:hint="eastAsia" w:ascii="宋体" w:hAnsi="宋体" w:cs="宋体"/>
                <w:kern w:val="0"/>
                <w:sz w:val="22"/>
                <w:szCs w:val="22"/>
              </w:rPr>
              <w:t>8</w:t>
            </w:r>
          </w:p>
        </w:tc>
        <w:tc>
          <w:tcPr>
            <w:tcW w:w="4369" w:type="dxa"/>
            <w:shd w:val="clear" w:color="auto" w:fill="FFFFFF"/>
            <w:vAlign w:val="center"/>
          </w:tcPr>
          <w:p w14:paraId="6F675F6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监控立杆（含底座浇筑）</w:t>
            </w:r>
          </w:p>
        </w:tc>
        <w:tc>
          <w:tcPr>
            <w:tcW w:w="1643" w:type="dxa"/>
            <w:shd w:val="clear" w:color="auto" w:fill="FFFFFF"/>
            <w:vAlign w:val="center"/>
          </w:tcPr>
          <w:p w14:paraId="11520D6A">
            <w:pPr>
              <w:widowControl/>
              <w:jc w:val="center"/>
              <w:textAlignment w:val="bottom"/>
              <w:rPr>
                <w:rFonts w:hint="eastAsia" w:ascii="宋体" w:hAnsi="宋体" w:cs="宋体"/>
                <w:color w:val="000000"/>
                <w:szCs w:val="21"/>
              </w:rPr>
            </w:pPr>
            <w:r>
              <w:rPr>
                <w:rFonts w:hint="eastAsia" w:ascii="宋体" w:hAnsi="宋体" w:cs="宋体"/>
                <w:kern w:val="0"/>
                <w:sz w:val="22"/>
                <w:szCs w:val="22"/>
              </w:rPr>
              <w:t>支</w:t>
            </w:r>
          </w:p>
        </w:tc>
        <w:tc>
          <w:tcPr>
            <w:tcW w:w="2028" w:type="dxa"/>
            <w:shd w:val="clear" w:color="auto" w:fill="FFFFFF"/>
            <w:vAlign w:val="center"/>
          </w:tcPr>
          <w:p w14:paraId="7A93EECD">
            <w:pPr>
              <w:widowControl/>
              <w:jc w:val="center"/>
              <w:textAlignment w:val="bottom"/>
              <w:rPr>
                <w:rFonts w:hint="eastAsia" w:ascii="宋体" w:hAnsi="宋体" w:cs="宋体"/>
                <w:color w:val="000000"/>
                <w:szCs w:val="21"/>
              </w:rPr>
            </w:pPr>
            <w:r>
              <w:rPr>
                <w:rFonts w:hint="eastAsia" w:ascii="宋体" w:hAnsi="宋体" w:cs="宋体"/>
                <w:kern w:val="0"/>
                <w:sz w:val="22"/>
                <w:szCs w:val="22"/>
              </w:rPr>
              <w:t>52</w:t>
            </w:r>
          </w:p>
        </w:tc>
      </w:tr>
      <w:tr w14:paraId="319611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7805462">
            <w:pPr>
              <w:widowControl/>
              <w:jc w:val="center"/>
              <w:textAlignment w:val="center"/>
              <w:rPr>
                <w:rFonts w:hint="eastAsia" w:ascii="宋体" w:hAnsi="宋体" w:cs="宋体"/>
                <w:kern w:val="0"/>
                <w:sz w:val="22"/>
                <w:szCs w:val="22"/>
              </w:rPr>
            </w:pPr>
            <w:r>
              <w:rPr>
                <w:rFonts w:hint="eastAsia" w:ascii="宋体" w:hAnsi="宋体" w:cs="宋体"/>
                <w:kern w:val="0"/>
                <w:sz w:val="22"/>
                <w:szCs w:val="22"/>
              </w:rPr>
              <w:t>9</w:t>
            </w:r>
          </w:p>
        </w:tc>
        <w:tc>
          <w:tcPr>
            <w:tcW w:w="4369" w:type="dxa"/>
            <w:shd w:val="clear" w:color="auto" w:fill="FFFFFF"/>
            <w:vAlign w:val="center"/>
          </w:tcPr>
          <w:p w14:paraId="4401281B">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电视墙</w:t>
            </w:r>
          </w:p>
        </w:tc>
        <w:tc>
          <w:tcPr>
            <w:tcW w:w="1643" w:type="dxa"/>
            <w:shd w:val="clear" w:color="auto" w:fill="FFFFFF"/>
            <w:vAlign w:val="center"/>
          </w:tcPr>
          <w:p w14:paraId="54F11E1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0AC9DEB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B1B9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4B296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10</w:t>
            </w:r>
          </w:p>
        </w:tc>
        <w:tc>
          <w:tcPr>
            <w:tcW w:w="4369" w:type="dxa"/>
            <w:shd w:val="clear" w:color="auto" w:fill="FFFFFF"/>
            <w:vAlign w:val="center"/>
          </w:tcPr>
          <w:p w14:paraId="507BA051">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液晶拼接屏</w:t>
            </w:r>
          </w:p>
        </w:tc>
        <w:tc>
          <w:tcPr>
            <w:tcW w:w="1643" w:type="dxa"/>
            <w:shd w:val="clear" w:color="auto" w:fill="FFFFFF"/>
            <w:vAlign w:val="center"/>
          </w:tcPr>
          <w:p w14:paraId="71F10194">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73252E27">
            <w:pPr>
              <w:widowControl/>
              <w:jc w:val="center"/>
              <w:textAlignment w:val="bottom"/>
              <w:rPr>
                <w:rFonts w:hint="eastAsia" w:ascii="宋体" w:hAnsi="宋体" w:cs="宋体"/>
                <w:color w:val="000000"/>
                <w:szCs w:val="21"/>
              </w:rPr>
            </w:pPr>
            <w:r>
              <w:rPr>
                <w:rFonts w:hint="eastAsia" w:ascii="宋体" w:hAnsi="宋体" w:cs="宋体"/>
                <w:kern w:val="0"/>
                <w:sz w:val="22"/>
                <w:szCs w:val="22"/>
              </w:rPr>
              <w:t>9</w:t>
            </w:r>
          </w:p>
        </w:tc>
      </w:tr>
      <w:tr w14:paraId="0D0329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551DD48">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11</w:t>
            </w:r>
          </w:p>
        </w:tc>
        <w:tc>
          <w:tcPr>
            <w:tcW w:w="4369" w:type="dxa"/>
            <w:shd w:val="clear" w:color="auto" w:fill="FFFFFF"/>
            <w:vAlign w:val="center"/>
          </w:tcPr>
          <w:p w14:paraId="190F3442">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10路高清解码器</w:t>
            </w:r>
          </w:p>
        </w:tc>
        <w:tc>
          <w:tcPr>
            <w:tcW w:w="1643" w:type="dxa"/>
            <w:shd w:val="clear" w:color="auto" w:fill="FFFFFF"/>
            <w:vAlign w:val="center"/>
          </w:tcPr>
          <w:p w14:paraId="42941067">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4E8D448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39F8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1E6097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12</w:t>
            </w:r>
          </w:p>
        </w:tc>
        <w:tc>
          <w:tcPr>
            <w:tcW w:w="4369" w:type="dxa"/>
            <w:shd w:val="clear" w:color="auto" w:fill="FFFFFF"/>
            <w:vAlign w:val="center"/>
          </w:tcPr>
          <w:p w14:paraId="6462F25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单路解码器</w:t>
            </w:r>
          </w:p>
        </w:tc>
        <w:tc>
          <w:tcPr>
            <w:tcW w:w="1643" w:type="dxa"/>
            <w:shd w:val="clear" w:color="auto" w:fill="FFFFFF"/>
            <w:vAlign w:val="center"/>
          </w:tcPr>
          <w:p w14:paraId="66517C79">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55121B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6B2A0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62EF81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13</w:t>
            </w:r>
          </w:p>
        </w:tc>
        <w:tc>
          <w:tcPr>
            <w:tcW w:w="4369" w:type="dxa"/>
            <w:shd w:val="clear" w:color="auto" w:fill="FFFFFF"/>
            <w:vAlign w:val="center"/>
          </w:tcPr>
          <w:p w14:paraId="4E50049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阳光厨房电视机</w:t>
            </w:r>
          </w:p>
        </w:tc>
        <w:tc>
          <w:tcPr>
            <w:tcW w:w="1643" w:type="dxa"/>
            <w:shd w:val="clear" w:color="auto" w:fill="FFFFFF"/>
            <w:vAlign w:val="center"/>
          </w:tcPr>
          <w:p w14:paraId="7265442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80C2DD1">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98C07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D62987">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14</w:t>
            </w:r>
          </w:p>
        </w:tc>
        <w:tc>
          <w:tcPr>
            <w:tcW w:w="4369" w:type="dxa"/>
            <w:shd w:val="clear" w:color="auto" w:fill="FFFFFF"/>
            <w:vAlign w:val="center"/>
          </w:tcPr>
          <w:p w14:paraId="4B761262">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智能NVR</w:t>
            </w:r>
          </w:p>
        </w:tc>
        <w:tc>
          <w:tcPr>
            <w:tcW w:w="1643" w:type="dxa"/>
            <w:shd w:val="clear" w:color="auto" w:fill="FFFFFF"/>
            <w:vAlign w:val="center"/>
          </w:tcPr>
          <w:p w14:paraId="7EB84B74">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641A0D15">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4C6C1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D0FD1D">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15</w:t>
            </w:r>
          </w:p>
        </w:tc>
        <w:tc>
          <w:tcPr>
            <w:tcW w:w="4369" w:type="dxa"/>
            <w:shd w:val="clear" w:color="auto" w:fill="FFFFFF"/>
            <w:vAlign w:val="center"/>
          </w:tcPr>
          <w:p w14:paraId="7427E10A">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2"/>
                <w:szCs w:val="22"/>
              </w:rPr>
              <w:t>阳光厨房摄像机</w:t>
            </w:r>
          </w:p>
        </w:tc>
        <w:tc>
          <w:tcPr>
            <w:tcW w:w="1643" w:type="dxa"/>
            <w:shd w:val="clear" w:color="auto" w:fill="FFFFFF"/>
            <w:vAlign w:val="center"/>
          </w:tcPr>
          <w:p w14:paraId="113EEEA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5C70561">
            <w:pPr>
              <w:widowControl/>
              <w:jc w:val="center"/>
              <w:textAlignment w:val="bottom"/>
              <w:rPr>
                <w:rFonts w:hint="eastAsia" w:ascii="宋体" w:hAnsi="宋体" w:cs="宋体"/>
                <w:color w:val="000000"/>
                <w:szCs w:val="21"/>
              </w:rPr>
            </w:pPr>
            <w:r>
              <w:rPr>
                <w:rFonts w:hint="eastAsia" w:ascii="宋体" w:hAnsi="宋体" w:cs="宋体"/>
                <w:kern w:val="0"/>
                <w:sz w:val="22"/>
                <w:szCs w:val="22"/>
              </w:rPr>
              <w:t>13</w:t>
            </w:r>
          </w:p>
        </w:tc>
      </w:tr>
      <w:tr w14:paraId="07101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C22DF5">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16</w:t>
            </w:r>
          </w:p>
        </w:tc>
        <w:tc>
          <w:tcPr>
            <w:tcW w:w="4369" w:type="dxa"/>
            <w:shd w:val="clear" w:color="auto" w:fill="FFFFFF"/>
            <w:vAlign w:val="center"/>
          </w:tcPr>
          <w:p w14:paraId="2C71EE1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32路硬盘录像机</w:t>
            </w:r>
          </w:p>
        </w:tc>
        <w:tc>
          <w:tcPr>
            <w:tcW w:w="1643" w:type="dxa"/>
            <w:shd w:val="clear" w:color="auto" w:fill="FFFFFF"/>
            <w:vAlign w:val="center"/>
          </w:tcPr>
          <w:p w14:paraId="70E22B0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7C5566B">
            <w:pPr>
              <w:widowControl/>
              <w:jc w:val="center"/>
              <w:textAlignment w:val="bottom"/>
              <w:rPr>
                <w:rFonts w:hint="eastAsia" w:ascii="宋体" w:hAnsi="宋体" w:cs="宋体"/>
                <w:color w:val="000000"/>
                <w:szCs w:val="21"/>
              </w:rPr>
            </w:pPr>
            <w:r>
              <w:rPr>
                <w:rFonts w:hint="eastAsia" w:ascii="宋体" w:hAnsi="宋体" w:cs="宋体"/>
                <w:kern w:val="0"/>
                <w:sz w:val="22"/>
                <w:szCs w:val="22"/>
              </w:rPr>
              <w:t>5</w:t>
            </w:r>
          </w:p>
        </w:tc>
      </w:tr>
      <w:tr w14:paraId="5B066F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A50CF2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17</w:t>
            </w:r>
          </w:p>
        </w:tc>
        <w:tc>
          <w:tcPr>
            <w:tcW w:w="4369" w:type="dxa"/>
            <w:shd w:val="clear" w:color="auto" w:fill="FFFFFF"/>
            <w:vAlign w:val="center"/>
          </w:tcPr>
          <w:p w14:paraId="0ED05F24">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16路硬盘录像机</w:t>
            </w:r>
          </w:p>
        </w:tc>
        <w:tc>
          <w:tcPr>
            <w:tcW w:w="1643" w:type="dxa"/>
            <w:shd w:val="clear" w:color="auto" w:fill="FFFFFF"/>
            <w:vAlign w:val="center"/>
          </w:tcPr>
          <w:p w14:paraId="238E2AD6">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E6C38D2">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C780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254D6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18</w:t>
            </w:r>
          </w:p>
        </w:tc>
        <w:tc>
          <w:tcPr>
            <w:tcW w:w="4369" w:type="dxa"/>
            <w:shd w:val="clear" w:color="auto" w:fill="FFFFFF"/>
            <w:vAlign w:val="center"/>
          </w:tcPr>
          <w:p w14:paraId="32192A49">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硬盘</w:t>
            </w:r>
          </w:p>
        </w:tc>
        <w:tc>
          <w:tcPr>
            <w:tcW w:w="1643" w:type="dxa"/>
            <w:shd w:val="clear" w:color="auto" w:fill="FFFFFF"/>
            <w:vAlign w:val="center"/>
          </w:tcPr>
          <w:p w14:paraId="6A4B572E">
            <w:pPr>
              <w:widowControl/>
              <w:jc w:val="center"/>
              <w:textAlignment w:val="bottom"/>
              <w:rPr>
                <w:rFonts w:hint="eastAsia" w:ascii="宋体" w:hAnsi="宋体" w:cs="宋体"/>
                <w:color w:val="000000"/>
                <w:szCs w:val="21"/>
              </w:rPr>
            </w:pPr>
            <w:r>
              <w:rPr>
                <w:rFonts w:hint="eastAsia" w:ascii="宋体" w:hAnsi="宋体" w:cs="宋体"/>
                <w:kern w:val="0"/>
                <w:sz w:val="22"/>
                <w:szCs w:val="22"/>
              </w:rPr>
              <w:t>块</w:t>
            </w:r>
          </w:p>
        </w:tc>
        <w:tc>
          <w:tcPr>
            <w:tcW w:w="2028" w:type="dxa"/>
            <w:shd w:val="clear" w:color="auto" w:fill="FFFFFF"/>
            <w:vAlign w:val="center"/>
          </w:tcPr>
          <w:p w14:paraId="3D55753D">
            <w:pPr>
              <w:widowControl/>
              <w:jc w:val="center"/>
              <w:textAlignment w:val="bottom"/>
              <w:rPr>
                <w:rFonts w:hint="eastAsia" w:ascii="宋体" w:hAnsi="宋体" w:cs="宋体"/>
                <w:color w:val="000000"/>
                <w:szCs w:val="21"/>
              </w:rPr>
            </w:pPr>
            <w:r>
              <w:rPr>
                <w:rFonts w:hint="eastAsia" w:ascii="宋体" w:hAnsi="宋体" w:cs="宋体"/>
                <w:kern w:val="0"/>
                <w:sz w:val="22"/>
                <w:szCs w:val="22"/>
              </w:rPr>
              <w:t>100</w:t>
            </w:r>
          </w:p>
        </w:tc>
      </w:tr>
      <w:tr w14:paraId="140D87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01D31F">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三（2）</w:t>
            </w:r>
          </w:p>
        </w:tc>
        <w:tc>
          <w:tcPr>
            <w:tcW w:w="4369" w:type="dxa"/>
            <w:shd w:val="clear" w:color="auto" w:fill="FFFFFF"/>
            <w:vAlign w:val="center"/>
          </w:tcPr>
          <w:p w14:paraId="5E8351B9">
            <w:pPr>
              <w:widowControl/>
              <w:jc w:val="left"/>
              <w:textAlignment w:val="center"/>
              <w:rPr>
                <w:rFonts w:hint="eastAsia" w:ascii="宋体" w:hAnsi="宋体" w:cs="宋体"/>
                <w:b/>
                <w:bCs/>
                <w:kern w:val="0"/>
                <w:sz w:val="22"/>
                <w:szCs w:val="22"/>
              </w:rPr>
            </w:pPr>
            <w:r>
              <w:rPr>
                <w:rFonts w:hint="eastAsia" w:ascii="宋体" w:hAnsi="宋体" w:cs="宋体"/>
                <w:b/>
                <w:bCs/>
                <w:kern w:val="0"/>
                <w:sz w:val="22"/>
                <w:szCs w:val="22"/>
              </w:rPr>
              <w:t>人脸门禁系统</w:t>
            </w:r>
          </w:p>
        </w:tc>
        <w:tc>
          <w:tcPr>
            <w:tcW w:w="1643" w:type="dxa"/>
            <w:shd w:val="clear" w:color="auto" w:fill="FFFFFF"/>
            <w:vAlign w:val="center"/>
          </w:tcPr>
          <w:p w14:paraId="274F195F">
            <w:pPr>
              <w:widowControl/>
              <w:jc w:val="center"/>
              <w:textAlignment w:val="bottom"/>
              <w:rPr>
                <w:rFonts w:hint="eastAsia" w:ascii="宋体" w:hAnsi="宋体" w:cs="宋体"/>
                <w:color w:val="000000"/>
                <w:szCs w:val="21"/>
              </w:rPr>
            </w:pPr>
          </w:p>
        </w:tc>
        <w:tc>
          <w:tcPr>
            <w:tcW w:w="2028" w:type="dxa"/>
            <w:shd w:val="clear" w:color="auto" w:fill="FFFFFF"/>
            <w:vAlign w:val="center"/>
          </w:tcPr>
          <w:p w14:paraId="34A95F7F">
            <w:pPr>
              <w:widowControl/>
              <w:jc w:val="center"/>
              <w:textAlignment w:val="bottom"/>
              <w:rPr>
                <w:rFonts w:hint="eastAsia" w:ascii="宋体" w:hAnsi="宋体" w:cs="宋体"/>
                <w:color w:val="000000"/>
                <w:szCs w:val="21"/>
              </w:rPr>
            </w:pPr>
          </w:p>
        </w:tc>
      </w:tr>
      <w:tr w14:paraId="704EBB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058B4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5305ABC1">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人脸门禁一体机</w:t>
            </w:r>
          </w:p>
        </w:tc>
        <w:tc>
          <w:tcPr>
            <w:tcW w:w="1643" w:type="dxa"/>
            <w:shd w:val="clear" w:color="auto" w:fill="FFFFFF"/>
            <w:vAlign w:val="center"/>
          </w:tcPr>
          <w:p w14:paraId="461DF54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7AA34CB4">
            <w:pPr>
              <w:widowControl/>
              <w:jc w:val="center"/>
              <w:textAlignment w:val="bottom"/>
              <w:rPr>
                <w:rFonts w:hint="eastAsia" w:ascii="宋体" w:hAnsi="宋体" w:cs="宋体"/>
                <w:color w:val="000000"/>
                <w:szCs w:val="21"/>
              </w:rPr>
            </w:pPr>
            <w:r>
              <w:rPr>
                <w:rFonts w:hint="eastAsia" w:ascii="宋体" w:hAnsi="宋体" w:cs="宋体"/>
                <w:kern w:val="0"/>
                <w:sz w:val="22"/>
                <w:szCs w:val="22"/>
              </w:rPr>
              <w:t>15</w:t>
            </w:r>
          </w:p>
        </w:tc>
      </w:tr>
      <w:tr w14:paraId="640F6C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9EAECE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4662348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w:t>
            </w:r>
          </w:p>
        </w:tc>
        <w:tc>
          <w:tcPr>
            <w:tcW w:w="1643" w:type="dxa"/>
            <w:shd w:val="clear" w:color="auto" w:fill="FFFFFF"/>
            <w:vAlign w:val="center"/>
          </w:tcPr>
          <w:p w14:paraId="33278DF2">
            <w:pPr>
              <w:widowControl/>
              <w:jc w:val="center"/>
              <w:textAlignment w:val="bottom"/>
              <w:rPr>
                <w:rFonts w:hint="eastAsia" w:ascii="宋体" w:hAnsi="宋体" w:cs="宋体"/>
                <w:color w:val="000000"/>
                <w:szCs w:val="21"/>
              </w:rPr>
            </w:pPr>
            <w:r>
              <w:rPr>
                <w:rFonts w:hint="eastAsia" w:ascii="宋体" w:hAnsi="宋体" w:cs="宋体"/>
                <w:kern w:val="0"/>
                <w:sz w:val="22"/>
                <w:szCs w:val="22"/>
              </w:rPr>
              <w:t>把</w:t>
            </w:r>
          </w:p>
        </w:tc>
        <w:tc>
          <w:tcPr>
            <w:tcW w:w="2028" w:type="dxa"/>
            <w:shd w:val="clear" w:color="auto" w:fill="FFFFFF"/>
            <w:vAlign w:val="center"/>
          </w:tcPr>
          <w:p w14:paraId="412D0A9F">
            <w:pPr>
              <w:widowControl/>
              <w:jc w:val="center"/>
              <w:textAlignment w:val="bottom"/>
              <w:rPr>
                <w:rFonts w:hint="eastAsia" w:ascii="宋体" w:hAnsi="宋体" w:cs="宋体"/>
                <w:color w:val="000000"/>
                <w:szCs w:val="21"/>
              </w:rPr>
            </w:pPr>
            <w:r>
              <w:rPr>
                <w:rFonts w:hint="eastAsia" w:ascii="宋体" w:hAnsi="宋体" w:cs="宋体"/>
                <w:kern w:val="0"/>
                <w:sz w:val="22"/>
                <w:szCs w:val="22"/>
              </w:rPr>
              <w:t>2</w:t>
            </w:r>
          </w:p>
        </w:tc>
      </w:tr>
      <w:tr w14:paraId="5ADF9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0C4927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0652EEE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w:t>
            </w:r>
          </w:p>
        </w:tc>
        <w:tc>
          <w:tcPr>
            <w:tcW w:w="1643" w:type="dxa"/>
            <w:shd w:val="clear" w:color="auto" w:fill="FFFFFF"/>
            <w:vAlign w:val="center"/>
          </w:tcPr>
          <w:p w14:paraId="6414F626">
            <w:pPr>
              <w:widowControl/>
              <w:jc w:val="center"/>
              <w:textAlignment w:val="bottom"/>
              <w:rPr>
                <w:rFonts w:hint="eastAsia" w:ascii="宋体" w:hAnsi="宋体" w:cs="宋体"/>
                <w:color w:val="000000"/>
                <w:szCs w:val="21"/>
              </w:rPr>
            </w:pPr>
            <w:r>
              <w:rPr>
                <w:rFonts w:hint="eastAsia" w:ascii="宋体" w:hAnsi="宋体" w:cs="宋体"/>
                <w:kern w:val="0"/>
                <w:sz w:val="22"/>
                <w:szCs w:val="22"/>
              </w:rPr>
              <w:t>把</w:t>
            </w:r>
          </w:p>
        </w:tc>
        <w:tc>
          <w:tcPr>
            <w:tcW w:w="2028" w:type="dxa"/>
            <w:shd w:val="clear" w:color="auto" w:fill="FFFFFF"/>
            <w:vAlign w:val="center"/>
          </w:tcPr>
          <w:p w14:paraId="7BE350AD">
            <w:pPr>
              <w:widowControl/>
              <w:jc w:val="center"/>
              <w:textAlignment w:val="bottom"/>
              <w:rPr>
                <w:rFonts w:hint="eastAsia" w:ascii="宋体" w:hAnsi="宋体" w:cs="宋体"/>
                <w:color w:val="000000"/>
                <w:szCs w:val="21"/>
              </w:rPr>
            </w:pPr>
            <w:r>
              <w:rPr>
                <w:rFonts w:hint="eastAsia" w:ascii="宋体" w:hAnsi="宋体" w:cs="宋体"/>
                <w:kern w:val="0"/>
                <w:sz w:val="22"/>
                <w:szCs w:val="22"/>
              </w:rPr>
              <w:t>7</w:t>
            </w:r>
          </w:p>
        </w:tc>
      </w:tr>
      <w:tr w14:paraId="44E6DC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72F33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0899BC6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磁力锁配件</w:t>
            </w:r>
          </w:p>
        </w:tc>
        <w:tc>
          <w:tcPr>
            <w:tcW w:w="1643" w:type="dxa"/>
            <w:shd w:val="clear" w:color="auto" w:fill="FFFFFF"/>
            <w:vAlign w:val="center"/>
          </w:tcPr>
          <w:p w14:paraId="79362111">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3C030590">
            <w:pPr>
              <w:widowControl/>
              <w:jc w:val="center"/>
              <w:textAlignment w:val="bottom"/>
              <w:rPr>
                <w:rFonts w:hint="eastAsia" w:ascii="宋体" w:hAnsi="宋体" w:cs="宋体"/>
                <w:color w:val="000000"/>
                <w:szCs w:val="21"/>
              </w:rPr>
            </w:pPr>
            <w:r>
              <w:rPr>
                <w:rFonts w:hint="eastAsia" w:ascii="宋体" w:hAnsi="宋体" w:cs="宋体"/>
                <w:kern w:val="0"/>
                <w:sz w:val="22"/>
                <w:szCs w:val="22"/>
              </w:rPr>
              <w:t>13</w:t>
            </w:r>
          </w:p>
        </w:tc>
      </w:tr>
      <w:tr w14:paraId="0B0F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D7DC6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28B1B8C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门禁-开门按钮</w:t>
            </w:r>
          </w:p>
        </w:tc>
        <w:tc>
          <w:tcPr>
            <w:tcW w:w="1643" w:type="dxa"/>
            <w:shd w:val="clear" w:color="auto" w:fill="FFFFFF"/>
            <w:vAlign w:val="center"/>
          </w:tcPr>
          <w:p w14:paraId="3FE4D5E6">
            <w:pPr>
              <w:widowControl/>
              <w:jc w:val="center"/>
              <w:textAlignment w:val="bottom"/>
              <w:rPr>
                <w:rFonts w:hint="eastAsia" w:ascii="宋体" w:hAnsi="宋体" w:cs="宋体"/>
                <w:color w:val="000000"/>
                <w:szCs w:val="21"/>
              </w:rPr>
            </w:pPr>
            <w:r>
              <w:rPr>
                <w:rFonts w:hint="eastAsia" w:ascii="宋体" w:hAnsi="宋体" w:cs="宋体"/>
                <w:kern w:val="0"/>
                <w:sz w:val="22"/>
                <w:szCs w:val="22"/>
              </w:rPr>
              <w:t>只</w:t>
            </w:r>
          </w:p>
        </w:tc>
        <w:tc>
          <w:tcPr>
            <w:tcW w:w="2028" w:type="dxa"/>
            <w:shd w:val="clear" w:color="auto" w:fill="FFFFFF"/>
            <w:vAlign w:val="center"/>
          </w:tcPr>
          <w:p w14:paraId="4A01D634">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411BF4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663DA0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5E371BE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电源</w:t>
            </w:r>
          </w:p>
        </w:tc>
        <w:tc>
          <w:tcPr>
            <w:tcW w:w="1643" w:type="dxa"/>
            <w:shd w:val="clear" w:color="auto" w:fill="FFFFFF"/>
            <w:vAlign w:val="center"/>
          </w:tcPr>
          <w:p w14:paraId="794D2152">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85E3CFA">
            <w:pPr>
              <w:widowControl/>
              <w:jc w:val="center"/>
              <w:textAlignment w:val="bottom"/>
              <w:rPr>
                <w:rFonts w:hint="eastAsia" w:ascii="宋体" w:hAnsi="宋体" w:cs="宋体"/>
                <w:color w:val="000000"/>
                <w:szCs w:val="21"/>
              </w:rPr>
            </w:pPr>
            <w:r>
              <w:rPr>
                <w:rFonts w:hint="eastAsia" w:ascii="宋体" w:hAnsi="宋体" w:cs="宋体"/>
                <w:kern w:val="0"/>
                <w:sz w:val="22"/>
                <w:szCs w:val="22"/>
              </w:rPr>
              <w:t>5</w:t>
            </w:r>
          </w:p>
        </w:tc>
      </w:tr>
      <w:tr w14:paraId="35FCC2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44BF80">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三（3）</w:t>
            </w:r>
          </w:p>
        </w:tc>
        <w:tc>
          <w:tcPr>
            <w:tcW w:w="4369" w:type="dxa"/>
            <w:shd w:val="clear" w:color="auto" w:fill="FFFFFF"/>
            <w:vAlign w:val="center"/>
          </w:tcPr>
          <w:p w14:paraId="58974B80">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人员通道系统</w:t>
            </w:r>
          </w:p>
        </w:tc>
        <w:tc>
          <w:tcPr>
            <w:tcW w:w="1643" w:type="dxa"/>
            <w:shd w:val="clear" w:color="auto" w:fill="FFFFFF"/>
            <w:vAlign w:val="center"/>
          </w:tcPr>
          <w:p w14:paraId="00AAD408">
            <w:pPr>
              <w:widowControl/>
              <w:jc w:val="center"/>
              <w:textAlignment w:val="bottom"/>
              <w:rPr>
                <w:rFonts w:hint="eastAsia" w:ascii="宋体" w:hAnsi="宋体" w:cs="宋体"/>
                <w:color w:val="000000"/>
                <w:szCs w:val="21"/>
              </w:rPr>
            </w:pPr>
          </w:p>
        </w:tc>
        <w:tc>
          <w:tcPr>
            <w:tcW w:w="2028" w:type="dxa"/>
            <w:shd w:val="clear" w:color="auto" w:fill="FFFFFF"/>
            <w:vAlign w:val="center"/>
          </w:tcPr>
          <w:p w14:paraId="6D988D48">
            <w:pPr>
              <w:widowControl/>
              <w:jc w:val="center"/>
              <w:textAlignment w:val="bottom"/>
              <w:rPr>
                <w:rFonts w:hint="eastAsia" w:ascii="宋体" w:hAnsi="宋体" w:cs="宋体"/>
                <w:color w:val="000000"/>
                <w:szCs w:val="21"/>
              </w:rPr>
            </w:pPr>
          </w:p>
        </w:tc>
      </w:tr>
      <w:tr w14:paraId="07212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9C67A5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F6C059F">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人员闸机左边道</w:t>
            </w:r>
          </w:p>
        </w:tc>
        <w:tc>
          <w:tcPr>
            <w:tcW w:w="1643" w:type="dxa"/>
            <w:shd w:val="clear" w:color="auto" w:fill="FFFFFF"/>
            <w:vAlign w:val="center"/>
          </w:tcPr>
          <w:p w14:paraId="0124F1B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60789F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4B89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EB5C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CA3C70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人员闸机右边道</w:t>
            </w:r>
          </w:p>
        </w:tc>
        <w:tc>
          <w:tcPr>
            <w:tcW w:w="1643" w:type="dxa"/>
            <w:shd w:val="clear" w:color="auto" w:fill="FFFFFF"/>
            <w:vAlign w:val="center"/>
          </w:tcPr>
          <w:p w14:paraId="3A30841F">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A0BDC4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00464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D12EEF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166BA978">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人员闸机中间道</w:t>
            </w:r>
          </w:p>
        </w:tc>
        <w:tc>
          <w:tcPr>
            <w:tcW w:w="1643" w:type="dxa"/>
            <w:shd w:val="clear" w:color="auto" w:fill="FFFFFF"/>
            <w:vAlign w:val="center"/>
          </w:tcPr>
          <w:p w14:paraId="2F7B72A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62E43B7">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627BF3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D32D9B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7A033C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人脸识别模块</w:t>
            </w:r>
          </w:p>
        </w:tc>
        <w:tc>
          <w:tcPr>
            <w:tcW w:w="1643" w:type="dxa"/>
            <w:shd w:val="clear" w:color="auto" w:fill="FFFFFF"/>
            <w:vAlign w:val="center"/>
          </w:tcPr>
          <w:p w14:paraId="2B0335C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02C5B62">
            <w:pPr>
              <w:widowControl/>
              <w:jc w:val="center"/>
              <w:textAlignment w:val="bottom"/>
              <w:rPr>
                <w:rFonts w:hint="eastAsia" w:ascii="宋体" w:hAnsi="宋体" w:cs="宋体"/>
                <w:color w:val="000000"/>
                <w:szCs w:val="21"/>
              </w:rPr>
            </w:pPr>
            <w:r>
              <w:rPr>
                <w:rFonts w:hint="eastAsia" w:ascii="宋体" w:hAnsi="宋体" w:cs="宋体"/>
                <w:kern w:val="0"/>
                <w:sz w:val="20"/>
                <w:szCs w:val="20"/>
              </w:rPr>
              <w:t>16</w:t>
            </w:r>
          </w:p>
        </w:tc>
      </w:tr>
      <w:tr w14:paraId="773754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8606B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439B633A">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生物信息采集仪</w:t>
            </w:r>
          </w:p>
        </w:tc>
        <w:tc>
          <w:tcPr>
            <w:tcW w:w="1643" w:type="dxa"/>
            <w:shd w:val="clear" w:color="auto" w:fill="FFFFFF"/>
            <w:vAlign w:val="center"/>
          </w:tcPr>
          <w:p w14:paraId="3E1D50A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5E26D0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1EC44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A447C5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69681CAA">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云门禁平台</w:t>
            </w:r>
          </w:p>
        </w:tc>
        <w:tc>
          <w:tcPr>
            <w:tcW w:w="1643" w:type="dxa"/>
            <w:shd w:val="clear" w:color="auto" w:fill="FFFFFF"/>
            <w:vAlign w:val="center"/>
          </w:tcPr>
          <w:p w14:paraId="1712F6ED">
            <w:pPr>
              <w:widowControl/>
              <w:jc w:val="center"/>
              <w:textAlignment w:val="bottom"/>
              <w:rPr>
                <w:rFonts w:hint="eastAsia" w:ascii="宋体" w:hAnsi="宋体" w:cs="宋体"/>
                <w:color w:val="000000"/>
                <w:szCs w:val="21"/>
              </w:rPr>
            </w:pPr>
            <w:r>
              <w:rPr>
                <w:rFonts w:hint="eastAsia" w:ascii="宋体" w:hAnsi="宋体" w:cs="宋体"/>
                <w:kern w:val="0"/>
                <w:sz w:val="20"/>
                <w:szCs w:val="20"/>
              </w:rPr>
              <w:t>元/路/3年</w:t>
            </w:r>
          </w:p>
        </w:tc>
        <w:tc>
          <w:tcPr>
            <w:tcW w:w="2028" w:type="dxa"/>
            <w:shd w:val="clear" w:color="auto" w:fill="FFFFFF"/>
            <w:vAlign w:val="center"/>
          </w:tcPr>
          <w:p w14:paraId="717B62F3">
            <w:pPr>
              <w:widowControl/>
              <w:jc w:val="center"/>
              <w:textAlignment w:val="bottom"/>
              <w:rPr>
                <w:rFonts w:hint="eastAsia" w:ascii="宋体" w:hAnsi="宋体" w:cs="宋体"/>
                <w:color w:val="000000"/>
                <w:szCs w:val="21"/>
              </w:rPr>
            </w:pPr>
            <w:r>
              <w:rPr>
                <w:rFonts w:hint="eastAsia" w:ascii="宋体" w:hAnsi="宋体" w:cs="宋体"/>
                <w:kern w:val="0"/>
                <w:sz w:val="20"/>
                <w:szCs w:val="20"/>
              </w:rPr>
              <w:t>31</w:t>
            </w:r>
          </w:p>
        </w:tc>
      </w:tr>
      <w:tr w14:paraId="6251F7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49EA61C">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三（4）</w:t>
            </w:r>
          </w:p>
        </w:tc>
        <w:tc>
          <w:tcPr>
            <w:tcW w:w="4369" w:type="dxa"/>
            <w:shd w:val="clear" w:color="auto" w:fill="FFFFFF"/>
            <w:vAlign w:val="center"/>
          </w:tcPr>
          <w:p w14:paraId="5A5F6BC4">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车辆通道管理系统</w:t>
            </w:r>
          </w:p>
        </w:tc>
        <w:tc>
          <w:tcPr>
            <w:tcW w:w="1643" w:type="dxa"/>
            <w:shd w:val="clear" w:color="auto" w:fill="FFFFFF"/>
            <w:vAlign w:val="center"/>
          </w:tcPr>
          <w:p w14:paraId="3B5F6B97">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73456612">
            <w:pPr>
              <w:widowControl/>
              <w:jc w:val="center"/>
              <w:textAlignment w:val="center"/>
              <w:rPr>
                <w:rFonts w:hint="eastAsia" w:ascii="宋体" w:hAnsi="宋体" w:cs="宋体"/>
                <w:b/>
                <w:bCs/>
                <w:color w:val="000000"/>
                <w:kern w:val="0"/>
                <w:sz w:val="22"/>
                <w:szCs w:val="22"/>
                <w:lang w:bidi="ar"/>
              </w:rPr>
            </w:pPr>
          </w:p>
        </w:tc>
      </w:tr>
      <w:tr w14:paraId="4AF5C2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0B5BF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557D23BB">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栅栏门道闸</w:t>
            </w:r>
          </w:p>
        </w:tc>
        <w:tc>
          <w:tcPr>
            <w:tcW w:w="1643" w:type="dxa"/>
            <w:shd w:val="clear" w:color="auto" w:fill="FFFFFF"/>
            <w:vAlign w:val="center"/>
          </w:tcPr>
          <w:p w14:paraId="64B49EF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017E7B6">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7333FF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A5790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44CAACE0">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抓拍显示一体机</w:t>
            </w:r>
          </w:p>
        </w:tc>
        <w:tc>
          <w:tcPr>
            <w:tcW w:w="1643" w:type="dxa"/>
            <w:shd w:val="clear" w:color="auto" w:fill="FFFFFF"/>
            <w:vAlign w:val="center"/>
          </w:tcPr>
          <w:p w14:paraId="031C0F5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CF32827">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34A228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2C8777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574E4495">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防砸雷达</w:t>
            </w:r>
          </w:p>
        </w:tc>
        <w:tc>
          <w:tcPr>
            <w:tcW w:w="1643" w:type="dxa"/>
            <w:shd w:val="clear" w:color="auto" w:fill="FFFFFF"/>
            <w:vAlign w:val="center"/>
          </w:tcPr>
          <w:p w14:paraId="0BAC812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ADEB1AD">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61FE1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3DA97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5343A8C1">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触发雷达</w:t>
            </w:r>
          </w:p>
        </w:tc>
        <w:tc>
          <w:tcPr>
            <w:tcW w:w="1643" w:type="dxa"/>
            <w:shd w:val="clear" w:color="auto" w:fill="FFFFFF"/>
            <w:vAlign w:val="center"/>
          </w:tcPr>
          <w:p w14:paraId="0524823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902F741">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29A665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EC00B0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0F70C938">
            <w:pPr>
              <w:widowControl/>
              <w:jc w:val="center"/>
              <w:textAlignment w:val="center"/>
              <w:rPr>
                <w:rFonts w:hint="eastAsia" w:ascii="宋体" w:hAnsi="宋体" w:cs="宋体"/>
                <w:color w:val="000000"/>
                <w:kern w:val="0"/>
                <w:szCs w:val="21"/>
                <w:lang w:bidi="ar"/>
              </w:rPr>
            </w:pPr>
            <w:r>
              <w:rPr>
                <w:rFonts w:hint="eastAsia" w:ascii="宋体" w:hAnsi="宋体" w:cs="宋体"/>
                <w:kern w:val="0"/>
                <w:sz w:val="20"/>
                <w:szCs w:val="20"/>
              </w:rPr>
              <w:t>终端</w:t>
            </w:r>
          </w:p>
        </w:tc>
        <w:tc>
          <w:tcPr>
            <w:tcW w:w="1643" w:type="dxa"/>
            <w:shd w:val="clear" w:color="auto" w:fill="FFFFFF"/>
            <w:vAlign w:val="center"/>
          </w:tcPr>
          <w:p w14:paraId="1D4CC71C">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CFC8A5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3B01E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74053E">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三（5）</w:t>
            </w:r>
          </w:p>
        </w:tc>
        <w:tc>
          <w:tcPr>
            <w:tcW w:w="4369" w:type="dxa"/>
            <w:shd w:val="clear" w:color="auto" w:fill="FFFFFF"/>
            <w:vAlign w:val="center"/>
          </w:tcPr>
          <w:p w14:paraId="4D07ABF9">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巡更系统</w:t>
            </w:r>
          </w:p>
        </w:tc>
        <w:tc>
          <w:tcPr>
            <w:tcW w:w="1643" w:type="dxa"/>
            <w:shd w:val="clear" w:color="auto" w:fill="FFFFFF"/>
            <w:vAlign w:val="center"/>
          </w:tcPr>
          <w:p w14:paraId="36F3174E">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82BE5BB">
            <w:pPr>
              <w:widowControl/>
              <w:jc w:val="center"/>
              <w:textAlignment w:val="center"/>
              <w:rPr>
                <w:rFonts w:hint="eastAsia" w:ascii="宋体" w:hAnsi="宋体" w:cs="宋体"/>
                <w:b/>
                <w:bCs/>
                <w:color w:val="000000"/>
                <w:kern w:val="0"/>
                <w:sz w:val="22"/>
                <w:szCs w:val="22"/>
                <w:lang w:bidi="ar"/>
              </w:rPr>
            </w:pPr>
          </w:p>
        </w:tc>
      </w:tr>
      <w:tr w14:paraId="39D38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B71BB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10087FE1">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感应巡更棒</w:t>
            </w:r>
          </w:p>
        </w:tc>
        <w:tc>
          <w:tcPr>
            <w:tcW w:w="1643" w:type="dxa"/>
            <w:shd w:val="clear" w:color="auto" w:fill="FFFFFF"/>
            <w:vAlign w:val="center"/>
          </w:tcPr>
          <w:p w14:paraId="701307C1">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4A9AEDB0">
            <w:pPr>
              <w:widowControl/>
              <w:jc w:val="center"/>
              <w:textAlignment w:val="bottom"/>
              <w:rPr>
                <w:rFonts w:hint="eastAsia" w:ascii="宋体" w:hAnsi="宋体" w:cs="宋体"/>
                <w:color w:val="000000"/>
                <w:szCs w:val="21"/>
              </w:rPr>
            </w:pPr>
            <w:r>
              <w:rPr>
                <w:rFonts w:hint="eastAsia" w:ascii="宋体" w:hAnsi="宋体" w:cs="宋体"/>
                <w:kern w:val="0"/>
                <w:sz w:val="20"/>
                <w:szCs w:val="20"/>
              </w:rPr>
              <w:t>5</w:t>
            </w:r>
          </w:p>
        </w:tc>
      </w:tr>
      <w:tr w14:paraId="52CAA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332D9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6DB95F97">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信息钮</w:t>
            </w:r>
          </w:p>
        </w:tc>
        <w:tc>
          <w:tcPr>
            <w:tcW w:w="1643" w:type="dxa"/>
            <w:shd w:val="clear" w:color="auto" w:fill="FFFFFF"/>
            <w:vAlign w:val="center"/>
          </w:tcPr>
          <w:p w14:paraId="6A540A78">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7C69A1B7">
            <w:pPr>
              <w:widowControl/>
              <w:jc w:val="center"/>
              <w:textAlignment w:val="bottom"/>
              <w:rPr>
                <w:rFonts w:hint="eastAsia" w:ascii="宋体" w:hAnsi="宋体" w:cs="宋体"/>
                <w:color w:val="000000"/>
                <w:szCs w:val="21"/>
              </w:rPr>
            </w:pPr>
            <w:r>
              <w:rPr>
                <w:rFonts w:hint="eastAsia" w:ascii="宋体" w:hAnsi="宋体" w:cs="宋体"/>
                <w:kern w:val="0"/>
                <w:sz w:val="20"/>
                <w:szCs w:val="20"/>
              </w:rPr>
              <w:t>200</w:t>
            </w:r>
          </w:p>
        </w:tc>
      </w:tr>
      <w:tr w14:paraId="789205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BA73C1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71CDAE5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软件</w:t>
            </w:r>
          </w:p>
        </w:tc>
        <w:tc>
          <w:tcPr>
            <w:tcW w:w="1643" w:type="dxa"/>
            <w:shd w:val="clear" w:color="auto" w:fill="FFFFFF"/>
            <w:vAlign w:val="center"/>
          </w:tcPr>
          <w:p w14:paraId="000B6500">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套</w:t>
            </w:r>
          </w:p>
        </w:tc>
        <w:tc>
          <w:tcPr>
            <w:tcW w:w="2028" w:type="dxa"/>
            <w:shd w:val="clear" w:color="auto" w:fill="FFFFFF"/>
            <w:vAlign w:val="center"/>
          </w:tcPr>
          <w:p w14:paraId="436E373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FB828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CC227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403EC2CC">
            <w:pPr>
              <w:widowControl/>
              <w:jc w:val="center"/>
              <w:textAlignment w:val="center"/>
              <w:rPr>
                <w:rFonts w:hint="eastAsia" w:ascii="宋体" w:hAnsi="宋体" w:cs="宋体"/>
                <w:color w:val="000000"/>
                <w:kern w:val="0"/>
                <w:szCs w:val="21"/>
                <w:lang w:bidi="ar"/>
              </w:rPr>
            </w:pPr>
            <w:r>
              <w:rPr>
                <w:rFonts w:hint="eastAsia" w:ascii="宋体" w:hAnsi="宋体" w:cs="宋体"/>
                <w:kern w:val="0"/>
                <w:sz w:val="22"/>
                <w:szCs w:val="22"/>
              </w:rPr>
              <w:t>控制终端</w:t>
            </w:r>
          </w:p>
        </w:tc>
        <w:tc>
          <w:tcPr>
            <w:tcW w:w="1643" w:type="dxa"/>
            <w:shd w:val="clear" w:color="auto" w:fill="FFFFFF"/>
            <w:vAlign w:val="center"/>
          </w:tcPr>
          <w:p w14:paraId="39DF4D74">
            <w:pPr>
              <w:widowControl/>
              <w:jc w:val="center"/>
              <w:textAlignment w:val="bottom"/>
              <w:rPr>
                <w:rFonts w:hint="eastAsia" w:ascii="宋体" w:hAnsi="宋体" w:cs="宋体"/>
                <w:color w:val="000000"/>
                <w:szCs w:val="21"/>
              </w:rPr>
            </w:pPr>
            <w:r>
              <w:rPr>
                <w:rFonts w:hint="eastAsia" w:ascii="微软雅黑" w:hAnsi="微软雅黑" w:eastAsia="微软雅黑" w:cs="宋体"/>
                <w:kern w:val="0"/>
                <w:sz w:val="16"/>
                <w:szCs w:val="16"/>
              </w:rPr>
              <w:t>台</w:t>
            </w:r>
          </w:p>
        </w:tc>
        <w:tc>
          <w:tcPr>
            <w:tcW w:w="2028" w:type="dxa"/>
            <w:shd w:val="clear" w:color="auto" w:fill="FFFFFF"/>
            <w:vAlign w:val="center"/>
          </w:tcPr>
          <w:p w14:paraId="69125A9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5F0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EA431BE">
            <w:pPr>
              <w:widowControl/>
              <w:jc w:val="center"/>
              <w:textAlignment w:val="center"/>
              <w:rPr>
                <w:rFonts w:hint="eastAsia" w:ascii="宋体" w:hAnsi="宋体" w:eastAsia="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三（6）</w:t>
            </w:r>
          </w:p>
        </w:tc>
        <w:tc>
          <w:tcPr>
            <w:tcW w:w="4369" w:type="dxa"/>
            <w:shd w:val="clear" w:color="auto" w:fill="FFFFFF"/>
            <w:vAlign w:val="center"/>
          </w:tcPr>
          <w:p w14:paraId="656BE4ED">
            <w:pPr>
              <w:widowControl/>
              <w:jc w:val="left"/>
              <w:textAlignment w:val="center"/>
              <w:rPr>
                <w:rFonts w:hint="eastAsia" w:ascii="宋体" w:hAnsi="宋体" w:eastAsia="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防撞升降柱</w:t>
            </w:r>
          </w:p>
        </w:tc>
        <w:tc>
          <w:tcPr>
            <w:tcW w:w="1643" w:type="dxa"/>
            <w:shd w:val="clear" w:color="auto" w:fill="FFFFFF"/>
            <w:vAlign w:val="center"/>
          </w:tcPr>
          <w:p w14:paraId="12753E4F">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4B9204E9">
            <w:pPr>
              <w:widowControl/>
              <w:jc w:val="center"/>
              <w:textAlignment w:val="center"/>
              <w:rPr>
                <w:rFonts w:hint="eastAsia" w:ascii="宋体" w:hAnsi="宋体" w:cs="宋体"/>
                <w:b/>
                <w:bCs/>
                <w:color w:val="000000"/>
                <w:kern w:val="0"/>
                <w:sz w:val="22"/>
                <w:szCs w:val="22"/>
                <w:lang w:bidi="ar"/>
              </w:rPr>
            </w:pPr>
          </w:p>
        </w:tc>
      </w:tr>
      <w:tr w14:paraId="7A545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30251C">
            <w:pPr>
              <w:widowControl/>
              <w:jc w:val="center"/>
              <w:textAlignment w:val="center"/>
              <w:rPr>
                <w:rFonts w:hint="default" w:ascii="宋体" w:hAnsi="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1</w:t>
            </w:r>
          </w:p>
        </w:tc>
        <w:tc>
          <w:tcPr>
            <w:tcW w:w="4369" w:type="dxa"/>
            <w:shd w:val="clear" w:color="auto" w:fill="FFFFFF"/>
            <w:vAlign w:val="center"/>
          </w:tcPr>
          <w:p w14:paraId="2578BF43">
            <w:pPr>
              <w:keepNext w:val="0"/>
              <w:keepLines w:val="0"/>
              <w:widowControl/>
              <w:suppressLineNumbers w:val="0"/>
              <w:jc w:val="center"/>
              <w:textAlignment w:val="center"/>
              <w:rPr>
                <w:rFonts w:hint="eastAsia" w:ascii="宋体" w:hAnsi="宋体" w:cs="宋体"/>
                <w:b/>
                <w:bCs/>
                <w:color w:val="000000"/>
                <w:kern w:val="0"/>
                <w:sz w:val="22"/>
                <w:szCs w:val="22"/>
                <w:lang w:val="en-US" w:eastAsia="zh-CN" w:bidi="ar"/>
              </w:rPr>
            </w:pPr>
            <w:r>
              <w:rPr>
                <w:rFonts w:hint="eastAsia" w:ascii="宋体" w:hAnsi="宋体" w:eastAsia="宋体" w:cs="宋体"/>
                <w:i w:val="0"/>
                <w:iCs w:val="0"/>
                <w:color w:val="000000"/>
                <w:kern w:val="0"/>
                <w:sz w:val="20"/>
                <w:szCs w:val="20"/>
                <w:u w:val="none"/>
                <w:lang w:val="en-US" w:eastAsia="zh-CN" w:bidi="ar"/>
              </w:rPr>
              <w:t>升降柱</w:t>
            </w:r>
          </w:p>
        </w:tc>
        <w:tc>
          <w:tcPr>
            <w:tcW w:w="1643" w:type="dxa"/>
            <w:shd w:val="clear" w:color="auto" w:fill="FFFFFF"/>
            <w:vAlign w:val="center"/>
          </w:tcPr>
          <w:p w14:paraId="0D0BF821">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台</w:t>
            </w:r>
          </w:p>
        </w:tc>
        <w:tc>
          <w:tcPr>
            <w:tcW w:w="2028" w:type="dxa"/>
            <w:shd w:val="clear" w:color="auto" w:fill="FFFFFF"/>
            <w:vAlign w:val="center"/>
          </w:tcPr>
          <w:p w14:paraId="304357D3">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1</w:t>
            </w:r>
            <w:r>
              <w:rPr>
                <w:rFonts w:hint="eastAsia" w:ascii="宋体" w:hAnsi="宋体" w:cs="宋体"/>
                <w:i w:val="0"/>
                <w:iCs w:val="0"/>
                <w:color w:val="000000"/>
                <w:kern w:val="0"/>
                <w:sz w:val="20"/>
                <w:szCs w:val="20"/>
                <w:u w:val="none"/>
                <w:lang w:val="en-US" w:eastAsia="zh-CN" w:bidi="ar"/>
              </w:rPr>
              <w:t>2</w:t>
            </w:r>
          </w:p>
        </w:tc>
      </w:tr>
      <w:tr w14:paraId="5A2A88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DA5EFBB">
            <w:pPr>
              <w:widowControl/>
              <w:jc w:val="center"/>
              <w:textAlignment w:val="center"/>
              <w:rPr>
                <w:rFonts w:hint="default" w:ascii="宋体" w:hAnsi="宋体" w:cs="宋体"/>
                <w:b/>
                <w:bCs/>
                <w:color w:val="000000"/>
                <w:kern w:val="0"/>
                <w:sz w:val="22"/>
                <w:szCs w:val="22"/>
                <w:lang w:val="en-US" w:eastAsia="zh-CN" w:bidi="ar"/>
              </w:rPr>
            </w:pPr>
            <w:r>
              <w:rPr>
                <w:rFonts w:hint="eastAsia" w:ascii="宋体" w:hAnsi="宋体" w:cs="宋体"/>
                <w:b/>
                <w:bCs/>
                <w:color w:val="000000"/>
                <w:kern w:val="0"/>
                <w:sz w:val="22"/>
                <w:szCs w:val="22"/>
                <w:lang w:val="en-US" w:eastAsia="zh-CN" w:bidi="ar"/>
              </w:rPr>
              <w:t>2</w:t>
            </w:r>
          </w:p>
        </w:tc>
        <w:tc>
          <w:tcPr>
            <w:tcW w:w="4369" w:type="dxa"/>
            <w:shd w:val="clear" w:color="auto" w:fill="FFFFFF"/>
            <w:vAlign w:val="center"/>
          </w:tcPr>
          <w:p w14:paraId="30F3895E">
            <w:pPr>
              <w:keepNext w:val="0"/>
              <w:keepLines w:val="0"/>
              <w:widowControl/>
              <w:suppressLineNumbers w:val="0"/>
              <w:jc w:val="center"/>
              <w:textAlignment w:val="center"/>
              <w:rPr>
                <w:rFonts w:hint="eastAsia" w:ascii="宋体" w:hAnsi="宋体" w:cs="宋体"/>
                <w:b/>
                <w:bCs/>
                <w:color w:val="000000"/>
                <w:kern w:val="0"/>
                <w:sz w:val="22"/>
                <w:szCs w:val="22"/>
                <w:lang w:val="en-US" w:eastAsia="zh-CN" w:bidi="ar"/>
              </w:rPr>
            </w:pPr>
            <w:r>
              <w:rPr>
                <w:rFonts w:hint="eastAsia" w:ascii="宋体" w:hAnsi="宋体" w:eastAsia="宋体" w:cs="宋体"/>
                <w:i w:val="0"/>
                <w:iCs w:val="0"/>
                <w:color w:val="000000"/>
                <w:kern w:val="0"/>
                <w:sz w:val="20"/>
                <w:szCs w:val="20"/>
                <w:u w:val="none"/>
                <w:lang w:val="en-US" w:eastAsia="zh-CN" w:bidi="ar"/>
              </w:rPr>
              <w:t>升降柱控制盒</w:t>
            </w:r>
          </w:p>
        </w:tc>
        <w:tc>
          <w:tcPr>
            <w:tcW w:w="1643" w:type="dxa"/>
            <w:shd w:val="clear" w:color="auto" w:fill="FFFFFF"/>
            <w:vAlign w:val="center"/>
          </w:tcPr>
          <w:p w14:paraId="351EB1B5">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套</w:t>
            </w:r>
          </w:p>
        </w:tc>
        <w:tc>
          <w:tcPr>
            <w:tcW w:w="2028" w:type="dxa"/>
            <w:shd w:val="clear" w:color="auto" w:fill="FFFFFF"/>
            <w:vAlign w:val="center"/>
          </w:tcPr>
          <w:p w14:paraId="65EEFF6C">
            <w:pPr>
              <w:keepNext w:val="0"/>
              <w:keepLines w:val="0"/>
              <w:widowControl/>
              <w:suppressLineNumbers w:val="0"/>
              <w:jc w:val="center"/>
              <w:textAlignment w:val="center"/>
              <w:rPr>
                <w:rFonts w:hint="eastAsia" w:ascii="宋体" w:hAnsi="宋体" w:cs="宋体"/>
                <w:b/>
                <w:bCs/>
                <w:color w:val="000000"/>
                <w:kern w:val="0"/>
                <w:sz w:val="22"/>
                <w:szCs w:val="22"/>
                <w:lang w:bidi="ar"/>
              </w:rPr>
            </w:pPr>
            <w:r>
              <w:rPr>
                <w:rFonts w:hint="eastAsia" w:ascii="宋体" w:hAnsi="宋体" w:eastAsia="宋体" w:cs="宋体"/>
                <w:i w:val="0"/>
                <w:iCs w:val="0"/>
                <w:color w:val="000000"/>
                <w:kern w:val="0"/>
                <w:sz w:val="20"/>
                <w:szCs w:val="20"/>
                <w:u w:val="none"/>
                <w:lang w:val="en-US" w:eastAsia="zh-CN" w:bidi="ar"/>
              </w:rPr>
              <w:t>2</w:t>
            </w:r>
          </w:p>
        </w:tc>
      </w:tr>
      <w:tr w14:paraId="59D69C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4CA535">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四</w:t>
            </w:r>
          </w:p>
        </w:tc>
        <w:tc>
          <w:tcPr>
            <w:tcW w:w="4369" w:type="dxa"/>
            <w:shd w:val="clear" w:color="auto" w:fill="FFFFFF"/>
            <w:vAlign w:val="center"/>
          </w:tcPr>
          <w:p w14:paraId="1D7F857E">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广播系统</w:t>
            </w:r>
          </w:p>
        </w:tc>
        <w:tc>
          <w:tcPr>
            <w:tcW w:w="1643" w:type="dxa"/>
            <w:shd w:val="clear" w:color="auto" w:fill="FFFFFF"/>
            <w:vAlign w:val="center"/>
          </w:tcPr>
          <w:p w14:paraId="1DCD7331">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46DC096">
            <w:pPr>
              <w:widowControl/>
              <w:jc w:val="center"/>
              <w:textAlignment w:val="center"/>
              <w:rPr>
                <w:rFonts w:hint="eastAsia" w:ascii="宋体" w:hAnsi="宋体" w:cs="宋体"/>
                <w:b/>
                <w:bCs/>
                <w:color w:val="000000"/>
                <w:kern w:val="0"/>
                <w:sz w:val="22"/>
                <w:szCs w:val="22"/>
                <w:lang w:bidi="ar"/>
              </w:rPr>
            </w:pPr>
          </w:p>
        </w:tc>
      </w:tr>
      <w:tr w14:paraId="692846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327957">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szCs w:val="21"/>
              </w:rPr>
              <w:t>四（1）</w:t>
            </w:r>
          </w:p>
        </w:tc>
        <w:tc>
          <w:tcPr>
            <w:tcW w:w="4369" w:type="dxa"/>
            <w:shd w:val="clear" w:color="auto" w:fill="FFFFFF"/>
            <w:vAlign w:val="center"/>
          </w:tcPr>
          <w:p w14:paraId="5C5BEA59">
            <w:pPr>
              <w:widowControl/>
              <w:jc w:val="left"/>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Cs w:val="21"/>
                <w:lang w:bidi="ar"/>
              </w:rPr>
              <w:t>广播中心</w:t>
            </w:r>
          </w:p>
        </w:tc>
        <w:tc>
          <w:tcPr>
            <w:tcW w:w="1643" w:type="dxa"/>
            <w:shd w:val="clear" w:color="auto" w:fill="FFFFFF"/>
            <w:vAlign w:val="center"/>
          </w:tcPr>
          <w:p w14:paraId="032880F0">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AE7EE39">
            <w:pPr>
              <w:widowControl/>
              <w:jc w:val="center"/>
              <w:textAlignment w:val="center"/>
              <w:rPr>
                <w:rFonts w:hint="eastAsia" w:ascii="宋体" w:hAnsi="宋体" w:cs="宋体"/>
                <w:b/>
                <w:bCs/>
                <w:color w:val="000000"/>
                <w:kern w:val="0"/>
                <w:sz w:val="22"/>
                <w:szCs w:val="22"/>
                <w:lang w:bidi="ar"/>
              </w:rPr>
            </w:pPr>
          </w:p>
        </w:tc>
      </w:tr>
      <w:tr w14:paraId="5BF265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FCDC6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78E67B83">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控制主机</w:t>
            </w:r>
          </w:p>
        </w:tc>
        <w:tc>
          <w:tcPr>
            <w:tcW w:w="1643" w:type="dxa"/>
            <w:shd w:val="clear" w:color="auto" w:fill="FFFFFF"/>
            <w:vAlign w:val="center"/>
          </w:tcPr>
          <w:p w14:paraId="710CD66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0FDEB14">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3FD9E5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AD622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0A66B185">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数字化IP网络广播客户端管理软件</w:t>
            </w:r>
          </w:p>
        </w:tc>
        <w:tc>
          <w:tcPr>
            <w:tcW w:w="1643" w:type="dxa"/>
            <w:shd w:val="clear" w:color="auto" w:fill="FFFFFF"/>
            <w:vAlign w:val="center"/>
          </w:tcPr>
          <w:p w14:paraId="0635D95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DBBA02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36F58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EFEAB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1522DC2C">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IP音频采集器</w:t>
            </w:r>
          </w:p>
        </w:tc>
        <w:tc>
          <w:tcPr>
            <w:tcW w:w="1643" w:type="dxa"/>
            <w:shd w:val="clear" w:color="auto" w:fill="FFFFFF"/>
            <w:vAlign w:val="center"/>
          </w:tcPr>
          <w:p w14:paraId="0A07CFC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4474C1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A2733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E852F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7761110E">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话筒</w:t>
            </w:r>
          </w:p>
        </w:tc>
        <w:tc>
          <w:tcPr>
            <w:tcW w:w="1643" w:type="dxa"/>
            <w:shd w:val="clear" w:color="auto" w:fill="FFFFFF"/>
            <w:vAlign w:val="center"/>
          </w:tcPr>
          <w:p w14:paraId="3D3C606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392AAC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FC1EF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106F3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63776D93">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寻呼话筒</w:t>
            </w:r>
          </w:p>
        </w:tc>
        <w:tc>
          <w:tcPr>
            <w:tcW w:w="1643" w:type="dxa"/>
            <w:shd w:val="clear" w:color="auto" w:fill="FFFFFF"/>
            <w:vAlign w:val="center"/>
          </w:tcPr>
          <w:p w14:paraId="294293F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743CFD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17A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A1808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4369" w:type="dxa"/>
            <w:shd w:val="clear" w:color="auto" w:fill="FFFFFF"/>
            <w:vAlign w:val="center"/>
          </w:tcPr>
          <w:p w14:paraId="39C27A16">
            <w:pPr>
              <w:widowControl/>
              <w:jc w:val="center"/>
              <w:textAlignment w:val="center"/>
              <w:rPr>
                <w:rFonts w:hint="eastAsia" w:ascii="宋体" w:hAnsi="宋体" w:cs="宋体"/>
                <w:color w:val="000000"/>
                <w:kern w:val="0"/>
                <w:szCs w:val="21"/>
                <w:lang w:bidi="ar"/>
              </w:rPr>
            </w:pPr>
            <w:r>
              <w:rPr>
                <w:rFonts w:hint="eastAsia" w:ascii="宋体" w:hAnsi="宋体" w:cs="宋体"/>
                <w:color w:val="000000"/>
                <w:kern w:val="0"/>
                <w:sz w:val="20"/>
                <w:szCs w:val="20"/>
              </w:rPr>
              <w:t>采集器（消防）</w:t>
            </w:r>
          </w:p>
        </w:tc>
        <w:tc>
          <w:tcPr>
            <w:tcW w:w="1643" w:type="dxa"/>
            <w:shd w:val="clear" w:color="auto" w:fill="FFFFFF"/>
            <w:vAlign w:val="center"/>
          </w:tcPr>
          <w:p w14:paraId="7D8295F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4AB9AE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3EF17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76D13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4369" w:type="dxa"/>
            <w:shd w:val="clear" w:color="auto" w:fill="FFFFFF"/>
            <w:vAlign w:val="center"/>
          </w:tcPr>
          <w:p w14:paraId="4D0A17BD">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IP网络音箱</w:t>
            </w:r>
          </w:p>
        </w:tc>
        <w:tc>
          <w:tcPr>
            <w:tcW w:w="1643" w:type="dxa"/>
            <w:shd w:val="clear" w:color="auto" w:fill="FFFFFF"/>
            <w:vAlign w:val="center"/>
          </w:tcPr>
          <w:p w14:paraId="3E0DB09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949983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E706A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94C0B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4369" w:type="dxa"/>
            <w:shd w:val="clear" w:color="auto" w:fill="FFFFFF"/>
            <w:vAlign w:val="center"/>
          </w:tcPr>
          <w:p w14:paraId="3737C82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电源管理器</w:t>
            </w:r>
          </w:p>
        </w:tc>
        <w:tc>
          <w:tcPr>
            <w:tcW w:w="1643" w:type="dxa"/>
            <w:shd w:val="clear" w:color="auto" w:fill="FFFFFF"/>
            <w:vAlign w:val="center"/>
          </w:tcPr>
          <w:p w14:paraId="3CC36E2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D929CB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1050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41E56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54837F10">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机柜</w:t>
            </w:r>
          </w:p>
        </w:tc>
        <w:tc>
          <w:tcPr>
            <w:tcW w:w="1643" w:type="dxa"/>
            <w:shd w:val="clear" w:color="auto" w:fill="FFFFFF"/>
            <w:vAlign w:val="center"/>
          </w:tcPr>
          <w:p w14:paraId="5A23285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00D555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7C8D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FD5AAA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10</w:t>
            </w:r>
          </w:p>
        </w:tc>
        <w:tc>
          <w:tcPr>
            <w:tcW w:w="4369" w:type="dxa"/>
            <w:shd w:val="clear" w:color="auto" w:fill="FFFFFF"/>
            <w:vAlign w:val="center"/>
          </w:tcPr>
          <w:p w14:paraId="29C5B78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IP网络功放终端1</w:t>
            </w:r>
          </w:p>
        </w:tc>
        <w:tc>
          <w:tcPr>
            <w:tcW w:w="1643" w:type="dxa"/>
            <w:shd w:val="clear" w:color="auto" w:fill="FFFFFF"/>
            <w:vAlign w:val="center"/>
          </w:tcPr>
          <w:p w14:paraId="2A3A7EE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2A0BCB1">
            <w:pPr>
              <w:widowControl/>
              <w:jc w:val="center"/>
              <w:textAlignment w:val="bottom"/>
              <w:rPr>
                <w:rFonts w:hint="eastAsia" w:ascii="宋体" w:hAnsi="宋体" w:cs="宋体"/>
                <w:color w:val="000000"/>
                <w:szCs w:val="21"/>
              </w:rPr>
            </w:pPr>
            <w:r>
              <w:rPr>
                <w:rFonts w:hint="eastAsia" w:ascii="宋体" w:hAnsi="宋体" w:cs="宋体"/>
                <w:color w:val="000000"/>
                <w:szCs w:val="21"/>
              </w:rPr>
              <w:t>2</w:t>
            </w:r>
          </w:p>
        </w:tc>
      </w:tr>
      <w:tr w14:paraId="683B5F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658F0A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11</w:t>
            </w:r>
          </w:p>
        </w:tc>
        <w:tc>
          <w:tcPr>
            <w:tcW w:w="4369" w:type="dxa"/>
            <w:shd w:val="clear" w:color="auto" w:fill="FFFFFF"/>
            <w:vAlign w:val="center"/>
          </w:tcPr>
          <w:p w14:paraId="4285DA6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IP网络功放终端2</w:t>
            </w:r>
          </w:p>
        </w:tc>
        <w:tc>
          <w:tcPr>
            <w:tcW w:w="1643" w:type="dxa"/>
            <w:shd w:val="clear" w:color="auto" w:fill="FFFFFF"/>
            <w:vAlign w:val="center"/>
          </w:tcPr>
          <w:p w14:paraId="01A6632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590CF8D">
            <w:pPr>
              <w:widowControl/>
              <w:jc w:val="center"/>
              <w:textAlignment w:val="bottom"/>
              <w:rPr>
                <w:rFonts w:hint="eastAsia" w:ascii="宋体" w:hAnsi="宋体" w:cs="宋体"/>
                <w:color w:val="000000"/>
                <w:szCs w:val="21"/>
              </w:rPr>
            </w:pPr>
            <w:r>
              <w:rPr>
                <w:rFonts w:hint="eastAsia" w:ascii="宋体" w:hAnsi="宋体" w:cs="宋体"/>
                <w:color w:val="000000"/>
                <w:szCs w:val="21"/>
              </w:rPr>
              <w:t>3</w:t>
            </w:r>
          </w:p>
        </w:tc>
      </w:tr>
      <w:tr w14:paraId="32A71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9B3323">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12</w:t>
            </w:r>
          </w:p>
        </w:tc>
        <w:tc>
          <w:tcPr>
            <w:tcW w:w="4369" w:type="dxa"/>
            <w:shd w:val="clear" w:color="auto" w:fill="FFFFFF"/>
            <w:vAlign w:val="center"/>
          </w:tcPr>
          <w:p w14:paraId="3D26299B">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IP网络功放终端3</w:t>
            </w:r>
          </w:p>
        </w:tc>
        <w:tc>
          <w:tcPr>
            <w:tcW w:w="1643" w:type="dxa"/>
            <w:shd w:val="clear" w:color="auto" w:fill="FFFFFF"/>
            <w:vAlign w:val="center"/>
          </w:tcPr>
          <w:p w14:paraId="3F2BFA6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28743D0">
            <w:pPr>
              <w:widowControl/>
              <w:jc w:val="center"/>
              <w:textAlignment w:val="bottom"/>
              <w:rPr>
                <w:rFonts w:hint="eastAsia" w:ascii="宋体" w:hAnsi="宋体" w:cs="宋体"/>
                <w:color w:val="000000"/>
                <w:szCs w:val="21"/>
              </w:rPr>
            </w:pPr>
            <w:r>
              <w:rPr>
                <w:rFonts w:hint="eastAsia" w:ascii="宋体" w:hAnsi="宋体" w:cs="宋体"/>
                <w:color w:val="000000"/>
                <w:szCs w:val="21"/>
              </w:rPr>
              <w:t>3</w:t>
            </w:r>
          </w:p>
        </w:tc>
      </w:tr>
      <w:tr w14:paraId="596344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6079C0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13</w:t>
            </w:r>
          </w:p>
        </w:tc>
        <w:tc>
          <w:tcPr>
            <w:tcW w:w="4369" w:type="dxa"/>
            <w:shd w:val="clear" w:color="auto" w:fill="FFFFFF"/>
            <w:vAlign w:val="center"/>
          </w:tcPr>
          <w:p w14:paraId="003C3009">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壁挂音箱</w:t>
            </w:r>
          </w:p>
        </w:tc>
        <w:tc>
          <w:tcPr>
            <w:tcW w:w="1643" w:type="dxa"/>
            <w:shd w:val="clear" w:color="auto" w:fill="FFFFFF"/>
            <w:vAlign w:val="center"/>
          </w:tcPr>
          <w:p w14:paraId="2BEBF760">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484691B9">
            <w:pPr>
              <w:widowControl/>
              <w:jc w:val="center"/>
              <w:textAlignment w:val="bottom"/>
              <w:rPr>
                <w:rFonts w:hint="eastAsia" w:ascii="宋体" w:hAnsi="宋体" w:cs="宋体"/>
                <w:color w:val="000000"/>
                <w:szCs w:val="21"/>
              </w:rPr>
            </w:pPr>
            <w:r>
              <w:rPr>
                <w:rFonts w:hint="eastAsia" w:ascii="宋体" w:hAnsi="宋体" w:cs="宋体"/>
                <w:color w:val="000000"/>
                <w:szCs w:val="21"/>
              </w:rPr>
              <w:t>131</w:t>
            </w:r>
          </w:p>
        </w:tc>
      </w:tr>
      <w:tr w14:paraId="72857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F3A40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14</w:t>
            </w:r>
          </w:p>
        </w:tc>
        <w:tc>
          <w:tcPr>
            <w:tcW w:w="4369" w:type="dxa"/>
            <w:shd w:val="clear" w:color="auto" w:fill="FFFFFF"/>
            <w:vAlign w:val="center"/>
          </w:tcPr>
          <w:p w14:paraId="15A7550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吸顶喇叭</w:t>
            </w:r>
          </w:p>
        </w:tc>
        <w:tc>
          <w:tcPr>
            <w:tcW w:w="1643" w:type="dxa"/>
            <w:shd w:val="clear" w:color="auto" w:fill="FFFFFF"/>
            <w:vAlign w:val="center"/>
          </w:tcPr>
          <w:p w14:paraId="5CF63A61">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4A6C9BF1">
            <w:pPr>
              <w:widowControl/>
              <w:jc w:val="center"/>
              <w:textAlignment w:val="bottom"/>
              <w:rPr>
                <w:rFonts w:hint="eastAsia" w:ascii="宋体" w:hAnsi="宋体" w:cs="宋体"/>
                <w:color w:val="000000"/>
                <w:szCs w:val="21"/>
              </w:rPr>
            </w:pPr>
            <w:r>
              <w:rPr>
                <w:rFonts w:hint="eastAsia" w:ascii="宋体" w:hAnsi="宋体" w:cs="宋体"/>
                <w:color w:val="000000"/>
                <w:szCs w:val="21"/>
              </w:rPr>
              <w:t>1</w:t>
            </w:r>
          </w:p>
        </w:tc>
      </w:tr>
      <w:tr w14:paraId="1183B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010C89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15</w:t>
            </w:r>
          </w:p>
        </w:tc>
        <w:tc>
          <w:tcPr>
            <w:tcW w:w="4369" w:type="dxa"/>
            <w:shd w:val="clear" w:color="auto" w:fill="FFFFFF"/>
            <w:vAlign w:val="center"/>
          </w:tcPr>
          <w:p w14:paraId="54BC6851">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音柱1</w:t>
            </w:r>
          </w:p>
        </w:tc>
        <w:tc>
          <w:tcPr>
            <w:tcW w:w="1643" w:type="dxa"/>
            <w:shd w:val="clear" w:color="auto" w:fill="FFFFFF"/>
            <w:vAlign w:val="center"/>
          </w:tcPr>
          <w:p w14:paraId="3E6E6F64">
            <w:pPr>
              <w:widowControl/>
              <w:jc w:val="center"/>
              <w:textAlignment w:val="bottom"/>
              <w:rPr>
                <w:rFonts w:hint="eastAsia" w:ascii="宋体" w:hAnsi="宋体" w:cs="宋体"/>
                <w:color w:val="000000"/>
                <w:szCs w:val="21"/>
              </w:rPr>
            </w:pPr>
            <w:r>
              <w:rPr>
                <w:rFonts w:hint="eastAsia" w:ascii="宋体" w:hAnsi="宋体" w:cs="宋体"/>
                <w:color w:val="000000"/>
                <w:szCs w:val="21"/>
              </w:rPr>
              <w:t>台</w:t>
            </w:r>
          </w:p>
        </w:tc>
        <w:tc>
          <w:tcPr>
            <w:tcW w:w="2028" w:type="dxa"/>
            <w:shd w:val="clear" w:color="auto" w:fill="FFFFFF"/>
            <w:vAlign w:val="center"/>
          </w:tcPr>
          <w:p w14:paraId="72DC0E3B">
            <w:pPr>
              <w:widowControl/>
              <w:jc w:val="center"/>
              <w:textAlignment w:val="bottom"/>
              <w:rPr>
                <w:rFonts w:hint="eastAsia" w:ascii="宋体" w:hAnsi="宋体" w:cs="宋体"/>
                <w:color w:val="000000"/>
                <w:szCs w:val="21"/>
              </w:rPr>
            </w:pPr>
            <w:r>
              <w:rPr>
                <w:rFonts w:hint="eastAsia" w:ascii="宋体" w:hAnsi="宋体" w:cs="宋体"/>
                <w:color w:val="000000"/>
                <w:szCs w:val="21"/>
              </w:rPr>
              <w:t>5</w:t>
            </w:r>
          </w:p>
        </w:tc>
      </w:tr>
      <w:tr w14:paraId="757BA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AC71E0">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szCs w:val="21"/>
              </w:rPr>
              <w:t>四（2）</w:t>
            </w:r>
          </w:p>
        </w:tc>
        <w:tc>
          <w:tcPr>
            <w:tcW w:w="4369" w:type="dxa"/>
            <w:shd w:val="clear" w:color="auto" w:fill="FFFFFF"/>
            <w:vAlign w:val="center"/>
          </w:tcPr>
          <w:p w14:paraId="0D255C7C">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广播分中心（操场设备）</w:t>
            </w:r>
          </w:p>
        </w:tc>
        <w:tc>
          <w:tcPr>
            <w:tcW w:w="1643" w:type="dxa"/>
            <w:shd w:val="clear" w:color="auto" w:fill="FFFFFF"/>
            <w:vAlign w:val="center"/>
          </w:tcPr>
          <w:p w14:paraId="1E99AB23">
            <w:pPr>
              <w:widowControl/>
              <w:jc w:val="center"/>
              <w:textAlignment w:val="bottom"/>
              <w:rPr>
                <w:rFonts w:hint="eastAsia" w:ascii="宋体" w:hAnsi="宋体" w:cs="宋体"/>
                <w:color w:val="000000"/>
                <w:szCs w:val="21"/>
              </w:rPr>
            </w:pPr>
          </w:p>
        </w:tc>
        <w:tc>
          <w:tcPr>
            <w:tcW w:w="2028" w:type="dxa"/>
            <w:shd w:val="clear" w:color="auto" w:fill="FFFFFF"/>
            <w:vAlign w:val="center"/>
          </w:tcPr>
          <w:p w14:paraId="1836B552">
            <w:pPr>
              <w:widowControl/>
              <w:jc w:val="center"/>
              <w:textAlignment w:val="bottom"/>
              <w:rPr>
                <w:rFonts w:hint="eastAsia" w:ascii="宋体" w:hAnsi="宋体" w:cs="宋体"/>
                <w:color w:val="000000"/>
                <w:szCs w:val="21"/>
              </w:rPr>
            </w:pPr>
          </w:p>
        </w:tc>
      </w:tr>
      <w:tr w14:paraId="1DB066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FE1326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0E409AB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IP终端</w:t>
            </w:r>
          </w:p>
        </w:tc>
        <w:tc>
          <w:tcPr>
            <w:tcW w:w="1643" w:type="dxa"/>
            <w:shd w:val="clear" w:color="auto" w:fill="FFFFFF"/>
            <w:vAlign w:val="center"/>
          </w:tcPr>
          <w:p w14:paraId="6A0C323C">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4F00FAD">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748E82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0B83A9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2A1B1BD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控制终端</w:t>
            </w:r>
          </w:p>
        </w:tc>
        <w:tc>
          <w:tcPr>
            <w:tcW w:w="1643" w:type="dxa"/>
            <w:shd w:val="clear" w:color="auto" w:fill="FFFFFF"/>
            <w:vAlign w:val="center"/>
          </w:tcPr>
          <w:p w14:paraId="0F5613D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EBD7A6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9728D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720FA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06D2298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IP网络广播系统分控软件</w:t>
            </w:r>
          </w:p>
        </w:tc>
        <w:tc>
          <w:tcPr>
            <w:tcW w:w="1643" w:type="dxa"/>
            <w:shd w:val="clear" w:color="auto" w:fill="FFFFFF"/>
            <w:vAlign w:val="center"/>
          </w:tcPr>
          <w:p w14:paraId="420F0CD3">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123001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810A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BF46B0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7683FD1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IP网络音箱</w:t>
            </w:r>
          </w:p>
        </w:tc>
        <w:tc>
          <w:tcPr>
            <w:tcW w:w="1643" w:type="dxa"/>
            <w:shd w:val="clear" w:color="auto" w:fill="FFFFFF"/>
            <w:vAlign w:val="center"/>
          </w:tcPr>
          <w:p w14:paraId="357EF86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B1A785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E6175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70823A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2C2B5A7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调音台</w:t>
            </w:r>
          </w:p>
        </w:tc>
        <w:tc>
          <w:tcPr>
            <w:tcW w:w="1643" w:type="dxa"/>
            <w:shd w:val="clear" w:color="auto" w:fill="FFFFFF"/>
            <w:vAlign w:val="center"/>
          </w:tcPr>
          <w:p w14:paraId="0A68149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26AFF2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DDB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C0445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121874A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无线寻呼话筒</w:t>
            </w:r>
          </w:p>
        </w:tc>
        <w:tc>
          <w:tcPr>
            <w:tcW w:w="1643" w:type="dxa"/>
            <w:shd w:val="clear" w:color="auto" w:fill="FFFFFF"/>
            <w:vAlign w:val="center"/>
          </w:tcPr>
          <w:p w14:paraId="3205590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FFBCF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0CB63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C12D52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62937B4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无线话筒</w:t>
            </w:r>
          </w:p>
        </w:tc>
        <w:tc>
          <w:tcPr>
            <w:tcW w:w="1643" w:type="dxa"/>
            <w:shd w:val="clear" w:color="auto" w:fill="FFFFFF"/>
            <w:vAlign w:val="center"/>
          </w:tcPr>
          <w:p w14:paraId="59C95E8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B67A11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A1F93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FC1D7F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49F52B3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天线分配器</w:t>
            </w:r>
          </w:p>
        </w:tc>
        <w:tc>
          <w:tcPr>
            <w:tcW w:w="1643" w:type="dxa"/>
            <w:shd w:val="clear" w:color="auto" w:fill="FFFFFF"/>
            <w:vAlign w:val="center"/>
          </w:tcPr>
          <w:p w14:paraId="0A2DA24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384537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E73C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00E37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9</w:t>
            </w:r>
          </w:p>
        </w:tc>
        <w:tc>
          <w:tcPr>
            <w:tcW w:w="4369" w:type="dxa"/>
            <w:shd w:val="clear" w:color="auto" w:fill="FFFFFF"/>
            <w:vAlign w:val="center"/>
          </w:tcPr>
          <w:p w14:paraId="30D1B34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话筒天线</w:t>
            </w:r>
          </w:p>
        </w:tc>
        <w:tc>
          <w:tcPr>
            <w:tcW w:w="1643" w:type="dxa"/>
            <w:shd w:val="clear" w:color="auto" w:fill="FFFFFF"/>
            <w:vAlign w:val="center"/>
          </w:tcPr>
          <w:p w14:paraId="1D4DE060">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2D3E9BE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9FB8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780DFC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10</w:t>
            </w:r>
          </w:p>
        </w:tc>
        <w:tc>
          <w:tcPr>
            <w:tcW w:w="4369" w:type="dxa"/>
            <w:shd w:val="clear" w:color="auto" w:fill="FFFFFF"/>
            <w:vAlign w:val="center"/>
          </w:tcPr>
          <w:p w14:paraId="79FD159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放大器</w:t>
            </w:r>
          </w:p>
        </w:tc>
        <w:tc>
          <w:tcPr>
            <w:tcW w:w="1643" w:type="dxa"/>
            <w:shd w:val="clear" w:color="auto" w:fill="FFFFFF"/>
            <w:vAlign w:val="center"/>
          </w:tcPr>
          <w:p w14:paraId="50A3F3C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1EA7D2A">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637B8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39005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11</w:t>
            </w:r>
          </w:p>
        </w:tc>
        <w:tc>
          <w:tcPr>
            <w:tcW w:w="4369" w:type="dxa"/>
            <w:shd w:val="clear" w:color="auto" w:fill="FFFFFF"/>
            <w:vAlign w:val="center"/>
          </w:tcPr>
          <w:p w14:paraId="61A3F0F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纯后级功放</w:t>
            </w:r>
          </w:p>
        </w:tc>
        <w:tc>
          <w:tcPr>
            <w:tcW w:w="1643" w:type="dxa"/>
            <w:shd w:val="clear" w:color="auto" w:fill="FFFFFF"/>
            <w:vAlign w:val="center"/>
          </w:tcPr>
          <w:p w14:paraId="6274BC0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AC2E62F">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48870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D30498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12</w:t>
            </w:r>
          </w:p>
        </w:tc>
        <w:tc>
          <w:tcPr>
            <w:tcW w:w="4369" w:type="dxa"/>
            <w:shd w:val="clear" w:color="auto" w:fill="FFFFFF"/>
            <w:vAlign w:val="center"/>
          </w:tcPr>
          <w:p w14:paraId="1D7FE70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音柱2</w:t>
            </w:r>
          </w:p>
        </w:tc>
        <w:tc>
          <w:tcPr>
            <w:tcW w:w="1643" w:type="dxa"/>
            <w:shd w:val="clear" w:color="auto" w:fill="FFFFFF"/>
            <w:vAlign w:val="center"/>
          </w:tcPr>
          <w:p w14:paraId="3E18CA79">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12A8E825">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44D6A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293F7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13</w:t>
            </w:r>
          </w:p>
        </w:tc>
        <w:tc>
          <w:tcPr>
            <w:tcW w:w="4369" w:type="dxa"/>
            <w:shd w:val="clear" w:color="auto" w:fill="FFFFFF"/>
            <w:vAlign w:val="center"/>
          </w:tcPr>
          <w:p w14:paraId="19D5C26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4C5602F7">
            <w:pPr>
              <w:widowControl/>
              <w:jc w:val="center"/>
              <w:textAlignment w:val="bottom"/>
              <w:rPr>
                <w:rFonts w:hint="eastAsia" w:ascii="宋体" w:hAnsi="宋体" w:cs="宋体"/>
                <w:color w:val="000000"/>
                <w:szCs w:val="21"/>
              </w:rPr>
            </w:pPr>
            <w:r>
              <w:rPr>
                <w:rFonts w:hint="eastAsia" w:ascii="宋体" w:hAnsi="宋体" w:cs="宋体"/>
                <w:kern w:val="0"/>
                <w:sz w:val="20"/>
                <w:szCs w:val="20"/>
              </w:rPr>
              <w:t>支</w:t>
            </w:r>
          </w:p>
        </w:tc>
        <w:tc>
          <w:tcPr>
            <w:tcW w:w="2028" w:type="dxa"/>
            <w:shd w:val="clear" w:color="auto" w:fill="FFFFFF"/>
            <w:vAlign w:val="center"/>
          </w:tcPr>
          <w:p w14:paraId="078ACCA2">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6D6A0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9B7DC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14</w:t>
            </w:r>
          </w:p>
        </w:tc>
        <w:tc>
          <w:tcPr>
            <w:tcW w:w="4369" w:type="dxa"/>
            <w:shd w:val="clear" w:color="auto" w:fill="FFFFFF"/>
            <w:vAlign w:val="center"/>
          </w:tcPr>
          <w:p w14:paraId="79682B2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数字功放</w:t>
            </w:r>
          </w:p>
        </w:tc>
        <w:tc>
          <w:tcPr>
            <w:tcW w:w="1643" w:type="dxa"/>
            <w:shd w:val="clear" w:color="auto" w:fill="FFFFFF"/>
            <w:vAlign w:val="center"/>
          </w:tcPr>
          <w:p w14:paraId="622B506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0B86B34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105C4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FB5064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15</w:t>
            </w:r>
          </w:p>
        </w:tc>
        <w:tc>
          <w:tcPr>
            <w:tcW w:w="4369" w:type="dxa"/>
            <w:shd w:val="clear" w:color="auto" w:fill="FFFFFF"/>
            <w:vAlign w:val="center"/>
          </w:tcPr>
          <w:p w14:paraId="1855343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音柱3</w:t>
            </w:r>
          </w:p>
        </w:tc>
        <w:tc>
          <w:tcPr>
            <w:tcW w:w="1643" w:type="dxa"/>
            <w:shd w:val="clear" w:color="auto" w:fill="FFFFFF"/>
            <w:vAlign w:val="center"/>
          </w:tcPr>
          <w:p w14:paraId="63E2465B">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3E7B7299">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25069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92FC8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16</w:t>
            </w:r>
          </w:p>
        </w:tc>
        <w:tc>
          <w:tcPr>
            <w:tcW w:w="4369" w:type="dxa"/>
            <w:shd w:val="clear" w:color="auto" w:fill="FFFFFF"/>
            <w:vAlign w:val="center"/>
          </w:tcPr>
          <w:p w14:paraId="10863FC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07BD436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201728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CC217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A079C7">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w:t>
            </w:r>
          </w:p>
        </w:tc>
        <w:tc>
          <w:tcPr>
            <w:tcW w:w="4369" w:type="dxa"/>
            <w:shd w:val="clear" w:color="auto" w:fill="FFFFFF"/>
            <w:vAlign w:val="center"/>
          </w:tcPr>
          <w:p w14:paraId="799F6EE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校园音视频系统</w:t>
            </w:r>
          </w:p>
        </w:tc>
        <w:tc>
          <w:tcPr>
            <w:tcW w:w="1643" w:type="dxa"/>
            <w:shd w:val="clear" w:color="auto" w:fill="FFFFFF"/>
            <w:vAlign w:val="center"/>
          </w:tcPr>
          <w:p w14:paraId="348D15AC">
            <w:pPr>
              <w:widowControl/>
              <w:jc w:val="center"/>
              <w:textAlignment w:val="bottom"/>
              <w:rPr>
                <w:rFonts w:hint="eastAsia" w:ascii="宋体" w:hAnsi="宋体" w:cs="宋体"/>
                <w:color w:val="000000"/>
                <w:szCs w:val="21"/>
              </w:rPr>
            </w:pPr>
          </w:p>
        </w:tc>
        <w:tc>
          <w:tcPr>
            <w:tcW w:w="2028" w:type="dxa"/>
            <w:shd w:val="clear" w:color="auto" w:fill="FFFFFF"/>
            <w:vAlign w:val="center"/>
          </w:tcPr>
          <w:p w14:paraId="6104CAFE">
            <w:pPr>
              <w:widowControl/>
              <w:jc w:val="center"/>
              <w:textAlignment w:val="bottom"/>
              <w:rPr>
                <w:rFonts w:hint="eastAsia" w:ascii="宋体" w:hAnsi="宋体" w:cs="宋体"/>
                <w:color w:val="000000"/>
                <w:szCs w:val="21"/>
              </w:rPr>
            </w:pPr>
          </w:p>
        </w:tc>
      </w:tr>
      <w:tr w14:paraId="0397BA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3AFA9F">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五（1）</w:t>
            </w:r>
          </w:p>
        </w:tc>
        <w:tc>
          <w:tcPr>
            <w:tcW w:w="4369" w:type="dxa"/>
            <w:shd w:val="clear" w:color="auto" w:fill="FFFFFF"/>
            <w:vAlign w:val="center"/>
          </w:tcPr>
          <w:p w14:paraId="455765D1">
            <w:pPr>
              <w:widowControl/>
              <w:jc w:val="left"/>
              <w:textAlignment w:val="center"/>
              <w:rPr>
                <w:rFonts w:hint="eastAsia" w:ascii="宋体" w:hAnsi="宋体" w:cs="宋体"/>
                <w:b/>
                <w:bCs/>
                <w:kern w:val="0"/>
                <w:sz w:val="20"/>
                <w:szCs w:val="20"/>
              </w:rPr>
            </w:pPr>
            <w:r>
              <w:rPr>
                <w:rFonts w:hint="eastAsia" w:ascii="宋体" w:hAnsi="宋体" w:cs="宋体"/>
                <w:b/>
                <w:bCs/>
                <w:kern w:val="0"/>
                <w:sz w:val="20"/>
                <w:szCs w:val="20"/>
              </w:rPr>
              <w:t>报告厅视频显示系统</w:t>
            </w:r>
          </w:p>
        </w:tc>
        <w:tc>
          <w:tcPr>
            <w:tcW w:w="1643" w:type="dxa"/>
            <w:shd w:val="clear" w:color="auto" w:fill="FFFFFF"/>
            <w:vAlign w:val="center"/>
          </w:tcPr>
          <w:p w14:paraId="22B96FEC">
            <w:pPr>
              <w:widowControl/>
              <w:jc w:val="center"/>
              <w:textAlignment w:val="center"/>
              <w:rPr>
                <w:rFonts w:hint="eastAsia" w:ascii="宋体" w:hAnsi="宋体" w:cs="宋体"/>
                <w:b/>
                <w:bCs/>
                <w:color w:val="000000"/>
                <w:kern w:val="0"/>
                <w:sz w:val="22"/>
                <w:szCs w:val="22"/>
                <w:lang w:bidi="ar"/>
              </w:rPr>
            </w:pPr>
          </w:p>
        </w:tc>
        <w:tc>
          <w:tcPr>
            <w:tcW w:w="2028" w:type="dxa"/>
            <w:shd w:val="clear" w:color="auto" w:fill="FFFFFF"/>
            <w:vAlign w:val="center"/>
          </w:tcPr>
          <w:p w14:paraId="3609E658">
            <w:pPr>
              <w:widowControl/>
              <w:jc w:val="center"/>
              <w:textAlignment w:val="center"/>
              <w:rPr>
                <w:rFonts w:hint="eastAsia" w:ascii="宋体" w:hAnsi="宋体" w:cs="宋体"/>
                <w:b/>
                <w:bCs/>
                <w:color w:val="000000"/>
                <w:kern w:val="0"/>
                <w:sz w:val="22"/>
                <w:szCs w:val="22"/>
                <w:lang w:bidi="ar"/>
              </w:rPr>
            </w:pPr>
          </w:p>
        </w:tc>
      </w:tr>
      <w:tr w14:paraId="49528F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13F86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713535F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74CBC55D">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3E8E1E8D">
            <w:pPr>
              <w:widowControl/>
              <w:jc w:val="center"/>
              <w:textAlignment w:val="bottom"/>
              <w:rPr>
                <w:rFonts w:hint="eastAsia" w:ascii="宋体" w:hAnsi="宋体" w:cs="宋体"/>
                <w:kern w:val="0"/>
                <w:sz w:val="20"/>
                <w:szCs w:val="20"/>
              </w:rPr>
            </w:pPr>
            <w:r>
              <w:rPr>
                <w:rFonts w:hint="eastAsia" w:ascii="宋体" w:hAnsi="宋体" w:cs="宋体"/>
                <w:kern w:val="0"/>
                <w:sz w:val="20"/>
                <w:szCs w:val="20"/>
              </w:rPr>
              <w:t>29.44</w:t>
            </w:r>
          </w:p>
        </w:tc>
      </w:tr>
      <w:tr w14:paraId="0DFFD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4204D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60D09CA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配件包组件（电源）</w:t>
            </w:r>
          </w:p>
        </w:tc>
        <w:tc>
          <w:tcPr>
            <w:tcW w:w="1643" w:type="dxa"/>
            <w:shd w:val="clear" w:color="auto" w:fill="FFFFFF"/>
            <w:vAlign w:val="center"/>
          </w:tcPr>
          <w:p w14:paraId="10F857E2">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A529106">
            <w:pPr>
              <w:widowControl/>
              <w:jc w:val="center"/>
              <w:textAlignment w:val="bottom"/>
              <w:rPr>
                <w:rFonts w:hint="eastAsia" w:ascii="宋体" w:hAnsi="宋体" w:cs="宋体"/>
                <w:color w:val="000000"/>
                <w:szCs w:val="21"/>
              </w:rPr>
            </w:pPr>
            <w:r>
              <w:rPr>
                <w:rFonts w:hint="eastAsia" w:ascii="宋体" w:hAnsi="宋体" w:cs="宋体"/>
                <w:kern w:val="0"/>
                <w:sz w:val="20"/>
                <w:szCs w:val="20"/>
              </w:rPr>
              <w:t>96</w:t>
            </w:r>
          </w:p>
        </w:tc>
      </w:tr>
      <w:tr w14:paraId="5900DD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D81C4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496B38C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接收卡</w:t>
            </w:r>
          </w:p>
        </w:tc>
        <w:tc>
          <w:tcPr>
            <w:tcW w:w="1643" w:type="dxa"/>
            <w:shd w:val="clear" w:color="auto" w:fill="FFFFFF"/>
            <w:vAlign w:val="center"/>
          </w:tcPr>
          <w:p w14:paraId="66B55519">
            <w:pPr>
              <w:widowControl/>
              <w:jc w:val="center"/>
              <w:textAlignment w:val="bottom"/>
              <w:rPr>
                <w:rFonts w:hint="eastAsia" w:ascii="宋体" w:hAnsi="宋体" w:cs="宋体"/>
                <w:color w:val="000000"/>
                <w:szCs w:val="21"/>
              </w:rPr>
            </w:pPr>
            <w:r>
              <w:rPr>
                <w:rFonts w:hint="eastAsia" w:ascii="宋体" w:hAnsi="宋体" w:cs="宋体"/>
                <w:kern w:val="0"/>
                <w:sz w:val="20"/>
                <w:szCs w:val="20"/>
              </w:rPr>
              <w:t>张</w:t>
            </w:r>
          </w:p>
        </w:tc>
        <w:tc>
          <w:tcPr>
            <w:tcW w:w="2028" w:type="dxa"/>
            <w:shd w:val="clear" w:color="auto" w:fill="FFFFFF"/>
            <w:vAlign w:val="center"/>
          </w:tcPr>
          <w:p w14:paraId="3BFA6A7C">
            <w:pPr>
              <w:widowControl/>
              <w:jc w:val="center"/>
              <w:textAlignment w:val="bottom"/>
              <w:rPr>
                <w:rFonts w:hint="eastAsia" w:ascii="宋体" w:hAnsi="宋体" w:cs="宋体"/>
                <w:color w:val="000000"/>
                <w:szCs w:val="21"/>
              </w:rPr>
            </w:pPr>
            <w:r>
              <w:rPr>
                <w:rFonts w:hint="eastAsia" w:ascii="宋体" w:hAnsi="宋体" w:cs="宋体"/>
                <w:kern w:val="0"/>
                <w:sz w:val="20"/>
                <w:szCs w:val="20"/>
              </w:rPr>
              <w:t>50</w:t>
            </w:r>
          </w:p>
        </w:tc>
      </w:tr>
      <w:tr w14:paraId="6DE49E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6C558F8">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32D06C2B">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高清视频处理器</w:t>
            </w:r>
          </w:p>
        </w:tc>
        <w:tc>
          <w:tcPr>
            <w:tcW w:w="1643" w:type="dxa"/>
            <w:shd w:val="clear" w:color="auto" w:fill="FFFFFF"/>
            <w:vAlign w:val="center"/>
          </w:tcPr>
          <w:p w14:paraId="4D54044F">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BA070B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ED8E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4FAA20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5B794F3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播控服务器</w:t>
            </w:r>
          </w:p>
        </w:tc>
        <w:tc>
          <w:tcPr>
            <w:tcW w:w="1643" w:type="dxa"/>
            <w:shd w:val="clear" w:color="auto" w:fill="FFFFFF"/>
            <w:vAlign w:val="center"/>
          </w:tcPr>
          <w:p w14:paraId="12EE2DB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A232D3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6CE1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8A073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08F95A8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配电柜</w:t>
            </w:r>
          </w:p>
        </w:tc>
        <w:tc>
          <w:tcPr>
            <w:tcW w:w="1643" w:type="dxa"/>
            <w:shd w:val="clear" w:color="auto" w:fill="FFFFFF"/>
            <w:vAlign w:val="center"/>
          </w:tcPr>
          <w:p w14:paraId="7B301E08">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7EB8F96">
            <w:pPr>
              <w:widowControl/>
              <w:jc w:val="center"/>
              <w:rPr>
                <w:rFonts w:hint="eastAsia" w:ascii="宋体" w:hAnsi="宋体" w:cs="宋体"/>
                <w:color w:val="000000"/>
                <w:kern w:val="0"/>
                <w:sz w:val="22"/>
                <w:szCs w:val="22"/>
              </w:rPr>
            </w:pPr>
            <w:r>
              <w:drawing>
                <wp:anchor distT="0" distB="0" distL="114300" distR="114300" simplePos="0" relativeHeight="25166336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8" name="图片 4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46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438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4" name="图片 4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46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540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0" name="图片 4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46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643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7" name="图片 4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6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745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3" name="图片 4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6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848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4" name="图片 4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46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6950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4" name="图片 4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5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052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5" name="图片 4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45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155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9" name="图片 4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5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257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9" name="图片 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45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360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0" name="图片 4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5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462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5" name="图片 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5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564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2" name="图片 4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45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667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2" name="图片 4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5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769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2" name="图片 4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45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872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0" name="图片 4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45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7974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6" name="图片 4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4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076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6" name="图片 4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44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179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3" name="图片 4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44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281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1" name="图片 4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44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384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3" name="图片 4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44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486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5" name="图片 4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44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588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6" name="图片 4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44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691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8" name="图片 4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44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793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7" name="图片 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44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896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8" name="图片 4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44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8998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9" name="图片 4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43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100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60" name="图片 4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43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203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7" name="图片 4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43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305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6" name="图片 4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43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408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9" name="图片 4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43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510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4" name="图片 4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43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612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 name="图片 4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3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715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3" name="图片 4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43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817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9" name="图片 4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43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69920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7" name="图片 4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43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022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7" name="图片 4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图片 42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124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4" name="图片 4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2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227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8" name="图片 4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427"/>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329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5" name="图片 4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426"/>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432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1" name="图片 4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425"/>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534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5" name="图片 4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424"/>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636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8" name="图片 4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423"/>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7392"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3" name="图片 4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422"/>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8416"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22" name="图片 4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421"/>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09440"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1" name="图片 4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420"/>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10464"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6" name="图片 4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19"/>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drawing>
                <wp:anchor distT="0" distB="0" distL="114300" distR="114300" simplePos="0" relativeHeight="251711488" behindDoc="0" locked="0" layoutInCell="1" allowOverlap="1">
                  <wp:simplePos x="0" y="0"/>
                  <wp:positionH relativeFrom="column">
                    <wp:posOffset>0</wp:posOffset>
                  </wp:positionH>
                  <wp:positionV relativeFrom="paragraph">
                    <wp:posOffset>0</wp:posOffset>
                  </wp:positionV>
                  <wp:extent cx="19050" cy="38100"/>
                  <wp:effectExtent l="0" t="0" r="11430" b="7620"/>
                  <wp:wrapNone/>
                  <wp:docPr id="10" name="图片 4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418"/>
                          <pic:cNvPicPr>
                            <a:picLocks noChangeAspect="1"/>
                          </pic:cNvPicPr>
                        </pic:nvPicPr>
                        <pic:blipFill>
                          <a:blip r:embed="rId22"/>
                          <a:stretch>
                            <a:fillRect/>
                          </a:stretch>
                        </pic:blipFill>
                        <pic:spPr>
                          <a:xfrm>
                            <a:off x="0" y="0"/>
                            <a:ext cx="19050" cy="38100"/>
                          </a:xfrm>
                          <a:prstGeom prst="rect">
                            <a:avLst/>
                          </a:prstGeom>
                          <a:noFill/>
                          <a:ln>
                            <a:noFill/>
                          </a:ln>
                        </pic:spPr>
                      </pic:pic>
                    </a:graphicData>
                  </a:graphic>
                </wp:anchor>
              </w:drawing>
            </w:r>
            <w:r>
              <w:rPr>
                <w:rFonts w:hint="eastAsia" w:ascii="宋体" w:hAnsi="宋体" w:cs="宋体"/>
                <w:color w:val="000000"/>
                <w:kern w:val="0"/>
                <w:sz w:val="22"/>
                <w:szCs w:val="22"/>
              </w:rPr>
              <w:t>1</w:t>
            </w:r>
          </w:p>
          <w:p w14:paraId="197C952C">
            <w:pPr>
              <w:widowControl/>
              <w:jc w:val="center"/>
              <w:textAlignment w:val="bottom"/>
              <w:rPr>
                <w:rFonts w:hint="eastAsia" w:ascii="宋体" w:hAnsi="宋体" w:cs="宋体"/>
                <w:color w:val="000000"/>
                <w:szCs w:val="21"/>
              </w:rPr>
            </w:pPr>
          </w:p>
        </w:tc>
      </w:tr>
      <w:tr w14:paraId="774038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5C802A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520096E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钢结构以及金属包边</w:t>
            </w:r>
          </w:p>
        </w:tc>
        <w:tc>
          <w:tcPr>
            <w:tcW w:w="1643" w:type="dxa"/>
            <w:shd w:val="clear" w:color="auto" w:fill="FFFFFF"/>
            <w:vAlign w:val="center"/>
          </w:tcPr>
          <w:p w14:paraId="3716294A">
            <w:pPr>
              <w:widowControl/>
              <w:jc w:val="center"/>
              <w:textAlignment w:val="bottom"/>
              <w:rPr>
                <w:rFonts w:hint="eastAsia" w:ascii="宋体" w:hAnsi="宋体" w:cs="宋体"/>
                <w:color w:val="000000"/>
                <w:szCs w:val="21"/>
              </w:rPr>
            </w:pPr>
            <w:r>
              <w:rPr>
                <w:rFonts w:hint="eastAsia" w:ascii="宋体" w:hAnsi="宋体" w:cs="宋体"/>
                <w:kern w:val="0"/>
                <w:sz w:val="20"/>
                <w:szCs w:val="20"/>
              </w:rPr>
              <w:t>平方</w:t>
            </w:r>
          </w:p>
        </w:tc>
        <w:tc>
          <w:tcPr>
            <w:tcW w:w="2028" w:type="dxa"/>
            <w:shd w:val="clear" w:color="auto" w:fill="FFFFFF"/>
            <w:vAlign w:val="center"/>
          </w:tcPr>
          <w:p w14:paraId="459BBD82">
            <w:pPr>
              <w:widowControl/>
              <w:jc w:val="center"/>
              <w:textAlignment w:val="bottom"/>
              <w:rPr>
                <w:rFonts w:hint="eastAsia" w:ascii="宋体" w:hAnsi="宋体" w:cs="宋体"/>
                <w:color w:val="000000"/>
                <w:szCs w:val="21"/>
              </w:rPr>
            </w:pPr>
            <w:r>
              <w:rPr>
                <w:rFonts w:hint="eastAsia" w:ascii="宋体" w:hAnsi="宋体" w:cs="宋体"/>
                <w:kern w:val="0"/>
                <w:sz w:val="20"/>
                <w:szCs w:val="20"/>
              </w:rPr>
              <w:t>29.44</w:t>
            </w:r>
          </w:p>
        </w:tc>
      </w:tr>
      <w:tr w14:paraId="5B8382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21784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4F7A41A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638318FA">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00FB4A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2C7E4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99AD5A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9</w:t>
            </w:r>
          </w:p>
        </w:tc>
        <w:tc>
          <w:tcPr>
            <w:tcW w:w="4369" w:type="dxa"/>
            <w:shd w:val="clear" w:color="auto" w:fill="FFFFFF"/>
            <w:vAlign w:val="center"/>
          </w:tcPr>
          <w:p w14:paraId="75C8355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安装\调试\培训</w:t>
            </w:r>
          </w:p>
        </w:tc>
        <w:tc>
          <w:tcPr>
            <w:tcW w:w="1643" w:type="dxa"/>
            <w:shd w:val="clear" w:color="auto" w:fill="FFFFFF"/>
            <w:vAlign w:val="center"/>
          </w:tcPr>
          <w:p w14:paraId="5122BE46">
            <w:pPr>
              <w:widowControl/>
              <w:jc w:val="center"/>
              <w:textAlignment w:val="bottom"/>
              <w:rPr>
                <w:rFonts w:hint="eastAsia" w:ascii="宋体" w:hAnsi="宋体" w:cs="宋体"/>
                <w:color w:val="000000"/>
                <w:szCs w:val="21"/>
              </w:rPr>
            </w:pPr>
            <w:r>
              <w:rPr>
                <w:rFonts w:hint="eastAsia" w:ascii="宋体" w:hAnsi="宋体" w:cs="宋体"/>
                <w:kern w:val="0"/>
                <w:sz w:val="20"/>
                <w:szCs w:val="20"/>
              </w:rPr>
              <w:t>平方</w:t>
            </w:r>
          </w:p>
        </w:tc>
        <w:tc>
          <w:tcPr>
            <w:tcW w:w="2028" w:type="dxa"/>
            <w:shd w:val="clear" w:color="auto" w:fill="FFFFFF"/>
            <w:vAlign w:val="center"/>
          </w:tcPr>
          <w:p w14:paraId="6696C7C6">
            <w:pPr>
              <w:widowControl/>
              <w:jc w:val="center"/>
              <w:textAlignment w:val="bottom"/>
              <w:rPr>
                <w:rFonts w:hint="eastAsia" w:ascii="宋体" w:hAnsi="宋体" w:cs="宋体"/>
                <w:color w:val="000000"/>
                <w:szCs w:val="21"/>
              </w:rPr>
            </w:pPr>
            <w:r>
              <w:rPr>
                <w:rFonts w:hint="eastAsia" w:ascii="宋体" w:hAnsi="宋体" w:cs="宋体"/>
                <w:kern w:val="0"/>
                <w:sz w:val="20"/>
                <w:szCs w:val="20"/>
              </w:rPr>
              <w:t>29.44</w:t>
            </w:r>
          </w:p>
        </w:tc>
      </w:tr>
      <w:tr w14:paraId="4C3D05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081D7D">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五（2）</w:t>
            </w:r>
          </w:p>
        </w:tc>
        <w:tc>
          <w:tcPr>
            <w:tcW w:w="4369" w:type="dxa"/>
            <w:shd w:val="clear" w:color="auto" w:fill="FFFFFF"/>
            <w:vAlign w:val="center"/>
          </w:tcPr>
          <w:p w14:paraId="4CA5C695">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报告厅会标横屏</w:t>
            </w:r>
          </w:p>
        </w:tc>
        <w:tc>
          <w:tcPr>
            <w:tcW w:w="1643" w:type="dxa"/>
            <w:shd w:val="clear" w:color="auto" w:fill="FFFFFF"/>
            <w:vAlign w:val="center"/>
          </w:tcPr>
          <w:p w14:paraId="19E58985">
            <w:pPr>
              <w:widowControl/>
              <w:jc w:val="center"/>
              <w:textAlignment w:val="bottom"/>
              <w:rPr>
                <w:rFonts w:hint="eastAsia" w:ascii="宋体" w:hAnsi="宋体" w:cs="宋体"/>
                <w:color w:val="000000"/>
                <w:szCs w:val="21"/>
              </w:rPr>
            </w:pPr>
          </w:p>
        </w:tc>
        <w:tc>
          <w:tcPr>
            <w:tcW w:w="2028" w:type="dxa"/>
            <w:shd w:val="clear" w:color="auto" w:fill="FFFFFF"/>
            <w:vAlign w:val="center"/>
          </w:tcPr>
          <w:p w14:paraId="5F93DF3A">
            <w:pPr>
              <w:widowControl/>
              <w:jc w:val="center"/>
              <w:textAlignment w:val="bottom"/>
              <w:rPr>
                <w:rFonts w:hint="eastAsia" w:ascii="宋体" w:hAnsi="宋体" w:cs="宋体"/>
                <w:color w:val="000000"/>
                <w:szCs w:val="21"/>
              </w:rPr>
            </w:pPr>
          </w:p>
        </w:tc>
      </w:tr>
      <w:tr w14:paraId="3C8C74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95AC7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4102376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单色屏</w:t>
            </w:r>
          </w:p>
        </w:tc>
        <w:tc>
          <w:tcPr>
            <w:tcW w:w="1643" w:type="dxa"/>
            <w:shd w:val="clear" w:color="auto" w:fill="FFFFFF"/>
            <w:vAlign w:val="center"/>
          </w:tcPr>
          <w:p w14:paraId="48EA86FB">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0B428D58">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6E507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3EBB44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33865AC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控制卡</w:t>
            </w:r>
          </w:p>
        </w:tc>
        <w:tc>
          <w:tcPr>
            <w:tcW w:w="1643" w:type="dxa"/>
            <w:shd w:val="clear" w:color="auto" w:fill="FFFFFF"/>
            <w:vAlign w:val="center"/>
          </w:tcPr>
          <w:p w14:paraId="74649864">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ABB7A5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0C900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C1701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78B81DE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配套软件</w:t>
            </w:r>
          </w:p>
        </w:tc>
        <w:tc>
          <w:tcPr>
            <w:tcW w:w="1643" w:type="dxa"/>
            <w:shd w:val="clear" w:color="auto" w:fill="FFFFFF"/>
            <w:vAlign w:val="center"/>
          </w:tcPr>
          <w:p w14:paraId="462D661C">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47C12AD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021E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D623859">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4CED9F9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741C91E7">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0F2AB08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ED2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27CFE1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43DD533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钢结构包边</w:t>
            </w:r>
          </w:p>
        </w:tc>
        <w:tc>
          <w:tcPr>
            <w:tcW w:w="1643" w:type="dxa"/>
            <w:shd w:val="clear" w:color="auto" w:fill="FFFFFF"/>
            <w:vAlign w:val="center"/>
          </w:tcPr>
          <w:p w14:paraId="1CE63FD6">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6DB99A1F">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7A8F5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449DA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220C0E2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安装\调试\培训</w:t>
            </w:r>
          </w:p>
        </w:tc>
        <w:tc>
          <w:tcPr>
            <w:tcW w:w="1643" w:type="dxa"/>
            <w:shd w:val="clear" w:color="auto" w:fill="FFFFFF"/>
            <w:vAlign w:val="center"/>
          </w:tcPr>
          <w:p w14:paraId="47F989D0">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226EF276">
            <w:pPr>
              <w:widowControl/>
              <w:jc w:val="center"/>
              <w:textAlignment w:val="bottom"/>
              <w:rPr>
                <w:rFonts w:hint="eastAsia" w:ascii="宋体" w:hAnsi="宋体" w:cs="宋体"/>
                <w:color w:val="000000"/>
                <w:szCs w:val="21"/>
              </w:rPr>
            </w:pPr>
            <w:r>
              <w:rPr>
                <w:rFonts w:hint="eastAsia" w:ascii="宋体" w:hAnsi="宋体" w:cs="宋体"/>
                <w:kern w:val="0"/>
                <w:sz w:val="20"/>
                <w:szCs w:val="20"/>
              </w:rPr>
              <w:t>6.43</w:t>
            </w:r>
          </w:p>
        </w:tc>
      </w:tr>
      <w:tr w14:paraId="4BB86B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F075F5">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五（3）</w:t>
            </w:r>
          </w:p>
        </w:tc>
        <w:tc>
          <w:tcPr>
            <w:tcW w:w="4369" w:type="dxa"/>
            <w:shd w:val="clear" w:color="auto" w:fill="FFFFFF"/>
            <w:vAlign w:val="center"/>
          </w:tcPr>
          <w:p w14:paraId="1C283822">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100人会议室视频显示系统</w:t>
            </w:r>
          </w:p>
        </w:tc>
        <w:tc>
          <w:tcPr>
            <w:tcW w:w="1643" w:type="dxa"/>
            <w:shd w:val="clear" w:color="auto" w:fill="FFFFFF"/>
            <w:vAlign w:val="center"/>
          </w:tcPr>
          <w:p w14:paraId="64030BB9">
            <w:pPr>
              <w:widowControl/>
              <w:jc w:val="center"/>
              <w:textAlignment w:val="bottom"/>
              <w:rPr>
                <w:rFonts w:hint="eastAsia" w:ascii="宋体" w:hAnsi="宋体" w:cs="宋体"/>
                <w:color w:val="000000"/>
                <w:szCs w:val="21"/>
              </w:rPr>
            </w:pPr>
          </w:p>
        </w:tc>
        <w:tc>
          <w:tcPr>
            <w:tcW w:w="2028" w:type="dxa"/>
            <w:shd w:val="clear" w:color="auto" w:fill="FFFFFF"/>
            <w:vAlign w:val="center"/>
          </w:tcPr>
          <w:p w14:paraId="7F1D1462">
            <w:pPr>
              <w:widowControl/>
              <w:jc w:val="center"/>
              <w:textAlignment w:val="bottom"/>
              <w:rPr>
                <w:rFonts w:hint="eastAsia" w:ascii="宋体" w:hAnsi="宋体" w:cs="宋体"/>
                <w:color w:val="000000"/>
                <w:szCs w:val="21"/>
              </w:rPr>
            </w:pPr>
          </w:p>
        </w:tc>
      </w:tr>
      <w:tr w14:paraId="43B160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61C39A0">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0C223E7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680D6589">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7060A6AF">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4D07FD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EEF44F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69A4F4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w:t>
            </w:r>
          </w:p>
        </w:tc>
        <w:tc>
          <w:tcPr>
            <w:tcW w:w="1643" w:type="dxa"/>
            <w:shd w:val="clear" w:color="auto" w:fill="FFFFFF"/>
            <w:vAlign w:val="center"/>
          </w:tcPr>
          <w:p w14:paraId="7A28E0C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0075B48">
            <w:pPr>
              <w:widowControl/>
              <w:jc w:val="center"/>
              <w:textAlignment w:val="bottom"/>
              <w:rPr>
                <w:rFonts w:hint="eastAsia" w:ascii="宋体" w:hAnsi="宋体" w:cs="宋体"/>
                <w:color w:val="000000"/>
                <w:szCs w:val="21"/>
              </w:rPr>
            </w:pPr>
            <w:r>
              <w:rPr>
                <w:rFonts w:hint="eastAsia" w:ascii="宋体" w:hAnsi="宋体" w:cs="宋体"/>
                <w:kern w:val="0"/>
                <w:sz w:val="20"/>
                <w:szCs w:val="20"/>
              </w:rPr>
              <w:t>26</w:t>
            </w:r>
          </w:p>
        </w:tc>
      </w:tr>
      <w:tr w14:paraId="10FDB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DE185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516F712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接收系统</w:t>
            </w:r>
          </w:p>
        </w:tc>
        <w:tc>
          <w:tcPr>
            <w:tcW w:w="1643" w:type="dxa"/>
            <w:shd w:val="clear" w:color="auto" w:fill="FFFFFF"/>
            <w:vAlign w:val="center"/>
          </w:tcPr>
          <w:p w14:paraId="4A8A0273">
            <w:pPr>
              <w:widowControl/>
              <w:jc w:val="center"/>
              <w:textAlignment w:val="bottom"/>
              <w:rPr>
                <w:rFonts w:hint="eastAsia" w:ascii="宋体" w:hAnsi="宋体" w:cs="宋体"/>
                <w:color w:val="000000"/>
                <w:szCs w:val="21"/>
              </w:rPr>
            </w:pPr>
            <w:r>
              <w:rPr>
                <w:rFonts w:hint="eastAsia" w:ascii="宋体" w:hAnsi="宋体" w:cs="宋体"/>
                <w:kern w:val="0"/>
                <w:sz w:val="20"/>
                <w:szCs w:val="20"/>
              </w:rPr>
              <w:t>张</w:t>
            </w:r>
          </w:p>
        </w:tc>
        <w:tc>
          <w:tcPr>
            <w:tcW w:w="2028" w:type="dxa"/>
            <w:shd w:val="clear" w:color="auto" w:fill="FFFFFF"/>
            <w:vAlign w:val="center"/>
          </w:tcPr>
          <w:p w14:paraId="243A0CF3">
            <w:pPr>
              <w:widowControl/>
              <w:jc w:val="center"/>
              <w:textAlignment w:val="bottom"/>
              <w:rPr>
                <w:rFonts w:hint="eastAsia" w:ascii="宋体" w:hAnsi="宋体" w:cs="宋体"/>
                <w:color w:val="000000"/>
                <w:szCs w:val="21"/>
              </w:rPr>
            </w:pPr>
            <w:r>
              <w:rPr>
                <w:rFonts w:hint="eastAsia" w:ascii="宋体" w:hAnsi="宋体" w:cs="宋体"/>
                <w:kern w:val="0"/>
                <w:sz w:val="20"/>
                <w:szCs w:val="20"/>
              </w:rPr>
              <w:t>24</w:t>
            </w:r>
          </w:p>
        </w:tc>
      </w:tr>
      <w:tr w14:paraId="308455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8E8684">
            <w:pPr>
              <w:pStyle w:val="30"/>
              <w:ind w:firstLine="400"/>
              <w:rPr>
                <w:rFonts w:hint="eastAsia"/>
                <w:lang w:bidi="ar"/>
              </w:rPr>
            </w:pPr>
            <w:r>
              <w:rPr>
                <w:rFonts w:hint="eastAsia" w:cs="宋体"/>
                <w:color w:val="000000"/>
                <w:kern w:val="0"/>
                <w:sz w:val="20"/>
                <w:szCs w:val="20"/>
              </w:rPr>
              <w:t>4</w:t>
            </w:r>
          </w:p>
        </w:tc>
        <w:tc>
          <w:tcPr>
            <w:tcW w:w="4369" w:type="dxa"/>
            <w:shd w:val="clear" w:color="auto" w:fill="FFFFFF"/>
            <w:vAlign w:val="center"/>
          </w:tcPr>
          <w:p w14:paraId="4903465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高清视频处理器</w:t>
            </w:r>
          </w:p>
        </w:tc>
        <w:tc>
          <w:tcPr>
            <w:tcW w:w="1643" w:type="dxa"/>
            <w:shd w:val="clear" w:color="auto" w:fill="FFFFFF"/>
            <w:vAlign w:val="center"/>
          </w:tcPr>
          <w:p w14:paraId="02C3793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33E3B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4BD69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3F72BB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1726A42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配电箱</w:t>
            </w:r>
          </w:p>
        </w:tc>
        <w:tc>
          <w:tcPr>
            <w:tcW w:w="1643" w:type="dxa"/>
            <w:shd w:val="clear" w:color="auto" w:fill="FFFFFF"/>
            <w:vAlign w:val="center"/>
          </w:tcPr>
          <w:p w14:paraId="6C14A99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7ED1E0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8C73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AD9D1A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6C02B2F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线材</w:t>
            </w:r>
          </w:p>
        </w:tc>
        <w:tc>
          <w:tcPr>
            <w:tcW w:w="1643" w:type="dxa"/>
            <w:shd w:val="clear" w:color="auto" w:fill="FFFFFF"/>
            <w:vAlign w:val="center"/>
          </w:tcPr>
          <w:p w14:paraId="1025FB88">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7DA9C94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FDAE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1DEFB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7B53597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结构</w:t>
            </w:r>
          </w:p>
        </w:tc>
        <w:tc>
          <w:tcPr>
            <w:tcW w:w="1643" w:type="dxa"/>
            <w:shd w:val="clear" w:color="auto" w:fill="FFFFFF"/>
            <w:vAlign w:val="center"/>
          </w:tcPr>
          <w:p w14:paraId="0F2780DF">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767311C5">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3EB48F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9D04B1D">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08D8D76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安装调试费</w:t>
            </w:r>
          </w:p>
        </w:tc>
        <w:tc>
          <w:tcPr>
            <w:tcW w:w="1643" w:type="dxa"/>
            <w:shd w:val="clear" w:color="auto" w:fill="FFFFFF"/>
            <w:vAlign w:val="center"/>
          </w:tcPr>
          <w:p w14:paraId="140A3708">
            <w:pPr>
              <w:widowControl/>
              <w:jc w:val="center"/>
              <w:textAlignment w:val="bottom"/>
              <w:rPr>
                <w:rFonts w:hint="eastAsia" w:ascii="宋体" w:hAnsi="宋体" w:cs="宋体"/>
                <w:color w:val="000000"/>
                <w:szCs w:val="21"/>
              </w:rPr>
            </w:pPr>
            <w:r>
              <w:rPr>
                <w:rFonts w:hint="eastAsia" w:ascii="宋体" w:hAnsi="宋体" w:cs="宋体"/>
                <w:kern w:val="0"/>
                <w:sz w:val="20"/>
                <w:szCs w:val="20"/>
              </w:rPr>
              <w:t>㎡</w:t>
            </w:r>
          </w:p>
        </w:tc>
        <w:tc>
          <w:tcPr>
            <w:tcW w:w="2028" w:type="dxa"/>
            <w:shd w:val="clear" w:color="auto" w:fill="FFFFFF"/>
            <w:vAlign w:val="center"/>
          </w:tcPr>
          <w:p w14:paraId="459A3146">
            <w:pPr>
              <w:widowControl/>
              <w:jc w:val="center"/>
              <w:textAlignment w:val="bottom"/>
              <w:rPr>
                <w:rFonts w:hint="eastAsia" w:ascii="宋体" w:hAnsi="宋体" w:cs="宋体"/>
                <w:color w:val="000000"/>
                <w:szCs w:val="21"/>
              </w:rPr>
            </w:pPr>
            <w:r>
              <w:rPr>
                <w:rFonts w:hint="eastAsia" w:ascii="宋体" w:hAnsi="宋体" w:cs="宋体"/>
                <w:kern w:val="0"/>
                <w:sz w:val="20"/>
                <w:szCs w:val="20"/>
              </w:rPr>
              <w:t>7.99</w:t>
            </w:r>
          </w:p>
        </w:tc>
      </w:tr>
      <w:tr w14:paraId="727D84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ED936B">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五（4）</w:t>
            </w:r>
          </w:p>
        </w:tc>
        <w:tc>
          <w:tcPr>
            <w:tcW w:w="4369" w:type="dxa"/>
            <w:shd w:val="clear" w:color="auto" w:fill="FFFFFF"/>
            <w:vAlign w:val="center"/>
          </w:tcPr>
          <w:p w14:paraId="3D50E82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操场主席台视频显示系统</w:t>
            </w:r>
          </w:p>
        </w:tc>
        <w:tc>
          <w:tcPr>
            <w:tcW w:w="1643" w:type="dxa"/>
            <w:shd w:val="clear" w:color="auto" w:fill="FFFFFF"/>
            <w:vAlign w:val="center"/>
          </w:tcPr>
          <w:p w14:paraId="7C38239D">
            <w:pPr>
              <w:widowControl/>
              <w:jc w:val="center"/>
              <w:textAlignment w:val="bottom"/>
              <w:rPr>
                <w:rFonts w:hint="eastAsia" w:ascii="宋体" w:hAnsi="宋体" w:cs="宋体"/>
                <w:color w:val="000000"/>
                <w:szCs w:val="21"/>
              </w:rPr>
            </w:pPr>
          </w:p>
        </w:tc>
        <w:tc>
          <w:tcPr>
            <w:tcW w:w="2028" w:type="dxa"/>
            <w:shd w:val="clear" w:color="auto" w:fill="FFFFFF"/>
            <w:vAlign w:val="center"/>
          </w:tcPr>
          <w:p w14:paraId="3DFF44C1">
            <w:pPr>
              <w:widowControl/>
              <w:jc w:val="center"/>
              <w:textAlignment w:val="bottom"/>
              <w:rPr>
                <w:rFonts w:hint="eastAsia" w:ascii="宋体" w:hAnsi="宋体" w:cs="宋体"/>
                <w:color w:val="000000"/>
                <w:szCs w:val="21"/>
              </w:rPr>
            </w:pPr>
          </w:p>
        </w:tc>
      </w:tr>
      <w:tr w14:paraId="60323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9BDC448">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77A162D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视频显示设备</w:t>
            </w:r>
          </w:p>
        </w:tc>
        <w:tc>
          <w:tcPr>
            <w:tcW w:w="1643" w:type="dxa"/>
            <w:shd w:val="clear" w:color="auto" w:fill="FFFFFF"/>
            <w:vAlign w:val="center"/>
          </w:tcPr>
          <w:p w14:paraId="2C7BA58E">
            <w:pPr>
              <w:widowControl/>
              <w:jc w:val="center"/>
              <w:textAlignment w:val="bottom"/>
              <w:rPr>
                <w:rFonts w:hint="eastAsia" w:ascii="宋体" w:hAnsi="宋体" w:cs="宋体"/>
                <w:color w:val="000000"/>
                <w:szCs w:val="21"/>
              </w:rPr>
            </w:pPr>
            <w:r>
              <w:rPr>
                <w:rFonts w:hint="eastAsia" w:ascii="宋体" w:hAnsi="宋体" w:cs="宋体"/>
                <w:kern w:val="0"/>
                <w:sz w:val="18"/>
                <w:szCs w:val="18"/>
              </w:rPr>
              <w:t>平方</w:t>
            </w:r>
          </w:p>
        </w:tc>
        <w:tc>
          <w:tcPr>
            <w:tcW w:w="2028" w:type="dxa"/>
            <w:shd w:val="clear" w:color="auto" w:fill="FFFFFF"/>
            <w:vAlign w:val="center"/>
          </w:tcPr>
          <w:p w14:paraId="5FC05540">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3E2F5E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A55E5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4C9BECE7">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户外一体箱体</w:t>
            </w:r>
          </w:p>
        </w:tc>
        <w:tc>
          <w:tcPr>
            <w:tcW w:w="1643" w:type="dxa"/>
            <w:shd w:val="clear" w:color="auto" w:fill="FFFFFF"/>
            <w:vAlign w:val="center"/>
          </w:tcPr>
          <w:p w14:paraId="3F47C784">
            <w:pPr>
              <w:widowControl/>
              <w:jc w:val="center"/>
              <w:textAlignment w:val="bottom"/>
              <w:rPr>
                <w:rFonts w:hint="eastAsia" w:ascii="宋体" w:hAnsi="宋体" w:cs="宋体"/>
                <w:color w:val="000000"/>
                <w:szCs w:val="21"/>
              </w:rPr>
            </w:pPr>
            <w:r>
              <w:rPr>
                <w:rFonts w:hint="eastAsia" w:ascii="宋体" w:hAnsi="宋体" w:cs="宋体"/>
                <w:kern w:val="0"/>
                <w:sz w:val="18"/>
                <w:szCs w:val="18"/>
              </w:rPr>
              <w:t>平方</w:t>
            </w:r>
          </w:p>
        </w:tc>
        <w:tc>
          <w:tcPr>
            <w:tcW w:w="2028" w:type="dxa"/>
            <w:shd w:val="clear" w:color="auto" w:fill="FFFFFF"/>
            <w:vAlign w:val="center"/>
          </w:tcPr>
          <w:p w14:paraId="5215804E">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2C8215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FEA876A">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0D2B9FB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运动比分软件</w:t>
            </w:r>
          </w:p>
        </w:tc>
        <w:tc>
          <w:tcPr>
            <w:tcW w:w="1643" w:type="dxa"/>
            <w:shd w:val="clear" w:color="auto" w:fill="FFFFFF"/>
            <w:vAlign w:val="center"/>
          </w:tcPr>
          <w:p w14:paraId="19D962BE">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4495AF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FDB47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0DCC41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2B42AB5B">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开关电源</w:t>
            </w:r>
          </w:p>
        </w:tc>
        <w:tc>
          <w:tcPr>
            <w:tcW w:w="1643" w:type="dxa"/>
            <w:shd w:val="clear" w:color="auto" w:fill="FFFFFF"/>
            <w:vAlign w:val="center"/>
          </w:tcPr>
          <w:p w14:paraId="311AE824">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32B5B255">
            <w:pPr>
              <w:widowControl/>
              <w:jc w:val="center"/>
              <w:textAlignment w:val="bottom"/>
              <w:rPr>
                <w:rFonts w:hint="eastAsia" w:ascii="宋体" w:hAnsi="宋体" w:cs="宋体"/>
                <w:color w:val="000000"/>
                <w:szCs w:val="21"/>
              </w:rPr>
            </w:pPr>
            <w:r>
              <w:rPr>
                <w:rFonts w:hint="eastAsia" w:ascii="宋体" w:hAnsi="宋体" w:cs="宋体"/>
                <w:kern w:val="0"/>
                <w:sz w:val="18"/>
                <w:szCs w:val="18"/>
              </w:rPr>
              <w:t>90</w:t>
            </w:r>
          </w:p>
        </w:tc>
      </w:tr>
      <w:tr w14:paraId="5DC53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9C03B9">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5</w:t>
            </w:r>
          </w:p>
        </w:tc>
        <w:tc>
          <w:tcPr>
            <w:tcW w:w="4369" w:type="dxa"/>
            <w:shd w:val="clear" w:color="auto" w:fill="FFFFFF"/>
            <w:vAlign w:val="center"/>
          </w:tcPr>
          <w:p w14:paraId="6F3E66C9">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接收卡</w:t>
            </w:r>
          </w:p>
        </w:tc>
        <w:tc>
          <w:tcPr>
            <w:tcW w:w="1643" w:type="dxa"/>
            <w:shd w:val="clear" w:color="auto" w:fill="FFFFFF"/>
            <w:vAlign w:val="center"/>
          </w:tcPr>
          <w:p w14:paraId="63F35A93">
            <w:pPr>
              <w:widowControl/>
              <w:jc w:val="center"/>
              <w:textAlignment w:val="bottom"/>
              <w:rPr>
                <w:rFonts w:hint="eastAsia" w:ascii="宋体" w:hAnsi="宋体" w:cs="宋体"/>
                <w:color w:val="000000"/>
                <w:szCs w:val="21"/>
              </w:rPr>
            </w:pPr>
            <w:r>
              <w:rPr>
                <w:rFonts w:hint="eastAsia" w:ascii="宋体" w:hAnsi="宋体" w:cs="宋体"/>
                <w:kern w:val="0"/>
                <w:sz w:val="18"/>
                <w:szCs w:val="18"/>
              </w:rPr>
              <w:t>张</w:t>
            </w:r>
          </w:p>
        </w:tc>
        <w:tc>
          <w:tcPr>
            <w:tcW w:w="2028" w:type="dxa"/>
            <w:shd w:val="clear" w:color="auto" w:fill="FFFFFF"/>
            <w:vAlign w:val="center"/>
          </w:tcPr>
          <w:p w14:paraId="43C93BAE">
            <w:pPr>
              <w:widowControl/>
              <w:jc w:val="center"/>
              <w:textAlignment w:val="bottom"/>
              <w:rPr>
                <w:rFonts w:hint="eastAsia" w:ascii="宋体" w:hAnsi="宋体" w:cs="宋体"/>
                <w:color w:val="000000"/>
                <w:szCs w:val="21"/>
              </w:rPr>
            </w:pPr>
            <w:r>
              <w:rPr>
                <w:rFonts w:hint="eastAsia" w:ascii="宋体" w:hAnsi="宋体" w:cs="宋体"/>
                <w:kern w:val="0"/>
                <w:sz w:val="18"/>
                <w:szCs w:val="18"/>
              </w:rPr>
              <w:t>18</w:t>
            </w:r>
          </w:p>
        </w:tc>
      </w:tr>
      <w:tr w14:paraId="53BE0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87B3150">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6</w:t>
            </w:r>
          </w:p>
        </w:tc>
        <w:tc>
          <w:tcPr>
            <w:tcW w:w="4369" w:type="dxa"/>
            <w:shd w:val="clear" w:color="auto" w:fill="FFFFFF"/>
            <w:vAlign w:val="center"/>
          </w:tcPr>
          <w:p w14:paraId="6538A2CD">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视频处理器</w:t>
            </w:r>
          </w:p>
        </w:tc>
        <w:tc>
          <w:tcPr>
            <w:tcW w:w="1643" w:type="dxa"/>
            <w:shd w:val="clear" w:color="auto" w:fill="FFFFFF"/>
            <w:vAlign w:val="center"/>
          </w:tcPr>
          <w:p w14:paraId="708A2E33">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5AD6BEEF">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2774B4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E6DADD">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7</w:t>
            </w:r>
          </w:p>
        </w:tc>
        <w:tc>
          <w:tcPr>
            <w:tcW w:w="4369" w:type="dxa"/>
            <w:shd w:val="clear" w:color="auto" w:fill="FFFFFF"/>
            <w:vAlign w:val="center"/>
          </w:tcPr>
          <w:p w14:paraId="33A46494">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播放软件</w:t>
            </w:r>
          </w:p>
        </w:tc>
        <w:tc>
          <w:tcPr>
            <w:tcW w:w="1643" w:type="dxa"/>
            <w:shd w:val="clear" w:color="auto" w:fill="FFFFFF"/>
            <w:vAlign w:val="center"/>
          </w:tcPr>
          <w:p w14:paraId="0C5B403B">
            <w:pPr>
              <w:widowControl/>
              <w:jc w:val="center"/>
              <w:textAlignment w:val="bottom"/>
              <w:rPr>
                <w:rFonts w:hint="eastAsia" w:ascii="宋体" w:hAnsi="宋体" w:cs="宋体"/>
                <w:color w:val="000000"/>
                <w:szCs w:val="21"/>
              </w:rPr>
            </w:pPr>
            <w:r>
              <w:rPr>
                <w:rFonts w:hint="eastAsia" w:ascii="宋体" w:hAnsi="宋体" w:cs="宋体"/>
                <w:kern w:val="0"/>
                <w:sz w:val="18"/>
                <w:szCs w:val="18"/>
              </w:rPr>
              <w:t>套</w:t>
            </w:r>
          </w:p>
        </w:tc>
        <w:tc>
          <w:tcPr>
            <w:tcW w:w="2028" w:type="dxa"/>
            <w:shd w:val="clear" w:color="auto" w:fill="FFFFFF"/>
            <w:vAlign w:val="center"/>
          </w:tcPr>
          <w:p w14:paraId="7E538B3B">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47C45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CA27D05">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8</w:t>
            </w:r>
          </w:p>
        </w:tc>
        <w:tc>
          <w:tcPr>
            <w:tcW w:w="4369" w:type="dxa"/>
            <w:shd w:val="clear" w:color="auto" w:fill="FFFFFF"/>
            <w:vAlign w:val="center"/>
          </w:tcPr>
          <w:p w14:paraId="6EEC283A">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散热风扇</w:t>
            </w:r>
          </w:p>
        </w:tc>
        <w:tc>
          <w:tcPr>
            <w:tcW w:w="1643" w:type="dxa"/>
            <w:shd w:val="clear" w:color="auto" w:fill="FFFFFF"/>
            <w:vAlign w:val="center"/>
          </w:tcPr>
          <w:p w14:paraId="27202B0F">
            <w:pPr>
              <w:widowControl/>
              <w:jc w:val="center"/>
              <w:textAlignment w:val="bottom"/>
              <w:rPr>
                <w:rFonts w:hint="eastAsia" w:ascii="宋体" w:hAnsi="宋体" w:cs="宋体"/>
                <w:color w:val="000000"/>
                <w:szCs w:val="21"/>
              </w:rPr>
            </w:pPr>
            <w:r>
              <w:rPr>
                <w:rFonts w:hint="eastAsia" w:ascii="宋体" w:hAnsi="宋体" w:cs="宋体"/>
                <w:kern w:val="0"/>
                <w:sz w:val="18"/>
                <w:szCs w:val="18"/>
              </w:rPr>
              <w:t>台</w:t>
            </w:r>
          </w:p>
        </w:tc>
        <w:tc>
          <w:tcPr>
            <w:tcW w:w="2028" w:type="dxa"/>
            <w:shd w:val="clear" w:color="auto" w:fill="FFFFFF"/>
            <w:vAlign w:val="center"/>
          </w:tcPr>
          <w:p w14:paraId="4520D6CF">
            <w:pPr>
              <w:widowControl/>
              <w:jc w:val="center"/>
              <w:textAlignment w:val="bottom"/>
              <w:rPr>
                <w:rFonts w:hint="eastAsia" w:ascii="宋体" w:hAnsi="宋体" w:cs="宋体"/>
                <w:color w:val="000000"/>
                <w:szCs w:val="21"/>
              </w:rPr>
            </w:pPr>
            <w:r>
              <w:rPr>
                <w:rFonts w:hint="eastAsia" w:ascii="宋体" w:hAnsi="宋体" w:cs="宋体"/>
                <w:kern w:val="0"/>
                <w:sz w:val="18"/>
                <w:szCs w:val="18"/>
              </w:rPr>
              <w:t>12</w:t>
            </w:r>
          </w:p>
        </w:tc>
      </w:tr>
      <w:tr w14:paraId="260F17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EA5F8E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9</w:t>
            </w:r>
          </w:p>
        </w:tc>
        <w:tc>
          <w:tcPr>
            <w:tcW w:w="4369" w:type="dxa"/>
            <w:shd w:val="clear" w:color="auto" w:fill="FFFFFF"/>
            <w:vAlign w:val="center"/>
          </w:tcPr>
          <w:p w14:paraId="37C47EA2">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智能配电箱</w:t>
            </w:r>
          </w:p>
        </w:tc>
        <w:tc>
          <w:tcPr>
            <w:tcW w:w="1643" w:type="dxa"/>
            <w:shd w:val="clear" w:color="auto" w:fill="FFFFFF"/>
            <w:vAlign w:val="center"/>
          </w:tcPr>
          <w:p w14:paraId="63325415">
            <w:pPr>
              <w:widowControl/>
              <w:jc w:val="center"/>
              <w:textAlignment w:val="bottom"/>
              <w:rPr>
                <w:rFonts w:hint="eastAsia" w:ascii="宋体" w:hAnsi="宋体" w:cs="宋体"/>
                <w:color w:val="000000"/>
                <w:szCs w:val="21"/>
              </w:rPr>
            </w:pPr>
            <w:r>
              <w:rPr>
                <w:rFonts w:hint="eastAsia" w:ascii="宋体" w:hAnsi="宋体" w:cs="宋体"/>
                <w:kern w:val="0"/>
                <w:sz w:val="18"/>
                <w:szCs w:val="18"/>
              </w:rPr>
              <w:t>套</w:t>
            </w:r>
          </w:p>
        </w:tc>
        <w:tc>
          <w:tcPr>
            <w:tcW w:w="2028" w:type="dxa"/>
            <w:shd w:val="clear" w:color="auto" w:fill="FFFFFF"/>
            <w:vAlign w:val="center"/>
          </w:tcPr>
          <w:p w14:paraId="31A73140">
            <w:pPr>
              <w:widowControl/>
              <w:jc w:val="center"/>
              <w:textAlignment w:val="bottom"/>
              <w:rPr>
                <w:rFonts w:hint="eastAsia" w:ascii="宋体" w:hAnsi="宋体" w:cs="宋体"/>
                <w:color w:val="000000"/>
                <w:szCs w:val="21"/>
              </w:rPr>
            </w:pPr>
            <w:r>
              <w:rPr>
                <w:rFonts w:hint="eastAsia" w:ascii="宋体" w:hAnsi="宋体" w:cs="宋体"/>
                <w:kern w:val="0"/>
                <w:sz w:val="18"/>
                <w:szCs w:val="18"/>
              </w:rPr>
              <w:t>1</w:t>
            </w:r>
          </w:p>
        </w:tc>
      </w:tr>
      <w:tr w14:paraId="585D0D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282AA6">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10</w:t>
            </w:r>
          </w:p>
        </w:tc>
        <w:tc>
          <w:tcPr>
            <w:tcW w:w="4369" w:type="dxa"/>
            <w:shd w:val="clear" w:color="auto" w:fill="FFFFFF"/>
            <w:vAlign w:val="center"/>
          </w:tcPr>
          <w:p w14:paraId="138A5D92">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显示屏框架</w:t>
            </w:r>
          </w:p>
        </w:tc>
        <w:tc>
          <w:tcPr>
            <w:tcW w:w="1643" w:type="dxa"/>
            <w:shd w:val="clear" w:color="auto" w:fill="FFFFFF"/>
            <w:vAlign w:val="center"/>
          </w:tcPr>
          <w:p w14:paraId="4B9E3E0A">
            <w:pPr>
              <w:widowControl/>
              <w:jc w:val="center"/>
              <w:textAlignment w:val="bottom"/>
              <w:rPr>
                <w:rFonts w:hint="eastAsia" w:ascii="宋体" w:hAnsi="宋体" w:cs="宋体"/>
                <w:color w:val="000000"/>
                <w:szCs w:val="21"/>
              </w:rPr>
            </w:pPr>
            <w:r>
              <w:rPr>
                <w:rFonts w:hint="eastAsia" w:ascii="宋体" w:hAnsi="宋体" w:cs="宋体"/>
                <w:kern w:val="0"/>
                <w:sz w:val="18"/>
                <w:szCs w:val="18"/>
              </w:rPr>
              <w:t>㎡</w:t>
            </w:r>
          </w:p>
        </w:tc>
        <w:tc>
          <w:tcPr>
            <w:tcW w:w="2028" w:type="dxa"/>
            <w:shd w:val="clear" w:color="auto" w:fill="FFFFFF"/>
            <w:vAlign w:val="center"/>
          </w:tcPr>
          <w:p w14:paraId="67B6BB2B">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6409F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144C71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11</w:t>
            </w:r>
          </w:p>
        </w:tc>
        <w:tc>
          <w:tcPr>
            <w:tcW w:w="4369" w:type="dxa"/>
            <w:shd w:val="clear" w:color="auto" w:fill="FFFFFF"/>
            <w:vAlign w:val="center"/>
          </w:tcPr>
          <w:p w14:paraId="5456E35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控制终端</w:t>
            </w:r>
          </w:p>
        </w:tc>
        <w:tc>
          <w:tcPr>
            <w:tcW w:w="1643" w:type="dxa"/>
            <w:shd w:val="clear" w:color="auto" w:fill="FFFFFF"/>
            <w:vAlign w:val="center"/>
          </w:tcPr>
          <w:p w14:paraId="00BB552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C721B23">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39FC2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FC4C33">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12</w:t>
            </w:r>
          </w:p>
        </w:tc>
        <w:tc>
          <w:tcPr>
            <w:tcW w:w="4369" w:type="dxa"/>
            <w:shd w:val="clear" w:color="auto" w:fill="FFFFFF"/>
            <w:vAlign w:val="center"/>
          </w:tcPr>
          <w:p w14:paraId="55388E44">
            <w:pPr>
              <w:widowControl/>
              <w:jc w:val="center"/>
              <w:textAlignment w:val="center"/>
              <w:rPr>
                <w:rFonts w:hint="eastAsia" w:ascii="宋体" w:hAnsi="宋体" w:cs="宋体"/>
                <w:color w:val="000000"/>
                <w:kern w:val="0"/>
                <w:sz w:val="20"/>
                <w:szCs w:val="20"/>
              </w:rPr>
            </w:pPr>
            <w:r>
              <w:rPr>
                <w:rFonts w:hint="eastAsia" w:ascii="宋体" w:hAnsi="宋体" w:cs="宋体"/>
                <w:kern w:val="0"/>
                <w:sz w:val="18"/>
                <w:szCs w:val="18"/>
              </w:rPr>
              <w:t>安装调试</w:t>
            </w:r>
          </w:p>
        </w:tc>
        <w:tc>
          <w:tcPr>
            <w:tcW w:w="1643" w:type="dxa"/>
            <w:shd w:val="clear" w:color="auto" w:fill="FFFFFF"/>
            <w:vAlign w:val="center"/>
          </w:tcPr>
          <w:p w14:paraId="67580E0A">
            <w:pPr>
              <w:widowControl/>
              <w:jc w:val="center"/>
              <w:textAlignment w:val="bottom"/>
              <w:rPr>
                <w:rFonts w:hint="eastAsia" w:ascii="宋体" w:hAnsi="宋体" w:cs="宋体"/>
                <w:color w:val="000000"/>
                <w:szCs w:val="21"/>
              </w:rPr>
            </w:pPr>
            <w:r>
              <w:rPr>
                <w:rFonts w:hint="eastAsia" w:ascii="宋体" w:hAnsi="宋体" w:cs="宋体"/>
                <w:kern w:val="0"/>
                <w:sz w:val="18"/>
                <w:szCs w:val="18"/>
              </w:rPr>
              <w:t>项</w:t>
            </w:r>
          </w:p>
        </w:tc>
        <w:tc>
          <w:tcPr>
            <w:tcW w:w="2028" w:type="dxa"/>
            <w:shd w:val="clear" w:color="auto" w:fill="FFFFFF"/>
            <w:vAlign w:val="center"/>
          </w:tcPr>
          <w:p w14:paraId="2329E7FB">
            <w:pPr>
              <w:widowControl/>
              <w:jc w:val="center"/>
              <w:textAlignment w:val="bottom"/>
              <w:rPr>
                <w:rFonts w:hint="eastAsia" w:ascii="宋体" w:hAnsi="宋体" w:cs="宋体"/>
                <w:color w:val="000000"/>
                <w:szCs w:val="21"/>
              </w:rPr>
            </w:pPr>
            <w:r>
              <w:rPr>
                <w:rFonts w:hint="eastAsia" w:ascii="宋体" w:hAnsi="宋体" w:cs="宋体"/>
                <w:kern w:val="0"/>
                <w:sz w:val="18"/>
                <w:szCs w:val="18"/>
              </w:rPr>
              <w:t>18.43</w:t>
            </w:r>
          </w:p>
        </w:tc>
      </w:tr>
      <w:tr w14:paraId="6B4354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FAA087">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五（5）</w:t>
            </w:r>
          </w:p>
        </w:tc>
        <w:tc>
          <w:tcPr>
            <w:tcW w:w="4369" w:type="dxa"/>
            <w:shd w:val="clear" w:color="auto" w:fill="FFFFFF"/>
            <w:vAlign w:val="center"/>
          </w:tcPr>
          <w:p w14:paraId="4DF70741">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舞台灯光系统</w:t>
            </w:r>
          </w:p>
        </w:tc>
        <w:tc>
          <w:tcPr>
            <w:tcW w:w="1643" w:type="dxa"/>
            <w:shd w:val="clear" w:color="auto" w:fill="FFFFFF"/>
            <w:vAlign w:val="center"/>
          </w:tcPr>
          <w:p w14:paraId="6F3B24D0">
            <w:pPr>
              <w:widowControl/>
              <w:jc w:val="center"/>
              <w:textAlignment w:val="bottom"/>
              <w:rPr>
                <w:rFonts w:hint="eastAsia" w:ascii="宋体" w:hAnsi="宋体" w:cs="宋体"/>
                <w:color w:val="000000"/>
                <w:szCs w:val="21"/>
              </w:rPr>
            </w:pPr>
          </w:p>
        </w:tc>
        <w:tc>
          <w:tcPr>
            <w:tcW w:w="2028" w:type="dxa"/>
            <w:shd w:val="clear" w:color="auto" w:fill="FFFFFF"/>
            <w:vAlign w:val="center"/>
          </w:tcPr>
          <w:p w14:paraId="2AA36335">
            <w:pPr>
              <w:widowControl/>
              <w:jc w:val="center"/>
              <w:textAlignment w:val="bottom"/>
              <w:rPr>
                <w:rFonts w:hint="eastAsia" w:ascii="宋体" w:hAnsi="宋体" w:cs="宋体"/>
                <w:color w:val="000000"/>
                <w:szCs w:val="21"/>
              </w:rPr>
            </w:pPr>
          </w:p>
        </w:tc>
      </w:tr>
      <w:tr w14:paraId="425C6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49699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5926467A">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一顶光</w:t>
            </w:r>
          </w:p>
        </w:tc>
        <w:tc>
          <w:tcPr>
            <w:tcW w:w="1643" w:type="dxa"/>
            <w:shd w:val="clear" w:color="auto" w:fill="FFFFFF"/>
            <w:vAlign w:val="center"/>
          </w:tcPr>
          <w:p w14:paraId="7395240E">
            <w:pPr>
              <w:widowControl/>
              <w:jc w:val="center"/>
              <w:textAlignment w:val="bottom"/>
              <w:rPr>
                <w:rFonts w:hint="eastAsia" w:ascii="宋体" w:hAnsi="宋体" w:cs="宋体"/>
                <w:color w:val="000000"/>
                <w:szCs w:val="21"/>
              </w:rPr>
            </w:pPr>
          </w:p>
        </w:tc>
        <w:tc>
          <w:tcPr>
            <w:tcW w:w="2028" w:type="dxa"/>
            <w:shd w:val="clear" w:color="auto" w:fill="FFFFFF"/>
            <w:vAlign w:val="center"/>
          </w:tcPr>
          <w:p w14:paraId="02C87FF8">
            <w:pPr>
              <w:widowControl/>
              <w:jc w:val="center"/>
              <w:textAlignment w:val="bottom"/>
              <w:rPr>
                <w:rFonts w:hint="eastAsia" w:ascii="宋体" w:hAnsi="宋体" w:cs="宋体"/>
                <w:color w:val="000000"/>
                <w:szCs w:val="21"/>
              </w:rPr>
            </w:pPr>
          </w:p>
        </w:tc>
      </w:tr>
      <w:tr w14:paraId="3B559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E9EDEB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496A33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766D103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247EC3F">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6CE9A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568DC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DE9AF0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88CEDB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0AAA644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56B4D7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7D259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143A8FC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3A9E7A4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2D96BDC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07CA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67565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F5F24A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648BE29A">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474CBB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B084A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A0A30D">
            <w:pPr>
              <w:widowControl/>
              <w:jc w:val="center"/>
              <w:textAlignment w:val="center"/>
              <w:rPr>
                <w:rFonts w:hint="eastAsia" w:ascii="宋体" w:hAnsi="宋体" w:cs="宋体"/>
                <w:color w:val="000000"/>
                <w:kern w:val="0"/>
                <w:sz w:val="22"/>
                <w:szCs w:val="22"/>
                <w:lang w:bidi="ar"/>
              </w:rPr>
            </w:pPr>
          </w:p>
        </w:tc>
        <w:tc>
          <w:tcPr>
            <w:tcW w:w="4369" w:type="dxa"/>
            <w:shd w:val="clear" w:color="auto" w:fill="FFFFFF"/>
            <w:vAlign w:val="center"/>
          </w:tcPr>
          <w:p w14:paraId="2C79FE4F">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二顶光</w:t>
            </w:r>
          </w:p>
        </w:tc>
        <w:tc>
          <w:tcPr>
            <w:tcW w:w="1643" w:type="dxa"/>
            <w:shd w:val="clear" w:color="auto" w:fill="FFFFFF"/>
            <w:vAlign w:val="center"/>
          </w:tcPr>
          <w:p w14:paraId="45C0224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514FC0D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27AE2D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E3817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31BC19F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1EAB98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AA89B46">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713D6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9F9DC9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71E07F0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C8431CB">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6E6C34D6">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FD84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4811E1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39DB27B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0C9A614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6583BAF9">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7BBEB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2503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127C59C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5F5088B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275AD58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D6D4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A0E68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79BBEDB6">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三顶光</w:t>
            </w:r>
          </w:p>
        </w:tc>
        <w:tc>
          <w:tcPr>
            <w:tcW w:w="1643" w:type="dxa"/>
            <w:shd w:val="clear" w:color="auto" w:fill="FFFFFF"/>
            <w:vAlign w:val="center"/>
          </w:tcPr>
          <w:p w14:paraId="35E36943">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2C80CD60">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4B8072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63ACC1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F75E45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627DA33">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05BE8C3">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1D81B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1BC5A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1FFEDA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67C70958">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69AFE95A">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E6213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3E02E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7C00BA9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68A69A8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6DD4B3DE">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41A15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95C903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013CAA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0529C37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153C42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C423C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E98AF4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2CF1F543">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四顶光</w:t>
            </w:r>
          </w:p>
        </w:tc>
        <w:tc>
          <w:tcPr>
            <w:tcW w:w="1643" w:type="dxa"/>
            <w:shd w:val="clear" w:color="auto" w:fill="FFFFFF"/>
            <w:vAlign w:val="center"/>
          </w:tcPr>
          <w:p w14:paraId="640E509D">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02038C0E">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2F199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84020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403E866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232882B7">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532B5D85">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21BCFB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40D05F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1B31AB7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536A08C2">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417381FD">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2A035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A52719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2F148A04">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2F2CD5F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15AD576F">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6018F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145CA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62A3F86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7B5D593A">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651967D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F39C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45D720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　</w:t>
            </w:r>
          </w:p>
        </w:tc>
        <w:tc>
          <w:tcPr>
            <w:tcW w:w="4369" w:type="dxa"/>
            <w:shd w:val="clear" w:color="auto" w:fill="FFFFFF"/>
            <w:vAlign w:val="center"/>
          </w:tcPr>
          <w:p w14:paraId="662F10AF">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面光</w:t>
            </w:r>
          </w:p>
        </w:tc>
        <w:tc>
          <w:tcPr>
            <w:tcW w:w="1643" w:type="dxa"/>
            <w:shd w:val="clear" w:color="auto" w:fill="FFFFFF"/>
            <w:vAlign w:val="center"/>
          </w:tcPr>
          <w:p w14:paraId="70F9113E">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c>
          <w:tcPr>
            <w:tcW w:w="2028" w:type="dxa"/>
            <w:shd w:val="clear" w:color="auto" w:fill="FFFFFF"/>
            <w:vAlign w:val="center"/>
          </w:tcPr>
          <w:p w14:paraId="277C3A14">
            <w:pPr>
              <w:widowControl/>
              <w:jc w:val="center"/>
              <w:textAlignment w:val="bottom"/>
              <w:rPr>
                <w:rFonts w:hint="eastAsia" w:ascii="宋体" w:hAnsi="宋体" w:cs="宋体"/>
                <w:color w:val="000000"/>
                <w:szCs w:val="21"/>
              </w:rPr>
            </w:pPr>
            <w:r>
              <w:rPr>
                <w:rFonts w:hint="eastAsia" w:ascii="宋体" w:hAnsi="宋体" w:cs="宋体"/>
                <w:kern w:val="0"/>
                <w:sz w:val="20"/>
                <w:szCs w:val="20"/>
              </w:rPr>
              <w:t>　</w:t>
            </w:r>
          </w:p>
        </w:tc>
      </w:tr>
      <w:tr w14:paraId="59153F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33AC1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7779706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影视灯</w:t>
            </w:r>
          </w:p>
        </w:tc>
        <w:tc>
          <w:tcPr>
            <w:tcW w:w="1643" w:type="dxa"/>
            <w:shd w:val="clear" w:color="auto" w:fill="FFFFFF"/>
            <w:vAlign w:val="center"/>
          </w:tcPr>
          <w:p w14:paraId="1B858C0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3F4E6E83">
            <w:pPr>
              <w:widowControl/>
              <w:jc w:val="center"/>
              <w:textAlignment w:val="bottom"/>
              <w:rPr>
                <w:rFonts w:hint="eastAsia" w:ascii="宋体" w:hAnsi="宋体" w:cs="宋体"/>
                <w:color w:val="000000"/>
                <w:szCs w:val="21"/>
              </w:rPr>
            </w:pPr>
            <w:r>
              <w:rPr>
                <w:rFonts w:hint="eastAsia" w:ascii="宋体" w:hAnsi="宋体" w:cs="宋体"/>
                <w:kern w:val="0"/>
                <w:sz w:val="20"/>
                <w:szCs w:val="20"/>
              </w:rPr>
              <w:t>14</w:t>
            </w:r>
          </w:p>
        </w:tc>
      </w:tr>
      <w:tr w14:paraId="309812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BDC00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582824A5">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多功能灯勾</w:t>
            </w:r>
          </w:p>
        </w:tc>
        <w:tc>
          <w:tcPr>
            <w:tcW w:w="1643" w:type="dxa"/>
            <w:shd w:val="clear" w:color="auto" w:fill="FFFFFF"/>
            <w:vAlign w:val="center"/>
          </w:tcPr>
          <w:p w14:paraId="313BA22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个</w:t>
            </w:r>
          </w:p>
        </w:tc>
        <w:tc>
          <w:tcPr>
            <w:tcW w:w="2028" w:type="dxa"/>
            <w:shd w:val="clear" w:color="auto" w:fill="FFFFFF"/>
            <w:vAlign w:val="center"/>
          </w:tcPr>
          <w:p w14:paraId="584FD445">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0A021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6BE1AE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271D188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安全绳</w:t>
            </w:r>
          </w:p>
        </w:tc>
        <w:tc>
          <w:tcPr>
            <w:tcW w:w="1643" w:type="dxa"/>
            <w:shd w:val="clear" w:color="auto" w:fill="FFFFFF"/>
            <w:vAlign w:val="center"/>
          </w:tcPr>
          <w:p w14:paraId="24CF3615">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条</w:t>
            </w:r>
          </w:p>
        </w:tc>
        <w:tc>
          <w:tcPr>
            <w:tcW w:w="2028" w:type="dxa"/>
            <w:shd w:val="clear" w:color="auto" w:fill="FFFFFF"/>
            <w:vAlign w:val="center"/>
          </w:tcPr>
          <w:p w14:paraId="54C500F1">
            <w:pPr>
              <w:widowControl/>
              <w:jc w:val="center"/>
              <w:textAlignment w:val="bottom"/>
              <w:rPr>
                <w:rFonts w:hint="eastAsia" w:ascii="宋体" w:hAnsi="宋体" w:cs="宋体"/>
                <w:color w:val="000000"/>
                <w:szCs w:val="21"/>
              </w:rPr>
            </w:pPr>
            <w:r>
              <w:rPr>
                <w:rFonts w:hint="eastAsia" w:ascii="宋体" w:hAnsi="宋体" w:cs="宋体"/>
                <w:kern w:val="0"/>
                <w:sz w:val="20"/>
                <w:szCs w:val="20"/>
              </w:rPr>
              <w:t>10</w:t>
            </w:r>
          </w:p>
        </w:tc>
      </w:tr>
      <w:tr w14:paraId="74AB8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24A59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339289B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灯杆</w:t>
            </w:r>
          </w:p>
        </w:tc>
        <w:tc>
          <w:tcPr>
            <w:tcW w:w="1643" w:type="dxa"/>
            <w:shd w:val="clear" w:color="auto" w:fill="FFFFFF"/>
            <w:vAlign w:val="center"/>
          </w:tcPr>
          <w:p w14:paraId="5AF4B038">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根</w:t>
            </w:r>
          </w:p>
        </w:tc>
        <w:tc>
          <w:tcPr>
            <w:tcW w:w="2028" w:type="dxa"/>
            <w:shd w:val="clear" w:color="auto" w:fill="FFFFFF"/>
            <w:vAlign w:val="center"/>
          </w:tcPr>
          <w:p w14:paraId="32242D2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94820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C08FDDF">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　</w:t>
            </w:r>
          </w:p>
        </w:tc>
        <w:tc>
          <w:tcPr>
            <w:tcW w:w="4369" w:type="dxa"/>
            <w:shd w:val="clear" w:color="auto" w:fill="FFFFFF"/>
            <w:vAlign w:val="center"/>
          </w:tcPr>
          <w:p w14:paraId="67798219">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外围设备及控制系统</w:t>
            </w:r>
          </w:p>
        </w:tc>
        <w:tc>
          <w:tcPr>
            <w:tcW w:w="1643" w:type="dxa"/>
            <w:shd w:val="clear" w:color="auto" w:fill="FFFFFF"/>
            <w:vAlign w:val="center"/>
          </w:tcPr>
          <w:p w14:paraId="1E266B91">
            <w:pPr>
              <w:widowControl/>
              <w:jc w:val="center"/>
              <w:textAlignment w:val="bottom"/>
              <w:rPr>
                <w:rFonts w:hint="eastAsia" w:ascii="宋体" w:hAnsi="宋体" w:cs="宋体"/>
                <w:color w:val="000000"/>
                <w:szCs w:val="21"/>
              </w:rPr>
            </w:pPr>
            <w:r>
              <w:rPr>
                <w:rFonts w:hint="eastAsia" w:ascii="宋体" w:hAnsi="宋体" w:cs="宋体"/>
                <w:b/>
                <w:bCs/>
                <w:kern w:val="0"/>
                <w:sz w:val="20"/>
                <w:szCs w:val="20"/>
              </w:rPr>
              <w:t>　</w:t>
            </w:r>
          </w:p>
        </w:tc>
        <w:tc>
          <w:tcPr>
            <w:tcW w:w="2028" w:type="dxa"/>
            <w:shd w:val="clear" w:color="auto" w:fill="FFFFFF"/>
            <w:vAlign w:val="center"/>
          </w:tcPr>
          <w:p w14:paraId="23B2769F">
            <w:pPr>
              <w:widowControl/>
              <w:jc w:val="center"/>
              <w:textAlignment w:val="bottom"/>
              <w:rPr>
                <w:rFonts w:hint="eastAsia" w:ascii="宋体" w:hAnsi="宋体" w:cs="宋体"/>
                <w:color w:val="000000"/>
                <w:szCs w:val="21"/>
              </w:rPr>
            </w:pPr>
            <w:r>
              <w:rPr>
                <w:rFonts w:hint="eastAsia" w:ascii="宋体" w:hAnsi="宋体" w:cs="宋体"/>
                <w:b/>
                <w:bCs/>
                <w:kern w:val="0"/>
                <w:sz w:val="20"/>
                <w:szCs w:val="20"/>
              </w:rPr>
              <w:t>　</w:t>
            </w:r>
          </w:p>
        </w:tc>
      </w:tr>
      <w:tr w14:paraId="2BEED7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1B454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62E63E93">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控台</w:t>
            </w:r>
          </w:p>
        </w:tc>
        <w:tc>
          <w:tcPr>
            <w:tcW w:w="1643" w:type="dxa"/>
            <w:shd w:val="clear" w:color="auto" w:fill="FFFFFF"/>
            <w:vAlign w:val="center"/>
          </w:tcPr>
          <w:p w14:paraId="02628E45">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7C04B5F">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56C20C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FEB06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10D8D78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直通箱</w:t>
            </w:r>
          </w:p>
        </w:tc>
        <w:tc>
          <w:tcPr>
            <w:tcW w:w="1643" w:type="dxa"/>
            <w:shd w:val="clear" w:color="auto" w:fill="FFFFFF"/>
            <w:vAlign w:val="center"/>
          </w:tcPr>
          <w:p w14:paraId="38A4ACC2">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49492087">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2008E3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A280AE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4BA7C23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信号放大器</w:t>
            </w:r>
          </w:p>
        </w:tc>
        <w:tc>
          <w:tcPr>
            <w:tcW w:w="1643" w:type="dxa"/>
            <w:shd w:val="clear" w:color="auto" w:fill="FFFFFF"/>
            <w:vAlign w:val="center"/>
          </w:tcPr>
          <w:p w14:paraId="7D1C7D66">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37B2FD06">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2AB04F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40C983">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五（6）</w:t>
            </w:r>
          </w:p>
        </w:tc>
        <w:tc>
          <w:tcPr>
            <w:tcW w:w="4369" w:type="dxa"/>
            <w:shd w:val="clear" w:color="auto" w:fill="FFFFFF"/>
            <w:vAlign w:val="center"/>
          </w:tcPr>
          <w:p w14:paraId="21FBBE3E">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报告厅扩声系统</w:t>
            </w:r>
          </w:p>
        </w:tc>
        <w:tc>
          <w:tcPr>
            <w:tcW w:w="1643" w:type="dxa"/>
            <w:shd w:val="clear" w:color="auto" w:fill="FFFFFF"/>
            <w:vAlign w:val="center"/>
          </w:tcPr>
          <w:p w14:paraId="5B21AB98">
            <w:pPr>
              <w:widowControl/>
              <w:jc w:val="center"/>
              <w:textAlignment w:val="bottom"/>
              <w:rPr>
                <w:rFonts w:hint="eastAsia" w:ascii="宋体" w:hAnsi="宋体" w:cs="宋体"/>
                <w:color w:val="000000"/>
                <w:szCs w:val="21"/>
              </w:rPr>
            </w:pPr>
          </w:p>
        </w:tc>
        <w:tc>
          <w:tcPr>
            <w:tcW w:w="2028" w:type="dxa"/>
            <w:shd w:val="clear" w:color="auto" w:fill="FFFFFF"/>
            <w:vAlign w:val="center"/>
          </w:tcPr>
          <w:p w14:paraId="5185A6DD">
            <w:pPr>
              <w:widowControl/>
              <w:jc w:val="center"/>
              <w:textAlignment w:val="bottom"/>
              <w:rPr>
                <w:rFonts w:hint="eastAsia" w:ascii="宋体" w:hAnsi="宋体" w:cs="宋体"/>
                <w:color w:val="000000"/>
                <w:szCs w:val="21"/>
              </w:rPr>
            </w:pPr>
          </w:p>
        </w:tc>
      </w:tr>
      <w:tr w14:paraId="261B1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EFB08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02E5F75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线阵音箱</w:t>
            </w:r>
          </w:p>
        </w:tc>
        <w:tc>
          <w:tcPr>
            <w:tcW w:w="1643" w:type="dxa"/>
            <w:shd w:val="clear" w:color="auto" w:fill="FFFFFF"/>
            <w:vAlign w:val="center"/>
          </w:tcPr>
          <w:p w14:paraId="50809223">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657821A8">
            <w:pPr>
              <w:widowControl/>
              <w:jc w:val="center"/>
              <w:textAlignment w:val="bottom"/>
              <w:rPr>
                <w:rFonts w:hint="eastAsia" w:ascii="宋体" w:hAnsi="宋体" w:cs="宋体"/>
                <w:color w:val="000000"/>
                <w:szCs w:val="21"/>
              </w:rPr>
            </w:pPr>
            <w:r>
              <w:rPr>
                <w:rFonts w:hint="eastAsia" w:ascii="宋体" w:hAnsi="宋体" w:cs="宋体"/>
                <w:kern w:val="0"/>
                <w:sz w:val="20"/>
                <w:szCs w:val="20"/>
              </w:rPr>
              <w:t>8</w:t>
            </w:r>
          </w:p>
        </w:tc>
      </w:tr>
      <w:tr w14:paraId="6971DE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96B96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3538085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线阵音箱</w:t>
            </w:r>
          </w:p>
        </w:tc>
        <w:tc>
          <w:tcPr>
            <w:tcW w:w="1643" w:type="dxa"/>
            <w:shd w:val="clear" w:color="auto" w:fill="FFFFFF"/>
            <w:vAlign w:val="center"/>
          </w:tcPr>
          <w:p w14:paraId="1070B65C">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10C45E7E">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2E087A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1ABBEB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439AC28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49862266">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90F3394">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3B5B0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7DD84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04B0AB8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支架</w:t>
            </w:r>
          </w:p>
        </w:tc>
        <w:tc>
          <w:tcPr>
            <w:tcW w:w="1643" w:type="dxa"/>
            <w:shd w:val="clear" w:color="auto" w:fill="FFFFFF"/>
            <w:vAlign w:val="center"/>
          </w:tcPr>
          <w:p w14:paraId="75052183">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8C1C4DA">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1C79F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29B47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029F908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1ECE4A6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07CA6A8">
            <w:pPr>
              <w:widowControl/>
              <w:jc w:val="center"/>
              <w:textAlignment w:val="bottom"/>
              <w:rPr>
                <w:rFonts w:hint="eastAsia" w:ascii="宋体" w:hAnsi="宋体" w:cs="宋体"/>
                <w:color w:val="000000"/>
                <w:szCs w:val="21"/>
              </w:rPr>
            </w:pPr>
            <w:r>
              <w:rPr>
                <w:rFonts w:hint="eastAsia" w:ascii="宋体" w:hAnsi="宋体" w:cs="宋体"/>
                <w:kern w:val="0"/>
                <w:sz w:val="20"/>
                <w:szCs w:val="20"/>
              </w:rPr>
              <w:t>4</w:t>
            </w:r>
          </w:p>
        </w:tc>
      </w:tr>
      <w:tr w14:paraId="1BC801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51D334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5EC255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55385FF0">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3CD593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77E73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9AF92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7F08304A">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音频处理器</w:t>
            </w:r>
          </w:p>
        </w:tc>
        <w:tc>
          <w:tcPr>
            <w:tcW w:w="1643" w:type="dxa"/>
            <w:shd w:val="clear" w:color="auto" w:fill="FFFFFF"/>
            <w:vAlign w:val="center"/>
          </w:tcPr>
          <w:p w14:paraId="02FE94F6">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2B981B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37AD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785B89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4C3A9E5D">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调音台</w:t>
            </w:r>
          </w:p>
        </w:tc>
        <w:tc>
          <w:tcPr>
            <w:tcW w:w="1643" w:type="dxa"/>
            <w:shd w:val="clear" w:color="auto" w:fill="FFFFFF"/>
            <w:vAlign w:val="center"/>
          </w:tcPr>
          <w:p w14:paraId="5D042B7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3849C6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FBD9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E46F12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9</w:t>
            </w:r>
          </w:p>
        </w:tc>
        <w:tc>
          <w:tcPr>
            <w:tcW w:w="4369" w:type="dxa"/>
            <w:shd w:val="clear" w:color="auto" w:fill="FFFFFF"/>
            <w:vAlign w:val="center"/>
          </w:tcPr>
          <w:p w14:paraId="37FE9F19">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一拖四无线手持话筒</w:t>
            </w:r>
          </w:p>
        </w:tc>
        <w:tc>
          <w:tcPr>
            <w:tcW w:w="1643" w:type="dxa"/>
            <w:shd w:val="clear" w:color="auto" w:fill="FFFFFF"/>
            <w:vAlign w:val="center"/>
          </w:tcPr>
          <w:p w14:paraId="6C972FB7">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788D1C0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F00AB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05231F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10</w:t>
            </w:r>
          </w:p>
        </w:tc>
        <w:tc>
          <w:tcPr>
            <w:tcW w:w="4369" w:type="dxa"/>
            <w:shd w:val="clear" w:color="auto" w:fill="FFFFFF"/>
            <w:vAlign w:val="center"/>
          </w:tcPr>
          <w:p w14:paraId="40EFEEC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一拖四无线头戴话筒</w:t>
            </w:r>
          </w:p>
        </w:tc>
        <w:tc>
          <w:tcPr>
            <w:tcW w:w="1643" w:type="dxa"/>
            <w:shd w:val="clear" w:color="auto" w:fill="FFFFFF"/>
            <w:vAlign w:val="center"/>
          </w:tcPr>
          <w:p w14:paraId="3BE93ACB">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0F267772">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F70B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40B35C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11</w:t>
            </w:r>
          </w:p>
        </w:tc>
        <w:tc>
          <w:tcPr>
            <w:tcW w:w="4369" w:type="dxa"/>
            <w:shd w:val="clear" w:color="auto" w:fill="FFFFFF"/>
            <w:vAlign w:val="center"/>
          </w:tcPr>
          <w:p w14:paraId="6172E91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一拖四无线鹅颈话筒</w:t>
            </w:r>
          </w:p>
        </w:tc>
        <w:tc>
          <w:tcPr>
            <w:tcW w:w="1643" w:type="dxa"/>
            <w:shd w:val="clear" w:color="auto" w:fill="FFFFFF"/>
            <w:vAlign w:val="center"/>
          </w:tcPr>
          <w:p w14:paraId="4FFF1E8E">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3A0D47A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514B7B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17E4BBC">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12</w:t>
            </w:r>
          </w:p>
        </w:tc>
        <w:tc>
          <w:tcPr>
            <w:tcW w:w="4369" w:type="dxa"/>
            <w:shd w:val="clear" w:color="auto" w:fill="FFFFFF"/>
            <w:vAlign w:val="center"/>
          </w:tcPr>
          <w:p w14:paraId="47CE350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天线分配器</w:t>
            </w:r>
          </w:p>
        </w:tc>
        <w:tc>
          <w:tcPr>
            <w:tcW w:w="1643" w:type="dxa"/>
            <w:shd w:val="clear" w:color="auto" w:fill="FFFFFF"/>
            <w:vAlign w:val="center"/>
          </w:tcPr>
          <w:p w14:paraId="08EC0AFA">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36DAAF5">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356235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AFAABF">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13</w:t>
            </w:r>
          </w:p>
        </w:tc>
        <w:tc>
          <w:tcPr>
            <w:tcW w:w="4369" w:type="dxa"/>
            <w:shd w:val="clear" w:color="auto" w:fill="FFFFFF"/>
            <w:vAlign w:val="center"/>
          </w:tcPr>
          <w:p w14:paraId="24A673A6">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话筒天线</w:t>
            </w:r>
          </w:p>
        </w:tc>
        <w:tc>
          <w:tcPr>
            <w:tcW w:w="1643" w:type="dxa"/>
            <w:shd w:val="clear" w:color="auto" w:fill="FFFFFF"/>
            <w:vAlign w:val="center"/>
          </w:tcPr>
          <w:p w14:paraId="7B0BC38A">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5DCD828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D74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86206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14</w:t>
            </w:r>
          </w:p>
        </w:tc>
        <w:tc>
          <w:tcPr>
            <w:tcW w:w="4369" w:type="dxa"/>
            <w:shd w:val="clear" w:color="auto" w:fill="FFFFFF"/>
            <w:vAlign w:val="center"/>
          </w:tcPr>
          <w:p w14:paraId="25DB85F7">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话筒</w:t>
            </w:r>
          </w:p>
        </w:tc>
        <w:tc>
          <w:tcPr>
            <w:tcW w:w="1643" w:type="dxa"/>
            <w:shd w:val="clear" w:color="auto" w:fill="FFFFFF"/>
            <w:vAlign w:val="center"/>
          </w:tcPr>
          <w:p w14:paraId="53D715B5">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2034701D">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97A6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24525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15</w:t>
            </w:r>
          </w:p>
        </w:tc>
        <w:tc>
          <w:tcPr>
            <w:tcW w:w="4369" w:type="dxa"/>
            <w:shd w:val="clear" w:color="auto" w:fill="FFFFFF"/>
            <w:vAlign w:val="center"/>
          </w:tcPr>
          <w:p w14:paraId="35D234A2">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104728B1">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30CB5A0">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00CA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68C3F4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16</w:t>
            </w:r>
          </w:p>
        </w:tc>
        <w:tc>
          <w:tcPr>
            <w:tcW w:w="4369" w:type="dxa"/>
            <w:shd w:val="clear" w:color="auto" w:fill="FFFFFF"/>
            <w:vAlign w:val="center"/>
          </w:tcPr>
          <w:p w14:paraId="42CF7C3F">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5E011A1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D0AF63E">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CABE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321D42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17</w:t>
            </w:r>
          </w:p>
        </w:tc>
        <w:tc>
          <w:tcPr>
            <w:tcW w:w="4369" w:type="dxa"/>
            <w:shd w:val="clear" w:color="auto" w:fill="FFFFFF"/>
            <w:vAlign w:val="center"/>
          </w:tcPr>
          <w:p w14:paraId="7198A5D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15101349">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F66A6D4">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66D1E5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F887126">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五（7）</w:t>
            </w:r>
          </w:p>
        </w:tc>
        <w:tc>
          <w:tcPr>
            <w:tcW w:w="4369" w:type="dxa"/>
            <w:shd w:val="clear" w:color="auto" w:fill="FFFFFF"/>
            <w:vAlign w:val="center"/>
          </w:tcPr>
          <w:p w14:paraId="338C972B">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中控系统</w:t>
            </w:r>
          </w:p>
        </w:tc>
        <w:tc>
          <w:tcPr>
            <w:tcW w:w="1643" w:type="dxa"/>
            <w:shd w:val="clear" w:color="auto" w:fill="FFFFFF"/>
            <w:vAlign w:val="center"/>
          </w:tcPr>
          <w:p w14:paraId="0A92589A">
            <w:pPr>
              <w:widowControl/>
              <w:jc w:val="center"/>
              <w:textAlignment w:val="bottom"/>
              <w:rPr>
                <w:rFonts w:hint="eastAsia" w:ascii="宋体" w:hAnsi="宋体" w:cs="宋体"/>
                <w:b/>
                <w:bCs/>
                <w:color w:val="000000"/>
                <w:szCs w:val="21"/>
              </w:rPr>
            </w:pPr>
          </w:p>
        </w:tc>
        <w:tc>
          <w:tcPr>
            <w:tcW w:w="2028" w:type="dxa"/>
            <w:shd w:val="clear" w:color="auto" w:fill="FFFFFF"/>
            <w:vAlign w:val="center"/>
          </w:tcPr>
          <w:p w14:paraId="282AFF6C">
            <w:pPr>
              <w:widowControl/>
              <w:jc w:val="center"/>
              <w:textAlignment w:val="bottom"/>
              <w:rPr>
                <w:rFonts w:hint="eastAsia" w:ascii="宋体" w:hAnsi="宋体" w:cs="宋体"/>
                <w:b/>
                <w:bCs/>
                <w:color w:val="000000"/>
                <w:szCs w:val="21"/>
              </w:rPr>
            </w:pPr>
          </w:p>
        </w:tc>
      </w:tr>
      <w:tr w14:paraId="00423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31C55EB">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1</w:t>
            </w:r>
          </w:p>
        </w:tc>
        <w:tc>
          <w:tcPr>
            <w:tcW w:w="4369" w:type="dxa"/>
            <w:shd w:val="clear" w:color="auto" w:fill="FFFFFF"/>
            <w:vAlign w:val="center"/>
          </w:tcPr>
          <w:p w14:paraId="0937F811">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超高清视频切换器</w:t>
            </w:r>
          </w:p>
        </w:tc>
        <w:tc>
          <w:tcPr>
            <w:tcW w:w="1643" w:type="dxa"/>
            <w:shd w:val="clear" w:color="auto" w:fill="FFFFFF"/>
            <w:vAlign w:val="center"/>
          </w:tcPr>
          <w:p w14:paraId="2B3CE77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5144BFAC">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50976E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0357741">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2</w:t>
            </w:r>
          </w:p>
        </w:tc>
        <w:tc>
          <w:tcPr>
            <w:tcW w:w="4369" w:type="dxa"/>
            <w:shd w:val="clear" w:color="auto" w:fill="FFFFFF"/>
            <w:vAlign w:val="center"/>
          </w:tcPr>
          <w:p w14:paraId="7D6A81A3">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网络中控主机</w:t>
            </w:r>
          </w:p>
        </w:tc>
        <w:tc>
          <w:tcPr>
            <w:tcW w:w="1643" w:type="dxa"/>
            <w:shd w:val="clear" w:color="auto" w:fill="FFFFFF"/>
            <w:vAlign w:val="center"/>
          </w:tcPr>
          <w:p w14:paraId="34516B5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F07EB4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161CD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B95D7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3</w:t>
            </w:r>
          </w:p>
        </w:tc>
        <w:tc>
          <w:tcPr>
            <w:tcW w:w="4369" w:type="dxa"/>
            <w:shd w:val="clear" w:color="auto" w:fill="FFFFFF"/>
            <w:vAlign w:val="center"/>
          </w:tcPr>
          <w:p w14:paraId="50AEC25A">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控制终端</w:t>
            </w:r>
          </w:p>
        </w:tc>
        <w:tc>
          <w:tcPr>
            <w:tcW w:w="1643" w:type="dxa"/>
            <w:shd w:val="clear" w:color="auto" w:fill="FFFFFF"/>
            <w:vAlign w:val="center"/>
          </w:tcPr>
          <w:p w14:paraId="6C50F8C4">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D8E15A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9949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90BB1F1">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0"/>
                <w:szCs w:val="20"/>
              </w:rPr>
              <w:t>4</w:t>
            </w:r>
          </w:p>
        </w:tc>
        <w:tc>
          <w:tcPr>
            <w:tcW w:w="4369" w:type="dxa"/>
            <w:shd w:val="clear" w:color="auto" w:fill="FFFFFF"/>
            <w:vAlign w:val="center"/>
          </w:tcPr>
          <w:p w14:paraId="2F29249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路由器</w:t>
            </w:r>
          </w:p>
        </w:tc>
        <w:tc>
          <w:tcPr>
            <w:tcW w:w="1643" w:type="dxa"/>
            <w:shd w:val="clear" w:color="auto" w:fill="FFFFFF"/>
            <w:vAlign w:val="center"/>
          </w:tcPr>
          <w:p w14:paraId="409B99B8">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267EE26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6F95F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5604B2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4177EBDB">
            <w:pPr>
              <w:widowControl/>
              <w:jc w:val="center"/>
              <w:textAlignment w:val="center"/>
              <w:rPr>
                <w:rFonts w:hint="eastAsia" w:ascii="宋体" w:hAnsi="宋体" w:cs="宋体"/>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4E39A8E7">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7484EAA9">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A10D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B4244F1">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szCs w:val="21"/>
              </w:rPr>
              <w:t>五（8）</w:t>
            </w:r>
          </w:p>
        </w:tc>
        <w:tc>
          <w:tcPr>
            <w:tcW w:w="4369" w:type="dxa"/>
            <w:shd w:val="clear" w:color="auto" w:fill="FFFFFF"/>
            <w:vAlign w:val="center"/>
          </w:tcPr>
          <w:p w14:paraId="4EE49351">
            <w:pPr>
              <w:widowControl/>
              <w:jc w:val="left"/>
              <w:textAlignment w:val="center"/>
              <w:rPr>
                <w:rFonts w:hint="eastAsia" w:ascii="宋体" w:hAnsi="宋体" w:cs="宋体"/>
                <w:b/>
                <w:bCs/>
                <w:color w:val="000000"/>
                <w:kern w:val="0"/>
                <w:sz w:val="20"/>
                <w:szCs w:val="20"/>
              </w:rPr>
            </w:pPr>
            <w:r>
              <w:rPr>
                <w:rFonts w:hint="eastAsia" w:ascii="宋体" w:hAnsi="宋体" w:cs="宋体"/>
                <w:b/>
                <w:bCs/>
                <w:kern w:val="0"/>
                <w:sz w:val="20"/>
                <w:szCs w:val="20"/>
              </w:rPr>
              <w:t>100人学生活动室扩声</w:t>
            </w:r>
          </w:p>
        </w:tc>
        <w:tc>
          <w:tcPr>
            <w:tcW w:w="1643" w:type="dxa"/>
            <w:shd w:val="clear" w:color="auto" w:fill="FFFFFF"/>
            <w:vAlign w:val="center"/>
          </w:tcPr>
          <w:p w14:paraId="0CA0C5D3">
            <w:pPr>
              <w:widowControl/>
              <w:jc w:val="center"/>
              <w:textAlignment w:val="bottom"/>
              <w:rPr>
                <w:rFonts w:hint="eastAsia" w:ascii="宋体" w:hAnsi="宋体" w:cs="宋体"/>
                <w:b/>
                <w:bCs/>
                <w:color w:val="000000"/>
                <w:szCs w:val="21"/>
              </w:rPr>
            </w:pPr>
          </w:p>
        </w:tc>
        <w:tc>
          <w:tcPr>
            <w:tcW w:w="2028" w:type="dxa"/>
            <w:shd w:val="clear" w:color="auto" w:fill="FFFFFF"/>
            <w:vAlign w:val="center"/>
          </w:tcPr>
          <w:p w14:paraId="619FE562">
            <w:pPr>
              <w:widowControl/>
              <w:jc w:val="center"/>
              <w:textAlignment w:val="bottom"/>
              <w:rPr>
                <w:rFonts w:hint="eastAsia" w:ascii="宋体" w:hAnsi="宋体" w:cs="宋体"/>
                <w:b/>
                <w:bCs/>
                <w:color w:val="000000"/>
                <w:szCs w:val="21"/>
              </w:rPr>
            </w:pPr>
          </w:p>
        </w:tc>
      </w:tr>
      <w:tr w14:paraId="274B05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754B28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1</w:t>
            </w:r>
          </w:p>
        </w:tc>
        <w:tc>
          <w:tcPr>
            <w:tcW w:w="4369" w:type="dxa"/>
            <w:shd w:val="clear" w:color="auto" w:fill="FFFFFF"/>
            <w:vAlign w:val="center"/>
          </w:tcPr>
          <w:p w14:paraId="59935AA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专业音箱</w:t>
            </w:r>
          </w:p>
        </w:tc>
        <w:tc>
          <w:tcPr>
            <w:tcW w:w="1643" w:type="dxa"/>
            <w:shd w:val="clear" w:color="auto" w:fill="FFFFFF"/>
            <w:vAlign w:val="center"/>
          </w:tcPr>
          <w:p w14:paraId="7F29E990">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只</w:t>
            </w:r>
          </w:p>
        </w:tc>
        <w:tc>
          <w:tcPr>
            <w:tcW w:w="2028" w:type="dxa"/>
            <w:shd w:val="clear" w:color="auto" w:fill="FFFFFF"/>
            <w:vAlign w:val="center"/>
          </w:tcPr>
          <w:p w14:paraId="1ED0FFB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2</w:t>
            </w:r>
          </w:p>
        </w:tc>
      </w:tr>
      <w:tr w14:paraId="2716AE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B7B9BE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2</w:t>
            </w:r>
          </w:p>
        </w:tc>
        <w:tc>
          <w:tcPr>
            <w:tcW w:w="4369" w:type="dxa"/>
            <w:shd w:val="clear" w:color="auto" w:fill="FFFFFF"/>
            <w:vAlign w:val="center"/>
          </w:tcPr>
          <w:p w14:paraId="3C450EB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支架</w:t>
            </w:r>
          </w:p>
        </w:tc>
        <w:tc>
          <w:tcPr>
            <w:tcW w:w="1643" w:type="dxa"/>
            <w:shd w:val="clear" w:color="auto" w:fill="FFFFFF"/>
            <w:vAlign w:val="center"/>
          </w:tcPr>
          <w:p w14:paraId="7AB757C5">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55454D95">
            <w:pPr>
              <w:widowControl/>
              <w:jc w:val="center"/>
              <w:textAlignment w:val="bottom"/>
              <w:rPr>
                <w:rFonts w:hint="eastAsia" w:ascii="宋体" w:hAnsi="宋体" w:cs="宋体"/>
                <w:color w:val="000000"/>
                <w:szCs w:val="21"/>
              </w:rPr>
            </w:pPr>
            <w:r>
              <w:rPr>
                <w:rFonts w:hint="eastAsia" w:ascii="宋体" w:hAnsi="宋体" w:cs="宋体"/>
                <w:kern w:val="0"/>
                <w:sz w:val="20"/>
                <w:szCs w:val="20"/>
              </w:rPr>
              <w:t>2</w:t>
            </w:r>
          </w:p>
        </w:tc>
      </w:tr>
      <w:tr w14:paraId="692D9B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00B1A5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3</w:t>
            </w:r>
          </w:p>
        </w:tc>
        <w:tc>
          <w:tcPr>
            <w:tcW w:w="4369" w:type="dxa"/>
            <w:shd w:val="clear" w:color="auto" w:fill="FFFFFF"/>
            <w:vAlign w:val="center"/>
          </w:tcPr>
          <w:p w14:paraId="1B2BBF7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专业功放</w:t>
            </w:r>
          </w:p>
        </w:tc>
        <w:tc>
          <w:tcPr>
            <w:tcW w:w="1643" w:type="dxa"/>
            <w:shd w:val="clear" w:color="auto" w:fill="FFFFFF"/>
            <w:vAlign w:val="center"/>
          </w:tcPr>
          <w:p w14:paraId="2634BE3E">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11C41493">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8896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AE1FF32">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4</w:t>
            </w:r>
          </w:p>
        </w:tc>
        <w:tc>
          <w:tcPr>
            <w:tcW w:w="4369" w:type="dxa"/>
            <w:shd w:val="clear" w:color="auto" w:fill="FFFFFF"/>
            <w:vAlign w:val="center"/>
          </w:tcPr>
          <w:p w14:paraId="218AFBF4">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调音台</w:t>
            </w:r>
          </w:p>
        </w:tc>
        <w:tc>
          <w:tcPr>
            <w:tcW w:w="1643" w:type="dxa"/>
            <w:shd w:val="clear" w:color="auto" w:fill="FFFFFF"/>
            <w:vAlign w:val="center"/>
          </w:tcPr>
          <w:p w14:paraId="0CB4822B">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68A21891">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763A3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9AF398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5</w:t>
            </w:r>
          </w:p>
        </w:tc>
        <w:tc>
          <w:tcPr>
            <w:tcW w:w="4369" w:type="dxa"/>
            <w:shd w:val="clear" w:color="auto" w:fill="FFFFFF"/>
            <w:vAlign w:val="center"/>
          </w:tcPr>
          <w:p w14:paraId="42AD23F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一拖二手持无线话筒</w:t>
            </w:r>
          </w:p>
        </w:tc>
        <w:tc>
          <w:tcPr>
            <w:tcW w:w="1643" w:type="dxa"/>
            <w:shd w:val="clear" w:color="auto" w:fill="FFFFFF"/>
            <w:vAlign w:val="center"/>
          </w:tcPr>
          <w:p w14:paraId="1CA26388">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67AE683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2CAF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031A8AE">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6</w:t>
            </w:r>
          </w:p>
        </w:tc>
        <w:tc>
          <w:tcPr>
            <w:tcW w:w="4369" w:type="dxa"/>
            <w:shd w:val="clear" w:color="auto" w:fill="FFFFFF"/>
            <w:vAlign w:val="center"/>
          </w:tcPr>
          <w:p w14:paraId="76E7ECB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一拖四无线鹅颈话筒</w:t>
            </w:r>
          </w:p>
        </w:tc>
        <w:tc>
          <w:tcPr>
            <w:tcW w:w="1643" w:type="dxa"/>
            <w:shd w:val="clear" w:color="auto" w:fill="FFFFFF"/>
            <w:vAlign w:val="center"/>
          </w:tcPr>
          <w:p w14:paraId="345697E5">
            <w:pPr>
              <w:widowControl/>
              <w:jc w:val="center"/>
              <w:textAlignment w:val="bottom"/>
              <w:rPr>
                <w:rFonts w:hint="eastAsia" w:ascii="宋体" w:hAnsi="宋体" w:cs="宋体"/>
                <w:color w:val="000000"/>
                <w:szCs w:val="21"/>
              </w:rPr>
            </w:pPr>
            <w:r>
              <w:rPr>
                <w:rFonts w:hint="eastAsia" w:ascii="宋体" w:hAnsi="宋体" w:cs="宋体"/>
                <w:kern w:val="0"/>
                <w:sz w:val="20"/>
                <w:szCs w:val="20"/>
              </w:rPr>
              <w:t>套</w:t>
            </w:r>
          </w:p>
        </w:tc>
        <w:tc>
          <w:tcPr>
            <w:tcW w:w="2028" w:type="dxa"/>
            <w:shd w:val="clear" w:color="auto" w:fill="FFFFFF"/>
            <w:vAlign w:val="center"/>
          </w:tcPr>
          <w:p w14:paraId="25488B0C">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9186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DEB3F44">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7</w:t>
            </w:r>
          </w:p>
        </w:tc>
        <w:tc>
          <w:tcPr>
            <w:tcW w:w="4369" w:type="dxa"/>
            <w:shd w:val="clear" w:color="auto" w:fill="FFFFFF"/>
            <w:vAlign w:val="center"/>
          </w:tcPr>
          <w:p w14:paraId="1421050C">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电源管理器</w:t>
            </w:r>
          </w:p>
        </w:tc>
        <w:tc>
          <w:tcPr>
            <w:tcW w:w="1643" w:type="dxa"/>
            <w:shd w:val="clear" w:color="auto" w:fill="FFFFFF"/>
            <w:vAlign w:val="center"/>
          </w:tcPr>
          <w:p w14:paraId="172F7524">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BE74C0E">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1</w:t>
            </w:r>
          </w:p>
        </w:tc>
      </w:tr>
      <w:tr w14:paraId="140C1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3168B1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8</w:t>
            </w:r>
          </w:p>
        </w:tc>
        <w:tc>
          <w:tcPr>
            <w:tcW w:w="4369" w:type="dxa"/>
            <w:shd w:val="clear" w:color="auto" w:fill="FFFFFF"/>
            <w:vAlign w:val="center"/>
          </w:tcPr>
          <w:p w14:paraId="622082F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机柜</w:t>
            </w:r>
          </w:p>
        </w:tc>
        <w:tc>
          <w:tcPr>
            <w:tcW w:w="1643" w:type="dxa"/>
            <w:shd w:val="clear" w:color="auto" w:fill="FFFFFF"/>
            <w:vAlign w:val="center"/>
          </w:tcPr>
          <w:p w14:paraId="67BB77AD">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745F360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E9B8C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E9FDFEC">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2ACB55F9">
            <w:pPr>
              <w:widowControl/>
              <w:jc w:val="center"/>
              <w:textAlignment w:val="center"/>
              <w:rPr>
                <w:rFonts w:hint="eastAsia" w:ascii="宋体" w:hAnsi="宋体" w:cs="宋体"/>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052F13EF">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2B70D97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215ACA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8A7C4E5">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szCs w:val="21"/>
              </w:rPr>
              <w:t>五（9）</w:t>
            </w:r>
          </w:p>
        </w:tc>
        <w:tc>
          <w:tcPr>
            <w:tcW w:w="4369" w:type="dxa"/>
            <w:shd w:val="clear" w:color="auto" w:fill="FFFFFF"/>
            <w:vAlign w:val="center"/>
          </w:tcPr>
          <w:p w14:paraId="05E74ED2">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风雨操场扩声</w:t>
            </w:r>
          </w:p>
        </w:tc>
        <w:tc>
          <w:tcPr>
            <w:tcW w:w="1643" w:type="dxa"/>
            <w:shd w:val="clear" w:color="auto" w:fill="FFFFFF"/>
            <w:vAlign w:val="center"/>
          </w:tcPr>
          <w:p w14:paraId="5BE17602">
            <w:pPr>
              <w:widowControl/>
              <w:jc w:val="center"/>
              <w:textAlignment w:val="bottom"/>
              <w:rPr>
                <w:rFonts w:hint="eastAsia" w:ascii="宋体" w:hAnsi="宋体" w:cs="宋体"/>
                <w:color w:val="000000"/>
                <w:szCs w:val="21"/>
              </w:rPr>
            </w:pPr>
          </w:p>
        </w:tc>
        <w:tc>
          <w:tcPr>
            <w:tcW w:w="2028" w:type="dxa"/>
            <w:shd w:val="clear" w:color="auto" w:fill="FFFFFF"/>
            <w:vAlign w:val="center"/>
          </w:tcPr>
          <w:p w14:paraId="10AD84BE">
            <w:pPr>
              <w:widowControl/>
              <w:jc w:val="center"/>
              <w:textAlignment w:val="bottom"/>
              <w:rPr>
                <w:rFonts w:hint="eastAsia" w:ascii="宋体" w:hAnsi="宋体" w:cs="宋体"/>
                <w:color w:val="000000"/>
                <w:szCs w:val="21"/>
              </w:rPr>
            </w:pPr>
          </w:p>
        </w:tc>
      </w:tr>
      <w:tr w14:paraId="2584CE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24693E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1</w:t>
            </w:r>
          </w:p>
        </w:tc>
        <w:tc>
          <w:tcPr>
            <w:tcW w:w="4369" w:type="dxa"/>
            <w:shd w:val="clear" w:color="auto" w:fill="FFFFFF"/>
            <w:vAlign w:val="center"/>
          </w:tcPr>
          <w:p w14:paraId="189ABA62">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专业音箱</w:t>
            </w:r>
          </w:p>
        </w:tc>
        <w:tc>
          <w:tcPr>
            <w:tcW w:w="1643" w:type="dxa"/>
            <w:shd w:val="clear" w:color="auto" w:fill="FFFFFF"/>
            <w:vAlign w:val="center"/>
          </w:tcPr>
          <w:p w14:paraId="1A057732">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7EB52404">
            <w:pPr>
              <w:widowControl/>
              <w:jc w:val="center"/>
              <w:textAlignment w:val="bottom"/>
              <w:rPr>
                <w:rFonts w:hint="eastAsia" w:ascii="宋体" w:hAnsi="宋体" w:cs="宋体"/>
                <w:color w:val="000000"/>
                <w:szCs w:val="21"/>
              </w:rPr>
            </w:pPr>
            <w:r>
              <w:rPr>
                <w:rFonts w:hint="eastAsia" w:ascii="宋体" w:hAnsi="宋体" w:cs="宋体"/>
                <w:kern w:val="0"/>
                <w:sz w:val="20"/>
                <w:szCs w:val="20"/>
              </w:rPr>
              <w:t>6</w:t>
            </w:r>
          </w:p>
        </w:tc>
      </w:tr>
      <w:tr w14:paraId="4FC361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A0B9E8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2</w:t>
            </w:r>
          </w:p>
        </w:tc>
        <w:tc>
          <w:tcPr>
            <w:tcW w:w="4369" w:type="dxa"/>
            <w:shd w:val="clear" w:color="auto" w:fill="FFFFFF"/>
            <w:vAlign w:val="center"/>
          </w:tcPr>
          <w:p w14:paraId="6C041CAF">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支架</w:t>
            </w:r>
          </w:p>
        </w:tc>
        <w:tc>
          <w:tcPr>
            <w:tcW w:w="1643" w:type="dxa"/>
            <w:shd w:val="clear" w:color="auto" w:fill="FFFFFF"/>
            <w:vAlign w:val="center"/>
          </w:tcPr>
          <w:p w14:paraId="304F055C">
            <w:pPr>
              <w:widowControl/>
              <w:jc w:val="center"/>
              <w:textAlignment w:val="bottom"/>
              <w:rPr>
                <w:rFonts w:hint="eastAsia" w:ascii="宋体" w:hAnsi="宋体" w:cs="宋体"/>
                <w:color w:val="000000"/>
                <w:szCs w:val="21"/>
              </w:rPr>
            </w:pPr>
            <w:r>
              <w:rPr>
                <w:rFonts w:hint="eastAsia" w:ascii="宋体" w:hAnsi="宋体" w:cs="宋体"/>
                <w:kern w:val="0"/>
                <w:sz w:val="20"/>
                <w:szCs w:val="20"/>
              </w:rPr>
              <w:t>只</w:t>
            </w:r>
          </w:p>
        </w:tc>
        <w:tc>
          <w:tcPr>
            <w:tcW w:w="2028" w:type="dxa"/>
            <w:shd w:val="clear" w:color="auto" w:fill="FFFFFF"/>
            <w:vAlign w:val="center"/>
          </w:tcPr>
          <w:p w14:paraId="75A3E616">
            <w:pPr>
              <w:widowControl/>
              <w:jc w:val="center"/>
              <w:textAlignment w:val="bottom"/>
              <w:rPr>
                <w:rFonts w:hint="eastAsia" w:ascii="宋体" w:hAnsi="宋体" w:cs="宋体"/>
                <w:color w:val="000000"/>
                <w:szCs w:val="21"/>
              </w:rPr>
            </w:pPr>
            <w:r>
              <w:rPr>
                <w:rFonts w:hint="eastAsia" w:ascii="宋体" w:hAnsi="宋体" w:cs="宋体"/>
                <w:kern w:val="0"/>
                <w:sz w:val="20"/>
                <w:szCs w:val="20"/>
              </w:rPr>
              <w:t>6</w:t>
            </w:r>
          </w:p>
        </w:tc>
      </w:tr>
      <w:tr w14:paraId="2C312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244CF38">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3</w:t>
            </w:r>
          </w:p>
        </w:tc>
        <w:tc>
          <w:tcPr>
            <w:tcW w:w="4369" w:type="dxa"/>
            <w:shd w:val="clear" w:color="auto" w:fill="FFFFFF"/>
            <w:vAlign w:val="center"/>
          </w:tcPr>
          <w:p w14:paraId="52A2033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专业功放</w:t>
            </w:r>
          </w:p>
        </w:tc>
        <w:tc>
          <w:tcPr>
            <w:tcW w:w="1643" w:type="dxa"/>
            <w:shd w:val="clear" w:color="auto" w:fill="FFFFFF"/>
            <w:vAlign w:val="center"/>
          </w:tcPr>
          <w:p w14:paraId="143B72F5">
            <w:pPr>
              <w:widowControl/>
              <w:jc w:val="center"/>
              <w:textAlignment w:val="bottom"/>
              <w:rPr>
                <w:rFonts w:hint="eastAsia" w:ascii="宋体" w:hAnsi="宋体" w:cs="宋体"/>
                <w:color w:val="000000"/>
                <w:szCs w:val="21"/>
              </w:rPr>
            </w:pPr>
            <w:r>
              <w:rPr>
                <w:rFonts w:hint="eastAsia" w:ascii="宋体" w:hAnsi="宋体" w:cs="宋体"/>
                <w:kern w:val="0"/>
                <w:sz w:val="20"/>
                <w:szCs w:val="20"/>
              </w:rPr>
              <w:t>台</w:t>
            </w:r>
          </w:p>
        </w:tc>
        <w:tc>
          <w:tcPr>
            <w:tcW w:w="2028" w:type="dxa"/>
            <w:shd w:val="clear" w:color="auto" w:fill="FFFFFF"/>
            <w:vAlign w:val="center"/>
          </w:tcPr>
          <w:p w14:paraId="46ABA790">
            <w:pPr>
              <w:widowControl/>
              <w:jc w:val="center"/>
              <w:textAlignment w:val="bottom"/>
              <w:rPr>
                <w:rFonts w:hint="eastAsia" w:ascii="宋体" w:hAnsi="宋体" w:cs="宋体"/>
                <w:color w:val="000000"/>
                <w:szCs w:val="21"/>
              </w:rPr>
            </w:pPr>
            <w:r>
              <w:rPr>
                <w:rFonts w:hint="eastAsia" w:ascii="宋体" w:hAnsi="宋体" w:cs="宋体"/>
                <w:kern w:val="0"/>
                <w:sz w:val="20"/>
                <w:szCs w:val="20"/>
              </w:rPr>
              <w:t>3</w:t>
            </w:r>
          </w:p>
        </w:tc>
      </w:tr>
      <w:tr w14:paraId="03CFFB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FFBEA3D">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4</w:t>
            </w:r>
          </w:p>
        </w:tc>
        <w:tc>
          <w:tcPr>
            <w:tcW w:w="4369" w:type="dxa"/>
            <w:shd w:val="clear" w:color="auto" w:fill="FFFFFF"/>
            <w:vAlign w:val="center"/>
          </w:tcPr>
          <w:p w14:paraId="0E354906">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无线话筒</w:t>
            </w:r>
          </w:p>
        </w:tc>
        <w:tc>
          <w:tcPr>
            <w:tcW w:w="1643" w:type="dxa"/>
            <w:shd w:val="clear" w:color="auto" w:fill="FFFFFF"/>
            <w:vAlign w:val="center"/>
          </w:tcPr>
          <w:p w14:paraId="336A47D7">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套</w:t>
            </w:r>
          </w:p>
        </w:tc>
        <w:tc>
          <w:tcPr>
            <w:tcW w:w="2028" w:type="dxa"/>
            <w:shd w:val="clear" w:color="auto" w:fill="FFFFFF"/>
            <w:vAlign w:val="center"/>
          </w:tcPr>
          <w:p w14:paraId="5EBD6A94">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432AE8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44510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5</w:t>
            </w:r>
          </w:p>
        </w:tc>
        <w:tc>
          <w:tcPr>
            <w:tcW w:w="4369" w:type="dxa"/>
            <w:shd w:val="clear" w:color="auto" w:fill="FFFFFF"/>
            <w:vAlign w:val="center"/>
          </w:tcPr>
          <w:p w14:paraId="20767967">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无线话筒</w:t>
            </w:r>
          </w:p>
        </w:tc>
        <w:tc>
          <w:tcPr>
            <w:tcW w:w="1643" w:type="dxa"/>
            <w:shd w:val="clear" w:color="auto" w:fill="FFFFFF"/>
            <w:vAlign w:val="center"/>
          </w:tcPr>
          <w:p w14:paraId="56A77F01">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套</w:t>
            </w:r>
          </w:p>
        </w:tc>
        <w:tc>
          <w:tcPr>
            <w:tcW w:w="2028" w:type="dxa"/>
            <w:shd w:val="clear" w:color="auto" w:fill="FFFFFF"/>
            <w:vAlign w:val="center"/>
          </w:tcPr>
          <w:p w14:paraId="0BF44337">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CDC1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620B1F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6</w:t>
            </w:r>
          </w:p>
        </w:tc>
        <w:tc>
          <w:tcPr>
            <w:tcW w:w="4369" w:type="dxa"/>
            <w:shd w:val="clear" w:color="auto" w:fill="FFFFFF"/>
            <w:vAlign w:val="center"/>
          </w:tcPr>
          <w:p w14:paraId="797E38D0">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调音台</w:t>
            </w:r>
          </w:p>
        </w:tc>
        <w:tc>
          <w:tcPr>
            <w:tcW w:w="1643" w:type="dxa"/>
            <w:shd w:val="clear" w:color="auto" w:fill="FFFFFF"/>
            <w:vAlign w:val="center"/>
          </w:tcPr>
          <w:p w14:paraId="0007E6C9">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778AD50B">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130D5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E8E775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7</w:t>
            </w:r>
          </w:p>
        </w:tc>
        <w:tc>
          <w:tcPr>
            <w:tcW w:w="4369" w:type="dxa"/>
            <w:shd w:val="clear" w:color="auto" w:fill="FFFFFF"/>
            <w:vAlign w:val="center"/>
          </w:tcPr>
          <w:p w14:paraId="0B1AB345">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电源管理器</w:t>
            </w:r>
          </w:p>
        </w:tc>
        <w:tc>
          <w:tcPr>
            <w:tcW w:w="1643" w:type="dxa"/>
            <w:shd w:val="clear" w:color="auto" w:fill="FFFFFF"/>
            <w:vAlign w:val="center"/>
          </w:tcPr>
          <w:p w14:paraId="4B48F319">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65ED226">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3609F5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2EEE9F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0"/>
                <w:szCs w:val="20"/>
              </w:rPr>
              <w:t>8</w:t>
            </w:r>
          </w:p>
        </w:tc>
        <w:tc>
          <w:tcPr>
            <w:tcW w:w="4369" w:type="dxa"/>
            <w:shd w:val="clear" w:color="auto" w:fill="FFFFFF"/>
            <w:vAlign w:val="center"/>
          </w:tcPr>
          <w:p w14:paraId="7BC0151B">
            <w:pPr>
              <w:widowControl/>
              <w:jc w:val="center"/>
              <w:textAlignment w:val="center"/>
              <w:rPr>
                <w:rFonts w:hint="eastAsia" w:ascii="宋体" w:hAnsi="宋体" w:cs="宋体"/>
                <w:color w:val="000000"/>
                <w:kern w:val="0"/>
                <w:sz w:val="20"/>
                <w:szCs w:val="20"/>
              </w:rPr>
            </w:pPr>
            <w:r>
              <w:rPr>
                <w:rFonts w:hint="eastAsia" w:ascii="宋体" w:hAnsi="宋体" w:cs="宋体"/>
                <w:color w:val="000000"/>
                <w:kern w:val="0"/>
                <w:sz w:val="20"/>
                <w:szCs w:val="20"/>
              </w:rPr>
              <w:t>机柜</w:t>
            </w:r>
          </w:p>
        </w:tc>
        <w:tc>
          <w:tcPr>
            <w:tcW w:w="1643" w:type="dxa"/>
            <w:shd w:val="clear" w:color="auto" w:fill="FFFFFF"/>
            <w:vAlign w:val="center"/>
          </w:tcPr>
          <w:p w14:paraId="3B8F6863">
            <w:pPr>
              <w:widowControl/>
              <w:jc w:val="center"/>
              <w:textAlignment w:val="bottom"/>
              <w:rPr>
                <w:rFonts w:hint="eastAsia" w:ascii="宋体" w:hAnsi="宋体" w:cs="宋体"/>
                <w:color w:val="000000"/>
                <w:szCs w:val="21"/>
              </w:rPr>
            </w:pPr>
            <w:r>
              <w:rPr>
                <w:rFonts w:hint="eastAsia" w:ascii="宋体" w:hAnsi="宋体" w:cs="宋体"/>
                <w:color w:val="000000"/>
                <w:kern w:val="0"/>
                <w:sz w:val="20"/>
                <w:szCs w:val="20"/>
              </w:rPr>
              <w:t>台</w:t>
            </w:r>
          </w:p>
        </w:tc>
        <w:tc>
          <w:tcPr>
            <w:tcW w:w="2028" w:type="dxa"/>
            <w:shd w:val="clear" w:color="auto" w:fill="FFFFFF"/>
            <w:vAlign w:val="center"/>
          </w:tcPr>
          <w:p w14:paraId="2E7104F8">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05C82E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F821E77">
            <w:pPr>
              <w:widowControl/>
              <w:jc w:val="center"/>
              <w:textAlignment w:val="center"/>
              <w:rPr>
                <w:rFonts w:hint="eastAsia" w:ascii="宋体" w:hAnsi="宋体" w:cs="宋体"/>
                <w:color w:val="000000"/>
                <w:kern w:val="0"/>
                <w:sz w:val="22"/>
                <w:szCs w:val="22"/>
                <w:lang w:bidi="ar"/>
              </w:rPr>
            </w:pPr>
            <w:r>
              <w:rPr>
                <w:rFonts w:hint="eastAsia" w:ascii="宋体" w:hAnsi="宋体" w:cs="宋体"/>
                <w:color w:val="000000"/>
                <w:kern w:val="0"/>
                <w:sz w:val="22"/>
                <w:szCs w:val="22"/>
                <w:lang w:bidi="ar"/>
              </w:rPr>
              <w:t>9</w:t>
            </w:r>
          </w:p>
        </w:tc>
        <w:tc>
          <w:tcPr>
            <w:tcW w:w="4369" w:type="dxa"/>
            <w:shd w:val="clear" w:color="auto" w:fill="FFFFFF"/>
            <w:vAlign w:val="center"/>
          </w:tcPr>
          <w:p w14:paraId="16F537D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安装调试及系统集成费</w:t>
            </w:r>
          </w:p>
        </w:tc>
        <w:tc>
          <w:tcPr>
            <w:tcW w:w="1643" w:type="dxa"/>
            <w:shd w:val="clear" w:color="auto" w:fill="FFFFFF"/>
            <w:vAlign w:val="center"/>
          </w:tcPr>
          <w:p w14:paraId="224DF4DD">
            <w:pPr>
              <w:widowControl/>
              <w:jc w:val="center"/>
              <w:textAlignment w:val="bottom"/>
              <w:rPr>
                <w:rFonts w:hint="eastAsia" w:ascii="宋体" w:hAnsi="宋体" w:cs="宋体"/>
                <w:color w:val="000000"/>
                <w:szCs w:val="21"/>
              </w:rPr>
            </w:pPr>
            <w:r>
              <w:rPr>
                <w:rFonts w:hint="eastAsia" w:ascii="宋体" w:hAnsi="宋体" w:cs="宋体"/>
                <w:kern w:val="0"/>
                <w:sz w:val="20"/>
                <w:szCs w:val="20"/>
              </w:rPr>
              <w:t>项</w:t>
            </w:r>
          </w:p>
        </w:tc>
        <w:tc>
          <w:tcPr>
            <w:tcW w:w="2028" w:type="dxa"/>
            <w:shd w:val="clear" w:color="auto" w:fill="FFFFFF"/>
            <w:vAlign w:val="center"/>
          </w:tcPr>
          <w:p w14:paraId="1CA042D5">
            <w:pPr>
              <w:widowControl/>
              <w:jc w:val="center"/>
              <w:textAlignment w:val="bottom"/>
              <w:rPr>
                <w:rFonts w:hint="eastAsia" w:ascii="宋体" w:hAnsi="宋体" w:cs="宋体"/>
                <w:color w:val="000000"/>
                <w:szCs w:val="21"/>
              </w:rPr>
            </w:pPr>
            <w:r>
              <w:rPr>
                <w:rFonts w:hint="eastAsia" w:ascii="宋体" w:hAnsi="宋体" w:cs="宋体"/>
                <w:kern w:val="0"/>
                <w:sz w:val="20"/>
                <w:szCs w:val="20"/>
              </w:rPr>
              <w:t>1</w:t>
            </w:r>
          </w:p>
        </w:tc>
      </w:tr>
      <w:tr w14:paraId="68AD2F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6BAB53">
            <w:pPr>
              <w:widowControl/>
              <w:jc w:val="center"/>
              <w:textAlignment w:val="center"/>
              <w:rPr>
                <w:rFonts w:hint="eastAsia" w:ascii="宋体" w:hAnsi="宋体" w:cs="宋体"/>
                <w:b/>
                <w:bCs/>
                <w:color w:val="000000"/>
                <w:kern w:val="0"/>
                <w:sz w:val="22"/>
                <w:szCs w:val="22"/>
                <w:lang w:bidi="ar"/>
              </w:rPr>
            </w:pPr>
            <w:r>
              <w:rPr>
                <w:rFonts w:hint="eastAsia" w:ascii="宋体" w:hAnsi="宋体" w:cs="宋体"/>
                <w:b/>
                <w:bCs/>
                <w:color w:val="000000"/>
                <w:kern w:val="0"/>
                <w:sz w:val="22"/>
                <w:szCs w:val="22"/>
                <w:lang w:bidi="ar"/>
              </w:rPr>
              <w:t>六</w:t>
            </w:r>
          </w:p>
        </w:tc>
        <w:tc>
          <w:tcPr>
            <w:tcW w:w="4369" w:type="dxa"/>
            <w:shd w:val="clear" w:color="auto" w:fill="FFFFFF"/>
            <w:vAlign w:val="center"/>
          </w:tcPr>
          <w:p w14:paraId="4F56B14D">
            <w:pPr>
              <w:widowControl/>
              <w:jc w:val="left"/>
              <w:textAlignment w:val="center"/>
              <w:rPr>
                <w:rFonts w:hint="eastAsia" w:ascii="宋体" w:hAnsi="宋体" w:cs="宋体"/>
                <w:b/>
                <w:bCs/>
                <w:kern w:val="0"/>
                <w:sz w:val="20"/>
                <w:szCs w:val="20"/>
              </w:rPr>
            </w:pPr>
            <w:r>
              <w:rPr>
                <w:rFonts w:hint="eastAsia" w:ascii="宋体" w:hAnsi="宋体" w:cs="宋体"/>
                <w:b/>
                <w:bCs/>
                <w:kern w:val="0"/>
                <w:sz w:val="20"/>
                <w:szCs w:val="20"/>
              </w:rPr>
              <w:t>录播系统</w:t>
            </w:r>
          </w:p>
        </w:tc>
        <w:tc>
          <w:tcPr>
            <w:tcW w:w="1643" w:type="dxa"/>
            <w:shd w:val="clear" w:color="auto" w:fill="FFFFFF"/>
            <w:vAlign w:val="center"/>
          </w:tcPr>
          <w:p w14:paraId="0A11966E">
            <w:pPr>
              <w:widowControl/>
              <w:jc w:val="center"/>
              <w:textAlignment w:val="bottom"/>
              <w:rPr>
                <w:rFonts w:hint="eastAsia" w:ascii="宋体" w:hAnsi="宋体" w:cs="宋体"/>
                <w:color w:val="000000"/>
                <w:szCs w:val="21"/>
              </w:rPr>
            </w:pPr>
          </w:p>
        </w:tc>
        <w:tc>
          <w:tcPr>
            <w:tcW w:w="2028" w:type="dxa"/>
            <w:shd w:val="clear" w:color="auto" w:fill="FFFFFF"/>
            <w:vAlign w:val="center"/>
          </w:tcPr>
          <w:p w14:paraId="54195ECC">
            <w:pPr>
              <w:widowControl/>
              <w:jc w:val="center"/>
              <w:textAlignment w:val="bottom"/>
              <w:rPr>
                <w:rFonts w:hint="eastAsia" w:ascii="宋体" w:hAnsi="宋体" w:cs="宋体"/>
                <w:color w:val="000000"/>
                <w:szCs w:val="21"/>
              </w:rPr>
            </w:pPr>
          </w:p>
        </w:tc>
      </w:tr>
      <w:tr w14:paraId="6D592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5CE3A01">
            <w:pPr>
              <w:widowControl/>
              <w:jc w:val="center"/>
              <w:textAlignment w:val="center"/>
              <w:rPr>
                <w:rFonts w:hint="eastAsia" w:ascii="宋体" w:hAnsi="宋体" w:cs="宋体"/>
                <w:color w:val="000000"/>
                <w:kern w:val="0"/>
                <w:sz w:val="22"/>
                <w:szCs w:val="22"/>
                <w:lang w:bidi="ar"/>
              </w:rPr>
            </w:pPr>
            <w:r>
              <w:rPr>
                <w:rFonts w:hint="eastAsia" w:ascii="宋体" w:hAnsi="宋体" w:cs="宋体"/>
                <w:b/>
                <w:bCs/>
                <w:color w:val="000000"/>
                <w:kern w:val="0"/>
                <w:sz w:val="22"/>
                <w:szCs w:val="22"/>
                <w:lang w:bidi="ar"/>
              </w:rPr>
              <w:t>六（1）</w:t>
            </w:r>
          </w:p>
        </w:tc>
        <w:tc>
          <w:tcPr>
            <w:tcW w:w="4369" w:type="dxa"/>
            <w:shd w:val="clear" w:color="auto" w:fill="FFFFFF"/>
            <w:vAlign w:val="center"/>
          </w:tcPr>
          <w:p w14:paraId="62D92CED">
            <w:pPr>
              <w:widowControl/>
              <w:jc w:val="left"/>
              <w:textAlignment w:val="center"/>
              <w:rPr>
                <w:rFonts w:hint="eastAsia" w:ascii="宋体" w:hAnsi="宋体" w:cs="宋体"/>
                <w:color w:val="000000"/>
                <w:kern w:val="0"/>
                <w:sz w:val="20"/>
                <w:szCs w:val="20"/>
              </w:rPr>
            </w:pPr>
            <w:r>
              <w:rPr>
                <w:rFonts w:hint="eastAsia" w:ascii="宋体" w:hAnsi="宋体" w:cs="宋体"/>
                <w:b/>
                <w:bCs/>
                <w:kern w:val="0"/>
                <w:sz w:val="20"/>
                <w:szCs w:val="20"/>
              </w:rPr>
              <w:t>精品录播系统</w:t>
            </w:r>
          </w:p>
        </w:tc>
        <w:tc>
          <w:tcPr>
            <w:tcW w:w="1643" w:type="dxa"/>
            <w:shd w:val="clear" w:color="auto" w:fill="FFFFFF"/>
            <w:vAlign w:val="center"/>
          </w:tcPr>
          <w:p w14:paraId="0FD3D3B9">
            <w:pPr>
              <w:widowControl/>
              <w:jc w:val="center"/>
              <w:textAlignment w:val="bottom"/>
              <w:rPr>
                <w:rFonts w:hint="eastAsia" w:ascii="宋体" w:hAnsi="宋体" w:cs="宋体"/>
                <w:color w:val="000000"/>
                <w:szCs w:val="21"/>
              </w:rPr>
            </w:pPr>
          </w:p>
        </w:tc>
        <w:tc>
          <w:tcPr>
            <w:tcW w:w="2028" w:type="dxa"/>
            <w:shd w:val="clear" w:color="auto" w:fill="FFFFFF"/>
            <w:vAlign w:val="center"/>
          </w:tcPr>
          <w:p w14:paraId="67A891EF">
            <w:pPr>
              <w:widowControl/>
              <w:jc w:val="center"/>
              <w:textAlignment w:val="bottom"/>
              <w:rPr>
                <w:rFonts w:hint="eastAsia" w:ascii="宋体" w:hAnsi="宋体" w:cs="宋体"/>
                <w:color w:val="000000"/>
                <w:szCs w:val="21"/>
              </w:rPr>
            </w:pPr>
          </w:p>
        </w:tc>
      </w:tr>
      <w:tr w14:paraId="4A996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131AD6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w:t>
            </w:r>
          </w:p>
        </w:tc>
        <w:tc>
          <w:tcPr>
            <w:tcW w:w="4369" w:type="dxa"/>
            <w:shd w:val="clear" w:color="auto" w:fill="FFFFFF"/>
            <w:vAlign w:val="center"/>
          </w:tcPr>
          <w:p w14:paraId="0C3B9AAE">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高清录播主机</w:t>
            </w:r>
          </w:p>
        </w:tc>
        <w:tc>
          <w:tcPr>
            <w:tcW w:w="1643" w:type="dxa"/>
            <w:shd w:val="clear" w:color="auto" w:fill="FFFFFF"/>
            <w:vAlign w:val="center"/>
          </w:tcPr>
          <w:p w14:paraId="32A0905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39FD3F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9945D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C0D80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w:t>
            </w:r>
          </w:p>
        </w:tc>
        <w:tc>
          <w:tcPr>
            <w:tcW w:w="4369" w:type="dxa"/>
            <w:shd w:val="clear" w:color="auto" w:fill="FFFFFF"/>
            <w:vAlign w:val="center"/>
          </w:tcPr>
          <w:p w14:paraId="1FEE9AE8">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录播流媒体处理软件</w:t>
            </w:r>
          </w:p>
        </w:tc>
        <w:tc>
          <w:tcPr>
            <w:tcW w:w="1643" w:type="dxa"/>
            <w:shd w:val="clear" w:color="auto" w:fill="FFFFFF"/>
            <w:vAlign w:val="center"/>
          </w:tcPr>
          <w:p w14:paraId="5AD0B420">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478D4CC1">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5CAB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6EE317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3</w:t>
            </w:r>
          </w:p>
        </w:tc>
        <w:tc>
          <w:tcPr>
            <w:tcW w:w="4369" w:type="dxa"/>
            <w:shd w:val="clear" w:color="auto" w:fill="FFFFFF"/>
            <w:vAlign w:val="center"/>
          </w:tcPr>
          <w:p w14:paraId="0EC20F23">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AI智能跟踪处理软件</w:t>
            </w:r>
          </w:p>
        </w:tc>
        <w:tc>
          <w:tcPr>
            <w:tcW w:w="1643" w:type="dxa"/>
            <w:shd w:val="clear" w:color="auto" w:fill="FFFFFF"/>
            <w:vAlign w:val="center"/>
          </w:tcPr>
          <w:p w14:paraId="2ED052AB">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2B7AC62C">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BFFA9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A8605F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4</w:t>
            </w:r>
          </w:p>
        </w:tc>
        <w:tc>
          <w:tcPr>
            <w:tcW w:w="4369" w:type="dxa"/>
            <w:shd w:val="clear" w:color="auto" w:fill="FFFFFF"/>
            <w:vAlign w:val="center"/>
          </w:tcPr>
          <w:p w14:paraId="141AC34B">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高清摄像机</w:t>
            </w:r>
          </w:p>
        </w:tc>
        <w:tc>
          <w:tcPr>
            <w:tcW w:w="1643" w:type="dxa"/>
            <w:shd w:val="clear" w:color="auto" w:fill="FFFFFF"/>
            <w:vAlign w:val="center"/>
          </w:tcPr>
          <w:p w14:paraId="41018070">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8EF5841">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55CC13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BC523D3">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1A76CDB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摄像机管理软件</w:t>
            </w:r>
          </w:p>
        </w:tc>
        <w:tc>
          <w:tcPr>
            <w:tcW w:w="1643" w:type="dxa"/>
            <w:shd w:val="clear" w:color="auto" w:fill="FFFFFF"/>
            <w:vAlign w:val="center"/>
          </w:tcPr>
          <w:p w14:paraId="508BAE07">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00608908">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266972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2B58FC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6</w:t>
            </w:r>
          </w:p>
        </w:tc>
        <w:tc>
          <w:tcPr>
            <w:tcW w:w="4369" w:type="dxa"/>
            <w:shd w:val="clear" w:color="auto" w:fill="FFFFFF"/>
            <w:vAlign w:val="center"/>
          </w:tcPr>
          <w:p w14:paraId="2541116A">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拾音话筒</w:t>
            </w:r>
          </w:p>
        </w:tc>
        <w:tc>
          <w:tcPr>
            <w:tcW w:w="1643" w:type="dxa"/>
            <w:shd w:val="clear" w:color="auto" w:fill="FFFFFF"/>
            <w:vAlign w:val="center"/>
          </w:tcPr>
          <w:p w14:paraId="071B5B68">
            <w:pPr>
              <w:widowControl/>
              <w:jc w:val="center"/>
              <w:textAlignment w:val="bottom"/>
              <w:rPr>
                <w:rFonts w:hint="eastAsia" w:ascii="宋体" w:hAnsi="宋体" w:cs="宋体"/>
                <w:color w:val="000000"/>
                <w:szCs w:val="21"/>
              </w:rPr>
            </w:pPr>
            <w:r>
              <w:rPr>
                <w:rFonts w:hint="eastAsia" w:ascii="宋体" w:hAnsi="宋体" w:cs="宋体"/>
                <w:kern w:val="0"/>
                <w:sz w:val="22"/>
                <w:szCs w:val="22"/>
              </w:rPr>
              <w:t>支</w:t>
            </w:r>
          </w:p>
        </w:tc>
        <w:tc>
          <w:tcPr>
            <w:tcW w:w="2028" w:type="dxa"/>
            <w:shd w:val="clear" w:color="auto" w:fill="FFFFFF"/>
            <w:vAlign w:val="center"/>
          </w:tcPr>
          <w:p w14:paraId="1B90431E">
            <w:pPr>
              <w:widowControl/>
              <w:jc w:val="center"/>
              <w:textAlignment w:val="bottom"/>
              <w:rPr>
                <w:rFonts w:hint="eastAsia" w:ascii="宋体" w:hAnsi="宋体" w:cs="宋体"/>
                <w:color w:val="000000"/>
                <w:szCs w:val="21"/>
              </w:rPr>
            </w:pPr>
            <w:r>
              <w:rPr>
                <w:rFonts w:hint="eastAsia" w:ascii="宋体" w:hAnsi="宋体" w:cs="宋体"/>
                <w:kern w:val="0"/>
                <w:sz w:val="22"/>
                <w:szCs w:val="22"/>
              </w:rPr>
              <w:t>6</w:t>
            </w:r>
          </w:p>
        </w:tc>
      </w:tr>
      <w:tr w14:paraId="54F944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30493B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7</w:t>
            </w:r>
          </w:p>
        </w:tc>
        <w:tc>
          <w:tcPr>
            <w:tcW w:w="4369" w:type="dxa"/>
            <w:shd w:val="clear" w:color="auto" w:fill="FFFFFF"/>
            <w:vAlign w:val="center"/>
          </w:tcPr>
          <w:p w14:paraId="1C619146">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壁挂式面板</w:t>
            </w:r>
          </w:p>
        </w:tc>
        <w:tc>
          <w:tcPr>
            <w:tcW w:w="1643" w:type="dxa"/>
            <w:shd w:val="clear" w:color="auto" w:fill="FFFFFF"/>
            <w:vAlign w:val="center"/>
          </w:tcPr>
          <w:p w14:paraId="34B6D8E6">
            <w:pPr>
              <w:widowControl/>
              <w:jc w:val="center"/>
              <w:textAlignment w:val="bottom"/>
              <w:rPr>
                <w:rFonts w:hint="eastAsia" w:ascii="宋体" w:hAnsi="宋体" w:cs="宋体"/>
                <w:color w:val="000000"/>
                <w:szCs w:val="21"/>
              </w:rPr>
            </w:pPr>
            <w:r>
              <w:rPr>
                <w:rFonts w:hint="eastAsia" w:ascii="宋体" w:hAnsi="宋体" w:cs="宋体"/>
                <w:kern w:val="0"/>
                <w:szCs w:val="21"/>
              </w:rPr>
              <w:t>套</w:t>
            </w:r>
          </w:p>
        </w:tc>
        <w:tc>
          <w:tcPr>
            <w:tcW w:w="2028" w:type="dxa"/>
            <w:shd w:val="clear" w:color="auto" w:fill="FFFFFF"/>
            <w:vAlign w:val="center"/>
          </w:tcPr>
          <w:p w14:paraId="28A92506">
            <w:pPr>
              <w:widowControl/>
              <w:jc w:val="center"/>
              <w:textAlignment w:val="bottom"/>
              <w:rPr>
                <w:rFonts w:hint="eastAsia" w:ascii="宋体" w:hAnsi="宋体" w:cs="宋体"/>
                <w:color w:val="000000"/>
                <w:szCs w:val="21"/>
              </w:rPr>
            </w:pPr>
            <w:r>
              <w:rPr>
                <w:rFonts w:hint="eastAsia" w:ascii="宋体" w:hAnsi="宋体" w:cs="宋体"/>
                <w:kern w:val="0"/>
                <w:szCs w:val="21"/>
              </w:rPr>
              <w:t>1</w:t>
            </w:r>
          </w:p>
        </w:tc>
      </w:tr>
      <w:tr w14:paraId="559EB2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C44B48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8</w:t>
            </w:r>
          </w:p>
        </w:tc>
        <w:tc>
          <w:tcPr>
            <w:tcW w:w="4369" w:type="dxa"/>
            <w:shd w:val="clear" w:color="auto" w:fill="FFFFFF"/>
            <w:vAlign w:val="center"/>
          </w:tcPr>
          <w:p w14:paraId="4162F28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电源管理器</w:t>
            </w:r>
          </w:p>
        </w:tc>
        <w:tc>
          <w:tcPr>
            <w:tcW w:w="1643" w:type="dxa"/>
            <w:shd w:val="clear" w:color="auto" w:fill="FFFFFF"/>
            <w:vAlign w:val="center"/>
          </w:tcPr>
          <w:p w14:paraId="58EB857E">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EF9DAC8">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AF507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8331EB4">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9</w:t>
            </w:r>
          </w:p>
        </w:tc>
        <w:tc>
          <w:tcPr>
            <w:tcW w:w="4369" w:type="dxa"/>
            <w:shd w:val="clear" w:color="auto" w:fill="FFFFFF"/>
            <w:vAlign w:val="center"/>
          </w:tcPr>
          <w:p w14:paraId="73027AD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导播控制台</w:t>
            </w:r>
          </w:p>
        </w:tc>
        <w:tc>
          <w:tcPr>
            <w:tcW w:w="1643" w:type="dxa"/>
            <w:shd w:val="clear" w:color="auto" w:fill="FFFFFF"/>
            <w:vAlign w:val="center"/>
          </w:tcPr>
          <w:p w14:paraId="2D596003">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609916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0CC78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CD8140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10</w:t>
            </w:r>
          </w:p>
        </w:tc>
        <w:tc>
          <w:tcPr>
            <w:tcW w:w="4369" w:type="dxa"/>
            <w:shd w:val="clear" w:color="auto" w:fill="FFFFFF"/>
            <w:vAlign w:val="center"/>
          </w:tcPr>
          <w:p w14:paraId="7C402DBF">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互动显示屏</w:t>
            </w:r>
          </w:p>
        </w:tc>
        <w:tc>
          <w:tcPr>
            <w:tcW w:w="1643" w:type="dxa"/>
            <w:shd w:val="clear" w:color="auto" w:fill="FFFFFF"/>
            <w:vAlign w:val="center"/>
          </w:tcPr>
          <w:p w14:paraId="35682468">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3FCEB3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87161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826DDF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11</w:t>
            </w:r>
          </w:p>
        </w:tc>
        <w:tc>
          <w:tcPr>
            <w:tcW w:w="4369" w:type="dxa"/>
            <w:shd w:val="clear" w:color="auto" w:fill="FFFFFF"/>
            <w:vAlign w:val="center"/>
          </w:tcPr>
          <w:p w14:paraId="496D9CD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教室音箱</w:t>
            </w:r>
          </w:p>
        </w:tc>
        <w:tc>
          <w:tcPr>
            <w:tcW w:w="1643" w:type="dxa"/>
            <w:shd w:val="clear" w:color="auto" w:fill="FFFFFF"/>
            <w:vAlign w:val="center"/>
          </w:tcPr>
          <w:p w14:paraId="7294338E">
            <w:pPr>
              <w:widowControl/>
              <w:jc w:val="center"/>
              <w:textAlignment w:val="bottom"/>
              <w:rPr>
                <w:rFonts w:hint="eastAsia" w:ascii="宋体" w:hAnsi="宋体" w:cs="宋体"/>
                <w:color w:val="000000"/>
                <w:szCs w:val="21"/>
              </w:rPr>
            </w:pPr>
            <w:r>
              <w:rPr>
                <w:rFonts w:hint="eastAsia" w:ascii="宋体" w:hAnsi="宋体" w:cs="宋体"/>
                <w:kern w:val="0"/>
                <w:sz w:val="22"/>
                <w:szCs w:val="22"/>
              </w:rPr>
              <w:t>对</w:t>
            </w:r>
          </w:p>
        </w:tc>
        <w:tc>
          <w:tcPr>
            <w:tcW w:w="2028" w:type="dxa"/>
            <w:shd w:val="clear" w:color="auto" w:fill="FFFFFF"/>
            <w:vAlign w:val="center"/>
          </w:tcPr>
          <w:p w14:paraId="5803C9C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946D6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E0DF3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12</w:t>
            </w:r>
          </w:p>
        </w:tc>
        <w:tc>
          <w:tcPr>
            <w:tcW w:w="4369" w:type="dxa"/>
            <w:shd w:val="clear" w:color="auto" w:fill="FFFFFF"/>
            <w:vAlign w:val="center"/>
          </w:tcPr>
          <w:p w14:paraId="7B58A3D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教室功放</w:t>
            </w:r>
          </w:p>
        </w:tc>
        <w:tc>
          <w:tcPr>
            <w:tcW w:w="1643" w:type="dxa"/>
            <w:shd w:val="clear" w:color="auto" w:fill="FFFFFF"/>
            <w:vAlign w:val="center"/>
          </w:tcPr>
          <w:p w14:paraId="5DAAEABE">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2CCE21F8">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4F52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CDD946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13</w:t>
            </w:r>
          </w:p>
        </w:tc>
        <w:tc>
          <w:tcPr>
            <w:tcW w:w="4369" w:type="dxa"/>
            <w:shd w:val="clear" w:color="auto" w:fill="FFFFFF"/>
            <w:vAlign w:val="center"/>
          </w:tcPr>
          <w:p w14:paraId="0C00C649">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网络交换机</w:t>
            </w:r>
          </w:p>
        </w:tc>
        <w:tc>
          <w:tcPr>
            <w:tcW w:w="1643" w:type="dxa"/>
            <w:shd w:val="clear" w:color="auto" w:fill="FFFFFF"/>
            <w:vAlign w:val="center"/>
          </w:tcPr>
          <w:p w14:paraId="521E04B3">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34AC3DA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0EFF1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3E43E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14</w:t>
            </w:r>
          </w:p>
        </w:tc>
        <w:tc>
          <w:tcPr>
            <w:tcW w:w="4369" w:type="dxa"/>
            <w:shd w:val="clear" w:color="auto" w:fill="FFFFFF"/>
            <w:vAlign w:val="center"/>
          </w:tcPr>
          <w:p w14:paraId="5AE701ED">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POE交换机</w:t>
            </w:r>
          </w:p>
        </w:tc>
        <w:tc>
          <w:tcPr>
            <w:tcW w:w="1643" w:type="dxa"/>
            <w:shd w:val="clear" w:color="auto" w:fill="FFFFFF"/>
            <w:vAlign w:val="center"/>
          </w:tcPr>
          <w:p w14:paraId="791ADCB9">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1A047652">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6E71A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DD043B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15</w:t>
            </w:r>
          </w:p>
        </w:tc>
        <w:tc>
          <w:tcPr>
            <w:tcW w:w="4369" w:type="dxa"/>
            <w:shd w:val="clear" w:color="auto" w:fill="FFFFFF"/>
            <w:vAlign w:val="center"/>
          </w:tcPr>
          <w:p w14:paraId="15950CD6">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导播监视器</w:t>
            </w:r>
          </w:p>
        </w:tc>
        <w:tc>
          <w:tcPr>
            <w:tcW w:w="1643" w:type="dxa"/>
            <w:shd w:val="clear" w:color="auto" w:fill="FFFFFF"/>
            <w:vAlign w:val="center"/>
          </w:tcPr>
          <w:p w14:paraId="046FED5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1812666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552A6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72FD18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16</w:t>
            </w:r>
          </w:p>
        </w:tc>
        <w:tc>
          <w:tcPr>
            <w:tcW w:w="4369" w:type="dxa"/>
            <w:shd w:val="clear" w:color="auto" w:fill="FFFFFF"/>
            <w:vAlign w:val="center"/>
          </w:tcPr>
          <w:p w14:paraId="227FD7D5">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专业操控台</w:t>
            </w:r>
          </w:p>
        </w:tc>
        <w:tc>
          <w:tcPr>
            <w:tcW w:w="1643" w:type="dxa"/>
            <w:shd w:val="clear" w:color="auto" w:fill="FFFFFF"/>
            <w:vAlign w:val="center"/>
          </w:tcPr>
          <w:p w14:paraId="2903DC84">
            <w:pPr>
              <w:widowControl/>
              <w:jc w:val="center"/>
              <w:textAlignment w:val="bottom"/>
              <w:rPr>
                <w:rFonts w:hint="eastAsia" w:ascii="宋体" w:hAnsi="宋体" w:cs="宋体"/>
                <w:color w:val="000000"/>
                <w:szCs w:val="21"/>
              </w:rPr>
            </w:pPr>
            <w:r>
              <w:rPr>
                <w:rFonts w:hint="eastAsia" w:ascii="宋体" w:hAnsi="宋体" w:cs="宋体"/>
                <w:kern w:val="0"/>
                <w:sz w:val="22"/>
                <w:szCs w:val="22"/>
              </w:rPr>
              <w:t>张</w:t>
            </w:r>
          </w:p>
        </w:tc>
        <w:tc>
          <w:tcPr>
            <w:tcW w:w="2028" w:type="dxa"/>
            <w:shd w:val="clear" w:color="auto" w:fill="FFFFFF"/>
            <w:vAlign w:val="center"/>
          </w:tcPr>
          <w:p w14:paraId="3CBA3BEE">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495C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95F1746">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17</w:t>
            </w:r>
          </w:p>
        </w:tc>
        <w:tc>
          <w:tcPr>
            <w:tcW w:w="4369" w:type="dxa"/>
            <w:shd w:val="clear" w:color="auto" w:fill="FFFFFF"/>
            <w:vAlign w:val="center"/>
          </w:tcPr>
          <w:p w14:paraId="40CFA0E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观摩室音箱</w:t>
            </w:r>
          </w:p>
        </w:tc>
        <w:tc>
          <w:tcPr>
            <w:tcW w:w="1643" w:type="dxa"/>
            <w:shd w:val="clear" w:color="auto" w:fill="FFFFFF"/>
            <w:vAlign w:val="center"/>
          </w:tcPr>
          <w:p w14:paraId="0D3DAEBB">
            <w:pPr>
              <w:widowControl/>
              <w:jc w:val="center"/>
              <w:textAlignment w:val="bottom"/>
              <w:rPr>
                <w:rFonts w:hint="eastAsia" w:ascii="宋体" w:hAnsi="宋体" w:cs="宋体"/>
                <w:color w:val="000000"/>
                <w:szCs w:val="21"/>
              </w:rPr>
            </w:pPr>
            <w:r>
              <w:rPr>
                <w:rFonts w:hint="eastAsia" w:ascii="宋体" w:hAnsi="宋体" w:cs="宋体"/>
                <w:kern w:val="0"/>
                <w:sz w:val="22"/>
                <w:szCs w:val="22"/>
              </w:rPr>
              <w:t>对</w:t>
            </w:r>
          </w:p>
        </w:tc>
        <w:tc>
          <w:tcPr>
            <w:tcW w:w="2028" w:type="dxa"/>
            <w:shd w:val="clear" w:color="auto" w:fill="FFFFFF"/>
            <w:vAlign w:val="center"/>
          </w:tcPr>
          <w:p w14:paraId="770C09BC">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A6E7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B28C9D0">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18</w:t>
            </w:r>
          </w:p>
        </w:tc>
        <w:tc>
          <w:tcPr>
            <w:tcW w:w="4369" w:type="dxa"/>
            <w:shd w:val="clear" w:color="auto" w:fill="FFFFFF"/>
            <w:vAlign w:val="center"/>
          </w:tcPr>
          <w:p w14:paraId="5F8D2A65">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观摩室功放</w:t>
            </w:r>
          </w:p>
        </w:tc>
        <w:tc>
          <w:tcPr>
            <w:tcW w:w="1643" w:type="dxa"/>
            <w:shd w:val="clear" w:color="auto" w:fill="FFFFFF"/>
            <w:vAlign w:val="center"/>
          </w:tcPr>
          <w:p w14:paraId="43F20C1C">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0209577B">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BB69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FE8662">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19</w:t>
            </w:r>
          </w:p>
        </w:tc>
        <w:tc>
          <w:tcPr>
            <w:tcW w:w="4369" w:type="dxa"/>
            <w:shd w:val="clear" w:color="auto" w:fill="FFFFFF"/>
            <w:vAlign w:val="center"/>
          </w:tcPr>
          <w:p w14:paraId="7907F3C8">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观摩室大屏</w:t>
            </w:r>
          </w:p>
        </w:tc>
        <w:tc>
          <w:tcPr>
            <w:tcW w:w="1643" w:type="dxa"/>
            <w:shd w:val="clear" w:color="auto" w:fill="FFFFFF"/>
            <w:vAlign w:val="center"/>
          </w:tcPr>
          <w:p w14:paraId="4D654EED">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59E1D162">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092E7B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9765CC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20</w:t>
            </w:r>
          </w:p>
        </w:tc>
        <w:tc>
          <w:tcPr>
            <w:tcW w:w="4369" w:type="dxa"/>
            <w:shd w:val="clear" w:color="auto" w:fill="FFFFFF"/>
            <w:vAlign w:val="center"/>
          </w:tcPr>
          <w:p w14:paraId="65E12107">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教室桌椅</w:t>
            </w:r>
          </w:p>
        </w:tc>
        <w:tc>
          <w:tcPr>
            <w:tcW w:w="1643" w:type="dxa"/>
            <w:shd w:val="clear" w:color="auto" w:fill="FFFFFF"/>
            <w:vAlign w:val="center"/>
          </w:tcPr>
          <w:p w14:paraId="3FCE3D2F">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7EE59557">
            <w:pPr>
              <w:widowControl/>
              <w:jc w:val="center"/>
              <w:textAlignment w:val="bottom"/>
              <w:rPr>
                <w:rFonts w:hint="eastAsia" w:ascii="宋体" w:hAnsi="宋体" w:cs="宋体"/>
                <w:color w:val="000000"/>
                <w:szCs w:val="21"/>
              </w:rPr>
            </w:pPr>
            <w:r>
              <w:rPr>
                <w:rFonts w:hint="eastAsia" w:ascii="宋体" w:hAnsi="宋体" w:cs="宋体"/>
                <w:kern w:val="0"/>
                <w:sz w:val="22"/>
                <w:szCs w:val="22"/>
              </w:rPr>
              <w:t>24</w:t>
            </w:r>
          </w:p>
        </w:tc>
      </w:tr>
      <w:tr w14:paraId="6D031D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24A94E">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21</w:t>
            </w:r>
          </w:p>
        </w:tc>
        <w:tc>
          <w:tcPr>
            <w:tcW w:w="4369" w:type="dxa"/>
            <w:shd w:val="clear" w:color="auto" w:fill="FFFFFF"/>
            <w:vAlign w:val="center"/>
          </w:tcPr>
          <w:p w14:paraId="34942524">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观摩室讨论椅</w:t>
            </w:r>
          </w:p>
        </w:tc>
        <w:tc>
          <w:tcPr>
            <w:tcW w:w="1643" w:type="dxa"/>
            <w:shd w:val="clear" w:color="auto" w:fill="FFFFFF"/>
            <w:vAlign w:val="center"/>
          </w:tcPr>
          <w:p w14:paraId="7B8AA9E2">
            <w:pPr>
              <w:widowControl/>
              <w:jc w:val="center"/>
              <w:textAlignment w:val="bottom"/>
              <w:rPr>
                <w:rFonts w:hint="eastAsia" w:ascii="宋体" w:hAnsi="宋体" w:cs="宋体"/>
                <w:color w:val="000000"/>
                <w:szCs w:val="21"/>
              </w:rPr>
            </w:pPr>
            <w:r>
              <w:rPr>
                <w:rFonts w:hint="eastAsia" w:ascii="宋体" w:hAnsi="宋体" w:cs="宋体"/>
                <w:kern w:val="0"/>
                <w:sz w:val="22"/>
                <w:szCs w:val="22"/>
              </w:rPr>
              <w:t>张</w:t>
            </w:r>
          </w:p>
        </w:tc>
        <w:tc>
          <w:tcPr>
            <w:tcW w:w="2028" w:type="dxa"/>
            <w:shd w:val="clear" w:color="auto" w:fill="FFFFFF"/>
            <w:vAlign w:val="center"/>
          </w:tcPr>
          <w:p w14:paraId="3E23E9AE">
            <w:pPr>
              <w:widowControl/>
              <w:jc w:val="center"/>
              <w:textAlignment w:val="bottom"/>
              <w:rPr>
                <w:rFonts w:hint="eastAsia" w:ascii="宋体" w:hAnsi="宋体" w:cs="宋体"/>
                <w:color w:val="000000"/>
                <w:szCs w:val="21"/>
              </w:rPr>
            </w:pPr>
            <w:r>
              <w:rPr>
                <w:rFonts w:hint="eastAsia" w:ascii="宋体" w:hAnsi="宋体" w:cs="宋体"/>
                <w:kern w:val="0"/>
                <w:sz w:val="22"/>
                <w:szCs w:val="22"/>
              </w:rPr>
              <w:t>39</w:t>
            </w:r>
          </w:p>
        </w:tc>
      </w:tr>
      <w:tr w14:paraId="0737A3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8FBB477">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22</w:t>
            </w:r>
          </w:p>
        </w:tc>
        <w:tc>
          <w:tcPr>
            <w:tcW w:w="4369" w:type="dxa"/>
            <w:shd w:val="clear" w:color="auto" w:fill="FFFFFF"/>
            <w:vAlign w:val="center"/>
          </w:tcPr>
          <w:p w14:paraId="28318CD3">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系统配件、施工</w:t>
            </w:r>
          </w:p>
        </w:tc>
        <w:tc>
          <w:tcPr>
            <w:tcW w:w="1643" w:type="dxa"/>
            <w:shd w:val="clear" w:color="auto" w:fill="FFFFFF"/>
            <w:vAlign w:val="center"/>
          </w:tcPr>
          <w:p w14:paraId="01F6CD6D">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88FBB5D">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46E29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043E215">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23</w:t>
            </w:r>
          </w:p>
        </w:tc>
        <w:tc>
          <w:tcPr>
            <w:tcW w:w="4369" w:type="dxa"/>
            <w:shd w:val="clear" w:color="auto" w:fill="FFFFFF"/>
            <w:vAlign w:val="center"/>
          </w:tcPr>
          <w:p w14:paraId="548D6E85">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视频资源管理平台服务器</w:t>
            </w:r>
          </w:p>
        </w:tc>
        <w:tc>
          <w:tcPr>
            <w:tcW w:w="1643" w:type="dxa"/>
            <w:shd w:val="clear" w:color="auto" w:fill="FFFFFF"/>
            <w:vAlign w:val="center"/>
          </w:tcPr>
          <w:p w14:paraId="173943F2">
            <w:pPr>
              <w:widowControl/>
              <w:jc w:val="center"/>
              <w:textAlignment w:val="bottom"/>
              <w:rPr>
                <w:rFonts w:hint="eastAsia" w:ascii="宋体" w:hAnsi="宋体" w:cs="宋体"/>
                <w:color w:val="000000"/>
                <w:szCs w:val="21"/>
              </w:rPr>
            </w:pPr>
            <w:r>
              <w:rPr>
                <w:rFonts w:hint="eastAsia" w:ascii="宋体" w:hAnsi="宋体" w:cs="宋体"/>
                <w:kern w:val="0"/>
                <w:sz w:val="22"/>
                <w:szCs w:val="22"/>
              </w:rPr>
              <w:t>台</w:t>
            </w:r>
          </w:p>
        </w:tc>
        <w:tc>
          <w:tcPr>
            <w:tcW w:w="2028" w:type="dxa"/>
            <w:shd w:val="clear" w:color="auto" w:fill="FFFFFF"/>
            <w:vAlign w:val="center"/>
          </w:tcPr>
          <w:p w14:paraId="3B923496">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BB761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F89155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24</w:t>
            </w:r>
          </w:p>
        </w:tc>
        <w:tc>
          <w:tcPr>
            <w:tcW w:w="4369" w:type="dxa"/>
            <w:shd w:val="clear" w:color="auto" w:fill="FFFFFF"/>
            <w:vAlign w:val="center"/>
          </w:tcPr>
          <w:p w14:paraId="1E95B5E8">
            <w:pPr>
              <w:widowControl/>
              <w:jc w:val="center"/>
              <w:textAlignment w:val="center"/>
              <w:rPr>
                <w:rFonts w:hint="eastAsia" w:ascii="宋体" w:hAnsi="宋体" w:cs="宋体"/>
                <w:color w:val="000000"/>
                <w:kern w:val="0"/>
                <w:sz w:val="20"/>
                <w:szCs w:val="20"/>
              </w:rPr>
            </w:pPr>
            <w:r>
              <w:rPr>
                <w:rFonts w:hint="eastAsia" w:ascii="宋体" w:hAnsi="宋体" w:cs="宋体"/>
                <w:kern w:val="0"/>
                <w:szCs w:val="21"/>
              </w:rPr>
              <w:t>视频资源管理平台</w:t>
            </w:r>
          </w:p>
        </w:tc>
        <w:tc>
          <w:tcPr>
            <w:tcW w:w="1643" w:type="dxa"/>
            <w:shd w:val="clear" w:color="auto" w:fill="FFFFFF"/>
            <w:vAlign w:val="center"/>
          </w:tcPr>
          <w:p w14:paraId="120A20E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2565D697">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7F2516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1802D0B">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25</w:t>
            </w:r>
          </w:p>
        </w:tc>
        <w:tc>
          <w:tcPr>
            <w:tcW w:w="4369" w:type="dxa"/>
            <w:shd w:val="clear" w:color="auto" w:fill="FFFFFF"/>
            <w:vAlign w:val="center"/>
          </w:tcPr>
          <w:p w14:paraId="1CF4C55E">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AI数据处理软件</w:t>
            </w:r>
          </w:p>
        </w:tc>
        <w:tc>
          <w:tcPr>
            <w:tcW w:w="1643" w:type="dxa"/>
            <w:shd w:val="clear" w:color="auto" w:fill="FFFFFF"/>
            <w:vAlign w:val="center"/>
          </w:tcPr>
          <w:p w14:paraId="00AC0A1F">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74BE196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8F21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AC00DEA">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26</w:t>
            </w:r>
          </w:p>
        </w:tc>
        <w:tc>
          <w:tcPr>
            <w:tcW w:w="4369" w:type="dxa"/>
            <w:shd w:val="clear" w:color="auto" w:fill="FFFFFF"/>
            <w:vAlign w:val="center"/>
          </w:tcPr>
          <w:p w14:paraId="6B70915B">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智能课堂行为分析软件</w:t>
            </w:r>
          </w:p>
        </w:tc>
        <w:tc>
          <w:tcPr>
            <w:tcW w:w="1643" w:type="dxa"/>
            <w:shd w:val="clear" w:color="auto" w:fill="FFFFFF"/>
            <w:vAlign w:val="center"/>
          </w:tcPr>
          <w:p w14:paraId="6C0FFDB1">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6C6EEA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0A847E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84C8AA1">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27</w:t>
            </w:r>
          </w:p>
        </w:tc>
        <w:tc>
          <w:tcPr>
            <w:tcW w:w="4369" w:type="dxa"/>
            <w:shd w:val="clear" w:color="auto" w:fill="FFFFFF"/>
            <w:vAlign w:val="center"/>
          </w:tcPr>
          <w:p w14:paraId="714E0042">
            <w:pPr>
              <w:widowControl/>
              <w:jc w:val="center"/>
              <w:textAlignment w:val="center"/>
              <w:rPr>
                <w:rFonts w:hint="eastAsia" w:ascii="宋体" w:hAnsi="宋体" w:cs="宋体"/>
                <w:color w:val="000000"/>
                <w:kern w:val="0"/>
                <w:sz w:val="20"/>
                <w:szCs w:val="20"/>
              </w:rPr>
            </w:pPr>
            <w:r>
              <w:rPr>
                <w:rFonts w:hint="eastAsia" w:ascii="宋体" w:hAnsi="宋体" w:cs="宋体"/>
                <w:kern w:val="0"/>
                <w:sz w:val="22"/>
                <w:szCs w:val="22"/>
              </w:rPr>
              <w:t>智能语音分析软件</w:t>
            </w:r>
          </w:p>
        </w:tc>
        <w:tc>
          <w:tcPr>
            <w:tcW w:w="1643" w:type="dxa"/>
            <w:shd w:val="clear" w:color="auto" w:fill="FFFFFF"/>
            <w:vAlign w:val="center"/>
          </w:tcPr>
          <w:p w14:paraId="6C9428AA">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1634DAA5">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38478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DA95D2F">
            <w:pPr>
              <w:widowControl/>
              <w:jc w:val="center"/>
              <w:textAlignment w:val="center"/>
              <w:rPr>
                <w:rFonts w:hint="eastAsia" w:ascii="宋体" w:hAnsi="宋体" w:cs="宋体"/>
                <w:kern w:val="0"/>
                <w:sz w:val="22"/>
                <w:szCs w:val="22"/>
              </w:rPr>
            </w:pPr>
            <w:r>
              <w:rPr>
                <w:rFonts w:hint="eastAsia" w:ascii="宋体" w:hAnsi="宋体" w:cs="宋体"/>
                <w:b/>
                <w:bCs/>
                <w:color w:val="000000"/>
                <w:kern w:val="0"/>
                <w:sz w:val="22"/>
                <w:szCs w:val="22"/>
                <w:lang w:bidi="ar"/>
              </w:rPr>
              <w:t>六（2）</w:t>
            </w:r>
          </w:p>
        </w:tc>
        <w:tc>
          <w:tcPr>
            <w:tcW w:w="4369" w:type="dxa"/>
            <w:shd w:val="clear" w:color="auto" w:fill="FFFFFF"/>
            <w:vAlign w:val="center"/>
          </w:tcPr>
          <w:p w14:paraId="38D6A02F">
            <w:pPr>
              <w:widowControl/>
              <w:jc w:val="left"/>
              <w:textAlignment w:val="center"/>
              <w:rPr>
                <w:rFonts w:hint="eastAsia" w:ascii="宋体" w:hAnsi="宋体" w:cs="宋体"/>
                <w:kern w:val="0"/>
                <w:sz w:val="22"/>
                <w:szCs w:val="22"/>
              </w:rPr>
            </w:pPr>
            <w:r>
              <w:rPr>
                <w:rFonts w:hint="eastAsia" w:ascii="宋体" w:hAnsi="宋体" w:cs="宋体"/>
                <w:b/>
                <w:bCs/>
                <w:kern w:val="0"/>
                <w:sz w:val="20"/>
                <w:szCs w:val="20"/>
              </w:rPr>
              <w:t>移动录播系统</w:t>
            </w:r>
          </w:p>
        </w:tc>
        <w:tc>
          <w:tcPr>
            <w:tcW w:w="1643" w:type="dxa"/>
            <w:shd w:val="clear" w:color="auto" w:fill="FFFFFF"/>
            <w:vAlign w:val="center"/>
          </w:tcPr>
          <w:p w14:paraId="49A805BD">
            <w:pPr>
              <w:widowControl/>
              <w:jc w:val="center"/>
              <w:textAlignment w:val="bottom"/>
              <w:rPr>
                <w:rFonts w:hint="eastAsia" w:ascii="宋体" w:hAnsi="宋体" w:cs="宋体"/>
                <w:kern w:val="0"/>
                <w:sz w:val="22"/>
                <w:szCs w:val="22"/>
              </w:rPr>
            </w:pPr>
          </w:p>
        </w:tc>
        <w:tc>
          <w:tcPr>
            <w:tcW w:w="2028" w:type="dxa"/>
            <w:shd w:val="clear" w:color="auto" w:fill="FFFFFF"/>
            <w:vAlign w:val="center"/>
          </w:tcPr>
          <w:p w14:paraId="7347034E">
            <w:pPr>
              <w:widowControl/>
              <w:jc w:val="center"/>
              <w:textAlignment w:val="bottom"/>
              <w:rPr>
                <w:rFonts w:hint="eastAsia" w:ascii="宋体" w:hAnsi="宋体" w:cs="宋体"/>
                <w:kern w:val="0"/>
                <w:sz w:val="22"/>
                <w:szCs w:val="22"/>
              </w:rPr>
            </w:pPr>
          </w:p>
        </w:tc>
      </w:tr>
      <w:tr w14:paraId="186817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87E77D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w:t>
            </w:r>
          </w:p>
        </w:tc>
        <w:tc>
          <w:tcPr>
            <w:tcW w:w="4369" w:type="dxa"/>
            <w:shd w:val="clear" w:color="auto" w:fill="FFFFFF"/>
            <w:vAlign w:val="center"/>
          </w:tcPr>
          <w:p w14:paraId="37C91B2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便携交互式录播主机</w:t>
            </w:r>
          </w:p>
        </w:tc>
        <w:tc>
          <w:tcPr>
            <w:tcW w:w="1643" w:type="dxa"/>
            <w:shd w:val="clear" w:color="auto" w:fill="FFFFFF"/>
            <w:vAlign w:val="center"/>
          </w:tcPr>
          <w:p w14:paraId="0028B3F8">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台</w:t>
            </w:r>
          </w:p>
        </w:tc>
        <w:tc>
          <w:tcPr>
            <w:tcW w:w="2028" w:type="dxa"/>
            <w:shd w:val="clear" w:color="auto" w:fill="FFFFFF"/>
            <w:vAlign w:val="center"/>
          </w:tcPr>
          <w:p w14:paraId="253CB7E3">
            <w:pPr>
              <w:widowControl/>
              <w:jc w:val="center"/>
              <w:textAlignment w:val="bottom"/>
              <w:rPr>
                <w:rFonts w:hint="eastAsia" w:ascii="宋体" w:hAnsi="宋体" w:cs="宋体"/>
                <w:kern w:val="0"/>
                <w:sz w:val="22"/>
                <w:szCs w:val="22"/>
              </w:rPr>
            </w:pPr>
            <w:r>
              <w:rPr>
                <w:rFonts w:hint="eastAsia" w:ascii="宋体" w:hAnsi="宋体" w:cs="宋体"/>
                <w:kern w:val="0"/>
                <w:sz w:val="22"/>
                <w:szCs w:val="22"/>
              </w:rPr>
              <w:t>1</w:t>
            </w:r>
          </w:p>
        </w:tc>
      </w:tr>
      <w:tr w14:paraId="23F9C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CF48962">
            <w:pPr>
              <w:widowControl/>
              <w:jc w:val="center"/>
              <w:textAlignment w:val="center"/>
              <w:rPr>
                <w:rFonts w:hint="eastAsia" w:ascii="宋体" w:hAnsi="宋体" w:cs="宋体"/>
                <w:kern w:val="0"/>
                <w:sz w:val="22"/>
                <w:szCs w:val="22"/>
              </w:rPr>
            </w:pPr>
            <w:r>
              <w:rPr>
                <w:rFonts w:hint="eastAsia" w:ascii="宋体" w:hAnsi="宋体" w:cs="宋体"/>
                <w:kern w:val="0"/>
                <w:sz w:val="22"/>
                <w:szCs w:val="22"/>
              </w:rPr>
              <w:t>2</w:t>
            </w:r>
          </w:p>
        </w:tc>
        <w:tc>
          <w:tcPr>
            <w:tcW w:w="4369" w:type="dxa"/>
            <w:shd w:val="clear" w:color="auto" w:fill="FFFFFF"/>
            <w:vAlign w:val="center"/>
          </w:tcPr>
          <w:p w14:paraId="7B6EF67F">
            <w:pPr>
              <w:widowControl/>
              <w:jc w:val="center"/>
              <w:textAlignment w:val="center"/>
              <w:rPr>
                <w:rFonts w:hint="eastAsia" w:ascii="宋体" w:hAnsi="宋体" w:cs="宋体"/>
                <w:kern w:val="0"/>
                <w:sz w:val="22"/>
                <w:szCs w:val="22"/>
              </w:rPr>
            </w:pPr>
            <w:r>
              <w:rPr>
                <w:rFonts w:hint="eastAsia" w:ascii="宋体" w:hAnsi="宋体" w:cs="宋体"/>
                <w:kern w:val="0"/>
                <w:szCs w:val="21"/>
              </w:rPr>
              <w:t>录播管理软件</w:t>
            </w:r>
          </w:p>
        </w:tc>
        <w:tc>
          <w:tcPr>
            <w:tcW w:w="1643" w:type="dxa"/>
            <w:shd w:val="clear" w:color="auto" w:fill="FFFFFF"/>
            <w:vAlign w:val="center"/>
          </w:tcPr>
          <w:p w14:paraId="3A043138">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套</w:t>
            </w:r>
          </w:p>
        </w:tc>
        <w:tc>
          <w:tcPr>
            <w:tcW w:w="2028" w:type="dxa"/>
            <w:shd w:val="clear" w:color="auto" w:fill="FFFFFF"/>
            <w:vAlign w:val="center"/>
          </w:tcPr>
          <w:p w14:paraId="0038D0AD">
            <w:pPr>
              <w:widowControl/>
              <w:jc w:val="center"/>
              <w:textAlignment w:val="bottom"/>
              <w:rPr>
                <w:rFonts w:hint="eastAsia" w:ascii="宋体" w:hAnsi="宋体" w:cs="宋体"/>
                <w:kern w:val="0"/>
                <w:sz w:val="22"/>
                <w:szCs w:val="22"/>
              </w:rPr>
            </w:pPr>
            <w:r>
              <w:rPr>
                <w:rFonts w:hint="eastAsia" w:ascii="宋体" w:hAnsi="宋体" w:cs="宋体"/>
                <w:kern w:val="0"/>
                <w:sz w:val="22"/>
                <w:szCs w:val="22"/>
              </w:rPr>
              <w:t>1</w:t>
            </w:r>
          </w:p>
        </w:tc>
      </w:tr>
      <w:tr w14:paraId="4E500A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1D559F5">
            <w:pPr>
              <w:widowControl/>
              <w:jc w:val="center"/>
              <w:textAlignment w:val="center"/>
              <w:rPr>
                <w:rFonts w:hint="eastAsia" w:ascii="宋体" w:hAnsi="宋体" w:cs="宋体"/>
                <w:kern w:val="0"/>
                <w:sz w:val="22"/>
                <w:szCs w:val="22"/>
              </w:rPr>
            </w:pPr>
            <w:r>
              <w:rPr>
                <w:rFonts w:hint="eastAsia" w:ascii="宋体" w:hAnsi="宋体" w:cs="宋体"/>
                <w:kern w:val="0"/>
                <w:sz w:val="22"/>
                <w:szCs w:val="22"/>
              </w:rPr>
              <w:t>3</w:t>
            </w:r>
          </w:p>
        </w:tc>
        <w:tc>
          <w:tcPr>
            <w:tcW w:w="4369" w:type="dxa"/>
            <w:shd w:val="clear" w:color="auto" w:fill="FFFFFF"/>
            <w:vAlign w:val="center"/>
          </w:tcPr>
          <w:p w14:paraId="4072773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高清摄像机</w:t>
            </w:r>
          </w:p>
        </w:tc>
        <w:tc>
          <w:tcPr>
            <w:tcW w:w="1643" w:type="dxa"/>
            <w:shd w:val="clear" w:color="auto" w:fill="FFFFFF"/>
            <w:vAlign w:val="center"/>
          </w:tcPr>
          <w:p w14:paraId="7C4B527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台</w:t>
            </w:r>
          </w:p>
        </w:tc>
        <w:tc>
          <w:tcPr>
            <w:tcW w:w="2028" w:type="dxa"/>
            <w:shd w:val="clear" w:color="auto" w:fill="FFFFFF"/>
            <w:vAlign w:val="center"/>
          </w:tcPr>
          <w:p w14:paraId="5BBF50D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3</w:t>
            </w:r>
          </w:p>
        </w:tc>
      </w:tr>
      <w:tr w14:paraId="68671E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448FF9C">
            <w:pPr>
              <w:widowControl/>
              <w:jc w:val="center"/>
              <w:textAlignment w:val="center"/>
              <w:rPr>
                <w:rFonts w:hint="eastAsia" w:ascii="宋体" w:hAnsi="宋体" w:cs="宋体"/>
                <w:kern w:val="0"/>
                <w:sz w:val="22"/>
                <w:szCs w:val="22"/>
              </w:rPr>
            </w:pPr>
            <w:r>
              <w:rPr>
                <w:rFonts w:hint="eastAsia" w:ascii="宋体" w:hAnsi="宋体" w:cs="宋体"/>
                <w:kern w:val="0"/>
                <w:sz w:val="22"/>
                <w:szCs w:val="22"/>
              </w:rPr>
              <w:t>4</w:t>
            </w:r>
          </w:p>
        </w:tc>
        <w:tc>
          <w:tcPr>
            <w:tcW w:w="4369" w:type="dxa"/>
            <w:shd w:val="clear" w:color="auto" w:fill="FFFFFF"/>
            <w:vAlign w:val="center"/>
          </w:tcPr>
          <w:p w14:paraId="1EF1F89E">
            <w:pPr>
              <w:widowControl/>
              <w:jc w:val="center"/>
              <w:textAlignment w:val="center"/>
              <w:rPr>
                <w:rFonts w:hint="eastAsia" w:ascii="宋体" w:hAnsi="宋体" w:cs="宋体"/>
                <w:kern w:val="0"/>
                <w:sz w:val="22"/>
                <w:szCs w:val="22"/>
              </w:rPr>
            </w:pPr>
            <w:r>
              <w:rPr>
                <w:rFonts w:hint="eastAsia" w:ascii="宋体" w:hAnsi="宋体" w:cs="宋体"/>
                <w:kern w:val="0"/>
                <w:sz w:val="22"/>
                <w:szCs w:val="22"/>
              </w:rPr>
              <w:t>摄像机三脚架</w:t>
            </w:r>
          </w:p>
        </w:tc>
        <w:tc>
          <w:tcPr>
            <w:tcW w:w="1643" w:type="dxa"/>
            <w:shd w:val="clear" w:color="auto" w:fill="FFFFFF"/>
            <w:vAlign w:val="center"/>
          </w:tcPr>
          <w:p w14:paraId="675C6D71">
            <w:pPr>
              <w:widowControl/>
              <w:jc w:val="center"/>
              <w:textAlignment w:val="bottom"/>
              <w:rPr>
                <w:rFonts w:hint="eastAsia" w:ascii="宋体" w:hAnsi="宋体" w:cs="宋体"/>
                <w:kern w:val="0"/>
                <w:sz w:val="22"/>
                <w:szCs w:val="22"/>
              </w:rPr>
            </w:pPr>
            <w:r>
              <w:rPr>
                <w:rFonts w:hint="eastAsia" w:ascii="宋体" w:hAnsi="宋体" w:cs="宋体"/>
                <w:kern w:val="0"/>
                <w:sz w:val="22"/>
                <w:szCs w:val="22"/>
              </w:rPr>
              <w:t>套</w:t>
            </w:r>
          </w:p>
        </w:tc>
        <w:tc>
          <w:tcPr>
            <w:tcW w:w="2028" w:type="dxa"/>
            <w:shd w:val="clear" w:color="auto" w:fill="FFFFFF"/>
            <w:vAlign w:val="center"/>
          </w:tcPr>
          <w:p w14:paraId="7E21F906">
            <w:pPr>
              <w:widowControl/>
              <w:jc w:val="center"/>
              <w:textAlignment w:val="bottom"/>
              <w:rPr>
                <w:rFonts w:hint="eastAsia" w:ascii="宋体" w:hAnsi="宋体" w:cs="宋体"/>
                <w:kern w:val="0"/>
                <w:sz w:val="22"/>
                <w:szCs w:val="22"/>
              </w:rPr>
            </w:pPr>
            <w:r>
              <w:rPr>
                <w:rFonts w:hint="eastAsia" w:ascii="宋体" w:hAnsi="宋体" w:cs="宋体"/>
                <w:kern w:val="0"/>
                <w:sz w:val="22"/>
                <w:szCs w:val="22"/>
              </w:rPr>
              <w:t>3</w:t>
            </w:r>
          </w:p>
        </w:tc>
      </w:tr>
      <w:tr w14:paraId="2B3D19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B69E4D9">
            <w:pPr>
              <w:widowControl/>
              <w:jc w:val="center"/>
              <w:textAlignment w:val="center"/>
              <w:rPr>
                <w:rFonts w:hint="eastAsia" w:ascii="宋体" w:hAnsi="宋体" w:cs="宋体"/>
                <w:color w:val="000000"/>
                <w:kern w:val="0"/>
                <w:sz w:val="22"/>
                <w:szCs w:val="22"/>
                <w:lang w:bidi="ar"/>
              </w:rPr>
            </w:pPr>
            <w:r>
              <w:rPr>
                <w:rFonts w:hint="eastAsia" w:ascii="宋体" w:hAnsi="宋体" w:cs="宋体"/>
                <w:kern w:val="0"/>
                <w:sz w:val="22"/>
                <w:szCs w:val="22"/>
              </w:rPr>
              <w:t>5</w:t>
            </w:r>
          </w:p>
        </w:tc>
        <w:tc>
          <w:tcPr>
            <w:tcW w:w="4369" w:type="dxa"/>
            <w:shd w:val="clear" w:color="auto" w:fill="FFFFFF"/>
            <w:vAlign w:val="center"/>
          </w:tcPr>
          <w:p w14:paraId="3B1C3040">
            <w:pPr>
              <w:widowControl/>
              <w:jc w:val="center"/>
              <w:textAlignment w:val="center"/>
              <w:rPr>
                <w:rFonts w:hint="eastAsia" w:ascii="宋体" w:hAnsi="宋体" w:cs="宋体"/>
                <w:color w:val="000000"/>
                <w:kern w:val="0"/>
                <w:sz w:val="20"/>
                <w:szCs w:val="20"/>
              </w:rPr>
            </w:pPr>
            <w:r>
              <w:rPr>
                <w:rFonts w:hint="eastAsia" w:ascii="宋体" w:hAnsi="宋体" w:cs="宋体"/>
                <w:kern w:val="0"/>
                <w:sz w:val="20"/>
                <w:szCs w:val="20"/>
              </w:rPr>
              <w:t>数字无线音频套装</w:t>
            </w:r>
          </w:p>
        </w:tc>
        <w:tc>
          <w:tcPr>
            <w:tcW w:w="1643" w:type="dxa"/>
            <w:shd w:val="clear" w:color="auto" w:fill="FFFFFF"/>
            <w:vAlign w:val="center"/>
          </w:tcPr>
          <w:p w14:paraId="2558B96E">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16BEB603">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48B74E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228E681">
            <w:pPr>
              <w:widowControl/>
              <w:jc w:val="center"/>
              <w:textAlignment w:val="center"/>
              <w:rPr>
                <w:rFonts w:hint="eastAsia" w:ascii="宋体" w:hAnsi="宋体" w:cs="宋体"/>
                <w:kern w:val="0"/>
                <w:sz w:val="22"/>
                <w:szCs w:val="22"/>
              </w:rPr>
            </w:pPr>
            <w:r>
              <w:rPr>
                <w:rFonts w:hint="eastAsia" w:ascii="宋体" w:hAnsi="宋体" w:cs="宋体"/>
                <w:kern w:val="0"/>
                <w:sz w:val="22"/>
                <w:szCs w:val="22"/>
              </w:rPr>
              <w:t>6</w:t>
            </w:r>
          </w:p>
        </w:tc>
        <w:tc>
          <w:tcPr>
            <w:tcW w:w="4369" w:type="dxa"/>
            <w:shd w:val="clear" w:color="auto" w:fill="FFFFFF"/>
            <w:vAlign w:val="center"/>
          </w:tcPr>
          <w:p w14:paraId="21386112">
            <w:pPr>
              <w:widowControl/>
              <w:jc w:val="center"/>
              <w:textAlignment w:val="center"/>
              <w:rPr>
                <w:rFonts w:hint="eastAsia" w:ascii="宋体" w:hAnsi="宋体" w:cs="宋体"/>
                <w:kern w:val="0"/>
                <w:sz w:val="20"/>
                <w:szCs w:val="20"/>
              </w:rPr>
            </w:pPr>
            <w:r>
              <w:rPr>
                <w:rFonts w:hint="eastAsia" w:ascii="宋体" w:hAnsi="宋体" w:cs="宋体"/>
                <w:kern w:val="0"/>
                <w:sz w:val="22"/>
                <w:szCs w:val="22"/>
              </w:rPr>
              <w:t>双频无线网卡</w:t>
            </w:r>
          </w:p>
        </w:tc>
        <w:tc>
          <w:tcPr>
            <w:tcW w:w="1643" w:type="dxa"/>
            <w:shd w:val="clear" w:color="auto" w:fill="FFFFFF"/>
            <w:vAlign w:val="center"/>
          </w:tcPr>
          <w:p w14:paraId="15E747EC">
            <w:pPr>
              <w:widowControl/>
              <w:jc w:val="center"/>
              <w:textAlignment w:val="bottom"/>
              <w:rPr>
                <w:rFonts w:hint="eastAsia" w:ascii="宋体" w:hAnsi="宋体" w:cs="宋体"/>
                <w:color w:val="000000"/>
                <w:szCs w:val="21"/>
              </w:rPr>
            </w:pPr>
            <w:r>
              <w:rPr>
                <w:rFonts w:hint="eastAsia" w:ascii="宋体" w:hAnsi="宋体" w:cs="宋体"/>
                <w:kern w:val="0"/>
                <w:sz w:val="22"/>
                <w:szCs w:val="22"/>
              </w:rPr>
              <w:t>个</w:t>
            </w:r>
          </w:p>
        </w:tc>
        <w:tc>
          <w:tcPr>
            <w:tcW w:w="2028" w:type="dxa"/>
            <w:shd w:val="clear" w:color="auto" w:fill="FFFFFF"/>
            <w:vAlign w:val="center"/>
          </w:tcPr>
          <w:p w14:paraId="67D37F5C">
            <w:pPr>
              <w:widowControl/>
              <w:jc w:val="center"/>
              <w:textAlignment w:val="bottom"/>
              <w:rPr>
                <w:rFonts w:hint="eastAsia" w:ascii="宋体" w:hAnsi="宋体" w:cs="宋体"/>
                <w:color w:val="000000"/>
                <w:szCs w:val="21"/>
              </w:rPr>
            </w:pPr>
            <w:r>
              <w:rPr>
                <w:rFonts w:hint="eastAsia" w:ascii="宋体" w:hAnsi="宋体" w:cs="宋体"/>
                <w:kern w:val="0"/>
                <w:sz w:val="22"/>
                <w:szCs w:val="22"/>
              </w:rPr>
              <w:t>4</w:t>
            </w:r>
          </w:p>
        </w:tc>
      </w:tr>
      <w:tr w14:paraId="02D7A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B8D56DB">
            <w:pPr>
              <w:widowControl/>
              <w:jc w:val="center"/>
              <w:textAlignment w:val="center"/>
              <w:rPr>
                <w:rFonts w:hint="eastAsia" w:ascii="宋体" w:hAnsi="宋体" w:cs="宋体"/>
                <w:kern w:val="0"/>
                <w:sz w:val="22"/>
                <w:szCs w:val="22"/>
              </w:rPr>
            </w:pPr>
            <w:r>
              <w:rPr>
                <w:rFonts w:hint="eastAsia" w:ascii="宋体" w:hAnsi="宋体" w:cs="宋体"/>
                <w:kern w:val="0"/>
                <w:sz w:val="22"/>
                <w:szCs w:val="22"/>
              </w:rPr>
              <w:t>7</w:t>
            </w:r>
          </w:p>
        </w:tc>
        <w:tc>
          <w:tcPr>
            <w:tcW w:w="4369" w:type="dxa"/>
            <w:shd w:val="clear" w:color="auto" w:fill="FFFFFF"/>
            <w:vAlign w:val="center"/>
          </w:tcPr>
          <w:p w14:paraId="4E1685B6">
            <w:pPr>
              <w:widowControl/>
              <w:jc w:val="center"/>
              <w:textAlignment w:val="center"/>
              <w:rPr>
                <w:rFonts w:hint="eastAsia" w:ascii="宋体" w:hAnsi="宋体" w:cs="宋体"/>
                <w:kern w:val="0"/>
                <w:sz w:val="22"/>
                <w:szCs w:val="22"/>
              </w:rPr>
            </w:pPr>
            <w:r>
              <w:rPr>
                <w:rFonts w:hint="eastAsia" w:ascii="宋体" w:hAnsi="宋体" w:cs="宋体"/>
                <w:kern w:val="0"/>
                <w:sz w:val="20"/>
                <w:szCs w:val="20"/>
              </w:rPr>
              <w:t>移动电源</w:t>
            </w:r>
          </w:p>
        </w:tc>
        <w:tc>
          <w:tcPr>
            <w:tcW w:w="1643" w:type="dxa"/>
            <w:shd w:val="clear" w:color="auto" w:fill="FFFFFF"/>
            <w:vAlign w:val="center"/>
          </w:tcPr>
          <w:p w14:paraId="74472B93">
            <w:pPr>
              <w:widowControl/>
              <w:jc w:val="center"/>
              <w:textAlignment w:val="bottom"/>
              <w:rPr>
                <w:rFonts w:hint="eastAsia" w:ascii="宋体" w:hAnsi="宋体" w:cs="宋体"/>
                <w:color w:val="000000"/>
                <w:szCs w:val="21"/>
              </w:rPr>
            </w:pPr>
            <w:r>
              <w:rPr>
                <w:rFonts w:hint="eastAsia" w:ascii="宋体" w:hAnsi="宋体" w:cs="宋体"/>
                <w:kern w:val="0"/>
                <w:sz w:val="22"/>
                <w:szCs w:val="22"/>
              </w:rPr>
              <w:t>块</w:t>
            </w:r>
          </w:p>
        </w:tc>
        <w:tc>
          <w:tcPr>
            <w:tcW w:w="2028" w:type="dxa"/>
            <w:shd w:val="clear" w:color="auto" w:fill="FFFFFF"/>
            <w:vAlign w:val="center"/>
          </w:tcPr>
          <w:p w14:paraId="30660E2B">
            <w:pPr>
              <w:widowControl/>
              <w:jc w:val="center"/>
              <w:textAlignment w:val="bottom"/>
              <w:rPr>
                <w:rFonts w:hint="eastAsia" w:ascii="宋体" w:hAnsi="宋体" w:cs="宋体"/>
                <w:color w:val="000000"/>
                <w:szCs w:val="21"/>
              </w:rPr>
            </w:pPr>
            <w:r>
              <w:rPr>
                <w:rFonts w:hint="eastAsia" w:ascii="宋体" w:hAnsi="宋体" w:cs="宋体"/>
                <w:kern w:val="0"/>
                <w:sz w:val="22"/>
                <w:szCs w:val="22"/>
              </w:rPr>
              <w:t>3</w:t>
            </w:r>
          </w:p>
        </w:tc>
      </w:tr>
      <w:tr w14:paraId="4E4762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22F2EC6">
            <w:pPr>
              <w:widowControl/>
              <w:jc w:val="center"/>
              <w:textAlignment w:val="center"/>
              <w:rPr>
                <w:rFonts w:hint="eastAsia" w:ascii="宋体" w:hAnsi="宋体" w:cs="宋体"/>
                <w:kern w:val="0"/>
                <w:sz w:val="22"/>
                <w:szCs w:val="22"/>
              </w:rPr>
            </w:pPr>
            <w:r>
              <w:rPr>
                <w:rFonts w:hint="eastAsia" w:ascii="宋体" w:hAnsi="宋体" w:cs="宋体"/>
                <w:kern w:val="0"/>
                <w:sz w:val="22"/>
                <w:szCs w:val="22"/>
              </w:rPr>
              <w:t>8</w:t>
            </w:r>
          </w:p>
        </w:tc>
        <w:tc>
          <w:tcPr>
            <w:tcW w:w="4369" w:type="dxa"/>
            <w:shd w:val="clear" w:color="auto" w:fill="FFFFFF"/>
            <w:vAlign w:val="center"/>
          </w:tcPr>
          <w:p w14:paraId="755E5F58">
            <w:pPr>
              <w:widowControl/>
              <w:jc w:val="center"/>
              <w:textAlignment w:val="center"/>
              <w:rPr>
                <w:rFonts w:hint="eastAsia" w:ascii="宋体" w:hAnsi="宋体" w:cs="宋体"/>
                <w:kern w:val="0"/>
                <w:sz w:val="20"/>
                <w:szCs w:val="20"/>
              </w:rPr>
            </w:pPr>
            <w:r>
              <w:rPr>
                <w:rFonts w:hint="eastAsia" w:ascii="宋体" w:hAnsi="宋体" w:cs="宋体"/>
                <w:kern w:val="0"/>
                <w:sz w:val="20"/>
                <w:szCs w:val="20"/>
              </w:rPr>
              <w:t>航空箱</w:t>
            </w:r>
          </w:p>
        </w:tc>
        <w:tc>
          <w:tcPr>
            <w:tcW w:w="1643" w:type="dxa"/>
            <w:shd w:val="clear" w:color="auto" w:fill="FFFFFF"/>
            <w:vAlign w:val="center"/>
          </w:tcPr>
          <w:p w14:paraId="4209A14C">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6D4FFDC9">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282F7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140C7326">
            <w:pPr>
              <w:widowControl/>
              <w:jc w:val="center"/>
              <w:textAlignment w:val="center"/>
              <w:rPr>
                <w:rFonts w:hint="eastAsia" w:ascii="宋体" w:hAnsi="宋体" w:cs="宋体"/>
                <w:kern w:val="0"/>
                <w:sz w:val="22"/>
                <w:szCs w:val="22"/>
              </w:rPr>
            </w:pPr>
            <w:r>
              <w:rPr>
                <w:rFonts w:hint="eastAsia" w:ascii="宋体" w:hAnsi="宋体" w:cs="宋体"/>
                <w:kern w:val="0"/>
                <w:sz w:val="22"/>
                <w:szCs w:val="22"/>
              </w:rPr>
              <w:t>9</w:t>
            </w:r>
          </w:p>
        </w:tc>
        <w:tc>
          <w:tcPr>
            <w:tcW w:w="4369" w:type="dxa"/>
            <w:shd w:val="clear" w:color="auto" w:fill="FFFFFF"/>
            <w:vAlign w:val="center"/>
          </w:tcPr>
          <w:p w14:paraId="4464609B">
            <w:pPr>
              <w:widowControl/>
              <w:jc w:val="center"/>
              <w:textAlignment w:val="center"/>
              <w:rPr>
                <w:rFonts w:hint="eastAsia" w:ascii="宋体" w:hAnsi="宋体" w:cs="宋体"/>
                <w:kern w:val="0"/>
                <w:sz w:val="20"/>
                <w:szCs w:val="20"/>
              </w:rPr>
            </w:pPr>
            <w:r>
              <w:rPr>
                <w:rFonts w:hint="eastAsia" w:ascii="宋体" w:hAnsi="宋体" w:cs="宋体"/>
                <w:kern w:val="0"/>
                <w:sz w:val="22"/>
                <w:szCs w:val="22"/>
              </w:rPr>
              <w:t>云直播流量</w:t>
            </w:r>
          </w:p>
        </w:tc>
        <w:tc>
          <w:tcPr>
            <w:tcW w:w="1643" w:type="dxa"/>
            <w:shd w:val="clear" w:color="auto" w:fill="FFFFFF"/>
            <w:vAlign w:val="center"/>
          </w:tcPr>
          <w:p w14:paraId="4B9335CE">
            <w:pPr>
              <w:widowControl/>
              <w:jc w:val="center"/>
              <w:textAlignment w:val="bottom"/>
              <w:rPr>
                <w:rFonts w:hint="eastAsia" w:ascii="宋体" w:hAnsi="宋体" w:cs="宋体"/>
                <w:color w:val="000000"/>
                <w:szCs w:val="21"/>
              </w:rPr>
            </w:pPr>
            <w:r>
              <w:rPr>
                <w:rFonts w:hint="eastAsia" w:ascii="宋体" w:hAnsi="宋体" w:cs="宋体"/>
                <w:kern w:val="0"/>
                <w:sz w:val="22"/>
                <w:szCs w:val="22"/>
              </w:rPr>
              <w:t>项</w:t>
            </w:r>
          </w:p>
        </w:tc>
        <w:tc>
          <w:tcPr>
            <w:tcW w:w="2028" w:type="dxa"/>
            <w:shd w:val="clear" w:color="auto" w:fill="FFFFFF"/>
            <w:vAlign w:val="center"/>
          </w:tcPr>
          <w:p w14:paraId="0218977A">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1DEEAB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E83B7C0">
            <w:pPr>
              <w:widowControl/>
              <w:jc w:val="center"/>
              <w:textAlignment w:val="center"/>
              <w:rPr>
                <w:rFonts w:hint="eastAsia" w:ascii="宋体" w:hAnsi="宋体" w:cs="宋体"/>
                <w:kern w:val="0"/>
                <w:sz w:val="22"/>
                <w:szCs w:val="22"/>
              </w:rPr>
            </w:pPr>
            <w:r>
              <w:rPr>
                <w:rFonts w:hint="eastAsia" w:ascii="宋体" w:hAnsi="宋体" w:cs="宋体"/>
                <w:kern w:val="0"/>
                <w:sz w:val="22"/>
                <w:szCs w:val="22"/>
              </w:rPr>
              <w:t>10</w:t>
            </w:r>
          </w:p>
        </w:tc>
        <w:tc>
          <w:tcPr>
            <w:tcW w:w="4369" w:type="dxa"/>
            <w:shd w:val="clear" w:color="auto" w:fill="FFFFFF"/>
            <w:vAlign w:val="center"/>
          </w:tcPr>
          <w:p w14:paraId="444CAA79">
            <w:pPr>
              <w:widowControl/>
              <w:jc w:val="center"/>
              <w:textAlignment w:val="center"/>
              <w:rPr>
                <w:rFonts w:hint="eastAsia" w:ascii="宋体" w:hAnsi="宋体" w:cs="宋体"/>
                <w:kern w:val="0"/>
                <w:sz w:val="22"/>
                <w:szCs w:val="22"/>
              </w:rPr>
            </w:pPr>
            <w:r>
              <w:rPr>
                <w:rFonts w:hint="eastAsia" w:ascii="宋体" w:hAnsi="宋体" w:cs="宋体"/>
                <w:kern w:val="0"/>
                <w:sz w:val="22"/>
                <w:szCs w:val="22"/>
              </w:rPr>
              <w:t>系统配件及调试</w:t>
            </w:r>
          </w:p>
        </w:tc>
        <w:tc>
          <w:tcPr>
            <w:tcW w:w="1643" w:type="dxa"/>
            <w:shd w:val="clear" w:color="auto" w:fill="FFFFFF"/>
            <w:vAlign w:val="center"/>
          </w:tcPr>
          <w:p w14:paraId="52CD3575">
            <w:pPr>
              <w:widowControl/>
              <w:jc w:val="center"/>
              <w:textAlignment w:val="bottom"/>
              <w:rPr>
                <w:rFonts w:hint="eastAsia" w:ascii="宋体" w:hAnsi="宋体" w:cs="宋体"/>
                <w:color w:val="000000"/>
                <w:szCs w:val="21"/>
              </w:rPr>
            </w:pPr>
            <w:r>
              <w:rPr>
                <w:rFonts w:hint="eastAsia" w:ascii="宋体" w:hAnsi="宋体" w:cs="宋体"/>
                <w:kern w:val="0"/>
                <w:sz w:val="22"/>
                <w:szCs w:val="22"/>
              </w:rPr>
              <w:t>套</w:t>
            </w:r>
          </w:p>
        </w:tc>
        <w:tc>
          <w:tcPr>
            <w:tcW w:w="2028" w:type="dxa"/>
            <w:shd w:val="clear" w:color="auto" w:fill="FFFFFF"/>
            <w:vAlign w:val="center"/>
          </w:tcPr>
          <w:p w14:paraId="5054E3D0">
            <w:pPr>
              <w:widowControl/>
              <w:jc w:val="center"/>
              <w:textAlignment w:val="bottom"/>
              <w:rPr>
                <w:rFonts w:hint="eastAsia" w:ascii="宋体" w:hAnsi="宋体" w:cs="宋体"/>
                <w:color w:val="000000"/>
                <w:szCs w:val="21"/>
              </w:rPr>
            </w:pPr>
            <w:r>
              <w:rPr>
                <w:rFonts w:hint="eastAsia" w:ascii="宋体" w:hAnsi="宋体" w:cs="宋体"/>
                <w:kern w:val="0"/>
                <w:sz w:val="22"/>
                <w:szCs w:val="22"/>
              </w:rPr>
              <w:t>1</w:t>
            </w:r>
          </w:p>
        </w:tc>
      </w:tr>
      <w:tr w14:paraId="690F2E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32D839D">
            <w:pPr>
              <w:widowControl/>
              <w:jc w:val="center"/>
              <w:textAlignment w:val="center"/>
              <w:rPr>
                <w:rFonts w:hint="eastAsia" w:ascii="宋体" w:hAnsi="宋体" w:cs="宋体"/>
                <w:b/>
                <w:bCs/>
                <w:kern w:val="0"/>
                <w:sz w:val="22"/>
                <w:szCs w:val="22"/>
              </w:rPr>
            </w:pPr>
            <w:r>
              <w:rPr>
                <w:rFonts w:hint="eastAsia" w:ascii="宋体" w:hAnsi="宋体" w:cs="宋体"/>
                <w:b/>
                <w:bCs/>
                <w:kern w:val="0"/>
                <w:sz w:val="22"/>
                <w:szCs w:val="22"/>
              </w:rPr>
              <w:t>七</w:t>
            </w:r>
          </w:p>
        </w:tc>
        <w:tc>
          <w:tcPr>
            <w:tcW w:w="4369" w:type="dxa"/>
            <w:shd w:val="clear" w:color="auto" w:fill="FFFFFF"/>
            <w:vAlign w:val="center"/>
          </w:tcPr>
          <w:p w14:paraId="18C7B86D">
            <w:pPr>
              <w:widowControl/>
              <w:jc w:val="left"/>
              <w:textAlignment w:val="center"/>
              <w:rPr>
                <w:rFonts w:hint="eastAsia" w:ascii="宋体" w:hAnsi="宋体" w:cs="宋体"/>
                <w:b/>
                <w:bCs/>
                <w:kern w:val="0"/>
                <w:sz w:val="22"/>
                <w:szCs w:val="22"/>
              </w:rPr>
            </w:pPr>
            <w:r>
              <w:rPr>
                <w:rFonts w:hint="eastAsia" w:ascii="宋体" w:hAnsi="宋体" w:cs="宋体"/>
                <w:b/>
                <w:bCs/>
                <w:kern w:val="0"/>
                <w:sz w:val="22"/>
                <w:szCs w:val="22"/>
              </w:rPr>
              <w:t>机房系统</w:t>
            </w:r>
          </w:p>
        </w:tc>
        <w:tc>
          <w:tcPr>
            <w:tcW w:w="1643" w:type="dxa"/>
            <w:shd w:val="clear" w:color="auto" w:fill="FFFFFF"/>
            <w:vAlign w:val="center"/>
          </w:tcPr>
          <w:p w14:paraId="7F2BA758">
            <w:pPr>
              <w:widowControl/>
              <w:jc w:val="center"/>
              <w:textAlignment w:val="bottom"/>
              <w:rPr>
                <w:rFonts w:hint="eastAsia" w:ascii="宋体" w:hAnsi="宋体" w:cs="宋体"/>
                <w:b/>
                <w:bCs/>
                <w:kern w:val="0"/>
                <w:sz w:val="22"/>
                <w:szCs w:val="22"/>
              </w:rPr>
            </w:pPr>
          </w:p>
        </w:tc>
        <w:tc>
          <w:tcPr>
            <w:tcW w:w="2028" w:type="dxa"/>
            <w:shd w:val="clear" w:color="auto" w:fill="FFFFFF"/>
            <w:vAlign w:val="center"/>
          </w:tcPr>
          <w:p w14:paraId="693D10CD">
            <w:pPr>
              <w:widowControl/>
              <w:jc w:val="center"/>
              <w:textAlignment w:val="bottom"/>
              <w:rPr>
                <w:rFonts w:hint="eastAsia" w:ascii="宋体" w:hAnsi="宋体" w:cs="宋体"/>
                <w:b/>
                <w:bCs/>
                <w:kern w:val="0"/>
                <w:sz w:val="22"/>
                <w:szCs w:val="22"/>
              </w:rPr>
            </w:pPr>
          </w:p>
        </w:tc>
      </w:tr>
      <w:tr w14:paraId="2B97C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161D43E">
            <w:pPr>
              <w:widowControl/>
              <w:jc w:val="center"/>
              <w:textAlignment w:val="center"/>
              <w:rPr>
                <w:rFonts w:hint="eastAsia" w:ascii="宋体" w:hAnsi="宋体" w:cs="宋体"/>
                <w:kern w:val="0"/>
                <w:sz w:val="22"/>
                <w:szCs w:val="22"/>
              </w:rPr>
            </w:pPr>
            <w:r>
              <w:rPr>
                <w:rFonts w:hint="eastAsia" w:ascii="宋体" w:hAnsi="宋体" w:cs="宋体"/>
                <w:kern w:val="0"/>
                <w:sz w:val="18"/>
                <w:szCs w:val="18"/>
              </w:rPr>
              <w:t>1</w:t>
            </w:r>
          </w:p>
        </w:tc>
        <w:tc>
          <w:tcPr>
            <w:tcW w:w="4369" w:type="dxa"/>
            <w:shd w:val="clear" w:color="auto" w:fill="FFFFFF"/>
            <w:vAlign w:val="center"/>
          </w:tcPr>
          <w:p w14:paraId="1296519F">
            <w:pPr>
              <w:widowControl/>
              <w:jc w:val="center"/>
              <w:textAlignment w:val="center"/>
              <w:rPr>
                <w:rFonts w:hint="eastAsia" w:ascii="宋体" w:hAnsi="宋体" w:cs="宋体"/>
                <w:kern w:val="0"/>
                <w:sz w:val="22"/>
                <w:szCs w:val="22"/>
              </w:rPr>
            </w:pPr>
            <w:r>
              <w:rPr>
                <w:rFonts w:hint="eastAsia" w:ascii="宋体" w:hAnsi="宋体" w:cs="宋体"/>
                <w:kern w:val="0"/>
                <w:sz w:val="18"/>
                <w:szCs w:val="18"/>
              </w:rPr>
              <w:t>UPS电源主机</w:t>
            </w:r>
          </w:p>
        </w:tc>
        <w:tc>
          <w:tcPr>
            <w:tcW w:w="1643" w:type="dxa"/>
            <w:shd w:val="clear" w:color="auto" w:fill="FFFFFF"/>
            <w:vAlign w:val="center"/>
          </w:tcPr>
          <w:p w14:paraId="1ED7E0A0">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台</w:t>
            </w:r>
          </w:p>
        </w:tc>
        <w:tc>
          <w:tcPr>
            <w:tcW w:w="2028" w:type="dxa"/>
            <w:shd w:val="clear" w:color="auto" w:fill="FFFFFF"/>
            <w:vAlign w:val="center"/>
          </w:tcPr>
          <w:p w14:paraId="5BEA59BD">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2F37C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72097A4">
            <w:pPr>
              <w:widowControl/>
              <w:jc w:val="center"/>
              <w:textAlignment w:val="center"/>
              <w:rPr>
                <w:rFonts w:hint="eastAsia" w:ascii="宋体" w:hAnsi="宋体" w:cs="宋体"/>
                <w:kern w:val="0"/>
                <w:sz w:val="22"/>
                <w:szCs w:val="22"/>
              </w:rPr>
            </w:pPr>
            <w:r>
              <w:rPr>
                <w:rFonts w:hint="eastAsia" w:ascii="宋体" w:hAnsi="宋体" w:cs="宋体"/>
                <w:kern w:val="0"/>
                <w:sz w:val="18"/>
                <w:szCs w:val="18"/>
              </w:rPr>
              <w:t>2</w:t>
            </w:r>
          </w:p>
        </w:tc>
        <w:tc>
          <w:tcPr>
            <w:tcW w:w="4369" w:type="dxa"/>
            <w:shd w:val="clear" w:color="auto" w:fill="FFFFFF"/>
            <w:vAlign w:val="center"/>
          </w:tcPr>
          <w:p w14:paraId="18138C06">
            <w:pPr>
              <w:widowControl/>
              <w:jc w:val="center"/>
              <w:textAlignment w:val="center"/>
              <w:rPr>
                <w:rFonts w:hint="eastAsia" w:ascii="宋体" w:hAnsi="宋体" w:cs="宋体"/>
                <w:kern w:val="0"/>
                <w:sz w:val="22"/>
                <w:szCs w:val="22"/>
              </w:rPr>
            </w:pPr>
            <w:r>
              <w:rPr>
                <w:rFonts w:hint="eastAsia" w:ascii="宋体" w:hAnsi="宋体" w:cs="宋体"/>
                <w:kern w:val="0"/>
                <w:sz w:val="18"/>
                <w:szCs w:val="18"/>
              </w:rPr>
              <w:t>蓄电池</w:t>
            </w:r>
          </w:p>
        </w:tc>
        <w:tc>
          <w:tcPr>
            <w:tcW w:w="1643" w:type="dxa"/>
            <w:shd w:val="clear" w:color="auto" w:fill="FFFFFF"/>
            <w:vAlign w:val="center"/>
          </w:tcPr>
          <w:p w14:paraId="794C72CB">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只</w:t>
            </w:r>
          </w:p>
        </w:tc>
        <w:tc>
          <w:tcPr>
            <w:tcW w:w="2028" w:type="dxa"/>
            <w:shd w:val="clear" w:color="auto" w:fill="FFFFFF"/>
            <w:vAlign w:val="center"/>
          </w:tcPr>
          <w:p w14:paraId="1D1CD5F3">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16</w:t>
            </w:r>
          </w:p>
        </w:tc>
      </w:tr>
      <w:tr w14:paraId="11DC68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8E8B9BD">
            <w:pPr>
              <w:widowControl/>
              <w:jc w:val="center"/>
              <w:textAlignment w:val="center"/>
              <w:rPr>
                <w:rFonts w:hint="eastAsia" w:ascii="宋体" w:hAnsi="宋体" w:cs="宋体"/>
                <w:kern w:val="0"/>
                <w:sz w:val="22"/>
                <w:szCs w:val="22"/>
              </w:rPr>
            </w:pPr>
            <w:r>
              <w:rPr>
                <w:rFonts w:hint="eastAsia" w:ascii="宋体" w:hAnsi="宋体" w:cs="宋体"/>
                <w:kern w:val="0"/>
                <w:sz w:val="18"/>
                <w:szCs w:val="18"/>
              </w:rPr>
              <w:t>3</w:t>
            </w:r>
          </w:p>
        </w:tc>
        <w:tc>
          <w:tcPr>
            <w:tcW w:w="4369" w:type="dxa"/>
            <w:shd w:val="clear" w:color="auto" w:fill="FFFFFF"/>
            <w:vAlign w:val="center"/>
          </w:tcPr>
          <w:p w14:paraId="2961AC75">
            <w:pPr>
              <w:widowControl/>
              <w:jc w:val="center"/>
              <w:textAlignment w:val="center"/>
              <w:rPr>
                <w:rFonts w:hint="eastAsia" w:ascii="宋体" w:hAnsi="宋体" w:cs="宋体"/>
                <w:kern w:val="0"/>
                <w:sz w:val="22"/>
                <w:szCs w:val="22"/>
              </w:rPr>
            </w:pPr>
            <w:r>
              <w:rPr>
                <w:rFonts w:hint="eastAsia" w:ascii="宋体" w:hAnsi="宋体" w:cs="宋体"/>
                <w:kern w:val="0"/>
                <w:sz w:val="18"/>
                <w:szCs w:val="18"/>
              </w:rPr>
              <w:t>电池柜</w:t>
            </w:r>
          </w:p>
        </w:tc>
        <w:tc>
          <w:tcPr>
            <w:tcW w:w="1643" w:type="dxa"/>
            <w:shd w:val="clear" w:color="auto" w:fill="FFFFFF"/>
            <w:vAlign w:val="center"/>
          </w:tcPr>
          <w:p w14:paraId="3746DB81">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1FAB4BF4">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61BBF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C1EFD23">
            <w:pPr>
              <w:widowControl/>
              <w:jc w:val="center"/>
              <w:textAlignment w:val="center"/>
              <w:rPr>
                <w:rFonts w:hint="eastAsia" w:ascii="宋体" w:hAnsi="宋体" w:cs="宋体"/>
                <w:kern w:val="0"/>
                <w:sz w:val="22"/>
                <w:szCs w:val="22"/>
              </w:rPr>
            </w:pPr>
            <w:r>
              <w:rPr>
                <w:rFonts w:hint="eastAsia" w:ascii="宋体" w:hAnsi="宋体" w:cs="宋体"/>
                <w:kern w:val="0"/>
                <w:sz w:val="18"/>
                <w:szCs w:val="18"/>
              </w:rPr>
              <w:t>4</w:t>
            </w:r>
          </w:p>
        </w:tc>
        <w:tc>
          <w:tcPr>
            <w:tcW w:w="4369" w:type="dxa"/>
            <w:shd w:val="clear" w:color="auto" w:fill="FFFFFF"/>
            <w:vAlign w:val="center"/>
          </w:tcPr>
          <w:p w14:paraId="5ED6D0BC">
            <w:pPr>
              <w:widowControl/>
              <w:jc w:val="center"/>
              <w:textAlignment w:val="center"/>
              <w:rPr>
                <w:rFonts w:hint="eastAsia" w:ascii="宋体" w:hAnsi="宋体" w:cs="宋体"/>
                <w:kern w:val="0"/>
                <w:sz w:val="22"/>
                <w:szCs w:val="22"/>
              </w:rPr>
            </w:pPr>
            <w:r>
              <w:rPr>
                <w:rFonts w:hint="eastAsia" w:ascii="宋体" w:hAnsi="宋体" w:cs="宋体"/>
                <w:kern w:val="0"/>
                <w:sz w:val="18"/>
                <w:szCs w:val="18"/>
              </w:rPr>
              <w:t>输入输出线材</w:t>
            </w:r>
          </w:p>
        </w:tc>
        <w:tc>
          <w:tcPr>
            <w:tcW w:w="1643" w:type="dxa"/>
            <w:shd w:val="clear" w:color="auto" w:fill="FFFFFF"/>
            <w:vAlign w:val="center"/>
          </w:tcPr>
          <w:p w14:paraId="5C721565">
            <w:pPr>
              <w:widowControl/>
              <w:jc w:val="center"/>
              <w:textAlignment w:val="bottom"/>
              <w:rPr>
                <w:rFonts w:hint="eastAsia" w:ascii="宋体" w:hAnsi="宋体" w:cs="宋体"/>
                <w:kern w:val="0"/>
                <w:sz w:val="22"/>
                <w:szCs w:val="22"/>
              </w:rPr>
            </w:pPr>
            <w:r>
              <w:rPr>
                <w:rFonts w:hint="eastAsia" w:ascii="宋体" w:hAnsi="宋体" w:cs="宋体"/>
                <w:kern w:val="0"/>
                <w:sz w:val="18"/>
                <w:szCs w:val="18"/>
              </w:rPr>
              <w:t>项</w:t>
            </w:r>
          </w:p>
        </w:tc>
        <w:tc>
          <w:tcPr>
            <w:tcW w:w="2028" w:type="dxa"/>
            <w:shd w:val="clear" w:color="auto" w:fill="FFFFFF"/>
            <w:vAlign w:val="center"/>
          </w:tcPr>
          <w:p w14:paraId="2EAF14EA">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26B8C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E2D8455">
            <w:pPr>
              <w:widowControl/>
              <w:jc w:val="center"/>
              <w:textAlignment w:val="center"/>
              <w:rPr>
                <w:rFonts w:hint="eastAsia" w:ascii="宋体" w:hAnsi="宋体" w:cs="宋体"/>
                <w:kern w:val="0"/>
                <w:sz w:val="18"/>
                <w:szCs w:val="18"/>
              </w:rPr>
            </w:pPr>
            <w:r>
              <w:rPr>
                <w:rFonts w:hint="eastAsia" w:ascii="宋体" w:hAnsi="宋体" w:cs="宋体"/>
                <w:kern w:val="0"/>
                <w:sz w:val="18"/>
                <w:szCs w:val="18"/>
              </w:rPr>
              <w:t>5</w:t>
            </w:r>
          </w:p>
        </w:tc>
        <w:tc>
          <w:tcPr>
            <w:tcW w:w="4369" w:type="dxa"/>
            <w:shd w:val="clear" w:color="auto" w:fill="FFFFFF"/>
            <w:vAlign w:val="center"/>
          </w:tcPr>
          <w:p w14:paraId="75CE2230">
            <w:pPr>
              <w:widowControl/>
              <w:jc w:val="center"/>
              <w:textAlignment w:val="center"/>
              <w:rPr>
                <w:rFonts w:hint="eastAsia" w:ascii="宋体" w:hAnsi="宋体" w:cs="宋体"/>
                <w:kern w:val="0"/>
                <w:sz w:val="18"/>
                <w:szCs w:val="18"/>
              </w:rPr>
            </w:pPr>
            <w:r>
              <w:rPr>
                <w:rFonts w:hint="eastAsia" w:ascii="宋体" w:hAnsi="宋体" w:cs="宋体"/>
                <w:kern w:val="0"/>
                <w:sz w:val="18"/>
                <w:szCs w:val="18"/>
              </w:rPr>
              <w:t>配电箱</w:t>
            </w:r>
          </w:p>
        </w:tc>
        <w:tc>
          <w:tcPr>
            <w:tcW w:w="1643" w:type="dxa"/>
            <w:shd w:val="clear" w:color="auto" w:fill="FFFFFF"/>
            <w:vAlign w:val="center"/>
          </w:tcPr>
          <w:p w14:paraId="31316F78">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3444D88D">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0ED3CC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935BACE">
            <w:pPr>
              <w:widowControl/>
              <w:jc w:val="center"/>
              <w:textAlignment w:val="center"/>
              <w:rPr>
                <w:rFonts w:hint="eastAsia" w:ascii="宋体" w:hAnsi="宋体" w:cs="宋体"/>
                <w:kern w:val="0"/>
                <w:sz w:val="18"/>
                <w:szCs w:val="18"/>
              </w:rPr>
            </w:pPr>
            <w:r>
              <w:rPr>
                <w:rFonts w:hint="eastAsia" w:ascii="宋体" w:hAnsi="宋体" w:cs="宋体"/>
                <w:kern w:val="0"/>
                <w:sz w:val="18"/>
                <w:szCs w:val="18"/>
              </w:rPr>
              <w:t>6</w:t>
            </w:r>
          </w:p>
        </w:tc>
        <w:tc>
          <w:tcPr>
            <w:tcW w:w="4369" w:type="dxa"/>
            <w:shd w:val="clear" w:color="auto" w:fill="FFFFFF"/>
            <w:vAlign w:val="center"/>
          </w:tcPr>
          <w:p w14:paraId="384CDDE3">
            <w:pPr>
              <w:widowControl/>
              <w:jc w:val="center"/>
              <w:textAlignment w:val="center"/>
              <w:rPr>
                <w:rFonts w:hint="eastAsia" w:ascii="宋体" w:hAnsi="宋体" w:cs="宋体"/>
                <w:kern w:val="0"/>
                <w:sz w:val="18"/>
                <w:szCs w:val="18"/>
              </w:rPr>
            </w:pPr>
            <w:r>
              <w:rPr>
                <w:rFonts w:hint="eastAsia" w:ascii="宋体" w:hAnsi="宋体" w:cs="宋体"/>
                <w:kern w:val="0"/>
                <w:sz w:val="18"/>
                <w:szCs w:val="18"/>
              </w:rPr>
              <w:t>附件辅材</w:t>
            </w:r>
          </w:p>
        </w:tc>
        <w:tc>
          <w:tcPr>
            <w:tcW w:w="1643" w:type="dxa"/>
            <w:shd w:val="clear" w:color="auto" w:fill="FFFFFF"/>
            <w:vAlign w:val="center"/>
          </w:tcPr>
          <w:p w14:paraId="3E9040D3">
            <w:pPr>
              <w:widowControl/>
              <w:jc w:val="center"/>
              <w:textAlignment w:val="bottom"/>
              <w:rPr>
                <w:rFonts w:hint="eastAsia" w:ascii="宋体" w:hAnsi="宋体" w:cs="宋体"/>
                <w:kern w:val="0"/>
                <w:sz w:val="22"/>
                <w:szCs w:val="22"/>
              </w:rPr>
            </w:pPr>
            <w:r>
              <w:rPr>
                <w:rFonts w:hint="eastAsia" w:ascii="宋体" w:hAnsi="宋体" w:cs="宋体"/>
                <w:kern w:val="0"/>
                <w:sz w:val="18"/>
                <w:szCs w:val="18"/>
              </w:rPr>
              <w:t>批</w:t>
            </w:r>
          </w:p>
        </w:tc>
        <w:tc>
          <w:tcPr>
            <w:tcW w:w="2028" w:type="dxa"/>
            <w:shd w:val="clear" w:color="auto" w:fill="FFFFFF"/>
            <w:vAlign w:val="center"/>
          </w:tcPr>
          <w:p w14:paraId="3EE774AF">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4C9E92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635CCF4E">
            <w:pPr>
              <w:widowControl/>
              <w:jc w:val="center"/>
              <w:textAlignment w:val="center"/>
              <w:rPr>
                <w:rFonts w:hint="eastAsia" w:ascii="宋体" w:hAnsi="宋体" w:cs="宋体"/>
                <w:kern w:val="0"/>
                <w:sz w:val="18"/>
                <w:szCs w:val="18"/>
              </w:rPr>
            </w:pPr>
            <w:r>
              <w:rPr>
                <w:rFonts w:hint="eastAsia" w:ascii="宋体" w:hAnsi="宋体" w:cs="宋体"/>
                <w:kern w:val="0"/>
                <w:sz w:val="18"/>
                <w:szCs w:val="18"/>
              </w:rPr>
              <w:t>7</w:t>
            </w:r>
          </w:p>
        </w:tc>
        <w:tc>
          <w:tcPr>
            <w:tcW w:w="4369" w:type="dxa"/>
            <w:shd w:val="clear" w:color="auto" w:fill="FFFFFF"/>
            <w:vAlign w:val="center"/>
          </w:tcPr>
          <w:p w14:paraId="7A9383C7">
            <w:pPr>
              <w:widowControl/>
              <w:jc w:val="center"/>
              <w:textAlignment w:val="center"/>
              <w:rPr>
                <w:rFonts w:hint="eastAsia" w:ascii="宋体" w:hAnsi="宋体" w:cs="宋体"/>
                <w:kern w:val="0"/>
                <w:sz w:val="18"/>
                <w:szCs w:val="18"/>
              </w:rPr>
            </w:pPr>
            <w:r>
              <w:rPr>
                <w:rFonts w:hint="eastAsia" w:ascii="宋体" w:hAnsi="宋体" w:cs="Arial"/>
                <w:kern w:val="0"/>
                <w:sz w:val="18"/>
                <w:szCs w:val="18"/>
              </w:rPr>
              <w:t>3P立式专用空调</w:t>
            </w:r>
          </w:p>
        </w:tc>
        <w:tc>
          <w:tcPr>
            <w:tcW w:w="1643" w:type="dxa"/>
            <w:shd w:val="clear" w:color="auto" w:fill="FFFFFF"/>
            <w:vAlign w:val="center"/>
          </w:tcPr>
          <w:p w14:paraId="5FB32937">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台</w:t>
            </w:r>
          </w:p>
        </w:tc>
        <w:tc>
          <w:tcPr>
            <w:tcW w:w="2028" w:type="dxa"/>
            <w:shd w:val="clear" w:color="auto" w:fill="FFFFFF"/>
            <w:vAlign w:val="center"/>
          </w:tcPr>
          <w:p w14:paraId="255062AF">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6AF7D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1CFC894">
            <w:pPr>
              <w:widowControl/>
              <w:jc w:val="center"/>
              <w:textAlignment w:val="center"/>
              <w:rPr>
                <w:rFonts w:hint="eastAsia" w:ascii="宋体" w:hAnsi="宋体" w:cs="宋体"/>
                <w:kern w:val="0"/>
                <w:sz w:val="18"/>
                <w:szCs w:val="18"/>
              </w:rPr>
            </w:pPr>
            <w:r>
              <w:rPr>
                <w:rFonts w:hint="eastAsia" w:ascii="宋体" w:hAnsi="宋体" w:cs="宋体"/>
                <w:kern w:val="0"/>
                <w:sz w:val="18"/>
                <w:szCs w:val="18"/>
              </w:rPr>
              <w:t>8</w:t>
            </w:r>
          </w:p>
        </w:tc>
        <w:tc>
          <w:tcPr>
            <w:tcW w:w="4369" w:type="dxa"/>
            <w:shd w:val="clear" w:color="auto" w:fill="FFFFFF"/>
            <w:vAlign w:val="center"/>
          </w:tcPr>
          <w:p w14:paraId="401EE243">
            <w:pPr>
              <w:widowControl/>
              <w:jc w:val="center"/>
              <w:textAlignment w:val="center"/>
              <w:rPr>
                <w:rFonts w:hint="eastAsia" w:ascii="宋体" w:hAnsi="宋体" w:cs="Arial"/>
                <w:kern w:val="0"/>
                <w:sz w:val="18"/>
                <w:szCs w:val="18"/>
              </w:rPr>
            </w:pPr>
            <w:r>
              <w:rPr>
                <w:rFonts w:hint="eastAsia" w:ascii="宋体" w:hAnsi="宋体" w:cs="Arial"/>
                <w:kern w:val="0"/>
                <w:sz w:val="18"/>
                <w:szCs w:val="18"/>
              </w:rPr>
              <w:t>空调辅材</w:t>
            </w:r>
          </w:p>
        </w:tc>
        <w:tc>
          <w:tcPr>
            <w:tcW w:w="1643" w:type="dxa"/>
            <w:shd w:val="clear" w:color="auto" w:fill="FFFFFF"/>
            <w:vAlign w:val="center"/>
          </w:tcPr>
          <w:p w14:paraId="0106E58A">
            <w:pPr>
              <w:widowControl/>
              <w:jc w:val="center"/>
              <w:textAlignment w:val="bottom"/>
              <w:rPr>
                <w:rFonts w:hint="eastAsia" w:ascii="宋体" w:hAnsi="宋体" w:cs="宋体"/>
                <w:kern w:val="0"/>
                <w:sz w:val="22"/>
                <w:szCs w:val="22"/>
              </w:rPr>
            </w:pPr>
            <w:r>
              <w:rPr>
                <w:rFonts w:hint="eastAsia" w:ascii="宋体" w:hAnsi="宋体" w:cs="宋体"/>
                <w:kern w:val="0"/>
                <w:sz w:val="18"/>
                <w:szCs w:val="18"/>
              </w:rPr>
              <w:t>套</w:t>
            </w:r>
          </w:p>
        </w:tc>
        <w:tc>
          <w:tcPr>
            <w:tcW w:w="2028" w:type="dxa"/>
            <w:shd w:val="clear" w:color="auto" w:fill="FFFFFF"/>
            <w:vAlign w:val="center"/>
          </w:tcPr>
          <w:p w14:paraId="7D208CC2">
            <w:pPr>
              <w:widowControl/>
              <w:jc w:val="center"/>
              <w:textAlignment w:val="bottom"/>
              <w:rPr>
                <w:rFonts w:hint="eastAsia" w:ascii="宋体" w:hAnsi="宋体" w:cs="宋体"/>
                <w:kern w:val="0"/>
                <w:sz w:val="22"/>
                <w:szCs w:val="22"/>
              </w:rPr>
            </w:pPr>
            <w:r>
              <w:rPr>
                <w:rFonts w:hint="eastAsia" w:ascii="宋体" w:hAnsi="宋体" w:cs="宋体"/>
                <w:kern w:val="0"/>
                <w:sz w:val="18"/>
                <w:szCs w:val="18"/>
              </w:rPr>
              <w:t>1</w:t>
            </w:r>
          </w:p>
        </w:tc>
      </w:tr>
      <w:tr w14:paraId="5B73A3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5D770C82">
            <w:pPr>
              <w:widowControl/>
              <w:jc w:val="center"/>
              <w:textAlignment w:val="center"/>
              <w:rPr>
                <w:rFonts w:hint="eastAsia" w:ascii="宋体" w:hAnsi="宋体" w:cs="宋体"/>
                <w:kern w:val="0"/>
                <w:sz w:val="18"/>
                <w:szCs w:val="18"/>
              </w:rPr>
            </w:pPr>
            <w:r>
              <w:rPr>
                <w:rFonts w:hint="eastAsia" w:ascii="宋体" w:hAnsi="宋体" w:cs="宋体"/>
                <w:b/>
                <w:bCs/>
                <w:kern w:val="0"/>
                <w:sz w:val="22"/>
                <w:szCs w:val="22"/>
              </w:rPr>
              <w:t>八</w:t>
            </w:r>
          </w:p>
        </w:tc>
        <w:tc>
          <w:tcPr>
            <w:tcW w:w="4369" w:type="dxa"/>
            <w:shd w:val="clear" w:color="auto" w:fill="FFFFFF"/>
            <w:vAlign w:val="center"/>
          </w:tcPr>
          <w:p w14:paraId="0042127C">
            <w:pPr>
              <w:widowControl/>
              <w:jc w:val="left"/>
              <w:textAlignment w:val="center"/>
              <w:rPr>
                <w:rFonts w:hint="eastAsia" w:ascii="宋体" w:hAnsi="宋体" w:cs="Arial"/>
                <w:kern w:val="0"/>
                <w:sz w:val="18"/>
                <w:szCs w:val="18"/>
              </w:rPr>
            </w:pPr>
            <w:r>
              <w:rPr>
                <w:rFonts w:hint="eastAsia" w:ascii="宋体" w:hAnsi="宋体" w:cs="宋体"/>
                <w:b/>
                <w:bCs/>
                <w:kern w:val="0"/>
                <w:sz w:val="22"/>
                <w:szCs w:val="22"/>
              </w:rPr>
              <w:t>教学多媒体系统</w:t>
            </w:r>
          </w:p>
        </w:tc>
        <w:tc>
          <w:tcPr>
            <w:tcW w:w="1643" w:type="dxa"/>
            <w:shd w:val="clear" w:color="auto" w:fill="FFFFFF"/>
            <w:vAlign w:val="center"/>
          </w:tcPr>
          <w:p w14:paraId="0FD72BB1">
            <w:pPr>
              <w:widowControl/>
              <w:jc w:val="center"/>
              <w:textAlignment w:val="bottom"/>
              <w:rPr>
                <w:rFonts w:hint="eastAsia" w:ascii="宋体" w:hAnsi="宋体" w:cs="宋体"/>
                <w:kern w:val="0"/>
                <w:sz w:val="22"/>
                <w:szCs w:val="22"/>
              </w:rPr>
            </w:pPr>
          </w:p>
        </w:tc>
        <w:tc>
          <w:tcPr>
            <w:tcW w:w="2028" w:type="dxa"/>
            <w:shd w:val="clear" w:color="auto" w:fill="FFFFFF"/>
            <w:vAlign w:val="center"/>
          </w:tcPr>
          <w:p w14:paraId="2722F937">
            <w:pPr>
              <w:widowControl/>
              <w:jc w:val="center"/>
              <w:textAlignment w:val="bottom"/>
              <w:rPr>
                <w:rFonts w:hint="eastAsia" w:ascii="宋体" w:hAnsi="宋体" w:cs="宋体"/>
                <w:kern w:val="0"/>
                <w:sz w:val="22"/>
                <w:szCs w:val="22"/>
              </w:rPr>
            </w:pPr>
          </w:p>
        </w:tc>
      </w:tr>
      <w:tr w14:paraId="1AA988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055808B3">
            <w:pPr>
              <w:widowControl/>
              <w:jc w:val="center"/>
              <w:textAlignment w:val="center"/>
              <w:rPr>
                <w:rFonts w:hint="eastAsia" w:ascii="宋体" w:hAnsi="宋体" w:cs="宋体"/>
                <w:kern w:val="0"/>
                <w:sz w:val="18"/>
                <w:szCs w:val="18"/>
              </w:rPr>
            </w:pPr>
            <w:r>
              <w:rPr>
                <w:rFonts w:hint="eastAsia" w:ascii="新宋体" w:hAnsi="新宋体" w:eastAsia="新宋体" w:cs="宋体"/>
                <w:color w:val="000000"/>
                <w:kern w:val="0"/>
                <w:sz w:val="18"/>
                <w:szCs w:val="18"/>
              </w:rPr>
              <w:t>1</w:t>
            </w:r>
          </w:p>
        </w:tc>
        <w:tc>
          <w:tcPr>
            <w:tcW w:w="4369" w:type="dxa"/>
            <w:shd w:val="clear" w:color="auto" w:fill="FFFFFF"/>
            <w:vAlign w:val="center"/>
          </w:tcPr>
          <w:p w14:paraId="7C71B9AC">
            <w:pPr>
              <w:widowControl/>
              <w:jc w:val="center"/>
              <w:textAlignment w:val="center"/>
              <w:rPr>
                <w:rFonts w:hint="eastAsia" w:ascii="宋体" w:hAnsi="宋体" w:cs="Arial"/>
                <w:kern w:val="0"/>
                <w:sz w:val="18"/>
                <w:szCs w:val="18"/>
              </w:rPr>
            </w:pPr>
            <w:r>
              <w:rPr>
                <w:rFonts w:hint="eastAsia" w:ascii="新宋体" w:hAnsi="新宋体" w:eastAsia="新宋体" w:cs="宋体"/>
                <w:kern w:val="0"/>
                <w:sz w:val="18"/>
                <w:szCs w:val="18"/>
              </w:rPr>
              <w:t>互动教学终端</w:t>
            </w:r>
          </w:p>
        </w:tc>
        <w:tc>
          <w:tcPr>
            <w:tcW w:w="1643" w:type="dxa"/>
            <w:shd w:val="clear" w:color="auto" w:fill="FFFFFF"/>
            <w:vAlign w:val="center"/>
          </w:tcPr>
          <w:p w14:paraId="108B4FC6">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台</w:t>
            </w:r>
          </w:p>
        </w:tc>
        <w:tc>
          <w:tcPr>
            <w:tcW w:w="2028" w:type="dxa"/>
            <w:shd w:val="clear" w:color="auto" w:fill="FFFFFF"/>
            <w:vAlign w:val="center"/>
          </w:tcPr>
          <w:p w14:paraId="526A827A">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25</w:t>
            </w:r>
          </w:p>
        </w:tc>
      </w:tr>
      <w:tr w14:paraId="3A750F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4199C9E5">
            <w:pPr>
              <w:widowControl/>
              <w:jc w:val="center"/>
              <w:textAlignment w:val="center"/>
              <w:rPr>
                <w:rFonts w:hint="eastAsia" w:ascii="新宋体" w:hAnsi="新宋体" w:eastAsia="新宋体" w:cs="宋体"/>
                <w:color w:val="000000"/>
                <w:kern w:val="0"/>
                <w:sz w:val="18"/>
                <w:szCs w:val="18"/>
              </w:rPr>
            </w:pPr>
            <w:r>
              <w:rPr>
                <w:rFonts w:hint="eastAsia" w:ascii="新宋体" w:hAnsi="新宋体" w:eastAsia="新宋体" w:cs="宋体"/>
                <w:kern w:val="0"/>
                <w:sz w:val="18"/>
                <w:szCs w:val="18"/>
              </w:rPr>
              <w:t>2</w:t>
            </w:r>
          </w:p>
        </w:tc>
        <w:tc>
          <w:tcPr>
            <w:tcW w:w="4369" w:type="dxa"/>
            <w:shd w:val="clear" w:color="auto" w:fill="FFFFFF"/>
            <w:vAlign w:val="center"/>
          </w:tcPr>
          <w:p w14:paraId="76E6179A">
            <w:pPr>
              <w:widowControl/>
              <w:jc w:val="center"/>
              <w:textAlignment w:val="center"/>
              <w:rPr>
                <w:rFonts w:hint="eastAsia" w:ascii="新宋体" w:hAnsi="新宋体" w:eastAsia="新宋体" w:cs="宋体"/>
                <w:color w:val="000000"/>
                <w:kern w:val="0"/>
                <w:sz w:val="18"/>
                <w:szCs w:val="18"/>
              </w:rPr>
            </w:pPr>
            <w:r>
              <w:rPr>
                <w:rFonts w:hint="eastAsia" w:ascii="新宋体" w:hAnsi="新宋体" w:eastAsia="新宋体" w:cs="宋体"/>
                <w:kern w:val="0"/>
                <w:sz w:val="18"/>
                <w:szCs w:val="18"/>
              </w:rPr>
              <w:t>移动支架</w:t>
            </w:r>
          </w:p>
        </w:tc>
        <w:tc>
          <w:tcPr>
            <w:tcW w:w="1643" w:type="dxa"/>
            <w:shd w:val="clear" w:color="auto" w:fill="FFFFFF"/>
            <w:vAlign w:val="center"/>
          </w:tcPr>
          <w:p w14:paraId="07C539BF">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套</w:t>
            </w:r>
          </w:p>
        </w:tc>
        <w:tc>
          <w:tcPr>
            <w:tcW w:w="2028" w:type="dxa"/>
            <w:shd w:val="clear" w:color="auto" w:fill="FFFFFF"/>
            <w:vAlign w:val="center"/>
          </w:tcPr>
          <w:p w14:paraId="2DF23A11">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1</w:t>
            </w:r>
          </w:p>
        </w:tc>
      </w:tr>
      <w:tr w14:paraId="5537D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36117993">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3</w:t>
            </w:r>
          </w:p>
        </w:tc>
        <w:tc>
          <w:tcPr>
            <w:tcW w:w="4369" w:type="dxa"/>
            <w:shd w:val="clear" w:color="auto" w:fill="FFFFFF"/>
            <w:vAlign w:val="center"/>
          </w:tcPr>
          <w:p w14:paraId="1B12082C">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推拉绿板</w:t>
            </w:r>
          </w:p>
        </w:tc>
        <w:tc>
          <w:tcPr>
            <w:tcW w:w="1643" w:type="dxa"/>
            <w:shd w:val="clear" w:color="auto" w:fill="FFFFFF"/>
            <w:vAlign w:val="center"/>
          </w:tcPr>
          <w:p w14:paraId="058E4F3E">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套</w:t>
            </w:r>
          </w:p>
        </w:tc>
        <w:tc>
          <w:tcPr>
            <w:tcW w:w="2028" w:type="dxa"/>
            <w:shd w:val="clear" w:color="auto" w:fill="FFFFFF"/>
            <w:vAlign w:val="center"/>
          </w:tcPr>
          <w:p w14:paraId="5AE2A01F">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23</w:t>
            </w:r>
          </w:p>
        </w:tc>
      </w:tr>
      <w:tr w14:paraId="4E136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75E78BB1">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4</w:t>
            </w:r>
          </w:p>
        </w:tc>
        <w:tc>
          <w:tcPr>
            <w:tcW w:w="4369" w:type="dxa"/>
            <w:shd w:val="clear" w:color="auto" w:fill="FFFFFF"/>
            <w:vAlign w:val="center"/>
          </w:tcPr>
          <w:p w14:paraId="45D4E6AB">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实物展台</w:t>
            </w:r>
          </w:p>
        </w:tc>
        <w:tc>
          <w:tcPr>
            <w:tcW w:w="1643" w:type="dxa"/>
            <w:shd w:val="clear" w:color="auto" w:fill="FFFFFF"/>
            <w:vAlign w:val="center"/>
          </w:tcPr>
          <w:p w14:paraId="37016B06">
            <w:pPr>
              <w:widowControl/>
              <w:jc w:val="center"/>
              <w:textAlignment w:val="bottom"/>
              <w:rPr>
                <w:rFonts w:hint="eastAsia" w:ascii="宋体" w:hAnsi="宋体" w:cs="宋体"/>
                <w:kern w:val="0"/>
                <w:sz w:val="22"/>
                <w:szCs w:val="22"/>
              </w:rPr>
            </w:pPr>
            <w:r>
              <w:rPr>
                <w:rFonts w:hint="eastAsia" w:ascii="新宋体" w:hAnsi="新宋体" w:eastAsia="新宋体" w:cs="宋体"/>
                <w:kern w:val="0"/>
                <w:sz w:val="18"/>
                <w:szCs w:val="18"/>
              </w:rPr>
              <w:t>台</w:t>
            </w:r>
          </w:p>
        </w:tc>
        <w:tc>
          <w:tcPr>
            <w:tcW w:w="2028" w:type="dxa"/>
            <w:shd w:val="clear" w:color="auto" w:fill="FFFFFF"/>
            <w:vAlign w:val="center"/>
          </w:tcPr>
          <w:p w14:paraId="4C594E9F">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24</w:t>
            </w:r>
          </w:p>
        </w:tc>
      </w:tr>
      <w:tr w14:paraId="39394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9" w:hRule="atLeast"/>
        </w:trPr>
        <w:tc>
          <w:tcPr>
            <w:tcW w:w="1138" w:type="dxa"/>
            <w:shd w:val="clear" w:color="auto" w:fill="auto"/>
            <w:vAlign w:val="center"/>
          </w:tcPr>
          <w:p w14:paraId="2040A945">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color w:val="000000"/>
                <w:kern w:val="0"/>
                <w:sz w:val="18"/>
                <w:szCs w:val="18"/>
              </w:rPr>
              <w:t>5</w:t>
            </w:r>
          </w:p>
        </w:tc>
        <w:tc>
          <w:tcPr>
            <w:tcW w:w="4369" w:type="dxa"/>
            <w:shd w:val="clear" w:color="auto" w:fill="FFFFFF"/>
            <w:vAlign w:val="center"/>
          </w:tcPr>
          <w:p w14:paraId="0B619F92">
            <w:pPr>
              <w:widowControl/>
              <w:jc w:val="center"/>
              <w:textAlignment w:val="center"/>
              <w:rPr>
                <w:rFonts w:hint="eastAsia" w:ascii="新宋体" w:hAnsi="新宋体" w:eastAsia="新宋体" w:cs="宋体"/>
                <w:kern w:val="0"/>
                <w:sz w:val="18"/>
                <w:szCs w:val="18"/>
              </w:rPr>
            </w:pPr>
            <w:r>
              <w:rPr>
                <w:rFonts w:hint="eastAsia" w:ascii="新宋体" w:hAnsi="新宋体" w:eastAsia="新宋体" w:cs="宋体"/>
                <w:kern w:val="0"/>
                <w:sz w:val="18"/>
                <w:szCs w:val="18"/>
              </w:rPr>
              <w:t>系统集成费</w:t>
            </w:r>
          </w:p>
        </w:tc>
        <w:tc>
          <w:tcPr>
            <w:tcW w:w="1643" w:type="dxa"/>
            <w:shd w:val="clear" w:color="auto" w:fill="FFFFFF"/>
            <w:vAlign w:val="center"/>
          </w:tcPr>
          <w:p w14:paraId="35E54E15">
            <w:pPr>
              <w:widowControl/>
              <w:jc w:val="center"/>
              <w:textAlignment w:val="bottom"/>
              <w:rPr>
                <w:rFonts w:hint="eastAsia" w:ascii="宋体" w:hAnsi="宋体" w:cs="宋体"/>
                <w:kern w:val="0"/>
                <w:sz w:val="22"/>
                <w:szCs w:val="22"/>
              </w:rPr>
            </w:pPr>
            <w:r>
              <w:rPr>
                <w:rFonts w:hint="eastAsia" w:ascii="新宋体" w:hAnsi="新宋体" w:eastAsia="新宋体" w:cs="宋体"/>
                <w:color w:val="000000"/>
                <w:kern w:val="0"/>
                <w:sz w:val="18"/>
                <w:szCs w:val="18"/>
              </w:rPr>
              <w:t>套</w:t>
            </w:r>
          </w:p>
        </w:tc>
        <w:tc>
          <w:tcPr>
            <w:tcW w:w="2028" w:type="dxa"/>
            <w:shd w:val="clear" w:color="auto" w:fill="FFFFFF"/>
            <w:vAlign w:val="center"/>
          </w:tcPr>
          <w:p w14:paraId="3C34F1A0">
            <w:pPr>
              <w:widowControl/>
              <w:jc w:val="center"/>
              <w:textAlignment w:val="bottom"/>
              <w:rPr>
                <w:rFonts w:hint="default" w:ascii="宋体" w:hAnsi="宋体" w:eastAsia="新宋体" w:cs="宋体"/>
                <w:kern w:val="0"/>
                <w:sz w:val="22"/>
                <w:szCs w:val="22"/>
                <w:lang w:val="en-US" w:eastAsia="zh-CN"/>
              </w:rPr>
            </w:pPr>
            <w:r>
              <w:rPr>
                <w:rFonts w:hint="eastAsia" w:ascii="新宋体" w:hAnsi="新宋体" w:eastAsia="新宋体" w:cs="宋体"/>
                <w:kern w:val="0"/>
                <w:sz w:val="18"/>
                <w:szCs w:val="18"/>
                <w:lang w:val="en-US" w:eastAsia="zh-CN"/>
              </w:rPr>
              <w:t>24</w:t>
            </w:r>
          </w:p>
        </w:tc>
      </w:tr>
    </w:tbl>
    <w:p w14:paraId="365183A1"/>
    <w:p w14:paraId="5F8FFEC1">
      <w:pPr>
        <w:pStyle w:val="3"/>
        <w:rPr>
          <w:rFonts w:hint="eastAsia" w:ascii="宋体" w:hAnsi="宋体" w:eastAsia="宋体" w:cs="宋体"/>
          <w:color w:val="000000"/>
          <w:kern w:val="0"/>
          <w:sz w:val="28"/>
          <w:szCs w:val="28"/>
          <w:lang w:val="en-US" w:bidi="ar"/>
        </w:rPr>
      </w:pPr>
    </w:p>
    <w:p w14:paraId="4CFB4584">
      <w:pPr>
        <w:widowControl/>
        <w:snapToGrid w:val="0"/>
        <w:spacing w:line="288" w:lineRule="auto"/>
        <w:textAlignment w:val="center"/>
        <w:rPr>
          <w:rFonts w:hint="eastAsia" w:ascii="宋体" w:hAnsi="宋体" w:cs="宋体"/>
          <w:b/>
          <w:bCs/>
          <w:color w:val="000000"/>
          <w:kern w:val="0"/>
          <w:sz w:val="24"/>
          <w:lang w:bidi="ar"/>
        </w:rPr>
      </w:pPr>
      <w:r>
        <w:rPr>
          <w:rFonts w:hint="eastAsia" w:ascii="宋体" w:hAnsi="宋体" w:cs="宋体"/>
          <w:b/>
          <w:bCs/>
          <w:color w:val="000000"/>
          <w:kern w:val="0"/>
          <w:sz w:val="24"/>
          <w:lang w:bidi="ar"/>
        </w:rPr>
        <w:t>（二）设备规格参数</w:t>
      </w:r>
    </w:p>
    <w:tbl>
      <w:tblPr>
        <w:tblStyle w:val="65"/>
        <w:tblW w:w="9281" w:type="dxa"/>
        <w:tblInd w:w="9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6"/>
        <w:gridCol w:w="1289"/>
        <w:gridCol w:w="7206"/>
      </w:tblGrid>
      <w:tr w14:paraId="27F7C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DDEBF7"/>
            <w:noWrap/>
            <w:vAlign w:val="center"/>
          </w:tcPr>
          <w:p w14:paraId="2003AB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序号</w:t>
            </w:r>
          </w:p>
        </w:tc>
        <w:tc>
          <w:tcPr>
            <w:tcW w:w="1289" w:type="dxa"/>
            <w:shd w:val="clear" w:color="auto" w:fill="DDEBF7"/>
            <w:noWrap/>
            <w:vAlign w:val="center"/>
          </w:tcPr>
          <w:p w14:paraId="46CE7F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设备名称</w:t>
            </w:r>
          </w:p>
        </w:tc>
        <w:tc>
          <w:tcPr>
            <w:tcW w:w="7206" w:type="dxa"/>
            <w:shd w:val="clear" w:color="auto" w:fill="DDEBF7"/>
            <w:noWrap/>
            <w:vAlign w:val="center"/>
          </w:tcPr>
          <w:p w14:paraId="6B8B74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参数</w:t>
            </w:r>
          </w:p>
        </w:tc>
      </w:tr>
      <w:tr w14:paraId="7F2D8C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AC3D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一</w:t>
            </w:r>
          </w:p>
        </w:tc>
        <w:tc>
          <w:tcPr>
            <w:tcW w:w="8495" w:type="dxa"/>
            <w:gridSpan w:val="2"/>
            <w:shd w:val="clear" w:color="auto" w:fill="FFFFFF"/>
            <w:vAlign w:val="center"/>
          </w:tcPr>
          <w:p w14:paraId="722819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rPr>
            </w:pPr>
            <w:r>
              <w:rPr>
                <w:rFonts w:hint="eastAsia" w:ascii="宋体" w:hAnsi="宋体" w:eastAsia="宋体" w:cs="宋体"/>
                <w:kern w:val="0"/>
                <w:sz w:val="21"/>
                <w:szCs w:val="21"/>
              </w:rPr>
              <w:t>综合布线系统</w:t>
            </w:r>
          </w:p>
        </w:tc>
      </w:tr>
      <w:tr w14:paraId="7754B2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13C0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B633C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RJ45单口面板</w:t>
            </w:r>
          </w:p>
        </w:tc>
        <w:tc>
          <w:tcPr>
            <w:tcW w:w="7206" w:type="dxa"/>
            <w:vAlign w:val="center"/>
          </w:tcPr>
          <w:p w14:paraId="62D0EFC0">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73E3777F">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6F6A692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单口86*86型产品，与86型底盒配套使用 </w:t>
            </w:r>
          </w:p>
        </w:tc>
      </w:tr>
      <w:tr w14:paraId="60C8F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0745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CCCE2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RJ45双口面板</w:t>
            </w:r>
          </w:p>
        </w:tc>
        <w:tc>
          <w:tcPr>
            <w:tcW w:w="7206" w:type="dxa"/>
            <w:vAlign w:val="center"/>
          </w:tcPr>
          <w:p w14:paraId="204CB44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332EDF8C">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0F7978C5">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双口86*86型产品，与86型底盒配套使用 </w:t>
            </w:r>
          </w:p>
        </w:tc>
      </w:tr>
      <w:tr w14:paraId="05ADC6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2F2BA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EA934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RJ45四口面板</w:t>
            </w:r>
          </w:p>
        </w:tc>
        <w:tc>
          <w:tcPr>
            <w:tcW w:w="7206" w:type="dxa"/>
            <w:vAlign w:val="center"/>
          </w:tcPr>
          <w:p w14:paraId="58F2B53A">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带有防尘盖，防止灰尘侵入接口</w:t>
            </w:r>
          </w:p>
          <w:p w14:paraId="4399C610">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带有标识条，方便编号管理和维护使用</w:t>
            </w:r>
          </w:p>
          <w:p w14:paraId="6FCFBCCF">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 xml:space="preserve">四口86*86型产品，与86型底盒配套使用 </w:t>
            </w:r>
          </w:p>
        </w:tc>
      </w:tr>
      <w:tr w14:paraId="781782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C8F9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AB39B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六类非屏蔽免打模块</w:t>
            </w:r>
          </w:p>
        </w:tc>
        <w:tc>
          <w:tcPr>
            <w:tcW w:w="7206" w:type="dxa"/>
            <w:vAlign w:val="center"/>
          </w:tcPr>
          <w:p w14:paraId="08F5CAB1">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六类非屏蔽LED信息模块；</w:t>
            </w:r>
          </w:p>
          <w:p w14:paraId="21541CCE">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sz w:val="21"/>
                <w:szCs w:val="21"/>
              </w:rPr>
              <w:t>带寻址功能的信息插座模块，模块前端带有≤1个LED灯</w:t>
            </w:r>
          </w:p>
          <w:p w14:paraId="7EB969F8">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RJ45接口防尘、防氧化、防误插拔，。</w:t>
            </w:r>
          </w:p>
          <w:p w14:paraId="1A15E3C6">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传输标准超过ISO/IEC 11801 E级 、AS/NZS 3080：2003 E级；</w:t>
            </w:r>
          </w:p>
          <w:p w14:paraId="7FDCDD45">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传输速率≥250MHz条件下的传输要求，最少可插拔1000次以上，可卡接22到23AWG线规的导体；</w:t>
            </w:r>
          </w:p>
          <w:p w14:paraId="47FBBAA9">
            <w:pPr>
              <w:keepNext w:val="0"/>
              <w:keepLines w:val="0"/>
              <w:pageBreakBefore w:val="0"/>
              <w:widowControl/>
              <w:numPr>
                <w:ilvl w:val="0"/>
                <w:numId w:val="0"/>
              </w:numPr>
              <w:tabs>
                <w:tab w:val="left" w:pos="0"/>
              </w:tabs>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材料：接触针为磷青铜50um镀金层，打线柱100um；</w:t>
            </w:r>
          </w:p>
        </w:tc>
      </w:tr>
      <w:tr w14:paraId="52756A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F097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495CEF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六类非屏蔽跳线-2米</w:t>
            </w:r>
          </w:p>
        </w:tc>
        <w:tc>
          <w:tcPr>
            <w:tcW w:w="7206" w:type="dxa"/>
            <w:vAlign w:val="center"/>
          </w:tcPr>
          <w:p w14:paraId="1C9819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标准：ISO/IEC 11801， ANSI/TIA-568.2-D</w:t>
            </w:r>
          </w:p>
          <w:p w14:paraId="55563D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2.</w:t>
            </w:r>
            <w:r>
              <w:rPr>
                <w:rFonts w:hint="eastAsia" w:ascii="宋体" w:hAnsi="宋体" w:eastAsia="宋体" w:cs="宋体"/>
                <w:kern w:val="0"/>
                <w:sz w:val="21"/>
                <w:szCs w:val="21"/>
              </w:rPr>
              <w:t>长度：2米</w:t>
            </w:r>
          </w:p>
        </w:tc>
      </w:tr>
      <w:tr w14:paraId="27D466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F03E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28A523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六类非屏蔽跳线-3米</w:t>
            </w:r>
          </w:p>
        </w:tc>
        <w:tc>
          <w:tcPr>
            <w:tcW w:w="7206" w:type="dxa"/>
            <w:vAlign w:val="center"/>
          </w:tcPr>
          <w:p w14:paraId="0D6E158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1.</w:t>
            </w:r>
            <w:r>
              <w:rPr>
                <w:rFonts w:hint="eastAsia" w:ascii="宋体" w:hAnsi="宋体" w:eastAsia="宋体" w:cs="宋体"/>
                <w:kern w:val="0"/>
                <w:sz w:val="21"/>
                <w:szCs w:val="21"/>
              </w:rPr>
              <w:t>标准：ISO/IEC 11801， ANSI/TIA-568.2-D</w:t>
            </w:r>
          </w:p>
          <w:p w14:paraId="2709FAA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长度：3米</w:t>
            </w:r>
          </w:p>
        </w:tc>
      </w:tr>
      <w:tr w14:paraId="0EA26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BC74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6B3834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六类UTP双绞线</w:t>
            </w:r>
          </w:p>
        </w:tc>
        <w:tc>
          <w:tcPr>
            <w:tcW w:w="7206" w:type="dxa"/>
            <w:vAlign w:val="center"/>
          </w:tcPr>
          <w:p w14:paraId="4B21F25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符合ANSI/TIA/EIA-568-C.2标准的要求,达到支持≥250MHz带宽。</w:t>
            </w:r>
          </w:p>
          <w:p w14:paraId="244E89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100欧姆4对双绞,每芯带有彩色护套;中心十字骨架线芯结构,减小近端串拢损耗及阻抗稳定以保证系统的传输性能,护套印有电缆编码。</w:t>
            </w:r>
          </w:p>
          <w:p w14:paraId="793A86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导体材料:无氧圆铜（纯度99.99%)，导体线规23AWG,护套采用优质PVC材料</w:t>
            </w:r>
          </w:p>
        </w:tc>
      </w:tr>
      <w:tr w14:paraId="2BB9BC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C56C8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3327C2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1U 24口模块式非屏蔽配线架</w:t>
            </w:r>
          </w:p>
        </w:tc>
        <w:tc>
          <w:tcPr>
            <w:tcW w:w="7206" w:type="dxa"/>
            <w:vAlign w:val="center"/>
          </w:tcPr>
          <w:p w14:paraId="47AA7E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符合ANSI/TIA/EIA-568-C.2 和ISO/IEC 11801:2008标准的要求。</w:t>
            </w:r>
          </w:p>
          <w:p w14:paraId="0DECE46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标准19英寸机架式安装，高度：1U， 端口数量：24口带寻址功能的信息插座模块，</w:t>
            </w:r>
          </w:p>
          <w:p w14:paraId="6AC6A9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sz w:val="21"/>
                <w:szCs w:val="21"/>
              </w:rPr>
              <w:t>带寻址功能的信息插座模块，模块前端带有≤1个LED灯</w:t>
            </w:r>
          </w:p>
          <w:p w14:paraId="591AD3C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RJ45接口防尘、防氧化、防误插拔，RJ45接口时水晶头无法插拔且不遮挡LED指示灯，稳固水晶头端口接触。</w:t>
            </w:r>
          </w:p>
          <w:p w14:paraId="2EEB78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触点材料：磷青铜有50μm镀金层和100μm镀镍层,插拔次数≥1000次,端接次数≥250次,插入损耗:0.4dB@250MHz,支持≥250MHz</w:t>
            </w:r>
          </w:p>
        </w:tc>
      </w:tr>
      <w:tr w14:paraId="43D53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E24F3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5DA64E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精致款19″1U 24档 理线器烤漆</w:t>
            </w:r>
          </w:p>
        </w:tc>
        <w:tc>
          <w:tcPr>
            <w:tcW w:w="7206" w:type="dxa"/>
            <w:vAlign w:val="center"/>
          </w:tcPr>
          <w:p w14:paraId="49A914B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标准19”机架式安装，高度：1U</w:t>
            </w:r>
          </w:p>
          <w:p w14:paraId="3EF21F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SPCC冷轧钢板表面脱脂、磷化、静电喷塑处理，机械强度高</w:t>
            </w:r>
          </w:p>
          <w:p w14:paraId="45C3BD7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上下各≥24档超宽理线档距，为高性能线缆提供更大的空间</w:t>
            </w:r>
          </w:p>
          <w:p w14:paraId="12F911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盖板采用卡扣式设计可单边开启无需拆下盖板也可跳线，便于操作</w:t>
            </w:r>
          </w:p>
          <w:p w14:paraId="4A10D5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带有贯穿孔，便于前后走线和冗余线缆的存放</w:t>
            </w:r>
          </w:p>
          <w:p w14:paraId="441235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厚度：架体≥1.2mm 、盖板≥1.0mm</w:t>
            </w:r>
          </w:p>
        </w:tc>
      </w:tr>
      <w:tr w14:paraId="3A8297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CB82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15EDD9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12芯中心束管式单模光缆</w:t>
            </w:r>
          </w:p>
        </w:tc>
        <w:tc>
          <w:tcPr>
            <w:tcW w:w="7206" w:type="dxa"/>
            <w:vAlign w:val="center"/>
          </w:tcPr>
          <w:p w14:paraId="50469C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光纤芯数：12芯，光纤类型：B1.3（G652D）</w:t>
            </w:r>
          </w:p>
          <w:p w14:paraId="5762FF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符合ANSI/TIA/EIA-568-C.3和ISO/IEC 11081标准的传输性能要求。</w:t>
            </w:r>
          </w:p>
          <w:p w14:paraId="6FCFC6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室外中心束管式结构：将单模零水峰光纤(OS2)套入由高模量的材料做成的松套管中,套管内填充防水化合物(PBT松套管充油膏);松套管外用一层双面涂塑钢带(PSP)纵包,钢带和松套管之间加阻水材料以保证光缆的紧凑和纵向阻水,两侧放置两根平行钢丝后挤制聚乙烯(PE)护套成缆。</w:t>
            </w:r>
          </w:p>
        </w:tc>
      </w:tr>
      <w:tr w14:paraId="12EB2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C562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784A7A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6芯中心束管式单模光缆</w:t>
            </w:r>
          </w:p>
        </w:tc>
        <w:tc>
          <w:tcPr>
            <w:tcW w:w="7206" w:type="dxa"/>
            <w:vAlign w:val="center"/>
          </w:tcPr>
          <w:p w14:paraId="5B10F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光纤芯数：6芯，光纤类型：B1.3（G652D）</w:t>
            </w:r>
          </w:p>
          <w:p w14:paraId="25F187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符合ANSI/TIA/EIA-568-C.3和ISO/IEC 11081标准的传输性能要求。</w:t>
            </w:r>
          </w:p>
          <w:p w14:paraId="3213A14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室外中心束管式结构：将单模零水峰光纤(OS2)套入由高模量的材料做成的松套管中,套管内填充防水化合物(PBT松套管充油膏);松套管外用一层双面涂塑钢带(PSP)纵包,钢带和松套管之间加阻水材料以保证光缆的紧凑和纵向阻水,两侧放置两根平行钢丝后挤制聚乙烯(PE)护套成缆。</w:t>
            </w:r>
          </w:p>
        </w:tc>
      </w:tr>
      <w:tr w14:paraId="6A376C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6CFC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0F8A98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xml:space="preserve"> 3米 LC-LC/UPC单模光跳线-2芯</w:t>
            </w:r>
          </w:p>
        </w:tc>
        <w:tc>
          <w:tcPr>
            <w:tcW w:w="7206" w:type="dxa"/>
            <w:vAlign w:val="center"/>
          </w:tcPr>
          <w:p w14:paraId="1EBF08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标准：YD/T1272或YD/T 987-1998</w:t>
            </w:r>
          </w:p>
          <w:p w14:paraId="0973E2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3米 单模光跳线2芯</w:t>
            </w:r>
          </w:p>
          <w:p w14:paraId="559085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光纤类型：B1.3（G652D）</w:t>
            </w:r>
          </w:p>
          <w:p w14:paraId="467FD47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插入损耗（含重复性）：≤0.2dB</w:t>
            </w:r>
          </w:p>
          <w:p w14:paraId="300E514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p w14:paraId="5F87F6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回波损耗：≥50dB（单模）</w:t>
            </w:r>
          </w:p>
        </w:tc>
      </w:tr>
      <w:tr w14:paraId="5E9A1E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72F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79B2D4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1米 LC/UPC单模尾纤-1芯</w:t>
            </w:r>
          </w:p>
        </w:tc>
        <w:tc>
          <w:tcPr>
            <w:tcW w:w="7206" w:type="dxa"/>
            <w:vAlign w:val="center"/>
          </w:tcPr>
          <w:p w14:paraId="691218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标准：YD/T1272或YD/T 987-1998</w:t>
            </w:r>
          </w:p>
          <w:p w14:paraId="2212EE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1米 单模光尾纤1芯</w:t>
            </w:r>
          </w:p>
          <w:p w14:paraId="2B0D6A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光纤类型：B1.3（G652D）</w:t>
            </w:r>
          </w:p>
          <w:p w14:paraId="044F4B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插入损耗（含重复性）：≤0.2dB</w:t>
            </w:r>
          </w:p>
          <w:p w14:paraId="4E67D81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p w14:paraId="7BE631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回波损耗：≥50dB（单模）</w:t>
            </w:r>
          </w:p>
        </w:tc>
      </w:tr>
      <w:tr w14:paraId="0802E2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3DF59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76F089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12口光纤配线架（含12个双芯LC法兰）</w:t>
            </w:r>
          </w:p>
        </w:tc>
        <w:tc>
          <w:tcPr>
            <w:tcW w:w="7206" w:type="dxa"/>
            <w:vAlign w:val="center"/>
          </w:tcPr>
          <w:p w14:paraId="4952EC4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标准：YD/T778</w:t>
            </w:r>
          </w:p>
          <w:p w14:paraId="757B0A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安装方式：机架式安装、高度1U</w:t>
            </w:r>
          </w:p>
          <w:p w14:paraId="7AEA581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19英寸机架式，冷扎板材料，静电喷涂，全密封</w:t>
            </w:r>
          </w:p>
          <w:p w14:paraId="6E032F1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适配器可选:ST、FC、SC、LC双联、SC双联  </w:t>
            </w:r>
          </w:p>
          <w:p w14:paraId="0B17FE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导轨式抽拉，集光缆、尾纤接续、尾纤、跳线收容等功能为一体三段式静音导轨设计，带有免工具固定装置，防止意外操作造成光纤断裂面板可拆装，全正面操作，</w:t>
            </w:r>
          </w:p>
          <w:p w14:paraId="3C4C9A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光缆进出光纤方便灵活，有充裕的光纤盘存空间，光纤和尾纤弯曲半径不小于30mm</w:t>
            </w:r>
          </w:p>
          <w:p w14:paraId="613A44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前端自带线缆管理单元，方便跳纤的管理</w:t>
            </w:r>
          </w:p>
          <w:p w14:paraId="7DDAF8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表面处理：静电喷塑</w:t>
            </w:r>
          </w:p>
        </w:tc>
      </w:tr>
      <w:tr w14:paraId="3F5A24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9DC44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669A66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12口光纤终端盒</w:t>
            </w:r>
          </w:p>
        </w:tc>
        <w:tc>
          <w:tcPr>
            <w:tcW w:w="7206" w:type="dxa"/>
            <w:vAlign w:val="center"/>
          </w:tcPr>
          <w:p w14:paraId="4911F3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2条光纤输入12口尾纤含双纤LC法兰12个</w:t>
            </w:r>
          </w:p>
        </w:tc>
      </w:tr>
      <w:tr w14:paraId="7948A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32CC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6DC96B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19"机柜(42U)</w:t>
            </w:r>
          </w:p>
        </w:tc>
        <w:tc>
          <w:tcPr>
            <w:tcW w:w="7206" w:type="dxa"/>
            <w:vAlign w:val="center"/>
          </w:tcPr>
          <w:p w14:paraId="137F65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 ANSI/EIA RS-310-D、DIN41494 等相关规范。</w:t>
            </w:r>
          </w:p>
          <w:p w14:paraId="39ECC1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42U机柜(2000×600×600mm)采用高强度冷轧钢板制作,结构合理、牢固； </w:t>
            </w:r>
          </w:p>
          <w:p w14:paraId="42F716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载重量静态≤800KG，动态≤600KG；</w:t>
            </w:r>
          </w:p>
          <w:p w14:paraId="4814353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全喷塑处理，防止碰伤、腐蚀；快开侧门，方便设备安装维护；分单开门和双开门两种规格；</w:t>
            </w:r>
          </w:p>
          <w:p w14:paraId="50A81A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机柜预留接地柱，配有风扇；</w:t>
            </w:r>
          </w:p>
          <w:p w14:paraId="5A9325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前门采用优质钢化玻璃，后门网孔（前后门可选材料）。</w:t>
            </w:r>
          </w:p>
        </w:tc>
      </w:tr>
      <w:tr w14:paraId="681F9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C91E8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0F1982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高级防水监控专用线CAT6 UTP (PE)</w:t>
            </w:r>
          </w:p>
        </w:tc>
        <w:tc>
          <w:tcPr>
            <w:tcW w:w="7206" w:type="dxa"/>
            <w:vAlign w:val="center"/>
          </w:tcPr>
          <w:p w14:paraId="284DB7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符合ISO/IEC 11801  |  ANSI/TIA-568-2-D</w:t>
            </w:r>
          </w:p>
          <w:p w14:paraId="17E396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导体线规：23AWG； 导体材料：高纯度无氧铜（纯度99.99%）                                     </w:t>
            </w:r>
          </w:p>
          <w:p w14:paraId="4BFED9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绝缘层材料：HDPE </w:t>
            </w:r>
          </w:p>
          <w:p w14:paraId="634446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护套材料：PE </w:t>
            </w:r>
          </w:p>
          <w:p w14:paraId="0E8FC7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带宽达到250MHz                           </w:t>
            </w:r>
          </w:p>
          <w:p w14:paraId="4853DC8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十字骨架设计                                                                    </w:t>
            </w:r>
          </w:p>
          <w:p w14:paraId="0B44B5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8倍电缆外径，无开裂</w:t>
            </w:r>
          </w:p>
        </w:tc>
      </w:tr>
      <w:tr w14:paraId="5D689F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6AD77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4BF27C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100对110配线架（含模块）</w:t>
            </w:r>
          </w:p>
        </w:tc>
        <w:tc>
          <w:tcPr>
            <w:tcW w:w="7206" w:type="dxa"/>
            <w:vAlign w:val="center"/>
          </w:tcPr>
          <w:p w14:paraId="2F4F4D8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标准：YD/T1272，ISO/IEC 11801，ANSI/TIA-568-C.3</w:t>
            </w:r>
          </w:p>
          <w:p w14:paraId="01C986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材料：氧化锆陶瓷套管</w:t>
            </w:r>
          </w:p>
          <w:p w14:paraId="3BE7D2D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插入损耗（含重复性）：≤0.2dB</w:t>
            </w:r>
          </w:p>
          <w:p w14:paraId="0539B9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重复性：≥500次</w:t>
            </w:r>
          </w:p>
          <w:p w14:paraId="07FA9E2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互换性：≤0.2dB</w:t>
            </w:r>
          </w:p>
        </w:tc>
      </w:tr>
      <w:tr w14:paraId="7763F2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08203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w:t>
            </w:r>
          </w:p>
        </w:tc>
        <w:tc>
          <w:tcPr>
            <w:tcW w:w="1289" w:type="dxa"/>
            <w:shd w:val="clear" w:color="auto" w:fill="FFFFFF"/>
            <w:vAlign w:val="center"/>
          </w:tcPr>
          <w:p w14:paraId="538648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水晶头</w:t>
            </w:r>
          </w:p>
        </w:tc>
        <w:tc>
          <w:tcPr>
            <w:tcW w:w="7206" w:type="dxa"/>
            <w:vAlign w:val="center"/>
          </w:tcPr>
          <w:p w14:paraId="12B3294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全面支持所有数据、语音、通讯、多媒体等多方面的高速应用。</w:t>
            </w:r>
          </w:p>
          <w:p w14:paraId="21992B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符合FCC规范</w:t>
            </w:r>
          </w:p>
          <w:p w14:paraId="7CAC91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符合T568A和T568B线序</w:t>
            </w:r>
          </w:p>
          <w:p w14:paraId="780D69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插拔次数：≧750次</w:t>
            </w:r>
          </w:p>
          <w:p w14:paraId="149AF2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压力测试：20N</w:t>
            </w:r>
          </w:p>
          <w:p w14:paraId="1159F01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线规：23~26AWG</w:t>
            </w:r>
          </w:p>
          <w:p w14:paraId="5C89558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塑胶壳材料：聚碳酸酯</w:t>
            </w:r>
          </w:p>
          <w:p w14:paraId="0ACFC3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簧片：三叉簧片设计、磷青铜镀金50U</w:t>
            </w:r>
          </w:p>
        </w:tc>
      </w:tr>
      <w:tr w14:paraId="2D652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3EC7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20</w:t>
            </w:r>
          </w:p>
        </w:tc>
        <w:tc>
          <w:tcPr>
            <w:tcW w:w="1289" w:type="dxa"/>
            <w:shd w:val="clear" w:color="auto" w:fill="FFFFFF"/>
            <w:vAlign w:val="center"/>
          </w:tcPr>
          <w:p w14:paraId="3BCE26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服务器机柜</w:t>
            </w:r>
          </w:p>
        </w:tc>
        <w:tc>
          <w:tcPr>
            <w:tcW w:w="7206" w:type="dxa"/>
            <w:vAlign w:val="center"/>
          </w:tcPr>
          <w:p w14:paraId="5E9956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产品尺寸：宽度600×深度1000；高度:2000/2072mm容量：42U</w:t>
            </w:r>
          </w:p>
          <w:p w14:paraId="30CDA1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材料为优质SPCC冷轧钢板，</w:t>
            </w:r>
          </w:p>
          <w:p w14:paraId="3B450F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静态负载：≤1000KG </w:t>
            </w:r>
          </w:p>
          <w:p w14:paraId="2E65A4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防护等级：IP20</w:t>
            </w:r>
          </w:p>
          <w:p w14:paraId="277BC91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配置同品牌8位16A PDU电源×1, 8位10A PDU电源×1</w:t>
            </w:r>
          </w:p>
        </w:tc>
      </w:tr>
      <w:tr w14:paraId="7341C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EC74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21</w:t>
            </w:r>
          </w:p>
        </w:tc>
        <w:tc>
          <w:tcPr>
            <w:tcW w:w="1289" w:type="dxa"/>
            <w:shd w:val="clear" w:color="auto" w:fill="FFFFFF"/>
            <w:vAlign w:val="center"/>
          </w:tcPr>
          <w:p w14:paraId="55892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喇叭线</w:t>
            </w:r>
          </w:p>
        </w:tc>
        <w:tc>
          <w:tcPr>
            <w:tcW w:w="7206" w:type="dxa"/>
            <w:vAlign w:val="center"/>
          </w:tcPr>
          <w:p w14:paraId="537903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RVS2*2.5</w:t>
            </w:r>
          </w:p>
        </w:tc>
      </w:tr>
      <w:tr w14:paraId="682CF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46A1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22</w:t>
            </w:r>
          </w:p>
        </w:tc>
        <w:tc>
          <w:tcPr>
            <w:tcW w:w="1289" w:type="dxa"/>
            <w:shd w:val="clear" w:color="auto" w:fill="FFFFFF"/>
            <w:vAlign w:val="center"/>
          </w:tcPr>
          <w:p w14:paraId="6235B5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电源线</w:t>
            </w:r>
          </w:p>
        </w:tc>
        <w:tc>
          <w:tcPr>
            <w:tcW w:w="7206" w:type="dxa"/>
            <w:vAlign w:val="center"/>
          </w:tcPr>
          <w:p w14:paraId="26BA48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RVV2*1.5</w:t>
            </w:r>
          </w:p>
        </w:tc>
      </w:tr>
      <w:tr w14:paraId="6D243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C14B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23</w:t>
            </w:r>
          </w:p>
        </w:tc>
        <w:tc>
          <w:tcPr>
            <w:tcW w:w="1289" w:type="dxa"/>
            <w:shd w:val="clear" w:color="auto" w:fill="FFFFFF"/>
            <w:vAlign w:val="center"/>
          </w:tcPr>
          <w:p w14:paraId="2AD19C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PVC管材</w:t>
            </w:r>
          </w:p>
        </w:tc>
        <w:tc>
          <w:tcPr>
            <w:tcW w:w="7206" w:type="dxa"/>
            <w:vAlign w:val="center"/>
          </w:tcPr>
          <w:p w14:paraId="5DCD528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室外监控及草坪音箱子管</w:t>
            </w:r>
          </w:p>
        </w:tc>
      </w:tr>
      <w:tr w14:paraId="5072DB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399F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w:t>
            </w:r>
          </w:p>
        </w:tc>
        <w:tc>
          <w:tcPr>
            <w:tcW w:w="1289" w:type="dxa"/>
            <w:shd w:val="clear" w:color="auto" w:fill="FFFFFF"/>
            <w:vAlign w:val="center"/>
          </w:tcPr>
          <w:p w14:paraId="726630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金属桥架</w:t>
            </w:r>
          </w:p>
        </w:tc>
        <w:tc>
          <w:tcPr>
            <w:tcW w:w="7206" w:type="dxa"/>
            <w:vAlign w:val="center"/>
          </w:tcPr>
          <w:p w14:paraId="1E1600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200*100金属水平桥架</w:t>
            </w:r>
          </w:p>
        </w:tc>
      </w:tr>
      <w:tr w14:paraId="0967B8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EA006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25</w:t>
            </w:r>
          </w:p>
        </w:tc>
        <w:tc>
          <w:tcPr>
            <w:tcW w:w="1289" w:type="dxa"/>
            <w:shd w:val="clear" w:color="auto" w:fill="FFFFFF"/>
            <w:vAlign w:val="center"/>
          </w:tcPr>
          <w:p w14:paraId="09FCFF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金属软管</w:t>
            </w:r>
          </w:p>
        </w:tc>
        <w:tc>
          <w:tcPr>
            <w:tcW w:w="7206" w:type="dxa"/>
            <w:vAlign w:val="center"/>
          </w:tcPr>
          <w:p w14:paraId="549DB4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监控及AP引出管</w:t>
            </w:r>
          </w:p>
        </w:tc>
      </w:tr>
      <w:tr w14:paraId="43A228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0EDE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26</w:t>
            </w:r>
          </w:p>
        </w:tc>
        <w:tc>
          <w:tcPr>
            <w:tcW w:w="1289" w:type="dxa"/>
            <w:shd w:val="clear" w:color="auto" w:fill="FFFFFF"/>
            <w:vAlign w:val="center"/>
          </w:tcPr>
          <w:p w14:paraId="609BE3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安装调试及系统集成费</w:t>
            </w:r>
          </w:p>
        </w:tc>
        <w:tc>
          <w:tcPr>
            <w:tcW w:w="7206" w:type="dxa"/>
            <w:vAlign w:val="center"/>
          </w:tcPr>
          <w:p w14:paraId="5F7E9D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敷设管线及线缆成端等</w:t>
            </w:r>
          </w:p>
        </w:tc>
      </w:tr>
      <w:tr w14:paraId="7B3D0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31E13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二</w:t>
            </w:r>
          </w:p>
        </w:tc>
        <w:tc>
          <w:tcPr>
            <w:tcW w:w="8495" w:type="dxa"/>
            <w:gridSpan w:val="2"/>
            <w:shd w:val="clear" w:color="auto" w:fill="FFFFFF"/>
            <w:vAlign w:val="center"/>
          </w:tcPr>
          <w:p w14:paraId="767409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网络设备系统</w:t>
            </w:r>
          </w:p>
        </w:tc>
      </w:tr>
      <w:tr w14:paraId="584D3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D429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二（1）</w:t>
            </w:r>
          </w:p>
        </w:tc>
        <w:tc>
          <w:tcPr>
            <w:tcW w:w="8495" w:type="dxa"/>
            <w:gridSpan w:val="2"/>
            <w:shd w:val="clear" w:color="auto" w:fill="FFFFFF"/>
            <w:vAlign w:val="center"/>
          </w:tcPr>
          <w:p w14:paraId="78D90A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教育网设备</w:t>
            </w:r>
          </w:p>
        </w:tc>
      </w:tr>
      <w:tr w14:paraId="21E5F6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EB13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1A62D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核心交换机</w:t>
            </w:r>
          </w:p>
        </w:tc>
        <w:tc>
          <w:tcPr>
            <w:tcW w:w="7206" w:type="dxa"/>
            <w:vAlign w:val="center"/>
          </w:tcPr>
          <w:p w14:paraId="03047A5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交换容量≥6.4Tbps/64Tbps，转发性能≥2880Mpps/12600Mpps </w:t>
            </w:r>
          </w:p>
          <w:p w14:paraId="50E77A7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要求独立业务插槽≥</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个</w:t>
            </w:r>
          </w:p>
          <w:p w14:paraId="3C88364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提供千兆电口≥</w:t>
            </w:r>
            <w:r>
              <w:rPr>
                <w:rFonts w:hint="eastAsia" w:ascii="宋体" w:hAnsi="宋体" w:eastAsia="宋体" w:cs="宋体"/>
                <w:kern w:val="0"/>
                <w:sz w:val="21"/>
                <w:szCs w:val="21"/>
                <w:lang w:val="en-US" w:eastAsia="zh-CN"/>
              </w:rPr>
              <w:t>12</w:t>
            </w:r>
            <w:r>
              <w:rPr>
                <w:rFonts w:hint="eastAsia" w:ascii="宋体" w:hAnsi="宋体" w:eastAsia="宋体" w:cs="宋体"/>
                <w:kern w:val="0"/>
                <w:sz w:val="21"/>
                <w:szCs w:val="21"/>
              </w:rPr>
              <w:t>个，光口≥</w:t>
            </w:r>
            <w:r>
              <w:rPr>
                <w:rFonts w:hint="eastAsia" w:ascii="宋体" w:hAnsi="宋体" w:eastAsia="宋体" w:cs="宋体"/>
                <w:kern w:val="0"/>
                <w:sz w:val="21"/>
                <w:szCs w:val="21"/>
                <w:lang w:val="en-US" w:eastAsia="zh-CN"/>
              </w:rPr>
              <w:t>24</w:t>
            </w:r>
            <w:r>
              <w:rPr>
                <w:rFonts w:hint="eastAsia" w:ascii="宋体" w:hAnsi="宋体" w:eastAsia="宋体" w:cs="宋体"/>
                <w:kern w:val="0"/>
                <w:sz w:val="21"/>
                <w:szCs w:val="21"/>
              </w:rPr>
              <w:t>个</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其中</w:t>
            </w:r>
            <w:r>
              <w:rPr>
                <w:rFonts w:hint="eastAsia" w:ascii="宋体" w:hAnsi="宋体" w:eastAsia="宋体" w:cs="宋体"/>
                <w:kern w:val="0"/>
                <w:sz w:val="21"/>
                <w:szCs w:val="21"/>
              </w:rPr>
              <w:t>10G 光口≥</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个</w:t>
            </w:r>
            <w:r>
              <w:rPr>
                <w:rFonts w:hint="eastAsia" w:ascii="宋体" w:hAnsi="宋体" w:eastAsia="宋体" w:cs="宋体"/>
                <w:kern w:val="0"/>
                <w:sz w:val="21"/>
                <w:szCs w:val="21"/>
                <w:lang w:eastAsia="zh-CN"/>
              </w:rPr>
              <w:t>）</w:t>
            </w:r>
          </w:p>
          <w:p w14:paraId="11529E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 xml:space="preserve">支持可拔插双模块化电源，实现1+1冗余，支持热插拔。 </w:t>
            </w:r>
          </w:p>
          <w:p w14:paraId="715697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支持静态路由、等价路由策略路由；支持OSPF v2/v3、RIPv1/v2、RIPng等路由协议</w:t>
            </w:r>
          </w:p>
          <w:p w14:paraId="017A29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val="en-US"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以上参数提供官网截图证明</w:t>
            </w:r>
            <w:r>
              <w:rPr>
                <w:rFonts w:hint="eastAsia" w:ascii="宋体" w:hAnsi="宋体" w:eastAsia="宋体" w:cs="宋体"/>
                <w:kern w:val="0"/>
                <w:sz w:val="21"/>
                <w:szCs w:val="21"/>
                <w:lang w:val="en-US" w:eastAsia="zh-CN"/>
              </w:rPr>
              <w:t>或手册截图说明</w:t>
            </w:r>
          </w:p>
        </w:tc>
      </w:tr>
      <w:tr w14:paraId="7BEF2C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60FB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D2242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无线控制器</w:t>
            </w:r>
          </w:p>
        </w:tc>
        <w:tc>
          <w:tcPr>
            <w:tcW w:w="7206" w:type="dxa"/>
            <w:vAlign w:val="center"/>
          </w:tcPr>
          <w:p w14:paraId="2B6A17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固化千兆电口</w:t>
            </w:r>
            <w:r>
              <w:rPr>
                <w:rFonts w:hint="eastAsia" w:ascii="宋体" w:hAnsi="宋体" w:eastAsia="宋体" w:cs="宋体"/>
                <w:kern w:val="0"/>
                <w:sz w:val="21"/>
                <w:szCs w:val="21"/>
                <w:lang w:eastAsia="zh-CN"/>
              </w:rPr>
              <w:t>（</w:t>
            </w:r>
            <w:r>
              <w:rPr>
                <w:rFonts w:hint="eastAsia" w:ascii="宋体" w:hAnsi="宋体" w:eastAsia="宋体" w:cs="宋体"/>
                <w:kern w:val="0"/>
                <w:sz w:val="21"/>
                <w:szCs w:val="21"/>
                <w:lang w:val="en-US" w:eastAsia="zh-CN"/>
              </w:rPr>
              <w:t>或千兆光口</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个，Console口≥1个，USB接口≥2个；</w:t>
            </w:r>
          </w:p>
          <w:p w14:paraId="222078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2.</w:t>
            </w:r>
            <w:r>
              <w:rPr>
                <w:rFonts w:hint="eastAsia" w:ascii="宋体" w:hAnsi="宋体" w:eastAsia="宋体" w:cs="宋体"/>
                <w:kern w:val="0"/>
                <w:sz w:val="21"/>
                <w:szCs w:val="21"/>
              </w:rPr>
              <w:t>最大可管理AP数≥</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00个，最大可配置AP数≥2048个；</w:t>
            </w:r>
          </w:p>
          <w:p w14:paraId="3166EE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支持使用用户名密码+手机号及短信获取的6位数随机校验码作为认证要素进行双因子认证；</w:t>
            </w:r>
          </w:p>
          <w:p w14:paraId="6BBB91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支持管理员创建内置固定账号、密码，来宾通过该账号、密码可登录系统，</w:t>
            </w:r>
          </w:p>
          <w:p w14:paraId="0648EC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支持来宾用户免认证登录，即无需认证就可访问互联网资源；</w:t>
            </w:r>
          </w:p>
          <w:p w14:paraId="69E1C4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6.</w:t>
            </w:r>
            <w:r>
              <w:rPr>
                <w:rFonts w:hint="eastAsia" w:ascii="宋体" w:hAnsi="宋体" w:eastAsia="宋体" w:cs="宋体"/>
                <w:kern w:val="0"/>
                <w:sz w:val="21"/>
                <w:szCs w:val="21"/>
              </w:rPr>
              <w:t>支持无感知二次认证功能，即用户首次使用后，系统自动记录用户上网设备信息，后续用户接入无需再次认证，实现自动接入；</w:t>
            </w:r>
          </w:p>
          <w:p w14:paraId="33C73A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支持禁止PC或者Pad上网，为了完全起见能够防止办公PC或Pad接入互联网；</w:t>
            </w:r>
          </w:p>
          <w:p w14:paraId="138457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支持对内置用户的管理，可对用户信息进行编辑；</w:t>
            </w:r>
          </w:p>
          <w:p w14:paraId="532A162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支持终端MAC黑白名单，过滤非法终端，并且支持批量导入；</w:t>
            </w:r>
          </w:p>
          <w:p w14:paraId="534E7A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支持流量审计、流量控制；</w:t>
            </w:r>
          </w:p>
          <w:p w14:paraId="181856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val="en-US"/>
              </w:rPr>
            </w:pPr>
            <w:r>
              <w:rPr>
                <w:rFonts w:hint="default" w:ascii="宋体" w:hAnsi="宋体" w:eastAsia="宋体" w:cs="宋体"/>
                <w:kern w:val="0"/>
                <w:sz w:val="21"/>
                <w:szCs w:val="21"/>
                <w:lang w:val="en-US" w:eastAsia="zh-CN" w:bidi="ar-SA"/>
              </w:rPr>
              <w:t>11.</w:t>
            </w:r>
            <w:r>
              <w:rPr>
                <w:rFonts w:hint="eastAsia" w:ascii="宋体" w:hAnsi="宋体" w:eastAsia="宋体" w:cs="宋体"/>
                <w:b w:val="0"/>
                <w:bCs w:val="0"/>
                <w:kern w:val="2"/>
                <w:sz w:val="21"/>
                <w:szCs w:val="21"/>
                <w:lang w:val="en-US" w:eastAsia="zh-CN" w:bidi="ar-SA"/>
              </w:rPr>
              <w:t>本项目无线设备要求接入桐庐校园无线网络统一管理平台，实现无线用户统一管理和统一认证。</w:t>
            </w:r>
          </w:p>
        </w:tc>
      </w:tr>
      <w:tr w14:paraId="3B9590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C476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D44E7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无线AP管理License</w:t>
            </w:r>
          </w:p>
        </w:tc>
        <w:tc>
          <w:tcPr>
            <w:tcW w:w="7206" w:type="dxa"/>
            <w:vAlign w:val="center"/>
          </w:tcPr>
          <w:p w14:paraId="416444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bidi="ar"/>
              </w:rPr>
            </w:pPr>
            <w:r>
              <w:rPr>
                <w:rFonts w:hint="eastAsia" w:ascii="宋体" w:hAnsi="宋体" w:eastAsia="宋体" w:cs="宋体"/>
                <w:kern w:val="0"/>
                <w:sz w:val="21"/>
                <w:szCs w:val="21"/>
                <w:lang w:val="en-US" w:eastAsia="zh-CN"/>
              </w:rPr>
              <w:t>提供本项目所需的</w:t>
            </w:r>
            <w:r>
              <w:rPr>
                <w:rFonts w:hint="eastAsia" w:ascii="宋体" w:hAnsi="宋体" w:eastAsia="宋体" w:cs="宋体"/>
                <w:kern w:val="0"/>
                <w:sz w:val="21"/>
                <w:szCs w:val="21"/>
              </w:rPr>
              <w:t>License</w:t>
            </w:r>
            <w:r>
              <w:rPr>
                <w:rFonts w:hint="eastAsia" w:ascii="宋体" w:hAnsi="宋体" w:eastAsia="宋体" w:cs="宋体"/>
                <w:kern w:val="0"/>
                <w:sz w:val="21"/>
                <w:szCs w:val="21"/>
                <w:lang w:val="en-US" w:eastAsia="zh-CN"/>
              </w:rPr>
              <w:t>授权</w:t>
            </w:r>
          </w:p>
        </w:tc>
      </w:tr>
      <w:tr w14:paraId="0DDDDA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C7A5C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3528F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wifi6无线AP</w:t>
            </w:r>
          </w:p>
        </w:tc>
        <w:tc>
          <w:tcPr>
            <w:tcW w:w="7206" w:type="dxa"/>
            <w:vAlign w:val="center"/>
          </w:tcPr>
          <w:p w14:paraId="061540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支持802.11ax协议；整机支持≥4条空间流；整机最大无线速率≥2.97Gbps。</w:t>
            </w:r>
          </w:p>
          <w:p w14:paraId="4E6B18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内置蓝牙5.1。</w:t>
            </w:r>
          </w:p>
          <w:p w14:paraId="6670690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至少支持1个1000M自适应以太网端口； </w:t>
            </w:r>
          </w:p>
          <w:p w14:paraId="283DBF5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4.</w:t>
            </w:r>
            <w:r>
              <w:rPr>
                <w:rFonts w:hint="eastAsia" w:ascii="宋体" w:hAnsi="宋体" w:eastAsia="宋体" w:cs="宋体"/>
                <w:kern w:val="0"/>
                <w:sz w:val="21"/>
                <w:szCs w:val="21"/>
              </w:rPr>
              <w:t>为快速建立高度隔离的安全网络，设备应支持实现AP虚拟化功能，实现一台AP虚拟为多台AP，分别受不同AC设备独立管理，互不影响。不同虚拟AP之间数据隔离，虚拟AP在AC上不占用AP License。</w:t>
            </w:r>
          </w:p>
          <w:p w14:paraId="693404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所投AP具有WLAN自动网优功能，不借助任何网络优化软件，仅通过AP配置进行无线网络优化，降低无线网络中的频段干扰。</w:t>
            </w:r>
          </w:p>
          <w:p w14:paraId="754E451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支持1024QAM调制解调方式。</w:t>
            </w:r>
          </w:p>
          <w:p w14:paraId="05C901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7.</w:t>
            </w:r>
            <w:r>
              <w:rPr>
                <w:rFonts w:hint="eastAsia" w:ascii="宋体" w:hAnsi="宋体" w:eastAsia="宋体" w:cs="宋体"/>
                <w:kern w:val="0"/>
                <w:sz w:val="21"/>
                <w:szCs w:val="21"/>
              </w:rPr>
              <w:t>支持SSID隐藏，支持为每个SSID配置单独的认证方式、加密机制，VLAN属性。</w:t>
            </w:r>
          </w:p>
          <w:p w14:paraId="2F0AA0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支持终端智能识别技术，可识别终端类型并上报。</w:t>
            </w:r>
          </w:p>
          <w:p w14:paraId="41B585F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支持基于SSID、射频卡的接入用户数限制。</w:t>
            </w:r>
          </w:p>
          <w:p w14:paraId="64EC876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支持基于终端数或流量的智能负载均衡，支持基于STA/SSID/AP的限速。</w:t>
            </w:r>
          </w:p>
          <w:p w14:paraId="6CABBD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支持胖模式（云模式）、瘦模式切换。</w:t>
            </w:r>
          </w:p>
          <w:p w14:paraId="13C2FC9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12.</w:t>
            </w:r>
            <w:r>
              <w:rPr>
                <w:rFonts w:hint="eastAsia" w:ascii="宋体" w:hAnsi="宋体" w:eastAsia="宋体" w:cs="宋体"/>
                <w:kern w:val="0"/>
                <w:sz w:val="21"/>
                <w:szCs w:val="21"/>
              </w:rPr>
              <w:t>所投AP内置探针功能，能够对覆盖范围的终端MAC信息进行检测。</w:t>
            </w:r>
          </w:p>
        </w:tc>
      </w:tr>
      <w:tr w14:paraId="696DB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EA85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013B2A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wifi6高密无线AP</w:t>
            </w:r>
          </w:p>
        </w:tc>
        <w:tc>
          <w:tcPr>
            <w:tcW w:w="7206" w:type="dxa"/>
            <w:vAlign w:val="center"/>
          </w:tcPr>
          <w:p w14:paraId="16AFFE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支持802.11ax标准，采用三射频设计。</w:t>
            </w:r>
          </w:p>
          <w:p w14:paraId="2FBE0B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整机空间流≥6条,整机最大接入速率≥3.2Gbps。</w:t>
            </w:r>
          </w:p>
          <w:p w14:paraId="4CFF69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至少支持2个以太网口，其中1个10/100/1000M/2.5GE电口，另一个1个10/100/1000M电口。</w:t>
            </w:r>
          </w:p>
          <w:p w14:paraId="4E47F9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整机最大接入用户数≥1536。</w:t>
            </w:r>
          </w:p>
        </w:tc>
      </w:tr>
      <w:tr w14:paraId="7FF2D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C321B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85FD1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汇聚交换机</w:t>
            </w:r>
          </w:p>
        </w:tc>
        <w:tc>
          <w:tcPr>
            <w:tcW w:w="7206" w:type="dxa"/>
            <w:vAlign w:val="center"/>
          </w:tcPr>
          <w:p w14:paraId="6170BC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1.实配电源模块≥</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w:t>
            </w:r>
          </w:p>
          <w:p w14:paraId="288FE1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2.交换容量≥672Gbps，包转发率≥228Mpps，以官网最小值为准， </w:t>
            </w:r>
          </w:p>
          <w:p w14:paraId="726B2F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3.固化</w:t>
            </w:r>
            <w:r>
              <w:rPr>
                <w:rFonts w:hint="eastAsia" w:ascii="宋体" w:hAnsi="宋体" w:eastAsia="宋体" w:cs="宋体"/>
                <w:kern w:val="0"/>
                <w:sz w:val="21"/>
                <w:szCs w:val="21"/>
                <w:lang w:val="en-US" w:eastAsia="zh-CN"/>
              </w:rPr>
              <w:t>千兆光口</w:t>
            </w:r>
            <w:r>
              <w:rPr>
                <w:rFonts w:hint="eastAsia" w:ascii="宋体" w:hAnsi="宋体" w:eastAsia="宋体" w:cs="宋体"/>
                <w:kern w:val="0"/>
                <w:sz w:val="21"/>
                <w:szCs w:val="21"/>
              </w:rPr>
              <w:t>≥</w:t>
            </w:r>
            <w:r>
              <w:rPr>
                <w:rFonts w:hint="eastAsia" w:ascii="宋体" w:hAnsi="宋体" w:eastAsia="宋体" w:cs="宋体"/>
                <w:kern w:val="0"/>
                <w:sz w:val="21"/>
                <w:szCs w:val="21"/>
                <w:lang w:val="en-US" w:eastAsia="zh-CN"/>
              </w:rPr>
              <w:t>24</w:t>
            </w:r>
            <w:r>
              <w:rPr>
                <w:rFonts w:hint="eastAsia" w:ascii="宋体" w:hAnsi="宋体" w:eastAsia="宋体" w:cs="宋体"/>
                <w:kern w:val="0"/>
                <w:sz w:val="21"/>
                <w:szCs w:val="21"/>
              </w:rPr>
              <w:t>，千兆电口≥</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个，10G/1G SFP+光接口≥4个；</w:t>
            </w:r>
          </w:p>
          <w:p w14:paraId="6B6CC9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4.支持特有的CPU保护策略，对发往CPU的数据流，进行流区分和优先级队列分级处理，并根据需要实施带宽限速，充分保护CPU不被非法流量占用、恶意攻击和资源消耗， </w:t>
            </w:r>
          </w:p>
        </w:tc>
      </w:tr>
      <w:tr w14:paraId="7B084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ED334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33C0D0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48口接入交换机</w:t>
            </w:r>
          </w:p>
        </w:tc>
        <w:tc>
          <w:tcPr>
            <w:tcW w:w="7206" w:type="dxa"/>
            <w:vAlign w:val="center"/>
          </w:tcPr>
          <w:p w14:paraId="11A884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1.支持固化千兆电口≥48个，固化千兆光口≥4个，标准1U设备;</w:t>
            </w:r>
          </w:p>
          <w:p w14:paraId="0FC690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2.交换容量≥432Gbps，包转发率≥78Mpps</w:t>
            </w:r>
          </w:p>
          <w:p w14:paraId="712A31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3.支持 MAC地址容量≥8K； </w:t>
            </w:r>
          </w:p>
          <w:p w14:paraId="310150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4.支持生成树 STP / RSTP ; 提高容错能力，保证网络的稳定运行和链路的负载均衡，合理使用网络通道，提供冗余链路利用率。</w:t>
            </w:r>
          </w:p>
          <w:p w14:paraId="775568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5.支持静态链路聚合</w:t>
            </w:r>
          </w:p>
          <w:p w14:paraId="561ED9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6.支持端口镜像，一对一镜像，多对一镜像</w:t>
            </w:r>
          </w:p>
          <w:p w14:paraId="7A122F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7.支持DHCP Snooping；很好的避免了上网终端从非法DHCP服务器分配的IP地址，引起的网络异常或安全隐患</w:t>
            </w:r>
          </w:p>
          <w:p w14:paraId="4BDC0D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8.支持VLAN划分，最大支持4094个VLAN</w:t>
            </w:r>
          </w:p>
          <w:p w14:paraId="3FB636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9.支持高效节能以太网（EEE），端口如果在连续一段时间之内空闲，系统会将该端口设置为节能模式，当有报文收发时再通过定时发送的监听码流唤醒端口恢复业务，达到节能的效果</w:t>
            </w:r>
          </w:p>
          <w:p w14:paraId="1A61C3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5513EC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60A3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5EC392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24口接入交换机</w:t>
            </w:r>
          </w:p>
        </w:tc>
        <w:tc>
          <w:tcPr>
            <w:tcW w:w="7206" w:type="dxa"/>
            <w:vAlign w:val="center"/>
          </w:tcPr>
          <w:p w14:paraId="7B5F4D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1.交换容量≥336Gbps，转发性能≥126Mpps。</w:t>
            </w:r>
          </w:p>
          <w:p w14:paraId="397800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2.固化10/100/1000M以太网端口≥24个，SFP非复用口≥4个，提供清楚产品图片和链接证明。</w:t>
            </w:r>
          </w:p>
          <w:p w14:paraId="1AFA8D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3.要求所投设备MAC地址≥16K。</w:t>
            </w:r>
          </w:p>
          <w:p w14:paraId="591E90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.支持CPU保护功能，能够针对发往CPU处理的各种报文进行流区分和优先级队列分级处理，保护交换机在各种环境下稳定工作。</w:t>
            </w:r>
          </w:p>
        </w:tc>
      </w:tr>
      <w:tr w14:paraId="481196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4FB8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E2A58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8口接入交换机</w:t>
            </w:r>
          </w:p>
        </w:tc>
        <w:tc>
          <w:tcPr>
            <w:tcW w:w="7206" w:type="dxa"/>
            <w:vAlign w:val="center"/>
          </w:tcPr>
          <w:p w14:paraId="169602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1.支持固化千兆电口≥8个，固化千兆光口≥2个，桌面型设备;</w:t>
            </w:r>
          </w:p>
          <w:p w14:paraId="70F407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2.交换容量≥336Gbps，包转发率≥15Mpps</w:t>
            </w:r>
          </w:p>
          <w:p w14:paraId="621565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3.支持 MAC地址容量≥8K； </w:t>
            </w:r>
          </w:p>
          <w:p w14:paraId="66E59F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4.支持生成树 STP / RSTP ; 提高容错能力，保证网络的稳定运行和链路的负载均衡，合理使用网络通道，提供冗余链路利用率。</w:t>
            </w:r>
          </w:p>
          <w:p w14:paraId="373904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5.支持静态链路聚合</w:t>
            </w:r>
          </w:p>
          <w:p w14:paraId="337EFA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6.支持端口镜像，一对一镜像，多对一镜像</w:t>
            </w:r>
          </w:p>
          <w:p w14:paraId="752B72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.支持VLAN划分，最大支持4094个VLAN</w:t>
            </w:r>
          </w:p>
          <w:p w14:paraId="12E127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0CD0DA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604C5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1D7FB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264AD9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24口POE交换机</w:t>
            </w:r>
          </w:p>
        </w:tc>
        <w:tc>
          <w:tcPr>
            <w:tcW w:w="7206" w:type="dxa"/>
            <w:vAlign w:val="center"/>
          </w:tcPr>
          <w:p w14:paraId="2F3957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 交换容量≥336Gbps，转发性能≥126Mpps。</w:t>
            </w:r>
          </w:p>
          <w:p w14:paraId="3B7373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 固化10/100/1000M以太网端口≥24个，SFP非复用口≥4个，提供清楚产品图片和链接证明。</w:t>
            </w:r>
          </w:p>
          <w:p w14:paraId="65A082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 要求所投设备MAC地址≥16K。</w:t>
            </w:r>
          </w:p>
          <w:p w14:paraId="10C8CC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 ≥24个电口支持POE和POE+远程供电，整机POE功率输出≥370W。</w:t>
            </w:r>
          </w:p>
          <w:p w14:paraId="5C2CF3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 支持CPU保护功能，能够针对发往CPU处理的各种报文进行流区分和优先级队列分级处理，保护交换机在各种环境下稳定工作。</w:t>
            </w:r>
          </w:p>
          <w:p w14:paraId="48FE90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提供工信部设备进网许可证。</w:t>
            </w:r>
          </w:p>
        </w:tc>
      </w:tr>
      <w:tr w14:paraId="4B0B5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DCDCC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484BEA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8口POE交换机</w:t>
            </w:r>
          </w:p>
        </w:tc>
        <w:tc>
          <w:tcPr>
            <w:tcW w:w="7206" w:type="dxa"/>
            <w:vAlign w:val="center"/>
          </w:tcPr>
          <w:p w14:paraId="4C1505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w:t>
            </w:r>
          </w:p>
          <w:p w14:paraId="35E007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2.支持PoE供电口≥8个，整机POE输出功率≥125W, 单口最大输出功率≥30W</w:t>
            </w:r>
          </w:p>
          <w:p w14:paraId="3BCEB2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3.交换容量≥336Gbps，包转发率≥15Mpps</w:t>
            </w:r>
          </w:p>
          <w:p w14:paraId="45734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4.支持 MAC地址容量≥8K；</w:t>
            </w:r>
          </w:p>
          <w:p w14:paraId="1DB6D3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.支持生成树 STP / RSTP ; 提高容错能力，保证网络的稳定运行和链路的负载均衡，合理使用网络通道，提供冗余链路利用率。</w:t>
            </w:r>
          </w:p>
          <w:p w14:paraId="088DFF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.支持静态链路聚合</w:t>
            </w:r>
          </w:p>
          <w:p w14:paraId="5E1725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.支持端口镜像，一对一镜像，多对一镜像</w:t>
            </w:r>
          </w:p>
          <w:p w14:paraId="0BAC90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.支持VLAN划分，最大支持4094个VLAN</w:t>
            </w:r>
          </w:p>
          <w:p w14:paraId="56CE0C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10AD62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7730D4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B0716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317D25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千兆单模光模块</w:t>
            </w:r>
          </w:p>
        </w:tc>
        <w:tc>
          <w:tcPr>
            <w:tcW w:w="7206" w:type="dxa"/>
            <w:vAlign w:val="center"/>
          </w:tcPr>
          <w:p w14:paraId="1620D5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1000BASE-LX mini GBIC转换模块（1310nm），10km</w:t>
            </w:r>
          </w:p>
        </w:tc>
      </w:tr>
      <w:tr w14:paraId="71A6CE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3FB84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13</w:t>
            </w:r>
          </w:p>
        </w:tc>
        <w:tc>
          <w:tcPr>
            <w:tcW w:w="1289" w:type="dxa"/>
            <w:shd w:val="clear" w:color="auto" w:fill="FFFFFF"/>
            <w:vAlign w:val="center"/>
          </w:tcPr>
          <w:p w14:paraId="00F982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万兆单模光模块</w:t>
            </w:r>
          </w:p>
        </w:tc>
        <w:tc>
          <w:tcPr>
            <w:tcW w:w="7206" w:type="dxa"/>
            <w:vAlign w:val="center"/>
          </w:tcPr>
          <w:p w14:paraId="0335E5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b w:val="0"/>
                <w:bCs w:val="0"/>
                <w:kern w:val="2"/>
                <w:sz w:val="21"/>
                <w:szCs w:val="21"/>
                <w:lang w:val="en-US" w:eastAsia="zh-CN" w:bidi="ar-SA"/>
              </w:rPr>
              <w:t>SFP+ 万兆单模光模块</w:t>
            </w:r>
          </w:p>
        </w:tc>
      </w:tr>
      <w:tr w14:paraId="70E2F8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4E3C6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二（2）</w:t>
            </w:r>
          </w:p>
        </w:tc>
        <w:tc>
          <w:tcPr>
            <w:tcW w:w="8495" w:type="dxa"/>
            <w:gridSpan w:val="2"/>
            <w:shd w:val="clear" w:color="auto" w:fill="FFFFFF"/>
            <w:vAlign w:val="center"/>
          </w:tcPr>
          <w:p w14:paraId="200162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设备网设备</w:t>
            </w:r>
          </w:p>
        </w:tc>
      </w:tr>
      <w:tr w14:paraId="3B672E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E66A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AAF87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监控汇聚交换机</w:t>
            </w:r>
          </w:p>
        </w:tc>
        <w:tc>
          <w:tcPr>
            <w:tcW w:w="7206" w:type="dxa"/>
            <w:vAlign w:val="center"/>
          </w:tcPr>
          <w:p w14:paraId="57E6099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1.实配电源模块≥1；</w:t>
            </w:r>
          </w:p>
          <w:p w14:paraId="04C037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2.交换容量≥672Gbps，包转发率≥228Mpps，以官网最小值为准， </w:t>
            </w:r>
          </w:p>
          <w:p w14:paraId="1F76BE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3.固化千兆光口≥24，千兆电口≥4个，10G/1G SFP+光口≥4个；</w:t>
            </w:r>
          </w:p>
          <w:p w14:paraId="5FE16D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4.支持特有的CPU保护策略，对发往CPU的数据流，进行流区分和优先级队列分级处理，并根据需要实施带宽限速，充分保护CPU不被非法流量占用、恶意攻击和资源消耗</w:t>
            </w:r>
          </w:p>
        </w:tc>
      </w:tr>
      <w:tr w14:paraId="11CC26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C5312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D66D7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24口POE交换机</w:t>
            </w:r>
          </w:p>
        </w:tc>
        <w:tc>
          <w:tcPr>
            <w:tcW w:w="7206" w:type="dxa"/>
            <w:vAlign w:val="center"/>
          </w:tcPr>
          <w:p w14:paraId="6BA1AC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 交换容量≥336Gbps，转发性能≥126Mpps。</w:t>
            </w:r>
          </w:p>
          <w:p w14:paraId="2420ED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 固化10/100/1000M以太网端口≥24个，SFP非复用口≥4个，提供清楚产品图片和链接证明。</w:t>
            </w:r>
          </w:p>
          <w:p w14:paraId="04924D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 要求所投设备MAC地址≥16K。</w:t>
            </w:r>
          </w:p>
          <w:p w14:paraId="3063A1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4. ≥24个电口支持POE和POE+远程供电，整机POE功率输出≥370W。</w:t>
            </w:r>
          </w:p>
          <w:p w14:paraId="746D8F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 支持CPU保护功能，能够针对发往CPU处理的各种报文进行流区分和优先级队列分级处理，保护交换机在各种环境下稳定工作。</w:t>
            </w:r>
          </w:p>
          <w:p w14:paraId="1607FA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提供工信部设备进网许可证。</w:t>
            </w:r>
          </w:p>
        </w:tc>
      </w:tr>
      <w:tr w14:paraId="0C4ADB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47DF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19B9B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8口POE交换机</w:t>
            </w:r>
          </w:p>
        </w:tc>
        <w:tc>
          <w:tcPr>
            <w:tcW w:w="7206" w:type="dxa"/>
            <w:vAlign w:val="center"/>
          </w:tcPr>
          <w:p w14:paraId="724BB3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1.支持固化千兆电口≥8个，固化千兆光口≥2个;</w:t>
            </w:r>
          </w:p>
          <w:p w14:paraId="684E75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2.支持PoE供电口≥8个，整机POE输出功率≥125W, 单口最大输出功率≥30W</w:t>
            </w:r>
          </w:p>
          <w:p w14:paraId="1E46AA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3.交换容量≥336Gbps，包转发率≥15Mpps</w:t>
            </w:r>
          </w:p>
          <w:p w14:paraId="69E658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 MAC地址容量≥8K；</w:t>
            </w:r>
          </w:p>
          <w:p w14:paraId="43B41E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5.为了方便设备的运维，支持通过APP进行远程管理PoE，支持远程重启PoE端口， </w:t>
            </w:r>
          </w:p>
          <w:p w14:paraId="622CDA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6.支持生成树 STP / RSTP ; 提高容错能力，保证网络的稳定运行和链路的负载均衡，合理使用网络通道，提供冗余链路利用率。</w:t>
            </w:r>
          </w:p>
          <w:p w14:paraId="5BC87A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7.支持静态链路聚合</w:t>
            </w:r>
          </w:p>
          <w:p w14:paraId="2E44B5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8.支持端口镜像，一对一镜像，多对一镜像</w:t>
            </w:r>
          </w:p>
          <w:p w14:paraId="4FE225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9</w:t>
            </w:r>
            <w:r>
              <w:rPr>
                <w:rFonts w:hint="eastAsia" w:ascii="宋体" w:hAnsi="宋体" w:eastAsia="宋体" w:cs="宋体"/>
                <w:kern w:val="0"/>
                <w:sz w:val="21"/>
                <w:szCs w:val="21"/>
              </w:rPr>
              <w:t>.支持VLAN划分，最大支持4094个VLAN</w:t>
            </w:r>
          </w:p>
          <w:p w14:paraId="6A4FC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.支持高效节能以太网（EEE），端口如果在连续一段时间之内空闲，系统会将该端口设置为节能模式，当有报文收发时再通过定时发送的监听码流唤醒端口恢复业务，达到节能的效果</w:t>
            </w:r>
          </w:p>
          <w:p w14:paraId="6FC720B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.为了可以对交换机进行统一的可视化集中管理，要求所投交换机支持管理平台的集中管理，能够实现拓扑呈现，链路状态呈现，远程配置等，实配网管平台；</w:t>
            </w:r>
          </w:p>
        </w:tc>
      </w:tr>
      <w:tr w14:paraId="5D6B3A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592A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E6E24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千兆光模块</w:t>
            </w:r>
          </w:p>
        </w:tc>
        <w:tc>
          <w:tcPr>
            <w:tcW w:w="7206" w:type="dxa"/>
            <w:vAlign w:val="center"/>
          </w:tcPr>
          <w:p w14:paraId="21E424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1000BASE-LX mini GBIC转换模块（1310nm），10km</w:t>
            </w:r>
          </w:p>
        </w:tc>
      </w:tr>
      <w:tr w14:paraId="6D0B30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17D7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w:t>
            </w:r>
          </w:p>
        </w:tc>
        <w:tc>
          <w:tcPr>
            <w:tcW w:w="8495" w:type="dxa"/>
            <w:gridSpan w:val="2"/>
            <w:shd w:val="clear" w:color="auto" w:fill="FFFFFF"/>
            <w:vAlign w:val="center"/>
          </w:tcPr>
          <w:p w14:paraId="2E2AD5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安防系统</w:t>
            </w:r>
          </w:p>
        </w:tc>
      </w:tr>
      <w:tr w14:paraId="4B68CF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D490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kern w:val="0"/>
                <w:sz w:val="21"/>
                <w:szCs w:val="21"/>
                <w:lang w:bidi="ar"/>
              </w:rPr>
              <w:t>三（1）</w:t>
            </w:r>
          </w:p>
        </w:tc>
        <w:tc>
          <w:tcPr>
            <w:tcW w:w="8495" w:type="dxa"/>
            <w:gridSpan w:val="2"/>
            <w:shd w:val="clear" w:color="auto" w:fill="FFFFFF"/>
            <w:vAlign w:val="center"/>
          </w:tcPr>
          <w:p w14:paraId="291F09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kern w:val="0"/>
                <w:sz w:val="21"/>
                <w:szCs w:val="21"/>
              </w:rPr>
              <w:t>视频监控系统</w:t>
            </w:r>
          </w:p>
        </w:tc>
      </w:tr>
      <w:tr w14:paraId="0C4E5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765AF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3F18A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400万全彩半球网络摄像机</w:t>
            </w:r>
          </w:p>
        </w:tc>
        <w:tc>
          <w:tcPr>
            <w:tcW w:w="7206" w:type="dxa"/>
            <w:vAlign w:val="center"/>
          </w:tcPr>
          <w:p w14:paraId="36B432F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w:t>
            </w:r>
            <w:r>
              <w:rPr>
                <w:rFonts w:hint="eastAsia" w:ascii="宋体" w:hAnsi="宋体" w:eastAsia="宋体" w:cs="宋体"/>
                <w:color w:val="auto"/>
                <w:kern w:val="0"/>
                <w:sz w:val="21"/>
                <w:szCs w:val="21"/>
                <w:highlight w:val="none"/>
              </w:rPr>
              <w:t>400万全彩网络摄像机</w:t>
            </w:r>
          </w:p>
          <w:p w14:paraId="2F75E6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2.</w:t>
            </w:r>
            <w:r>
              <w:rPr>
                <w:rFonts w:hint="eastAsia" w:ascii="宋体" w:hAnsi="宋体" w:eastAsia="宋体" w:cs="宋体"/>
                <w:color w:val="auto"/>
                <w:kern w:val="0"/>
                <w:sz w:val="21"/>
                <w:szCs w:val="21"/>
                <w:highlight w:val="none"/>
              </w:rPr>
              <w:t>全彩高灵敏度传感器，F1.0超大光圈镜头，提供更清晰的视频流输入</w:t>
            </w:r>
          </w:p>
          <w:p w14:paraId="5612557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3.</w:t>
            </w:r>
            <w:r>
              <w:rPr>
                <w:rFonts w:hint="eastAsia" w:ascii="宋体" w:hAnsi="宋体" w:eastAsia="宋体" w:cs="宋体"/>
                <w:color w:val="auto"/>
                <w:kern w:val="0"/>
                <w:sz w:val="21"/>
                <w:szCs w:val="21"/>
                <w:highlight w:val="none"/>
              </w:rPr>
              <w:t>最高分辨率可达2560 × 1440 @25 fps，在该分辨率下可输出实时图像</w:t>
            </w:r>
          </w:p>
          <w:p w14:paraId="0F4773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4.</w:t>
            </w:r>
            <w:r>
              <w:rPr>
                <w:rFonts w:hint="eastAsia" w:ascii="宋体" w:hAnsi="宋体" w:eastAsia="宋体" w:cs="宋体"/>
                <w:color w:val="auto"/>
                <w:kern w:val="0"/>
                <w:sz w:val="21"/>
                <w:szCs w:val="21"/>
                <w:highlight w:val="none"/>
              </w:rPr>
              <w:t>支持柔光灯补光，照射距离最远可达30 m</w:t>
            </w:r>
          </w:p>
          <w:p w14:paraId="7CB1AF7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5.</w:t>
            </w:r>
            <w:r>
              <w:rPr>
                <w:rFonts w:hint="eastAsia" w:ascii="宋体" w:hAnsi="宋体" w:eastAsia="宋体" w:cs="宋体"/>
                <w:color w:val="auto"/>
                <w:kern w:val="0"/>
                <w:sz w:val="21"/>
                <w:szCs w:val="21"/>
                <w:highlight w:val="none"/>
              </w:rPr>
              <w:t>1个内置麦克风，高清拾音</w:t>
            </w:r>
          </w:p>
          <w:p w14:paraId="7546D7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6.</w:t>
            </w:r>
            <w:r>
              <w:rPr>
                <w:rFonts w:hint="eastAsia" w:ascii="宋体" w:hAnsi="宋体" w:eastAsia="宋体" w:cs="宋体"/>
                <w:color w:val="auto"/>
                <w:kern w:val="0"/>
                <w:sz w:val="21"/>
                <w:szCs w:val="21"/>
                <w:highlight w:val="none"/>
              </w:rPr>
              <w:t>符合IP66防尘防水设计，可靠性高</w:t>
            </w:r>
          </w:p>
          <w:p w14:paraId="3E3D31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7.</w:t>
            </w:r>
            <w:r>
              <w:rPr>
                <w:rFonts w:hint="eastAsia" w:ascii="宋体" w:hAnsi="宋体" w:eastAsia="宋体" w:cs="宋体"/>
                <w:color w:val="auto"/>
                <w:kern w:val="0"/>
                <w:sz w:val="21"/>
                <w:szCs w:val="21"/>
                <w:highlight w:val="none"/>
              </w:rPr>
              <w:t xml:space="preserve">传感器类型：1/1.8" Progressive Scan CMOS </w:t>
            </w:r>
          </w:p>
          <w:p w14:paraId="04739D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8.</w:t>
            </w:r>
            <w:r>
              <w:rPr>
                <w:rFonts w:hint="eastAsia" w:ascii="宋体" w:hAnsi="宋体" w:eastAsia="宋体" w:cs="宋体"/>
                <w:color w:val="auto"/>
                <w:kern w:val="0"/>
                <w:sz w:val="21"/>
                <w:szCs w:val="21"/>
                <w:highlight w:val="none"/>
              </w:rPr>
              <w:t>最低照度：彩色：0.0005 Lux @（F1.0，AGC ON）, 0 Lux with Light</w:t>
            </w:r>
          </w:p>
          <w:p w14:paraId="3FB6310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9.</w:t>
            </w:r>
            <w:r>
              <w:rPr>
                <w:rFonts w:hint="eastAsia" w:ascii="宋体" w:hAnsi="宋体" w:eastAsia="宋体" w:cs="宋体"/>
                <w:color w:val="auto"/>
                <w:kern w:val="0"/>
                <w:sz w:val="21"/>
                <w:szCs w:val="21"/>
                <w:highlight w:val="none"/>
              </w:rPr>
              <w:t>宽动态：120 dB</w:t>
            </w:r>
          </w:p>
          <w:p w14:paraId="1D4687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10.</w:t>
            </w:r>
            <w:r>
              <w:rPr>
                <w:rFonts w:hint="eastAsia" w:ascii="宋体" w:hAnsi="宋体" w:eastAsia="宋体" w:cs="宋体"/>
                <w:color w:val="auto"/>
                <w:kern w:val="0"/>
                <w:sz w:val="21"/>
                <w:szCs w:val="21"/>
                <w:highlight w:val="none"/>
              </w:rPr>
              <w:t>供电方式：DC：12 V ± 25%，支持防反接保护</w:t>
            </w:r>
          </w:p>
          <w:p w14:paraId="60735F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rPr>
            </w:pPr>
            <w:r>
              <w:rPr>
                <w:rFonts w:hint="default" w:ascii="宋体" w:hAnsi="宋体" w:eastAsia="宋体" w:cs="宋体"/>
                <w:color w:val="auto"/>
                <w:kern w:val="0"/>
                <w:sz w:val="21"/>
                <w:szCs w:val="21"/>
                <w:highlight w:val="none"/>
                <w:lang w:val="en-US" w:eastAsia="zh-CN" w:bidi="ar-SA"/>
              </w:rPr>
              <w:t>11.</w:t>
            </w:r>
            <w:r>
              <w:rPr>
                <w:rFonts w:hint="eastAsia" w:ascii="宋体" w:hAnsi="宋体" w:eastAsia="宋体" w:cs="宋体"/>
                <w:color w:val="auto"/>
                <w:kern w:val="0"/>
                <w:sz w:val="21"/>
                <w:szCs w:val="21"/>
                <w:highlight w:val="none"/>
              </w:rPr>
              <w:t>PoE：802.3af，Class 3</w:t>
            </w:r>
          </w:p>
          <w:p w14:paraId="0ECD69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12.</w:t>
            </w:r>
            <w:r>
              <w:rPr>
                <w:rFonts w:hint="eastAsia" w:ascii="宋体" w:hAnsi="宋体" w:eastAsia="宋体" w:cs="宋体"/>
                <w:color w:val="auto"/>
                <w:kern w:val="0"/>
                <w:sz w:val="21"/>
                <w:szCs w:val="21"/>
                <w:highlight w:val="none"/>
              </w:rPr>
              <w:t xml:space="preserve">防护：IP66 </w:t>
            </w:r>
          </w:p>
          <w:p w14:paraId="6704458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default" w:ascii="宋体" w:hAnsi="宋体" w:eastAsia="宋体" w:cs="宋体"/>
                <w:color w:val="auto"/>
                <w:kern w:val="0"/>
                <w:sz w:val="21"/>
                <w:szCs w:val="21"/>
                <w:highlight w:val="none"/>
                <w:lang w:val="en-US" w:eastAsia="zh-CN" w:bidi="ar-SA"/>
              </w:rPr>
              <w:t>13.</w:t>
            </w:r>
            <w:r>
              <w:rPr>
                <w:rFonts w:hint="eastAsia" w:ascii="宋体" w:hAnsi="宋体" w:eastAsia="宋体" w:cs="宋体"/>
                <w:color w:val="auto"/>
                <w:kern w:val="0"/>
                <w:sz w:val="21"/>
                <w:szCs w:val="21"/>
                <w:highlight w:val="none"/>
              </w:rPr>
              <w:t>具有不小于1/1.8"靶面尺寸。</w:t>
            </w:r>
          </w:p>
          <w:p w14:paraId="5B3BC8F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bidi="ar"/>
              </w:rPr>
            </w:pPr>
            <w:r>
              <w:rPr>
                <w:rFonts w:hint="default" w:ascii="宋体" w:hAnsi="宋体" w:eastAsia="宋体" w:cs="宋体"/>
                <w:color w:val="auto"/>
                <w:kern w:val="0"/>
                <w:sz w:val="21"/>
                <w:szCs w:val="21"/>
                <w:highlight w:val="none"/>
                <w:lang w:val="en-US" w:eastAsia="zh-CN" w:bidi="ar"/>
              </w:rPr>
              <w:t>14.</w:t>
            </w:r>
            <w:r>
              <w:rPr>
                <w:rFonts w:hint="eastAsia" w:ascii="宋体" w:hAnsi="宋体" w:eastAsia="宋体" w:cs="宋体"/>
                <w:color w:val="auto"/>
                <w:kern w:val="0"/>
                <w:sz w:val="21"/>
                <w:szCs w:val="21"/>
                <w:highlight w:val="none"/>
              </w:rPr>
              <w:t>彩色模式下，当环境照度低于一定值时，样机可自动开启白光灯补光，样机在白天、夜晚均可输出彩色视频图像。</w:t>
            </w:r>
          </w:p>
        </w:tc>
      </w:tr>
      <w:tr w14:paraId="39DCB6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5A2A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AFCD9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400万全彩枪式网络摄像机</w:t>
            </w:r>
          </w:p>
        </w:tc>
        <w:tc>
          <w:tcPr>
            <w:tcW w:w="7206" w:type="dxa"/>
            <w:vAlign w:val="center"/>
          </w:tcPr>
          <w:p w14:paraId="456E4CE7">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400万全彩网络摄像机</w:t>
            </w:r>
          </w:p>
          <w:p w14:paraId="042054C1">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最高分辨率可达2560 × 1440 @25 fps，在该分辨率下可输出实时图像</w:t>
            </w:r>
          </w:p>
          <w:p w14:paraId="78F7C0E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 xml:space="preserve">智能侦测：支持越界侦测，区域入侵侦测 </w:t>
            </w:r>
          </w:p>
          <w:p w14:paraId="0D48318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支持背光补偿，强光抑制，3D数字降噪，120 dB宽动态适应不同监控环境</w:t>
            </w:r>
          </w:p>
          <w:p w14:paraId="14387C34">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1个内置麦克风，高清拾音</w:t>
            </w:r>
          </w:p>
          <w:p w14:paraId="232FDEDC">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支持柔光灯补光，照射距离最远可达30 m</w:t>
            </w:r>
          </w:p>
          <w:p w14:paraId="0A6EB4DD">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符合IP66防尘防水设计，可靠性高</w:t>
            </w:r>
          </w:p>
          <w:p w14:paraId="07C01DEA">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传感器类型：1/1.8" Progressive Scan CMOS</w:t>
            </w:r>
          </w:p>
          <w:p w14:paraId="052BB0ED">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最低照度：彩色：0.0005 Lux @（F1.0，AGC ON），0 Lux with Light</w:t>
            </w:r>
          </w:p>
          <w:p w14:paraId="5C23B456">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 xml:space="preserve">宽动态：120 dB </w:t>
            </w:r>
          </w:p>
          <w:p w14:paraId="5A99C345">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供电方式：DC：12 V ± 25%，支持防反接保护</w:t>
            </w:r>
          </w:p>
          <w:p w14:paraId="2A3C37D2">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PoE：802.3af，Class 3</w:t>
            </w:r>
          </w:p>
          <w:p w14:paraId="763EC1BE">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eastAsia="zh-CN"/>
              </w:rPr>
            </w:pPr>
            <w:r>
              <w:rPr>
                <w:rFonts w:hint="eastAsia" w:ascii="宋体" w:hAnsi="宋体" w:eastAsia="宋体" w:cs="宋体"/>
                <w:color w:val="auto"/>
                <w:kern w:val="0"/>
                <w:sz w:val="21"/>
                <w:szCs w:val="21"/>
                <w:highlight w:val="none"/>
              </w:rPr>
              <w:t>需支持IP67防尘防水。</w:t>
            </w:r>
          </w:p>
          <w:p w14:paraId="7C8FEB22">
            <w:pPr>
              <w:keepNext w:val="0"/>
              <w:keepLines w:val="0"/>
              <w:pageBreakBefore w:val="0"/>
              <w:widowControl/>
              <w:numPr>
                <w:ilvl w:val="0"/>
                <w:numId w:val="2"/>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highlight w:val="none"/>
                <w:lang w:bidi="ar"/>
              </w:rPr>
            </w:pPr>
            <w:r>
              <w:rPr>
                <w:rFonts w:hint="eastAsia" w:ascii="宋体" w:hAnsi="宋体" w:eastAsia="宋体" w:cs="宋体"/>
                <w:color w:val="auto"/>
                <w:kern w:val="0"/>
                <w:sz w:val="21"/>
                <w:szCs w:val="21"/>
                <w:highlight w:val="none"/>
              </w:rPr>
              <w:t>需支持DC12V供电，且在不小于DC12V±</w:t>
            </w:r>
            <w:r>
              <w:rPr>
                <w:rFonts w:hint="eastAsia" w:ascii="宋体" w:hAnsi="宋体" w:eastAsia="宋体" w:cs="宋体"/>
                <w:color w:val="auto"/>
                <w:kern w:val="0"/>
                <w:sz w:val="21"/>
                <w:szCs w:val="21"/>
                <w:highlight w:val="none"/>
                <w:lang w:val="en-US" w:eastAsia="zh-CN"/>
              </w:rPr>
              <w:t>25</w:t>
            </w:r>
            <w:r>
              <w:rPr>
                <w:rFonts w:hint="eastAsia" w:ascii="宋体" w:hAnsi="宋体" w:eastAsia="宋体" w:cs="宋体"/>
                <w:color w:val="auto"/>
                <w:kern w:val="0"/>
                <w:sz w:val="21"/>
                <w:szCs w:val="21"/>
                <w:highlight w:val="none"/>
              </w:rPr>
              <w:t>%范围内变化时可以正常工作。</w:t>
            </w:r>
          </w:p>
        </w:tc>
      </w:tr>
      <w:tr w14:paraId="07DD4F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E180F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51753E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周界摄像机</w:t>
            </w:r>
          </w:p>
        </w:tc>
        <w:tc>
          <w:tcPr>
            <w:tcW w:w="7206" w:type="dxa"/>
            <w:vAlign w:val="center"/>
          </w:tcPr>
          <w:p w14:paraId="4101E5F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400万定焦智能筒型网络摄像机</w:t>
            </w:r>
          </w:p>
          <w:p w14:paraId="114FD0A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支持越界侦测，区域入侵侦测，进入区域侦测和离开区域侦测，支持联动声音报警</w:t>
            </w:r>
          </w:p>
          <w:p w14:paraId="0E9585B0">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最高分辨率可达2688 × 1520 @25 fps，在该分辨率下可输出实时图像</w:t>
            </w:r>
          </w:p>
          <w:p w14:paraId="08463110">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支持背光补偿，强光抑制，3D数字降噪，120 dB宽动态，适应不同环境</w:t>
            </w:r>
          </w:p>
          <w:p w14:paraId="6A4A0F1E">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支持ROI感兴趣区域增强编码，支持Smart265/264编码</w:t>
            </w:r>
          </w:p>
          <w:p w14:paraId="2B9194A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1个内置麦克风，1个内置扬声器，支持双向语音对讲</w:t>
            </w:r>
          </w:p>
          <w:p w14:paraId="3DD4218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智能补光，支持白光/红外双补光，红外最远可达50 m，白光最远可达30 m</w:t>
            </w:r>
          </w:p>
          <w:p w14:paraId="7FEDFEF1">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符合IP66防尘防水设计，可靠性高</w:t>
            </w:r>
          </w:p>
          <w:p w14:paraId="59F5B717">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传感器类型：1/3" Progressive Scan CMOS</w:t>
            </w:r>
          </w:p>
          <w:p w14:paraId="337805AE">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最低照度：彩色：0.005 Lux @（F1.2，AGC ON），0 Lux with IR</w:t>
            </w:r>
          </w:p>
          <w:p w14:paraId="1AF05C6B">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宽动态：120 dB </w:t>
            </w:r>
          </w:p>
          <w:p w14:paraId="4879BB92">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供电方式：DC：12 V ± 25%，支持防反接保护</w:t>
            </w:r>
          </w:p>
          <w:p w14:paraId="12CECE51">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PoE：802.3af，Class 3</w:t>
            </w:r>
          </w:p>
          <w:p w14:paraId="15501F9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防护：IP66 </w:t>
            </w:r>
          </w:p>
          <w:p w14:paraId="7A9CC26F">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sz w:val="21"/>
                <w:szCs w:val="21"/>
              </w:rPr>
            </w:pPr>
            <w:r>
              <w:rPr>
                <w:rFonts w:hint="eastAsia" w:ascii="宋体" w:hAnsi="宋体" w:eastAsia="宋体" w:cs="宋体"/>
                <w:color w:val="auto"/>
                <w:kern w:val="0"/>
                <w:sz w:val="21"/>
                <w:szCs w:val="21"/>
              </w:rPr>
              <w:t>支持智能报警防干扰功能，智能分析行为类型为区域入侵、越界、进入区域、离开区域时，报警检测目标设置为人体或车辆时，光线明暗变化，篮球滚动，狗行走，树摇晃，不触发报警。</w:t>
            </w:r>
          </w:p>
          <w:p w14:paraId="090F8AD6">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支持固件安全检验功能，摄像机uboot应采用加密存储，通过离线烧写存储器方式写入的uboot执行程序，不能被硬件微引导程序加载执行。</w:t>
            </w:r>
          </w:p>
          <w:p w14:paraId="4658A1CC">
            <w:pPr>
              <w:keepNext w:val="0"/>
              <w:keepLines w:val="0"/>
              <w:pageBreakBefore w:val="0"/>
              <w:widowControl/>
              <w:numPr>
                <w:ilvl w:val="0"/>
                <w:numId w:val="3"/>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rPr>
              <w:t>支持硬件微引导程序、uboot、OS、应用软件逐级校验功能，非法篡改的uboot、OS、应用软件固件包，不能通过命令行、浏览器、客户端方式进行升级。</w:t>
            </w:r>
          </w:p>
        </w:tc>
      </w:tr>
      <w:tr w14:paraId="7845CE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CE83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B560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球机</w:t>
            </w:r>
          </w:p>
        </w:tc>
        <w:tc>
          <w:tcPr>
            <w:tcW w:w="7206" w:type="dxa"/>
            <w:vAlign w:val="center"/>
          </w:tcPr>
          <w:p w14:paraId="7AA2565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400万23倍全彩智能球机</w:t>
            </w:r>
          </w:p>
          <w:p w14:paraId="389E18E0">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支持1/2.8" 400万23倍光学变焦镜头，采用高效补光阵列，低功耗，红外补光150 m，白光补光30 m</w:t>
            </w:r>
          </w:p>
          <w:p w14:paraId="0FCDE78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支持最大2560 × 1440 @30 fps高清画面输出</w:t>
            </w:r>
          </w:p>
          <w:p w14:paraId="4B0030AF">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支持切换为人脸抓拍模式，最大同时抓拍5张人脸</w:t>
            </w:r>
          </w:p>
          <w:p w14:paraId="3B7F2F5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支持H.265高效压缩算法，可较大节省存储空间</w:t>
            </w:r>
          </w:p>
          <w:p w14:paraId="5CD4197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支持超低照度，0.005 Lux @F1.5（彩色），0.001 Lux @F1.5（黑白），0 Lux with IR</w:t>
            </w:r>
          </w:p>
          <w:p w14:paraId="38D60B8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支持23倍光学变倍，16倍数字变倍</w:t>
            </w:r>
          </w:p>
          <w:p w14:paraId="3A5934AA">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支持三码流技术，每路码流可独立配置分辨率及帧率</w:t>
            </w:r>
          </w:p>
          <w:p w14:paraId="3FC4FA0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支持3D数字降噪、强光抑制、SmartIR</w:t>
            </w:r>
          </w:p>
          <w:p w14:paraId="5CA444D7">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支持360°水平旋转，垂直方向-15°~90°（自动翻转） </w:t>
            </w:r>
          </w:p>
          <w:p w14:paraId="77CB3518">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支持定时任务、一键守望、一键巡航功能</w:t>
            </w:r>
          </w:p>
          <w:p w14:paraId="6730DE2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支持最大256 GB的 MicroSD/MicroSDHC/MicroSDXC卡存储</w:t>
            </w:r>
          </w:p>
          <w:p w14:paraId="6A48074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防雷、防浪涌、防突波，IP66防护等级</w:t>
            </w:r>
          </w:p>
          <w:p w14:paraId="0367DCA9">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支持定时抓图与事件抓图功能</w:t>
            </w:r>
          </w:p>
          <w:p w14:paraId="2F8EF26C">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传感器类型：1/2.8＂ progressive scan CMOS</w:t>
            </w:r>
          </w:p>
          <w:p w14:paraId="5C65BC4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最低照度：彩色：0.005Lux @ (F1.5，AGC ON)；黑白：0.001Lux @(F1.5，AGC ON)；0 Lux with IR </w:t>
            </w:r>
          </w:p>
          <w:p w14:paraId="7BCB86F8">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焦距：23倍光学变倍</w:t>
            </w:r>
          </w:p>
          <w:p w14:paraId="487162E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补光灯距离：【白光】30m</w:t>
            </w:r>
          </w:p>
          <w:p w14:paraId="20043BB1">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【红外】150m</w:t>
            </w:r>
          </w:p>
          <w:p w14:paraId="70814B10">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 xml:space="preserve">防补光过曝：支持 </w:t>
            </w:r>
          </w:p>
          <w:p w14:paraId="65E3E309">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防护：IP66;抗干扰能力强，适用于严酷的电磁环境，符合GB/T17626.2/3/4/5/6四级标准</w:t>
            </w:r>
          </w:p>
          <w:p w14:paraId="18524536">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eastAsia="zh-CN"/>
              </w:rPr>
            </w:pPr>
            <w:r>
              <w:rPr>
                <w:rFonts w:hint="eastAsia" w:ascii="宋体" w:hAnsi="宋体" w:eastAsia="宋体" w:cs="宋体"/>
                <w:color w:val="auto"/>
                <w:kern w:val="0"/>
                <w:sz w:val="21"/>
                <w:szCs w:val="21"/>
              </w:rPr>
              <w:t>具备较好的防护性能环境适应性，支持IP66，6kV防浪涌，</w:t>
            </w:r>
          </w:p>
          <w:p w14:paraId="2548374F">
            <w:pPr>
              <w:keepNext w:val="0"/>
              <w:keepLines w:val="0"/>
              <w:pageBreakBefore w:val="0"/>
              <w:widowControl/>
              <w:numPr>
                <w:ilvl w:val="0"/>
                <w:numId w:val="4"/>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auto"/>
                <w:kern w:val="0"/>
                <w:sz w:val="21"/>
                <w:szCs w:val="21"/>
                <w:lang w:bidi="ar"/>
              </w:rPr>
            </w:pPr>
            <w:r>
              <w:rPr>
                <w:rFonts w:hint="eastAsia" w:ascii="宋体" w:hAnsi="宋体" w:eastAsia="宋体" w:cs="宋体"/>
                <w:color w:val="auto"/>
                <w:kern w:val="0"/>
                <w:sz w:val="21"/>
                <w:szCs w:val="21"/>
              </w:rPr>
              <w:t>具备较好的电源适应性，电压在AC24V±</w:t>
            </w:r>
            <w:r>
              <w:rPr>
                <w:rFonts w:hint="eastAsia" w:ascii="宋体" w:hAnsi="宋体" w:eastAsia="宋体" w:cs="宋体"/>
                <w:color w:val="auto"/>
                <w:kern w:val="0"/>
                <w:sz w:val="21"/>
                <w:szCs w:val="21"/>
                <w:lang w:val="en-US" w:eastAsia="zh-CN"/>
              </w:rPr>
              <w:t>25</w:t>
            </w:r>
            <w:r>
              <w:rPr>
                <w:rFonts w:hint="eastAsia" w:ascii="宋体" w:hAnsi="宋体" w:eastAsia="宋体" w:cs="宋体"/>
                <w:color w:val="auto"/>
                <w:kern w:val="0"/>
                <w:sz w:val="21"/>
                <w:szCs w:val="21"/>
              </w:rPr>
              <w:t>%范围内变化时，设备可正常工作</w:t>
            </w:r>
          </w:p>
        </w:tc>
      </w:tr>
      <w:tr w14:paraId="0C7394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3907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CCCAF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鹰眼</w:t>
            </w:r>
          </w:p>
        </w:tc>
        <w:tc>
          <w:tcPr>
            <w:tcW w:w="7206" w:type="dxa"/>
            <w:vAlign w:val="center"/>
          </w:tcPr>
          <w:p w14:paraId="08F4DE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1.全景通道最高分辨率不小于6072 x 2640，细节通道最高分辨率不小于2688 × 1520。</w:t>
            </w:r>
          </w:p>
          <w:p w14:paraId="11429E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2.内置不少于3个GPU芯片。</w:t>
            </w:r>
          </w:p>
          <w:p w14:paraId="4590DE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3.彩色：0.0003lux；黑白：0.0001lux</w:t>
            </w:r>
          </w:p>
          <w:p w14:paraId="4DF61A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4.动态范围不小于120dB。</w:t>
            </w:r>
          </w:p>
          <w:p w14:paraId="10B645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5.全景通道内置4个镜头、靶面尺寸不小于1/1.8英寸的CMOS传感器，细节通道内置1个镜头，靶面尺寸不小于1/1.8英寸的CMOS传感器。</w:t>
            </w:r>
          </w:p>
          <w:p w14:paraId="6DDC02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6.摄像机全景镜头光圈均不小于F1.0</w:t>
            </w:r>
          </w:p>
          <w:p w14:paraId="12CCA8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7.设备在全景拼接模式下，垂直视场角不小于110°，水平视场角不小于180°。可将4个全景视频图像进行拼接，实现不小于180°拼接画面显示，并抓拍拼接后的图片。</w:t>
            </w:r>
          </w:p>
          <w:p w14:paraId="3BE9E7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8.主视频支持不小于40倍光学变倍，支持检测当前镜头指向方向与地平面夹角，并可根据夹角变化自动调整倍率。</w:t>
            </w:r>
          </w:p>
          <w:p w14:paraId="4F6582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9.细节内置镜头，具有自动聚焦功能，从自动聚焦开始至聚焦完成的时间应≤0.5s，镜头最大焦距不小于240mm</w:t>
            </w:r>
          </w:p>
          <w:p w14:paraId="222E5A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10.细节内置镜头，具备定光圈功能</w:t>
            </w:r>
          </w:p>
          <w:p w14:paraId="406387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11.支持偏色矫正功能，可通过手动或自动的方式对样机视频采集模块进行偏色矫正。</w:t>
            </w:r>
          </w:p>
          <w:p w14:paraId="276247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12.支持智能行为分析功能，智能分析行为类型为区域入侵、越界入侵、进入区域、离开区域等，支持行为分析触发后联动聚焦、联动目标跟踪、报警上传等多种报警触发方式。</w:t>
            </w:r>
          </w:p>
          <w:p w14:paraId="02F0ED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13.设备支持画中画功能，可通过浏览器在细节图像中叠加全景视频图像进行预览。</w:t>
            </w:r>
          </w:p>
          <w:p w14:paraId="493966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14.当通过IE浏览器手动点击或框选预览画面中的人脸时，设备能通过PTZ转动将人脸置于画面中心，并对人脸进行抓拍。</w:t>
            </w:r>
          </w:p>
          <w:p w14:paraId="7B1569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15.设备可对全景通道、细节通道监控画面中的移动标签进行跟踪且跟踪时间、跟踪倍率可设，在跟踪过程中，移动标签始终位于画面中心位置。在细节通道上添加或删除指定标签时，全景通道的相同位置应自动添加或删除该标签。</w:t>
            </w:r>
          </w:p>
        </w:tc>
      </w:tr>
      <w:tr w14:paraId="76372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5FC7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DD6E8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摄像机支架</w:t>
            </w:r>
          </w:p>
        </w:tc>
        <w:tc>
          <w:tcPr>
            <w:tcW w:w="7206" w:type="dxa"/>
            <w:vAlign w:val="center"/>
          </w:tcPr>
          <w:p w14:paraId="3A353B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适用范围 适合枪型、筒型、一体型摄像机壁装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材料 铝合金</w:t>
            </w:r>
            <w:r>
              <w:rPr>
                <w:rFonts w:hint="eastAsia" w:ascii="宋体" w:hAnsi="宋体" w:eastAsia="宋体" w:cs="宋体"/>
                <w:kern w:val="0"/>
                <w:sz w:val="21"/>
                <w:szCs w:val="21"/>
              </w:rPr>
              <w:br w:type="textWrapping"/>
            </w:r>
            <w:r>
              <w:rPr>
                <w:rFonts w:hint="eastAsia" w:ascii="宋体" w:hAnsi="宋体" w:eastAsia="宋体" w:cs="宋体"/>
                <w:kern w:val="0"/>
                <w:sz w:val="21"/>
                <w:szCs w:val="21"/>
              </w:rPr>
              <w:t>调整角度 水平：360°，垂直：-45°~45°</w:t>
            </w:r>
          </w:p>
        </w:tc>
      </w:tr>
      <w:tr w14:paraId="49DC0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02D93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6E5139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室外监控集线箱</w:t>
            </w:r>
          </w:p>
        </w:tc>
        <w:tc>
          <w:tcPr>
            <w:tcW w:w="7206" w:type="dxa"/>
            <w:vAlign w:val="center"/>
          </w:tcPr>
          <w:p w14:paraId="583DFA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05E28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443D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56D3C2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监控立杆（含底座浇筑）</w:t>
            </w:r>
          </w:p>
        </w:tc>
        <w:tc>
          <w:tcPr>
            <w:tcW w:w="7206" w:type="dxa"/>
            <w:vAlign w:val="center"/>
          </w:tcPr>
          <w:p w14:paraId="3AAA07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583D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2A7E4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047A96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电视墙</w:t>
            </w:r>
          </w:p>
        </w:tc>
        <w:tc>
          <w:tcPr>
            <w:tcW w:w="7206" w:type="dxa"/>
            <w:vAlign w:val="center"/>
          </w:tcPr>
          <w:p w14:paraId="5F93B4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65F6D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2C9E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203D5E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液晶拼接屏</w:t>
            </w:r>
          </w:p>
        </w:tc>
        <w:tc>
          <w:tcPr>
            <w:tcW w:w="7206" w:type="dxa"/>
            <w:vAlign w:val="center"/>
          </w:tcPr>
          <w:p w14:paraId="6C7F42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46英寸#2.5mm拼缝#低亮液晶拼接屏</w:t>
            </w:r>
          </w:p>
          <w:p w14:paraId="49997B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直下式LED背光源，亮度均匀，无边界暗影现象。</w:t>
            </w:r>
          </w:p>
          <w:p w14:paraId="675A4F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物理分辨率高达1920 × 1080。</w:t>
            </w:r>
          </w:p>
          <w:p w14:paraId="265B599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显示尺寸：46 inch</w:t>
            </w:r>
          </w:p>
          <w:p w14:paraId="6EB35B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物理拼缝：2.5 mm</w:t>
            </w:r>
          </w:p>
          <w:p w14:paraId="754CB42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物理分辨率：1920 x 1080@60Hz（向下兼容）</w:t>
            </w:r>
          </w:p>
          <w:p w14:paraId="2DBE3B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亮度：500 cd/m²</w:t>
            </w:r>
          </w:p>
          <w:p w14:paraId="2BE21C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对比度：</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1200 :1 </w:t>
            </w:r>
          </w:p>
          <w:p w14:paraId="1314F1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音视频输入接口：HDMI × 1, DVI × 1, USB × 1</w:t>
            </w:r>
          </w:p>
        </w:tc>
      </w:tr>
      <w:tr w14:paraId="26238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D5308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2F3D69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10路高清解码器</w:t>
            </w:r>
          </w:p>
        </w:tc>
        <w:tc>
          <w:tcPr>
            <w:tcW w:w="7206" w:type="dxa"/>
            <w:vAlign w:val="center"/>
          </w:tcPr>
          <w:p w14:paraId="416883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支持电脑、视频会议终端等视频输入信号源，支持2路1080P@50/60 或1路4K@30，通过HDMI 1.4本地输入，HDMI可内嵌音频</w:t>
            </w:r>
          </w:p>
          <w:p w14:paraId="085EF6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支持网络IPC、NVR等设备类型作为网络信号源输入</w:t>
            </w:r>
          </w:p>
          <w:p w14:paraId="2CB716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支持HDMI 1.4视频信号输出，支持4K分辨率（3840 × 2160@30 Hz）超高清输出，输出采用帧同步技术，保证所有输出口的图像完全同步</w:t>
            </w:r>
          </w:p>
          <w:p w14:paraId="25371C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支持两种音频输出方式：HDMI内嵌音频和外置音频输出</w:t>
            </w:r>
          </w:p>
          <w:p w14:paraId="5B7822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采用H.264/H.265编码标准，默认采用H.265，支持子码流及主码流编码</w:t>
            </w:r>
          </w:p>
          <w:p w14:paraId="1A6F94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支持网络设备解码，支持H.264、H.265、Smart264、Smart265、MJPEG等主流码流格式，支持PS、TS、ES、RTP等主流封装格式，支持子码流及主码流切换</w:t>
            </w:r>
          </w:p>
          <w:p w14:paraId="661DB9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最大支持3200w分辨率解码，具有80个解码通道，支持</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0路200W视频同时解码上墙</w:t>
            </w:r>
          </w:p>
          <w:p w14:paraId="1AF4BC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支持加密码流、多轨码流、智能码流解码；支持码流修改和切换；支持解码异常提示</w:t>
            </w:r>
          </w:p>
          <w:p w14:paraId="28B703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支持单面电视墙拼接、开窗、窗口跨屏漫游、场景轮巡和窗口轮巡功能，单屏支持3个1080P或2个4K图层，单窗口支持1/4/6/8/9/16/25窗口分屏功能，整机最大支持64个场景，整机支持256个平台预案轮巡组</w:t>
            </w:r>
          </w:p>
          <w:p w14:paraId="3FF1F69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支持RTP\RTSP协议进行网络源预览，可通过客户端进行桌面投屏上墙</w:t>
            </w:r>
          </w:p>
          <w:p w14:paraId="262359D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支持电视墙界面对网络信号源云台八个方向、自动扫描、光圈、调焦、聚焦、调用预置点等操作</w:t>
            </w:r>
          </w:p>
          <w:p w14:paraId="41B2C4B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12.</w:t>
            </w:r>
            <w:r>
              <w:rPr>
                <w:rFonts w:hint="eastAsia" w:ascii="宋体" w:hAnsi="宋体" w:eastAsia="宋体" w:cs="宋体"/>
                <w:kern w:val="0"/>
                <w:sz w:val="21"/>
                <w:szCs w:val="21"/>
              </w:rPr>
              <w:t xml:space="preserve">支持电视墙窗口开始/停止预览、开始/停止解码、开始/停止轮巡、打开/关闭声音、置顶、置底等机箱接口：RJ45 10M/100 M/1000 Mbps 自适应以太网接口*2； </w:t>
            </w:r>
          </w:p>
        </w:tc>
      </w:tr>
      <w:tr w14:paraId="4B8134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788D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76DBCE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单路解码器</w:t>
            </w:r>
          </w:p>
        </w:tc>
        <w:tc>
          <w:tcPr>
            <w:tcW w:w="7206" w:type="dxa"/>
            <w:vAlign w:val="center"/>
          </w:tcPr>
          <w:p w14:paraId="12D9618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支持网络IPC、NVR等设备类型作为网络信号源输入</w:t>
            </w:r>
          </w:p>
          <w:p w14:paraId="573C1F3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支持HDMI 1.4视频信号输出，支持4K分辨率（3840 × 2160@30 Hz）超高清输出，输出采用帧同步技术，保证所有输出口的图像完全同步</w:t>
            </w:r>
          </w:p>
          <w:p w14:paraId="1E156D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采用H.264/H.265编码标准，默认采用H.265，支持子码流及主码流编码</w:t>
            </w:r>
          </w:p>
          <w:p w14:paraId="21E57D6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支持网络设备解码，支持H.264、H.265、Smart264、Smart265、MJPEG等主流码流格式，支持PS、TS、ES、RTP等主流封装格式，支持子码流及主码流切换</w:t>
            </w:r>
          </w:p>
          <w:p w14:paraId="690B038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最大支持3200w分辨率解码，具有16个解码通道，支持16路200W视频同时解码上墙</w:t>
            </w:r>
          </w:p>
          <w:p w14:paraId="2FE669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支持加密码流、多轨码流、智能码流解码；支持码流修改和切换；支持解码异常提示</w:t>
            </w:r>
          </w:p>
          <w:p w14:paraId="026A19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支持单面电视墙拼接、开窗、窗口跨屏漫游、场景轮巡和窗口轮巡功能，单屏支持3个1080P或2个4K图层，单窗口支持1/4/6/8/9/16窗口分屏功能，整机最大支持64个场景，整机支持256个平台预案轮巡组</w:t>
            </w:r>
          </w:p>
          <w:p w14:paraId="63BE28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支持RTP\RTSP协议进行网络源预览，可通过smartwall客户端进行桌面投屏上墙</w:t>
            </w:r>
          </w:p>
          <w:p w14:paraId="7871740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支持电视墙界面对网络信号源云台八个方向、自动扫描、光圈、调焦、聚焦、调用预置点等操作</w:t>
            </w:r>
          </w:p>
          <w:p w14:paraId="23A267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支持电视墙窗口开始/停止预览、开始/停止解码、开始/停止轮巡、打开/关闭声音、置顶/置底等操作</w:t>
            </w:r>
          </w:p>
          <w:p w14:paraId="42D10E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视频解码格式：H264,H265,Smart264,Smart265,MJPEG</w:t>
            </w:r>
          </w:p>
          <w:p w14:paraId="40D444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解码分辨率：最高3200W像素</w:t>
            </w:r>
          </w:p>
          <w:p w14:paraId="05CFAD3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视频解码通道：16</w:t>
            </w:r>
          </w:p>
          <w:p w14:paraId="5B8F6D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视频解码能力：16路1080P及以下分辨率实时解码</w:t>
            </w:r>
          </w:p>
          <w:p w14:paraId="610979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15.</w:t>
            </w:r>
            <w:r>
              <w:rPr>
                <w:rFonts w:hint="eastAsia" w:ascii="宋体" w:hAnsi="宋体" w:eastAsia="宋体" w:cs="宋体"/>
                <w:kern w:val="0"/>
                <w:sz w:val="21"/>
                <w:szCs w:val="21"/>
              </w:rPr>
              <w:t>单口画面分割数：1,2,4,6,8,9,12,16</w:t>
            </w:r>
          </w:p>
        </w:tc>
      </w:tr>
      <w:tr w14:paraId="438C29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8CD8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588317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阳光厨房电视机</w:t>
            </w:r>
          </w:p>
        </w:tc>
        <w:tc>
          <w:tcPr>
            <w:tcW w:w="7206" w:type="dxa"/>
            <w:vAlign w:val="center"/>
          </w:tcPr>
          <w:p w14:paraId="506EFE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55寸液晶电视机，提供有效期之内的节能产品认证证书或规定网站证书查询截图。</w:t>
            </w:r>
          </w:p>
        </w:tc>
      </w:tr>
      <w:tr w14:paraId="64DC4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6B8F1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561719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智能NVR</w:t>
            </w:r>
          </w:p>
        </w:tc>
        <w:tc>
          <w:tcPr>
            <w:tcW w:w="7206" w:type="dxa"/>
            <w:vAlign w:val="center"/>
          </w:tcPr>
          <w:p w14:paraId="78C1745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3U机架式16盘位嵌入式网络硬盘录像机，搭载ATX电源</w:t>
            </w:r>
          </w:p>
          <w:p w14:paraId="0D9C1E4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存储接口：16个SATA接口，支持硬盘热插拔，可满配12TB硬盘</w:t>
            </w:r>
          </w:p>
          <w:p w14:paraId="55A202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lang w:eastAsia="zh-CN"/>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视频接口：</w:t>
            </w:r>
            <w:r>
              <w:rPr>
                <w:rFonts w:hint="eastAsia" w:ascii="宋体" w:hAnsi="宋体" w:eastAsia="宋体" w:cs="宋体"/>
                <w:sz w:val="21"/>
                <w:szCs w:val="21"/>
                <w:lang w:val="en-US" w:eastAsia="zh-CN"/>
              </w:rPr>
              <w:t>≥</w:t>
            </w:r>
            <w:r>
              <w:rPr>
                <w:rFonts w:hint="eastAsia" w:ascii="宋体" w:hAnsi="宋体" w:eastAsia="宋体" w:cs="宋体"/>
                <w:sz w:val="21"/>
                <w:szCs w:val="21"/>
              </w:rPr>
              <w:t>2×HDMI，</w:t>
            </w:r>
            <w:r>
              <w:rPr>
                <w:rFonts w:hint="eastAsia" w:ascii="宋体" w:hAnsi="宋体" w:eastAsia="宋体" w:cs="宋体"/>
                <w:sz w:val="21"/>
                <w:szCs w:val="21"/>
                <w:lang w:val="en-US" w:eastAsia="zh-CN"/>
              </w:rPr>
              <w:t>≥1</w:t>
            </w:r>
            <w:r>
              <w:rPr>
                <w:rFonts w:hint="eastAsia" w:ascii="宋体" w:hAnsi="宋体" w:eastAsia="宋体" w:cs="宋体"/>
                <w:sz w:val="21"/>
                <w:szCs w:val="21"/>
              </w:rPr>
              <w:t>×VGA</w:t>
            </w:r>
          </w:p>
          <w:p w14:paraId="3A69984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网络接口：2×RJ45 10/100/1000Mbps自适应以太网口</w:t>
            </w:r>
          </w:p>
          <w:p w14:paraId="61E964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报警接口：16路报警输入，9路报警输出（其中第9路支持CTRL 12V）</w:t>
            </w:r>
          </w:p>
          <w:p w14:paraId="54AAE59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USB接口：2×USB 2.0，2×USB 3.0</w:t>
            </w:r>
          </w:p>
          <w:p w14:paraId="46A2300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扩展接口：1×eSATA</w:t>
            </w:r>
          </w:p>
          <w:p w14:paraId="622E870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输入带宽：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320Mbps</w:t>
            </w:r>
          </w:p>
          <w:p w14:paraId="1094DB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输出带宽：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36CC04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接入能力：</w:t>
            </w:r>
            <w:r>
              <w:rPr>
                <w:rFonts w:hint="eastAsia" w:ascii="宋体" w:hAnsi="宋体" w:eastAsia="宋体" w:cs="宋体"/>
                <w:sz w:val="21"/>
                <w:szCs w:val="21"/>
                <w:lang w:val="en-US" w:eastAsia="zh-CN"/>
              </w:rPr>
              <w:t>≥</w:t>
            </w:r>
            <w:r>
              <w:rPr>
                <w:rFonts w:hint="eastAsia" w:ascii="宋体" w:hAnsi="宋体" w:eastAsia="宋体" w:cs="宋体"/>
                <w:kern w:val="0"/>
                <w:sz w:val="21"/>
                <w:szCs w:val="21"/>
              </w:rPr>
              <w:t>16路H.264、H.265格式高清码流接入</w:t>
            </w:r>
          </w:p>
          <w:p w14:paraId="3569E8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解码能力：最大支持32×1080P</w:t>
            </w:r>
          </w:p>
          <w:p w14:paraId="29E69BF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显示能力：最大支持8K+1080P、2×4K异源输出</w:t>
            </w:r>
          </w:p>
          <w:p w14:paraId="229E6E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RAID模式：RAID0、RAID1、RAID5、RAID6、RAID10，支持全局热备盘</w:t>
            </w:r>
          </w:p>
          <w:p w14:paraId="4C3FD67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支持周界算法（越界侦测、区域入侵、进入区域、离开区域）的推理、训练同时运行，业务不间断</w:t>
            </w:r>
          </w:p>
          <w:p w14:paraId="6F2D13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支持设备自动素材收集、自动标定、自动训练、自动升级，无需人工干预的算法版本自动迭代</w:t>
            </w:r>
          </w:p>
          <w:p w14:paraId="7068C2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支持训练进度可视化查询，支持多版本算法管理</w:t>
            </w:r>
          </w:p>
          <w:p w14:paraId="37D4ABB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图片流性能：32路图片流自学习周界防范</w:t>
            </w:r>
          </w:p>
          <w:p w14:paraId="176E6CF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18.</w:t>
            </w:r>
            <w:r>
              <w:rPr>
                <w:rFonts w:hint="eastAsia" w:ascii="宋体" w:hAnsi="宋体" w:eastAsia="宋体" w:cs="宋体"/>
                <w:kern w:val="0"/>
                <w:sz w:val="21"/>
                <w:szCs w:val="21"/>
              </w:rPr>
              <w:t>单颗AI引擎分析能力：32路图片流；12路2MP/6路4MP/2路8MP视频流</w:t>
            </w:r>
          </w:p>
        </w:tc>
      </w:tr>
      <w:tr w14:paraId="05667F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AC2C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0A82D4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阳光厨房摄像机</w:t>
            </w:r>
          </w:p>
        </w:tc>
        <w:tc>
          <w:tcPr>
            <w:tcW w:w="7206" w:type="dxa"/>
            <w:vAlign w:val="center"/>
          </w:tcPr>
          <w:p w14:paraId="336331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400万防油污</w:t>
            </w:r>
          </w:p>
          <w:p w14:paraId="3C6BC4C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最高分辨率可达2688 × 1520 @25 fps，在该分辨率下可输出实时图像</w:t>
            </w:r>
          </w:p>
          <w:p w14:paraId="289B577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Smart侦测：场景变更侦测，区域入侵侦测，越界侦测，进入区域侦测，离开区域侦测，物品遗留侦测，物品拿取侦测，徘徊侦测，停车侦测，人员聚集侦测，快速移动侦测，音频异常侦测，音频陡升侦测，音频陡降侦测</w:t>
            </w:r>
          </w:p>
          <w:p w14:paraId="1C991D5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支持背光补偿，强光抑制，3D数字降噪，120 dB宽动态</w:t>
            </w:r>
          </w:p>
          <w:p w14:paraId="41902D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采用高效阵列红外灯，使用寿命长，红外照射距离最远可达30 m</w:t>
            </w:r>
          </w:p>
          <w:p w14:paraId="323721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支持最大256 GB MicroSD/MicroSDHC/MicroSDXC卡本地存储</w:t>
            </w:r>
          </w:p>
          <w:p w14:paraId="0CD818C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1路报警输入，1路报警输出（报警输出最大支持DC12 V，30 mA），1路音频输入，1路音频输出</w:t>
            </w:r>
          </w:p>
          <w:p w14:paraId="1617EB8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符合IP66防尘防水设计，可靠性高</w:t>
            </w:r>
          </w:p>
          <w:p w14:paraId="4B144B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传感器类型：1/3" Progressive Scan CMOS</w:t>
            </w:r>
          </w:p>
          <w:p w14:paraId="25D026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最低照度：彩色：0.005 Lux @（F1.2，AGC ON），0 Lux with IR</w:t>
            </w:r>
          </w:p>
          <w:p w14:paraId="3EA3C8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宽动态：120 dB</w:t>
            </w:r>
          </w:p>
          <w:p w14:paraId="7E94B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补光距离：最远可达30 m</w:t>
            </w:r>
          </w:p>
          <w:p w14:paraId="6CE6AA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防补光过曝：支持</w:t>
            </w:r>
          </w:p>
          <w:p w14:paraId="59CB38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红外波长范围：850 nm</w:t>
            </w:r>
          </w:p>
          <w:p w14:paraId="43450E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最大图像尺寸：2688 × 1520（默认2560 × 1440）</w:t>
            </w:r>
          </w:p>
          <w:p w14:paraId="6C6954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视频压缩标准：主码流：H.265/H.264</w:t>
            </w:r>
          </w:p>
          <w:p w14:paraId="0B431E4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子码流：H.265/H.264/MJPEG</w:t>
            </w:r>
          </w:p>
          <w:p w14:paraId="1361587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第三码流：H.265/H.264</w:t>
            </w:r>
          </w:p>
          <w:p w14:paraId="5B40ED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网络：1个RJ45 10 M/100 M自适应以太网口</w:t>
            </w:r>
          </w:p>
          <w:p w14:paraId="1F103A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供电方式：DC：12 V ± 25%，支持防反接保护</w:t>
            </w:r>
          </w:p>
          <w:p w14:paraId="12E636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PoE：IEEE802.3af，CLASS3</w:t>
            </w:r>
          </w:p>
          <w:p w14:paraId="4613D1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防护：IP66</w:t>
            </w:r>
          </w:p>
        </w:tc>
      </w:tr>
      <w:tr w14:paraId="0F205E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49C36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6B5BD6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32路硬盘录像机</w:t>
            </w:r>
          </w:p>
        </w:tc>
        <w:tc>
          <w:tcPr>
            <w:tcW w:w="7206" w:type="dxa"/>
            <w:vAlign w:val="center"/>
          </w:tcPr>
          <w:p w14:paraId="73AF99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3U标准机架式16盘位网络硬盘录像机，ATX电源</w:t>
            </w:r>
          </w:p>
          <w:p w14:paraId="088F9C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支持满配8TB硬盘（总容量可达128TB)</w:t>
            </w:r>
          </w:p>
          <w:p w14:paraId="35A278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2个HDMI接口、2个VGA接口，异源输出，可支持4K输出</w:t>
            </w:r>
          </w:p>
          <w:p w14:paraId="77989B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2个10M/100M/1000Mbps网口</w:t>
            </w:r>
          </w:p>
          <w:p w14:paraId="60B1838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2个USB2.0接口、2个USB3.0接口</w:t>
            </w:r>
          </w:p>
          <w:p w14:paraId="2B9198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报警IO接口：16路报警输入，</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路报警输出（其中第</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路支持CTRL 12V）</w:t>
            </w:r>
          </w:p>
          <w:p w14:paraId="186BA3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串行接口：1路全双工485接口 ，1路标准RS-232接</w:t>
            </w:r>
          </w:p>
          <w:p w14:paraId="37B63B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输入带宽：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392D117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输出带宽：</w:t>
            </w:r>
            <w:r>
              <w:rPr>
                <w:rFonts w:hint="eastAsia" w:ascii="宋体" w:hAnsi="宋体" w:eastAsia="宋体" w:cs="宋体"/>
                <w:sz w:val="21"/>
                <w:szCs w:val="21"/>
                <w:lang w:val="en-US" w:eastAsia="zh-CN"/>
              </w:rPr>
              <w:t>≥</w:t>
            </w:r>
            <w:r>
              <w:rPr>
                <w:rFonts w:hint="eastAsia" w:ascii="宋体" w:hAnsi="宋体" w:eastAsia="宋体" w:cs="宋体"/>
                <w:kern w:val="0"/>
                <w:sz w:val="21"/>
                <w:szCs w:val="21"/>
              </w:rPr>
              <w:t>256Mbps</w:t>
            </w:r>
          </w:p>
          <w:p w14:paraId="1B7026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接入能力：</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32路H.264、H.265格式高清码流接入</w:t>
            </w:r>
          </w:p>
          <w:p w14:paraId="51E8985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解码能力：最大支持12×1080P</w:t>
            </w:r>
          </w:p>
        </w:tc>
      </w:tr>
      <w:tr w14:paraId="761D8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D63E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3A8688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16路硬盘录像机</w:t>
            </w:r>
          </w:p>
        </w:tc>
        <w:tc>
          <w:tcPr>
            <w:tcW w:w="7206" w:type="dxa"/>
            <w:vAlign w:val="center"/>
          </w:tcPr>
          <w:p w14:paraId="4C7E0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lang w:val="en-US" w:eastAsia="zh-CN"/>
              </w:rPr>
            </w:pPr>
            <w:r>
              <w:rPr>
                <w:rFonts w:hint="default" w:ascii="宋体" w:hAnsi="宋体" w:eastAsia="宋体" w:cs="宋体"/>
                <w:kern w:val="2"/>
                <w:sz w:val="21"/>
                <w:szCs w:val="21"/>
                <w:lang w:val="en-US" w:eastAsia="zh-CN" w:bidi="ar-SA"/>
              </w:rPr>
              <w:t>1.</w:t>
            </w:r>
            <w:r>
              <w:rPr>
                <w:rFonts w:hint="eastAsia" w:ascii="宋体" w:hAnsi="宋体" w:eastAsia="宋体" w:cs="宋体"/>
                <w:kern w:val="0"/>
                <w:sz w:val="21"/>
                <w:szCs w:val="21"/>
              </w:rPr>
              <w:t>2个HDMI，2个VGA</w:t>
            </w:r>
            <w:r>
              <w:rPr>
                <w:rFonts w:hint="eastAsia" w:ascii="宋体" w:hAnsi="宋体" w:eastAsia="宋体" w:cs="宋体"/>
                <w:kern w:val="0"/>
                <w:sz w:val="21"/>
                <w:szCs w:val="21"/>
                <w:lang w:eastAsia="zh-CN"/>
              </w:rPr>
              <w:t>，</w:t>
            </w:r>
            <w:r>
              <w:rPr>
                <w:rFonts w:hint="eastAsia" w:ascii="宋体" w:hAnsi="宋体" w:eastAsia="宋体" w:cs="宋体"/>
                <w:sz w:val="21"/>
                <w:szCs w:val="21"/>
                <w:lang w:val="en-US" w:eastAsia="zh-CN"/>
              </w:rPr>
              <w:t>≥8盘位</w:t>
            </w:r>
          </w:p>
          <w:p w14:paraId="2D6EC01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具有2个HDMI接口、2个VGA接口、2个RJ45网络接口、2个USB2.0接口、1个USB3.0接口、1个RS232接口、1个RS485接口、1个eSata接口、1路音频输入接口、2路音频输出接口；16路报警输入接口、9路报警输出接口、具有</w:t>
            </w:r>
            <w:r>
              <w:rPr>
                <w:rFonts w:hint="eastAsia" w:ascii="宋体" w:hAnsi="宋体" w:eastAsia="宋体" w:cs="宋体"/>
                <w:sz w:val="21"/>
                <w:szCs w:val="21"/>
                <w:lang w:val="en-US" w:eastAsia="zh-CN"/>
              </w:rPr>
              <w:t>≥1路</w:t>
            </w:r>
            <w:r>
              <w:rPr>
                <w:rFonts w:hint="eastAsia" w:ascii="宋体" w:hAnsi="宋体" w:eastAsia="宋体" w:cs="宋体"/>
                <w:kern w:val="0"/>
                <w:sz w:val="21"/>
                <w:szCs w:val="21"/>
              </w:rPr>
              <w:t>直流DC 12V输出接口（其中1路为Ctrl报警输出口）；可内置</w:t>
            </w:r>
            <w:r>
              <w:rPr>
                <w:rFonts w:hint="eastAsia" w:ascii="宋体" w:hAnsi="宋体" w:eastAsia="宋体" w:cs="宋体"/>
                <w:kern w:val="0"/>
                <w:sz w:val="21"/>
                <w:szCs w:val="21"/>
                <w:lang w:val="en-US" w:eastAsia="zh-CN"/>
              </w:rPr>
              <w:t>8</w:t>
            </w:r>
            <w:r>
              <w:rPr>
                <w:rFonts w:hint="eastAsia" w:ascii="宋体" w:hAnsi="宋体" w:eastAsia="宋体" w:cs="宋体"/>
                <w:kern w:val="0"/>
                <w:sz w:val="21"/>
                <w:szCs w:val="21"/>
              </w:rPr>
              <w:t>个SATA接口硬盘</w:t>
            </w:r>
          </w:p>
          <w:p w14:paraId="5CA611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可接入16路分辨率为1920×1080的视频图像；支持最大接入带宽 160Mbps，最大存储带宽 160Mbps，最大转发带宽160Mbps，最大回放带宽160Mbps，开启视频流智能分析后NVR网络带宽不应降低</w:t>
            </w:r>
          </w:p>
          <w:p w14:paraId="40D039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支持以IPv6方式接入IPC进行预览、参数配置、报警接收和展现、语音对讲、IPC列表导入、IP地址冲突检测等功能</w:t>
            </w:r>
          </w:p>
        </w:tc>
      </w:tr>
      <w:tr w14:paraId="624932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355E4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765C5D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硬盘</w:t>
            </w:r>
          </w:p>
        </w:tc>
        <w:tc>
          <w:tcPr>
            <w:tcW w:w="7206" w:type="dxa"/>
            <w:vAlign w:val="center"/>
          </w:tcPr>
          <w:p w14:paraId="40E5FA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8TB，3.5英寸 SATA 3.0接口</w:t>
            </w:r>
          </w:p>
          <w:p w14:paraId="0122BD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转速：5400RPM</w:t>
            </w:r>
          </w:p>
          <w:p w14:paraId="120147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缓存：256MB</w:t>
            </w:r>
          </w:p>
          <w:p w14:paraId="27138B0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24×7全天候高效稳定运行</w:t>
            </w:r>
          </w:p>
          <w:p w14:paraId="66EA3C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支持3年有限质保服务</w:t>
            </w:r>
          </w:p>
        </w:tc>
      </w:tr>
      <w:tr w14:paraId="6653B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57434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三（2）</w:t>
            </w:r>
          </w:p>
        </w:tc>
        <w:tc>
          <w:tcPr>
            <w:tcW w:w="8495" w:type="dxa"/>
            <w:gridSpan w:val="2"/>
            <w:shd w:val="clear" w:color="auto" w:fill="FFFFFF"/>
            <w:vAlign w:val="center"/>
          </w:tcPr>
          <w:p w14:paraId="09DDB6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人脸门禁系统</w:t>
            </w:r>
          </w:p>
        </w:tc>
      </w:tr>
      <w:tr w14:paraId="1433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5D82EB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6AEDAF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人脸门禁一体机</w:t>
            </w:r>
          </w:p>
        </w:tc>
        <w:tc>
          <w:tcPr>
            <w:tcW w:w="7206" w:type="dxa"/>
            <w:vAlign w:val="center"/>
          </w:tcPr>
          <w:p w14:paraId="406460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操作系统：嵌入式系统；</w:t>
            </w:r>
          </w:p>
          <w:p w14:paraId="4ACE196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屏幕参数： 7英寸LCD触摸显示屏，屏幕比例9:16，屏幕分辨率600*1024；</w:t>
            </w:r>
          </w:p>
          <w:p w14:paraId="61883D4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摄像头参数：采用宽动态200万双目摄像头；</w:t>
            </w:r>
          </w:p>
          <w:p w14:paraId="73CBA67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认证方式：支持人脸、刷卡（IC卡、手机NFC卡、CPU卡序列号/内容、身份证卡序列号）、密码认证方式；可外接身份证、指纹、二维码功能模块；</w:t>
            </w:r>
          </w:p>
          <w:p w14:paraId="0F1458E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人脸验证：采用深度学习算法，支持照片、视频防假；1:N人脸验证速度≤0.2s，人脸验证准确率≥99%；</w:t>
            </w:r>
          </w:p>
          <w:p w14:paraId="5004051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存储容量：本地支持 6000 人脸库、6000 张卡，5 万条事件记录；</w:t>
            </w:r>
          </w:p>
          <w:p w14:paraId="49CFBF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7.</w:t>
            </w:r>
            <w:r>
              <w:rPr>
                <w:rFonts w:hint="eastAsia" w:ascii="宋体" w:hAnsi="宋体" w:eastAsia="宋体" w:cs="宋体"/>
                <w:kern w:val="0"/>
                <w:sz w:val="21"/>
                <w:szCs w:val="21"/>
              </w:rPr>
              <w:t>硬件接口：LAN*1、RS485*1、Wiegand * 1(支持双向)、USB*1、电锁*1、门磁*1、报警输入*2、报警输出*1、开门按钮*1；</w:t>
            </w:r>
          </w:p>
          <w:p w14:paraId="660F605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使用环境：IP65，室内外环境；</w:t>
            </w:r>
          </w:p>
          <w:p w14:paraId="584592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安装方式：壁挂安装（标配挂板，适配86底盒）；</w:t>
            </w:r>
          </w:p>
        </w:tc>
      </w:tr>
      <w:tr w14:paraId="698E65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0C75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AA4E0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w:t>
            </w:r>
          </w:p>
        </w:tc>
        <w:tc>
          <w:tcPr>
            <w:tcW w:w="7206" w:type="dxa"/>
            <w:vAlign w:val="center"/>
          </w:tcPr>
          <w:p w14:paraId="7EF3C9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锁体主体颜色为深灰色。</w:t>
            </w:r>
          </w:p>
          <w:p w14:paraId="15565F0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最大静态直线拉力：280kg ± 15%</w:t>
            </w:r>
          </w:p>
          <w:p w14:paraId="30991DC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断电开锁，满足消防要求；</w:t>
            </w:r>
          </w:p>
          <w:p w14:paraId="1B8F66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具有电锁状态指示灯；</w:t>
            </w:r>
          </w:p>
          <w:p w14:paraId="6F2DBE8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支持锁状态侦测信号(门磁)输出：NO/NC/COM接点；</w:t>
            </w:r>
          </w:p>
          <w:p w14:paraId="6E9573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适用门型：木门、玻璃门、金属门、防火门。</w:t>
            </w:r>
          </w:p>
        </w:tc>
      </w:tr>
      <w:tr w14:paraId="489E71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E0FA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EB3F6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w:t>
            </w:r>
          </w:p>
        </w:tc>
        <w:tc>
          <w:tcPr>
            <w:tcW w:w="7206" w:type="dxa"/>
            <w:vAlign w:val="center"/>
          </w:tcPr>
          <w:p w14:paraId="3939C30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锁体主体颜色为深灰色。</w:t>
            </w:r>
          </w:p>
          <w:p w14:paraId="0D3462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最大静态直线拉力：280kg ± 15%  * 2</w:t>
            </w:r>
          </w:p>
          <w:p w14:paraId="525CFC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断电开锁，满足消防要求；</w:t>
            </w:r>
          </w:p>
          <w:p w14:paraId="301D57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具有电锁状态指示灯（红灯为开锁状态， 绿灯为上锁状态）；</w:t>
            </w:r>
          </w:p>
          <w:p w14:paraId="097304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支持锁状态侦测信号(门磁)输出：NO/NC/COM接点；</w:t>
            </w:r>
          </w:p>
          <w:p w14:paraId="7B61CF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适用门型：木门、玻璃门、金属门、防火门。</w:t>
            </w:r>
          </w:p>
        </w:tc>
      </w:tr>
      <w:tr w14:paraId="00B001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F768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59944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磁力锁配件</w:t>
            </w:r>
          </w:p>
        </w:tc>
        <w:tc>
          <w:tcPr>
            <w:tcW w:w="7206" w:type="dxa"/>
            <w:vAlign w:val="center"/>
          </w:tcPr>
          <w:p w14:paraId="70A8B9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选用材料：高强铝合金</w:t>
            </w:r>
          </w:p>
          <w:p w14:paraId="0BF967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外壳处理：阳极硬化电镀处理</w:t>
            </w:r>
          </w:p>
          <w:p w14:paraId="6729F5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适用门型：木门、金属门</w:t>
            </w:r>
          </w:p>
          <w:p w14:paraId="546673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开门方式：90度内开式门</w:t>
            </w:r>
          </w:p>
        </w:tc>
      </w:tr>
      <w:tr w14:paraId="2976C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1352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687C08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门禁-开门按钮</w:t>
            </w:r>
          </w:p>
        </w:tc>
        <w:tc>
          <w:tcPr>
            <w:tcW w:w="7206" w:type="dxa"/>
            <w:vAlign w:val="center"/>
          </w:tcPr>
          <w:p w14:paraId="604F03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结构：塑料面板；</w:t>
            </w:r>
          </w:p>
          <w:p w14:paraId="2EDCBC5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性能：最大耐电流1.25A， </w:t>
            </w:r>
          </w:p>
          <w:p w14:paraId="37B952A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输出：常开；</w:t>
            </w:r>
          </w:p>
          <w:p w14:paraId="22B0AC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类型：适合埋入式电器盒使用；</w:t>
            </w:r>
          </w:p>
        </w:tc>
      </w:tr>
      <w:tr w14:paraId="7D67A2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2B8B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5936B4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w:t>
            </w:r>
          </w:p>
        </w:tc>
        <w:tc>
          <w:tcPr>
            <w:tcW w:w="7206" w:type="dxa"/>
            <w:vAlign w:val="center"/>
          </w:tcPr>
          <w:p w14:paraId="516C48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12V20A</w:t>
            </w:r>
          </w:p>
        </w:tc>
      </w:tr>
      <w:tr w14:paraId="098512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F6CB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三（3）</w:t>
            </w:r>
          </w:p>
        </w:tc>
        <w:tc>
          <w:tcPr>
            <w:tcW w:w="8495" w:type="dxa"/>
            <w:gridSpan w:val="2"/>
            <w:shd w:val="clear" w:color="auto" w:fill="FFFFFF"/>
            <w:vAlign w:val="center"/>
          </w:tcPr>
          <w:p w14:paraId="0FBE22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人员通道系统</w:t>
            </w:r>
          </w:p>
        </w:tc>
      </w:tr>
      <w:tr w14:paraId="122AD6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02CA1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721B9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人员闸机左边道</w:t>
            </w:r>
          </w:p>
        </w:tc>
        <w:tc>
          <w:tcPr>
            <w:tcW w:w="7206" w:type="dxa"/>
            <w:vAlign w:val="center"/>
          </w:tcPr>
          <w:p w14:paraId="097227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类型：人员闸机左边道</w:t>
            </w:r>
          </w:p>
          <w:p w14:paraId="5119F2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3F354BD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4C5A82A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电机类型：无刷电机</w:t>
            </w:r>
          </w:p>
          <w:p w14:paraId="074C57B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0A10CB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716078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通行速率：20-60人/分钟，受人员情况和通行模式影响</w:t>
            </w:r>
          </w:p>
        </w:tc>
      </w:tr>
      <w:tr w14:paraId="32404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EC12C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AB307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人员闸机右边道</w:t>
            </w:r>
          </w:p>
        </w:tc>
        <w:tc>
          <w:tcPr>
            <w:tcW w:w="7206" w:type="dxa"/>
            <w:vAlign w:val="center"/>
          </w:tcPr>
          <w:p w14:paraId="3C5DA0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类型：人员闸机右边道</w:t>
            </w:r>
          </w:p>
          <w:p w14:paraId="0A25298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6AB626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6DD5E6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电机类型：无刷电机</w:t>
            </w:r>
          </w:p>
          <w:p w14:paraId="0F68DB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02D3677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1FF561B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通行速率：20-60人/分钟，受人员情况和通行模式影响</w:t>
            </w:r>
          </w:p>
        </w:tc>
      </w:tr>
      <w:tr w14:paraId="4B4E3F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2209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4B915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人员闸机中间道</w:t>
            </w:r>
          </w:p>
        </w:tc>
        <w:tc>
          <w:tcPr>
            <w:tcW w:w="7206" w:type="dxa"/>
            <w:vAlign w:val="center"/>
          </w:tcPr>
          <w:p w14:paraId="2B48A99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类型：人员闸机中间道</w:t>
            </w:r>
          </w:p>
          <w:p w14:paraId="03706E8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通道宽度：650mm</w:t>
            </w:r>
          </w:p>
          <w:p w14:paraId="391C58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3.</w:t>
            </w:r>
            <w:r>
              <w:rPr>
                <w:rFonts w:hint="eastAsia" w:ascii="宋体" w:hAnsi="宋体" w:eastAsia="宋体" w:cs="宋体"/>
                <w:kern w:val="0"/>
                <w:sz w:val="21"/>
                <w:szCs w:val="21"/>
              </w:rPr>
              <w:t>门翼材质：亚克力</w:t>
            </w:r>
          </w:p>
          <w:p w14:paraId="149CDB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电机类型：采用无刷直流电机，上电自检，故障率低，使用寿命长，最少支持连续200万次正常通行</w:t>
            </w:r>
          </w:p>
          <w:p w14:paraId="308E71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红外对数：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w:t>
            </w:r>
          </w:p>
          <w:p w14:paraId="41A032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无障碍运行次数：</w:t>
            </w:r>
            <w:r>
              <w:rPr>
                <w:rFonts w:hint="eastAsia" w:ascii="宋体" w:hAnsi="宋体" w:eastAsia="宋体" w:cs="宋体"/>
                <w:sz w:val="21"/>
                <w:szCs w:val="21"/>
                <w:lang w:val="en-US" w:eastAsia="zh-CN"/>
              </w:rPr>
              <w:t>≥</w:t>
            </w:r>
            <w:r>
              <w:rPr>
                <w:rFonts w:hint="eastAsia" w:ascii="宋体" w:hAnsi="宋体" w:eastAsia="宋体" w:cs="宋体"/>
                <w:kern w:val="0"/>
                <w:sz w:val="21"/>
                <w:szCs w:val="21"/>
              </w:rPr>
              <w:t>300万</w:t>
            </w:r>
          </w:p>
          <w:p w14:paraId="38FB41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通行速率：20-60人/分钟，受人员情况和通行模式影响</w:t>
            </w:r>
          </w:p>
          <w:p w14:paraId="2948F5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防夹功能：具备机械防夹和红外防夹，在门翼复位的过程中遇阻时电机自动停止工作,同时触发语音报警；</w:t>
            </w:r>
          </w:p>
          <w:p w14:paraId="45DA591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防尾随功能：设备采用</w:t>
            </w:r>
            <w:r>
              <w:rPr>
                <w:rFonts w:hint="eastAsia" w:ascii="宋体" w:hAnsi="宋体" w:eastAsia="宋体" w:cs="宋体"/>
                <w:sz w:val="21"/>
                <w:szCs w:val="21"/>
                <w:lang w:val="en-US" w:eastAsia="zh-CN"/>
              </w:rPr>
              <w:t>≥</w:t>
            </w:r>
            <w:r>
              <w:rPr>
                <w:rFonts w:hint="eastAsia" w:ascii="宋体" w:hAnsi="宋体" w:eastAsia="宋体" w:cs="宋体"/>
                <w:kern w:val="0"/>
                <w:sz w:val="21"/>
                <w:szCs w:val="21"/>
              </w:rPr>
              <w:t>4对红外检测传感器，采用防尾随控制技术，授权人员才能通过，未经授权人员闯入时会发出声光报警；</w:t>
            </w:r>
          </w:p>
          <w:p w14:paraId="4256AD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sz w:val="21"/>
                <w:szCs w:val="21"/>
              </w:rPr>
            </w:pPr>
            <w:r>
              <w:rPr>
                <w:rFonts w:hint="default" w:ascii="宋体" w:hAnsi="宋体" w:eastAsia="宋体" w:cs="宋体"/>
                <w:kern w:val="2"/>
                <w:sz w:val="21"/>
                <w:szCs w:val="21"/>
                <w:lang w:val="en-US" w:eastAsia="zh-CN" w:bidi="ar-SA"/>
              </w:rPr>
              <w:t>10.</w:t>
            </w:r>
            <w:r>
              <w:rPr>
                <w:rFonts w:hint="eastAsia" w:ascii="宋体" w:hAnsi="宋体" w:eastAsia="宋体" w:cs="宋体"/>
                <w:kern w:val="0"/>
                <w:sz w:val="21"/>
                <w:szCs w:val="21"/>
              </w:rPr>
              <w:t>防冲功能：在没有接收到开门信号时，门翼自动锁死；</w:t>
            </w:r>
          </w:p>
          <w:p w14:paraId="360D85F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11.</w:t>
            </w:r>
            <w:r>
              <w:rPr>
                <w:rFonts w:hint="eastAsia" w:ascii="宋体" w:hAnsi="宋体" w:eastAsia="宋体" w:cs="宋体"/>
                <w:kern w:val="0"/>
                <w:sz w:val="21"/>
                <w:szCs w:val="21"/>
              </w:rPr>
              <w:t>断电通行：断电时，门翼处于自由状态，人员可自由通行，防止恐慌。</w:t>
            </w:r>
          </w:p>
        </w:tc>
      </w:tr>
      <w:tr w14:paraId="2F426F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1150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01A3EE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人脸识别模块</w:t>
            </w:r>
          </w:p>
        </w:tc>
        <w:tc>
          <w:tcPr>
            <w:tcW w:w="7206" w:type="dxa"/>
            <w:vAlign w:val="center"/>
          </w:tcPr>
          <w:p w14:paraId="6711D64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操作系统：嵌入式系统；</w:t>
            </w:r>
          </w:p>
          <w:p w14:paraId="3B59F1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屏幕参数： 7英寸LCD触摸显示屏，屏幕比例9:16，屏幕分辨率600*1024；</w:t>
            </w:r>
          </w:p>
          <w:p w14:paraId="0C43D1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摄像头参数：采用宽动态200万双目摄像头；</w:t>
            </w:r>
          </w:p>
          <w:p w14:paraId="71BD044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认证方式：支持人脸、刷卡（IC卡、手机NFC卡、CPU卡序列号/内容、身份证卡序列号）、密码认证方式；可外接身份证、二维码功能模块；</w:t>
            </w:r>
          </w:p>
          <w:p w14:paraId="1593983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人脸验证：采用深度学习算法，支持照片、视频防假；1:N人脸验证速度≤0.2s，人脸验证准确率≥99%；</w:t>
            </w:r>
          </w:p>
          <w:p w14:paraId="5C0BE30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存储容量：本地支持 6000 人脸库、6000 张卡，5 万条事件记录；</w:t>
            </w:r>
          </w:p>
          <w:p w14:paraId="4EEC3F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硬件接口：LAN*1、RS485*1、Wiegand * 1(支持双向)、USB*1、电锁*1、门磁*1、报警输入*2、报警输出*1、开门按钮*1；</w:t>
            </w:r>
          </w:p>
          <w:p w14:paraId="294032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通信方式及网络协议：有线网络；</w:t>
            </w:r>
          </w:p>
          <w:p w14:paraId="294088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使用环境：IP65，室内外环境；</w:t>
            </w:r>
          </w:p>
          <w:p w14:paraId="2BF8BF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安装方式：壁挂安装（标配挂板，适配86底盒）；</w:t>
            </w:r>
          </w:p>
        </w:tc>
      </w:tr>
      <w:tr w14:paraId="1491A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BCFC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19FB2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生物信息采集仪</w:t>
            </w:r>
          </w:p>
        </w:tc>
        <w:tc>
          <w:tcPr>
            <w:tcW w:w="7206" w:type="dxa"/>
            <w:vAlign w:val="center"/>
          </w:tcPr>
          <w:p w14:paraId="5A8577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3.97英寸触摸显示屏，屏幕分辨率800*480；</w:t>
            </w:r>
          </w:p>
          <w:p w14:paraId="21C53F2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采用200万双目摄像头，有照片视频防假功能；</w:t>
            </w:r>
          </w:p>
          <w:p w14:paraId="56917E1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支持人脸采集、指纹采集、卡片录入（Mifare/普通CPU/国密CPU卡/二三代身份证序列号）、身份证采集；</w:t>
            </w:r>
          </w:p>
          <w:p w14:paraId="77BFB6E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支持有线网络、无线WiFi、USB口通信；</w:t>
            </w:r>
          </w:p>
          <w:p w14:paraId="2DEF8C0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支持在线采集，通过网络协议或USB口对接到平台，平台进行在线采集，采集信息实时上传；</w:t>
            </w:r>
          </w:p>
        </w:tc>
      </w:tr>
      <w:tr w14:paraId="793C36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5612F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15FED0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云门禁平台</w:t>
            </w:r>
          </w:p>
        </w:tc>
        <w:tc>
          <w:tcPr>
            <w:tcW w:w="7206" w:type="dxa"/>
            <w:vAlign w:val="center"/>
          </w:tcPr>
          <w:p w14:paraId="71E7FEB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支持接入门禁、人行摆闸、生物采集仪等设备接入，主要功能：</w:t>
            </w:r>
          </w:p>
          <w:p w14:paraId="35AD3F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自定义门禁出入权限、下发人脸和卡片、出入记录查看、学生出入同步家长等；</w:t>
            </w:r>
          </w:p>
          <w:p w14:paraId="267E74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可进行校门口考勤、学生放学家长接送；</w:t>
            </w:r>
          </w:p>
          <w:p w14:paraId="4ADDB6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远程开门，支持查看开门记录。</w:t>
            </w:r>
          </w:p>
          <w:p w14:paraId="6F542B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所有门禁、人行摆闸可以统一对接钉钉</w:t>
            </w:r>
          </w:p>
        </w:tc>
      </w:tr>
      <w:tr w14:paraId="611732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F118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三（4）</w:t>
            </w:r>
          </w:p>
        </w:tc>
        <w:tc>
          <w:tcPr>
            <w:tcW w:w="8495" w:type="dxa"/>
            <w:gridSpan w:val="2"/>
            <w:shd w:val="clear" w:color="auto" w:fill="FFFFFF"/>
            <w:vAlign w:val="center"/>
          </w:tcPr>
          <w:p w14:paraId="562D2A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车辆通道管理系统</w:t>
            </w:r>
          </w:p>
        </w:tc>
      </w:tr>
      <w:tr w14:paraId="37F775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BE01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4AD799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栅栏门道闸</w:t>
            </w:r>
          </w:p>
        </w:tc>
        <w:tc>
          <w:tcPr>
            <w:tcW w:w="7206" w:type="dxa"/>
            <w:vAlign w:val="center"/>
          </w:tcPr>
          <w:p w14:paraId="645AD9D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采用一体化机芯，平行齿轮减速连杆传动，传动平稳、效率高</w:t>
            </w:r>
          </w:p>
          <w:p w14:paraId="0F3C34E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侧贴式安装，安装方便、结构紧凑</w:t>
            </w:r>
          </w:p>
          <w:p w14:paraId="65B6D2E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齿轮碳钢材质，淬火处理工艺，抗磨损、抗冲击，寿命长</w:t>
            </w:r>
          </w:p>
          <w:p w14:paraId="241E388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直流无刷电机、输出力矩大、体积小，噪音低，精确智能控制</w:t>
            </w:r>
          </w:p>
          <w:p w14:paraId="50E380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支持遇阻反弹，开优先保护功能</w:t>
            </w:r>
          </w:p>
          <w:p w14:paraId="1230461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直流变频控制，快速抬杆慢速落杆，运行平稳</w:t>
            </w:r>
          </w:p>
          <w:p w14:paraId="73667EB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事件日志记录、方便操作追踪</w:t>
            </w:r>
          </w:p>
          <w:p w14:paraId="0B85BA1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支持红外，地感，雷达等多种防砸</w:t>
            </w:r>
          </w:p>
          <w:p w14:paraId="4D32677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支持故障码数码管检测，日志记录、丰富状态指示，故障码数码管显示、问题定位快捷、方便维护</w:t>
            </w:r>
          </w:p>
          <w:p w14:paraId="1E1A66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手动开闸功能：停电时可转动手轮，使道闸保持开状态</w:t>
            </w:r>
          </w:p>
          <w:p w14:paraId="762051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开/关到位输出接口：各1组</w:t>
            </w:r>
          </w:p>
          <w:p w14:paraId="7F4AAAB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开/关/停控制信号接口：各1组</w:t>
            </w:r>
          </w:p>
          <w:p w14:paraId="1C6699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红外/地感防砸信号接口：1组</w:t>
            </w:r>
          </w:p>
          <w:p w14:paraId="5C514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485控制接口：1组</w:t>
            </w:r>
          </w:p>
          <w:p w14:paraId="63CD09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杆子类型：栅栏</w:t>
            </w:r>
          </w:p>
          <w:p w14:paraId="18C851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防护等级：IP54</w:t>
            </w:r>
          </w:p>
          <w:p w14:paraId="606865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电机类型：直流无刷</w:t>
            </w:r>
          </w:p>
          <w:p w14:paraId="0FE63B6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运行噪声：60分贝</w:t>
            </w:r>
          </w:p>
          <w:p w14:paraId="07919E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电机功率：250W</w:t>
            </w:r>
          </w:p>
          <w:p w14:paraId="2EC61E5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运行速度：4.5s</w:t>
            </w:r>
          </w:p>
          <w:p w14:paraId="0A806E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机箱材质：冷轧钢</w:t>
            </w:r>
          </w:p>
        </w:tc>
      </w:tr>
      <w:tr w14:paraId="7EF9C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BBDD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62CC9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抓拍显示一体机</w:t>
            </w:r>
          </w:p>
        </w:tc>
        <w:tc>
          <w:tcPr>
            <w:tcW w:w="7206" w:type="dxa"/>
            <w:vAlign w:val="center"/>
          </w:tcPr>
          <w:p w14:paraId="05DAE7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高清晰：400万像素高清摄像机，最大分辨率可达2688*1520，帧率高达25fps；</w:t>
            </w:r>
          </w:p>
          <w:p w14:paraId="56C61D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集成度高：集摄像机、LED显示屏、补光灯、镜头、喇叭功放于一体，有效节省施工布线成本；</w:t>
            </w:r>
          </w:p>
          <w:p w14:paraId="6AB93BB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显示屏：支持两列行四字双色LED屏，显示内容可灵活配置</w:t>
            </w:r>
          </w:p>
          <w:p w14:paraId="3DC5E7A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内置高亮LED灯，智能补光技术，满足不同场景需求</w:t>
            </w:r>
          </w:p>
          <w:p w14:paraId="07DFA2B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支持电动变焦镜头，便于调试</w:t>
            </w:r>
          </w:p>
          <w:p w14:paraId="6FABA9A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车牌识别种类：支持识别的号牌类型包括大（小）型汽车、使领馆汽车、警用汽车、教练汽车、新能源汽车等；</w:t>
            </w:r>
          </w:p>
          <w:p w14:paraId="64B738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车辆结构化：支持车型识别，车标识别，车身颜色识别，子品牌检测</w:t>
            </w:r>
          </w:p>
          <w:p w14:paraId="34EA34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黑白名单控制：支持黑、白名单的导入及对比，可直接联动道闸开闸，支持脱机运行；</w:t>
            </w:r>
          </w:p>
          <w:p w14:paraId="0BAD92C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支持智能化视频检测抓拍，实现机动车精准抓拍识别，准确率99.9%以上（车辆目标以及对应车牌成像清晰无遮挡）</w:t>
            </w:r>
          </w:p>
          <w:p w14:paraId="051A2C6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支持跟车不落杆，实现快速通行</w:t>
            </w:r>
          </w:p>
          <w:p w14:paraId="3438A5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机箱表面采用抗紫外线静电喷塑工艺，不起皮，不褪色，防尘防水等级符合室外设备IP54级别要求；</w:t>
            </w:r>
          </w:p>
          <w:p w14:paraId="446918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一体化结构设计，布线简单，调试方便</w:t>
            </w:r>
          </w:p>
          <w:p w14:paraId="7ACAA8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摄像机</w:t>
            </w:r>
          </w:p>
          <w:p w14:paraId="57E4168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最低照度：彩色0.04lx(F2.0,AGC ON)</w:t>
            </w:r>
          </w:p>
          <w:p w14:paraId="0F0056F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黑白0.02lx(F2.0,AGC ON)</w:t>
            </w:r>
          </w:p>
          <w:p w14:paraId="30774C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快门：1/30秒至1/100,000秒</w:t>
            </w:r>
          </w:p>
          <w:p w14:paraId="7B3CCC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传感器类型：1/3" Progressive Scan CMOS</w:t>
            </w:r>
          </w:p>
          <w:p w14:paraId="4794D06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自动光圈：DC驱动</w:t>
            </w:r>
          </w:p>
          <w:p w14:paraId="24E4028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ICR切换：支持</w:t>
            </w:r>
          </w:p>
          <w:p w14:paraId="2A382D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镜头：3.1~6mm电动变焦镜头</w:t>
            </w:r>
          </w:p>
          <w:p w14:paraId="53D5ED4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数字降噪：3D数字降噪帧率：25fps(2688*1520)</w:t>
            </w:r>
          </w:p>
          <w:p w14:paraId="3D5F3F4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图像设置：饱和度,亮度,对比度,白平衡,增益,3D降噪通过软件可调</w:t>
            </w:r>
          </w:p>
          <w:p w14:paraId="7E7868A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23.</w:t>
            </w:r>
            <w:r>
              <w:rPr>
                <w:rFonts w:hint="eastAsia" w:ascii="宋体" w:hAnsi="宋体" w:eastAsia="宋体" w:cs="宋体"/>
                <w:kern w:val="0"/>
                <w:sz w:val="21"/>
                <w:szCs w:val="21"/>
              </w:rPr>
              <w:t>图像格式：JPEG</w:t>
            </w:r>
          </w:p>
          <w:p w14:paraId="23EADCF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24.</w:t>
            </w:r>
            <w:r>
              <w:rPr>
                <w:rFonts w:hint="eastAsia" w:ascii="宋体" w:hAnsi="宋体" w:eastAsia="宋体" w:cs="宋体"/>
                <w:kern w:val="0"/>
                <w:sz w:val="21"/>
                <w:szCs w:val="21"/>
              </w:rPr>
              <w:t>最大图像尺寸：2688*1520</w:t>
            </w:r>
          </w:p>
          <w:p w14:paraId="024B998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25.</w:t>
            </w:r>
            <w:r>
              <w:rPr>
                <w:rFonts w:hint="eastAsia" w:ascii="宋体" w:hAnsi="宋体" w:eastAsia="宋体" w:cs="宋体"/>
                <w:kern w:val="0"/>
                <w:sz w:val="21"/>
                <w:szCs w:val="21"/>
              </w:rPr>
              <w:t>网络功能</w:t>
            </w:r>
          </w:p>
          <w:p w14:paraId="7B298A7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26.</w:t>
            </w:r>
            <w:r>
              <w:rPr>
                <w:rFonts w:hint="eastAsia" w:ascii="宋体" w:hAnsi="宋体" w:eastAsia="宋体" w:cs="宋体"/>
                <w:kern w:val="0"/>
                <w:sz w:val="21"/>
                <w:szCs w:val="21"/>
              </w:rPr>
              <w:t>支持协议：TCP/IP,HTTP,DHCP,DNS,RTP,RTSP,NTP,支持FTP上传图片</w:t>
            </w:r>
          </w:p>
          <w:p w14:paraId="48DA8CE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27.</w:t>
            </w:r>
            <w:r>
              <w:rPr>
                <w:rFonts w:hint="eastAsia" w:ascii="宋体" w:hAnsi="宋体" w:eastAsia="宋体" w:cs="宋体"/>
                <w:kern w:val="0"/>
                <w:sz w:val="21"/>
                <w:szCs w:val="21"/>
              </w:rPr>
              <w:t>抓拍功能</w:t>
            </w:r>
          </w:p>
          <w:p w14:paraId="609A58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28.</w:t>
            </w:r>
            <w:r>
              <w:rPr>
                <w:rFonts w:hint="eastAsia" w:ascii="宋体" w:hAnsi="宋体" w:eastAsia="宋体" w:cs="宋体"/>
                <w:kern w:val="0"/>
                <w:sz w:val="21"/>
                <w:szCs w:val="21"/>
              </w:rPr>
              <w:t>智能识别：车牌识别,</w:t>
            </w:r>
          </w:p>
          <w:p w14:paraId="4C1EC8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29.</w:t>
            </w:r>
            <w:r>
              <w:rPr>
                <w:rFonts w:hint="eastAsia" w:ascii="宋体" w:hAnsi="宋体" w:eastAsia="宋体" w:cs="宋体"/>
                <w:kern w:val="0"/>
                <w:sz w:val="21"/>
                <w:szCs w:val="21"/>
              </w:rPr>
              <w:t>补光灯控制：补光灯自动光控、时控可选；</w:t>
            </w:r>
          </w:p>
          <w:p w14:paraId="2A4E74D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30.</w:t>
            </w:r>
            <w:r>
              <w:rPr>
                <w:rFonts w:hint="eastAsia" w:ascii="宋体" w:hAnsi="宋体" w:eastAsia="宋体" w:cs="宋体"/>
                <w:kern w:val="0"/>
                <w:sz w:val="21"/>
                <w:szCs w:val="21"/>
              </w:rPr>
              <w:t>图片格式：采用JPEG编码,图片质量可设</w:t>
            </w:r>
          </w:p>
        </w:tc>
      </w:tr>
      <w:tr w14:paraId="78723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9C7B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A71B2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防砸雷达</w:t>
            </w:r>
          </w:p>
        </w:tc>
        <w:tc>
          <w:tcPr>
            <w:tcW w:w="7206" w:type="dxa"/>
            <w:vAlign w:val="center"/>
          </w:tcPr>
          <w:p w14:paraId="6C69D4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【防砸雷达】</w:t>
            </w:r>
          </w:p>
          <w:p w14:paraId="3EC056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采用79GHz MMIC技术，分辨率更高，检测更稳定；</w:t>
            </w:r>
          </w:p>
          <w:p w14:paraId="535589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雷达检测距离可调，检测宽度可调，操作方便，通用性强；</w:t>
            </w:r>
          </w:p>
          <w:p w14:paraId="6EBD89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无需学习背景，适应更多复杂现场环境；</w:t>
            </w:r>
          </w:p>
          <w:p w14:paraId="31840F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采用先进的信号处理技术，可稳定检测到行人和车辆，有效防止“砸车、砸人”事故的发生。</w:t>
            </w:r>
          </w:p>
          <w:p w14:paraId="6BA8F6B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采用LED灯指示雷达工作状态，状态更直观。 </w:t>
            </w:r>
          </w:p>
          <w:p w14:paraId="1BD7D4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自动记录雷达的配置参数，断电重启后可恢复至之前的工作状态；</w:t>
            </w:r>
          </w:p>
          <w:p w14:paraId="2E5263F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环境适应性强，检测性能不受电磁干扰、光照、灰尘、雨雪等外界环境影响。</w:t>
            </w:r>
          </w:p>
          <w:p w14:paraId="6DB2B26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具备检测车和人功能，支持单人过滤。</w:t>
            </w:r>
          </w:p>
        </w:tc>
      </w:tr>
      <w:tr w14:paraId="64AB0F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0B21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55E51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触发雷达</w:t>
            </w:r>
          </w:p>
        </w:tc>
        <w:tc>
          <w:tcPr>
            <w:tcW w:w="7206" w:type="dxa"/>
            <w:vAlign w:val="center"/>
          </w:tcPr>
          <w:p w14:paraId="6DF8A81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【触发雷达】</w:t>
            </w:r>
          </w:p>
          <w:p w14:paraId="096A19B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采用79GHz MMIC技术，分辨率更高，检测更稳定；</w:t>
            </w:r>
          </w:p>
          <w:p w14:paraId="1F08FB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雷达检测距离可调，检测宽度可调，操作方便，通用性强；</w:t>
            </w:r>
          </w:p>
          <w:p w14:paraId="394F1D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无需学习背景，适应更多复杂现场环境；</w:t>
            </w:r>
          </w:p>
          <w:p w14:paraId="049ABE9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提供RS485串口或者WIFI通讯功能，WIFI版本配备手机APP，可对雷达进行在线调试、固件升级，操作更方便；</w:t>
            </w:r>
          </w:p>
          <w:p w14:paraId="669384E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安装与维护方便，所需人力少，工时短。</w:t>
            </w:r>
          </w:p>
          <w:p w14:paraId="6CDD0E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具备检测车和人功能，支持单人过滤。</w:t>
            </w:r>
          </w:p>
          <w:p w14:paraId="532A05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自动记录雷达的配置参数，断电重启后可恢复至之前的工作状态；</w:t>
            </w:r>
          </w:p>
          <w:p w14:paraId="13966B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环境适应性强，检测性能不受电磁干扰、光照、灰尘、雨雪等外界环境影响。</w:t>
            </w:r>
          </w:p>
        </w:tc>
      </w:tr>
      <w:tr w14:paraId="5A094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4A6B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773F5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终端</w:t>
            </w:r>
          </w:p>
        </w:tc>
        <w:tc>
          <w:tcPr>
            <w:tcW w:w="7206" w:type="dxa"/>
            <w:vAlign w:val="center"/>
          </w:tcPr>
          <w:p w14:paraId="63A437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【显示一体机】【单机4车道】【含键鼠】【4进4出开关量口】【多接口】</w:t>
            </w:r>
          </w:p>
          <w:p w14:paraId="19B88E8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一体化设计，集成21.5英寸显示器，集成主机，节省空间，快速部署</w:t>
            </w:r>
          </w:p>
          <w:p w14:paraId="02C1AA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双千兆网卡，支持网络容错以及双网络IP设定、双网隔离等应用</w:t>
            </w:r>
          </w:p>
          <w:p w14:paraId="788CF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5个带交换机功能的100M以太网接口及1个独立1000M网络接口 </w:t>
            </w:r>
          </w:p>
          <w:p w14:paraId="13B8713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2个标准全功能RS232接口，可直接接入标准RS232接口设备</w:t>
            </w:r>
          </w:p>
          <w:p w14:paraId="5CA5E53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标配</w:t>
            </w:r>
            <w:r>
              <w:rPr>
                <w:rFonts w:hint="eastAsia" w:ascii="宋体" w:hAnsi="宋体" w:eastAsia="宋体" w:cs="宋体"/>
                <w:sz w:val="21"/>
                <w:szCs w:val="21"/>
                <w:lang w:val="en-US" w:eastAsia="zh-CN"/>
              </w:rPr>
              <w:t>≥</w:t>
            </w:r>
            <w:r>
              <w:rPr>
                <w:rFonts w:hint="eastAsia" w:ascii="宋体" w:hAnsi="宋体" w:eastAsia="宋体" w:cs="宋体"/>
                <w:kern w:val="0"/>
                <w:sz w:val="21"/>
                <w:szCs w:val="21"/>
              </w:rPr>
              <w:t xml:space="preserve">128G SSD，应对恶略运行环境， </w:t>
            </w:r>
          </w:p>
          <w:p w14:paraId="1643C3E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预留SATA接口，可选配内置一块机械硬盘</w:t>
            </w:r>
          </w:p>
          <w:p w14:paraId="3EA05E6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自主设计开发BIOS，</w:t>
            </w:r>
          </w:p>
          <w:p w14:paraId="1923F65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 xml:space="preserve">HDMI显示器输出支持， </w:t>
            </w:r>
          </w:p>
        </w:tc>
      </w:tr>
      <w:tr w14:paraId="5DAB4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3FBE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三（5）</w:t>
            </w:r>
          </w:p>
        </w:tc>
        <w:tc>
          <w:tcPr>
            <w:tcW w:w="8495" w:type="dxa"/>
            <w:gridSpan w:val="2"/>
            <w:shd w:val="clear" w:color="auto" w:fill="FFFFFF"/>
            <w:vAlign w:val="center"/>
          </w:tcPr>
          <w:p w14:paraId="30B68A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color w:val="000000"/>
                <w:kern w:val="0"/>
                <w:sz w:val="21"/>
                <w:szCs w:val="21"/>
                <w:lang w:bidi="ar"/>
              </w:rPr>
              <w:t>巡更系统</w:t>
            </w:r>
          </w:p>
        </w:tc>
      </w:tr>
      <w:tr w14:paraId="041992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C3F0D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5429D7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感应巡更棒</w:t>
            </w:r>
          </w:p>
        </w:tc>
        <w:tc>
          <w:tcPr>
            <w:tcW w:w="7206" w:type="dxa"/>
            <w:vAlign w:val="center"/>
          </w:tcPr>
          <w:p w14:paraId="090DBB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 电   池:1150mAH</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 存   储:6万条数据</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 读卡距离:3CM～5CM</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 防护等级:IP67</w:t>
            </w:r>
          </w:p>
        </w:tc>
      </w:tr>
      <w:tr w14:paraId="5D9E6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D5396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9F500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信息钮</w:t>
            </w:r>
          </w:p>
        </w:tc>
        <w:tc>
          <w:tcPr>
            <w:tcW w:w="7206" w:type="dxa"/>
            <w:vAlign w:val="center"/>
          </w:tcPr>
          <w:p w14:paraId="4E1C3B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具有防水、防尘、防腐蚀、耐高低温、使用寿命长且体积小等特点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工作频率:125KHz</w:t>
            </w:r>
          </w:p>
        </w:tc>
      </w:tr>
      <w:tr w14:paraId="062A32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ECF8A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38510E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软件</w:t>
            </w:r>
          </w:p>
        </w:tc>
        <w:tc>
          <w:tcPr>
            <w:tcW w:w="7206" w:type="dxa"/>
            <w:vAlign w:val="center"/>
          </w:tcPr>
          <w:p w14:paraId="040B5D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1)设置简单灵活实现智能化操作。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 计划：智能排班，可实现任何方式的排班计划，排班可修改。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 查询：单条件及多条件组合查询，人员、线路、时间、漏检等情况，不同颜色代表不同结果，一目了然。</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 统计：自动分析巡检巡更情况，扇形图表及多种图表显示，更清晰更明了。</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 安全：双重密码保护，数据自动备份，安全可靠。</w:t>
            </w:r>
          </w:p>
        </w:tc>
      </w:tr>
      <w:tr w14:paraId="40E603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60342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FAF3B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7C7B7C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CPU≥6核</w:t>
            </w:r>
          </w:p>
          <w:p w14:paraId="5C8B3B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内存≥8G</w:t>
            </w:r>
          </w:p>
          <w:p w14:paraId="7B7892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硬盘：≥256G固态硬盘+1T机械硬盘</w:t>
            </w:r>
          </w:p>
          <w:p w14:paraId="6C0017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rPr>
              <w:t>正版操作系统</w:t>
            </w:r>
          </w:p>
          <w:p w14:paraId="0FE8C0BE">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kern w:val="0"/>
                <w:sz w:val="21"/>
                <w:szCs w:val="21"/>
                <w:lang w:val="en-US" w:eastAsia="zh-CN" w:bidi="ar-SA"/>
              </w:rPr>
            </w:pPr>
            <w:r>
              <w:rPr>
                <w:rFonts w:hint="eastAsia" w:ascii="宋体" w:hAnsi="宋体" w:eastAsia="宋体" w:cs="宋体"/>
                <w:kern w:val="0"/>
                <w:sz w:val="21"/>
                <w:szCs w:val="21"/>
                <w:lang w:val="en-US" w:eastAsia="zh-CN" w:bidi="ar-SA"/>
              </w:rPr>
              <w:t>21寸显示器</w:t>
            </w:r>
          </w:p>
          <w:p w14:paraId="0B31DD9D">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kern w:val="0"/>
                <w:sz w:val="21"/>
                <w:szCs w:val="21"/>
                <w:lang w:val="en-US" w:eastAsia="zh-CN"/>
              </w:rPr>
            </w:pPr>
            <w:r>
              <w:rPr>
                <w:rFonts w:hint="eastAsia" w:ascii="宋体" w:hAnsi="宋体" w:eastAsia="宋体" w:cs="宋体"/>
                <w:kern w:val="0"/>
                <w:sz w:val="21"/>
                <w:szCs w:val="21"/>
                <w:lang w:val="en-US" w:eastAsia="zh-CN" w:bidi="ar-SA"/>
              </w:rPr>
              <w:t>鼠标键盘</w:t>
            </w:r>
          </w:p>
        </w:tc>
      </w:tr>
      <w:tr w14:paraId="78344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67BE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三（6）</w:t>
            </w:r>
          </w:p>
        </w:tc>
        <w:tc>
          <w:tcPr>
            <w:tcW w:w="8495" w:type="dxa"/>
            <w:gridSpan w:val="2"/>
            <w:shd w:val="clear" w:color="auto" w:fill="FFFFFF"/>
            <w:vAlign w:val="center"/>
          </w:tcPr>
          <w:p w14:paraId="63620D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防撞升降柱</w:t>
            </w:r>
          </w:p>
        </w:tc>
      </w:tr>
      <w:tr w14:paraId="343915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9CF1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1</w:t>
            </w:r>
          </w:p>
        </w:tc>
        <w:tc>
          <w:tcPr>
            <w:tcW w:w="1289" w:type="dxa"/>
            <w:shd w:val="clear" w:color="auto" w:fill="FFFFFF"/>
            <w:vAlign w:val="center"/>
          </w:tcPr>
          <w:p w14:paraId="16E5F6CC">
            <w:pPr>
              <w:keepNext w:val="0"/>
              <w:keepLines w:val="0"/>
              <w:pageBreakBefore w:val="0"/>
              <w:widowControl/>
              <w:suppressLineNumbers w:val="0"/>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升降柱</w:t>
            </w:r>
          </w:p>
        </w:tc>
        <w:tc>
          <w:tcPr>
            <w:tcW w:w="7206" w:type="dxa"/>
            <w:vAlign w:val="center"/>
          </w:tcPr>
          <w:p w14:paraId="71D1707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驱动方式：液压驱动</w:t>
            </w:r>
          </w:p>
          <w:p w14:paraId="0BC644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应急方式：后备电源控制电磁阀释放</w:t>
            </w:r>
          </w:p>
          <w:p w14:paraId="51470F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柱体壁厚：≥6mm</w:t>
            </w:r>
          </w:p>
          <w:p w14:paraId="0015B7B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升降高度：600±10mm</w:t>
            </w:r>
          </w:p>
          <w:p w14:paraId="185F66D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升/降时间：3S±0.2</w:t>
            </w:r>
          </w:p>
          <w:p w14:paraId="620C68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警示方式：LED指示灯/3M反光带</w:t>
            </w:r>
          </w:p>
          <w:p w14:paraId="6AFAE4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额定功率：≤350W（施工布线按1200W进行）</w:t>
            </w:r>
          </w:p>
          <w:p w14:paraId="6D4273D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柱体材质：304不锈钢</w:t>
            </w:r>
          </w:p>
          <w:p w14:paraId="43DFF57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地基盒材质：Q235（电泳）</w:t>
            </w:r>
          </w:p>
          <w:p w14:paraId="60366E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控制方式：控制盒/遥控器</w:t>
            </w:r>
          </w:p>
          <w:p w14:paraId="235127D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防护等级：IP68</w:t>
            </w:r>
          </w:p>
          <w:p w14:paraId="5CF7CE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柱体直径：219±0.5mm</w:t>
            </w:r>
          </w:p>
          <w:p w14:paraId="37EDA9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功能：具有开闸、关闸以及停闸的功能，且具有开优先的特点，应急释放，防止断电情况下柱体不能下降</w:t>
            </w:r>
          </w:p>
        </w:tc>
      </w:tr>
      <w:tr w14:paraId="719BB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2102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color w:val="000000"/>
                <w:kern w:val="0"/>
                <w:sz w:val="21"/>
                <w:szCs w:val="21"/>
                <w:lang w:val="en-US" w:eastAsia="zh-CN" w:bidi="ar"/>
              </w:rPr>
              <w:t>2</w:t>
            </w:r>
          </w:p>
        </w:tc>
        <w:tc>
          <w:tcPr>
            <w:tcW w:w="1289" w:type="dxa"/>
            <w:shd w:val="clear" w:color="auto" w:fill="FFFFFF"/>
            <w:vAlign w:val="center"/>
          </w:tcPr>
          <w:p w14:paraId="17A0232C">
            <w:pPr>
              <w:keepNext w:val="0"/>
              <w:keepLines w:val="0"/>
              <w:pageBreakBefore w:val="0"/>
              <w:widowControl/>
              <w:suppressLineNumbers w:val="0"/>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i w:val="0"/>
                <w:iCs w:val="0"/>
                <w:color w:val="000000"/>
                <w:kern w:val="0"/>
                <w:sz w:val="21"/>
                <w:szCs w:val="21"/>
                <w:u w:val="none"/>
                <w:lang w:val="en-US" w:eastAsia="zh-CN" w:bidi="ar"/>
              </w:rPr>
              <w:t>升降柱控制盒</w:t>
            </w:r>
          </w:p>
        </w:tc>
        <w:tc>
          <w:tcPr>
            <w:tcW w:w="7206" w:type="dxa"/>
            <w:vAlign w:val="center"/>
          </w:tcPr>
          <w:p w14:paraId="534C6A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可实现线控遥控等功能， 系统集成于箱体内。</w:t>
            </w:r>
          </w:p>
          <w:p w14:paraId="0AC1A4C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应急释放，防止断电情况下柱体不能下降 </w:t>
            </w:r>
          </w:p>
          <w:p w14:paraId="0C8B3E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可同步控制多台路障起降 </w:t>
            </w:r>
          </w:p>
          <w:p w14:paraId="12B7830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 xml:space="preserve">应急方式：后备电源控制电磁阀释放 </w:t>
            </w:r>
          </w:p>
          <w:p w14:paraId="124628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控制方式：手动/遥控 </w:t>
            </w:r>
          </w:p>
          <w:p w14:paraId="6FAF0C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负载功率：1.2-7.2 kw </w:t>
            </w:r>
          </w:p>
          <w:p w14:paraId="39C6339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柱体材质：优质冷轧钢板 </w:t>
            </w:r>
          </w:p>
          <w:p w14:paraId="67E35BB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遥控距离：≥30米 </w:t>
            </w:r>
          </w:p>
          <w:p w14:paraId="6E0D02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center"/>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防护等级：IP54</w:t>
            </w:r>
          </w:p>
        </w:tc>
      </w:tr>
      <w:tr w14:paraId="19C51E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C4F4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四</w:t>
            </w:r>
          </w:p>
        </w:tc>
        <w:tc>
          <w:tcPr>
            <w:tcW w:w="8495" w:type="dxa"/>
            <w:gridSpan w:val="2"/>
            <w:shd w:val="clear" w:color="auto" w:fill="FFFFFF"/>
            <w:vAlign w:val="center"/>
          </w:tcPr>
          <w:p w14:paraId="080D242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广播系统</w:t>
            </w:r>
          </w:p>
        </w:tc>
      </w:tr>
      <w:tr w14:paraId="5B51D5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30DA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b/>
                <w:bCs/>
                <w:color w:val="000000"/>
                <w:sz w:val="21"/>
                <w:szCs w:val="21"/>
              </w:rPr>
            </w:pPr>
            <w:r>
              <w:rPr>
                <w:rFonts w:hint="eastAsia" w:ascii="宋体" w:hAnsi="宋体" w:eastAsia="宋体" w:cs="宋体"/>
                <w:b/>
                <w:bCs/>
                <w:color w:val="000000"/>
                <w:sz w:val="21"/>
                <w:szCs w:val="21"/>
              </w:rPr>
              <w:t>四（1）</w:t>
            </w:r>
          </w:p>
        </w:tc>
        <w:tc>
          <w:tcPr>
            <w:tcW w:w="8495" w:type="dxa"/>
            <w:gridSpan w:val="2"/>
            <w:shd w:val="clear" w:color="auto" w:fill="FFFFFF"/>
            <w:vAlign w:val="center"/>
          </w:tcPr>
          <w:p w14:paraId="3F5D66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b/>
                <w:bCs/>
                <w:color w:val="000000"/>
                <w:kern w:val="0"/>
                <w:sz w:val="21"/>
                <w:szCs w:val="21"/>
                <w:lang w:bidi="ar"/>
              </w:rPr>
            </w:pPr>
            <w:r>
              <w:rPr>
                <w:rFonts w:hint="eastAsia" w:ascii="宋体" w:hAnsi="宋体" w:eastAsia="宋体" w:cs="宋体"/>
                <w:b/>
                <w:bCs/>
                <w:color w:val="000000"/>
                <w:kern w:val="0"/>
                <w:sz w:val="21"/>
                <w:szCs w:val="21"/>
                <w:lang w:bidi="ar"/>
              </w:rPr>
              <w:t>广播中心</w:t>
            </w:r>
          </w:p>
        </w:tc>
      </w:tr>
      <w:tr w14:paraId="3A2BC0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7411C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799070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控制主机</w:t>
            </w:r>
          </w:p>
        </w:tc>
        <w:tc>
          <w:tcPr>
            <w:tcW w:w="7206" w:type="dxa"/>
            <w:vAlign w:val="center"/>
          </w:tcPr>
          <w:p w14:paraId="30256D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1.机柜式机箱设计，机箱采用钢结构，采用≥17英寸LED液晶显示屏，触摸屏操控。</w:t>
            </w:r>
          </w:p>
          <w:p w14:paraId="0BA22C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2.内置抽拉键盘、触控鼠标面板，支持通过USB接口外接鼠标键盘。</w:t>
            </w:r>
          </w:p>
          <w:p w14:paraId="1BBB94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3.配置128GBmSATA固态硬盘。</w:t>
            </w:r>
          </w:p>
          <w:p w14:paraId="0E4E06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4.配置≥6路USB接口，6路通用串口(6组工业异步传输接口)，最高480M(标称)传输速率，配置2路千兆网卡，兼容百兆网络。</w:t>
            </w:r>
          </w:p>
          <w:p w14:paraId="5BC289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5.支持双显卡，可外接最大FullHD显示设备。</w:t>
            </w:r>
          </w:p>
          <w:p w14:paraId="18CC05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6.具有一路短路触发开机运行接口，用于外部设备定时驱动开机运行。</w:t>
            </w:r>
          </w:p>
          <w:p w14:paraId="6F7DCE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.运载服务器软件后构成系统管理控制中心，服务器软件采用后台系统服务运行，是服务器工作模式，开机系统即可自动运行。</w:t>
            </w:r>
          </w:p>
        </w:tc>
      </w:tr>
      <w:tr w14:paraId="0A77A5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EFBD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D8E4A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数字化IP网络广播客户端管理软件</w:t>
            </w:r>
          </w:p>
        </w:tc>
        <w:tc>
          <w:tcPr>
            <w:tcW w:w="7206" w:type="dxa"/>
            <w:vAlign w:val="center"/>
          </w:tcPr>
          <w:p w14:paraId="307409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1.软件是整个系统的运行核心，统一管理系统内所有音频终端，包括寻呼话筒、对讲终端、广播终端和消防接口设备，实时显示音频终端的IP地址、在线状态、任务状态、音量等运行状态。</w:t>
            </w:r>
          </w:p>
          <w:p w14:paraId="5DA671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支撑各音频终端的运行，负责音频流传输管理，响应各音频终端播放请求和音频全双工交换，支持B/S架构，通过网页登陆可进行终端管理、用户管理、节目播放管理、音频文件管理、录音存贮、内部通讯调度处理等功能。</w:t>
            </w:r>
          </w:p>
          <w:p w14:paraId="256BAD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3.管理节目库资源，为所有音频终端器提供定时播放和实时点播媒体服务，响应各终端的节目播放请求，为各音频工作站提供数据接口服务。</w:t>
            </w:r>
          </w:p>
          <w:p w14:paraId="4D082E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4.提供全双工语音数据交换，响应各对讲终端的呼叫和通话请求，支持一键呼叫、一键对讲、一键求助、一键报警等通话模式，支持自动接听、手动接听，支持自定义接听提示音。</w:t>
            </w:r>
          </w:p>
          <w:p w14:paraId="18A5E7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多种呼叫策略，包括无响应转移、占线转移、关机转移，支持时间策略和转移策略自定义设置。支持设置对讲终端呼叫策略，可自定义通话时间0-180S或不受限，可选择是否自动接听，支持自定义选择来电铃声与等待铃声。</w:t>
            </w:r>
          </w:p>
          <w:p w14:paraId="6A4F1A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6.支持终端短路输入联动触发，可任意设置联动触发方案和触发终端数量，触发方案包括短路输出、音乐播放、巡更警报等。</w:t>
            </w:r>
          </w:p>
          <w:p w14:paraId="6338CA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7.编程定时任务，支持编程多套定时方案，支持选择任意终端和设置任意时间；支持定时任务执行测试、设置重复周期。支持定时任务多种音源选择（音乐播放、声卡采集、终端采集）。</w:t>
            </w:r>
          </w:p>
          <w:p w14:paraId="7B71FB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8.支持多套定时打铃方案同时启用，每套定时打铃方案支持多套任务同时进行，支持一键启用/停用所有方案。</w:t>
            </w:r>
          </w:p>
          <w:p w14:paraId="58220C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9.支持定时打铃功能，支持打铃方案克隆，任务执行与停止控制、定时任务禁用与启用功能。</w:t>
            </w:r>
          </w:p>
          <w:p w14:paraId="6807FB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10.支持定时巡更功能，支持自定义巡更任务的执行时间及重复周期，可自定义指示灯闪烁间隔时间0-30s。</w:t>
            </w:r>
          </w:p>
          <w:p w14:paraId="0C9E2A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11.支持今日任务列表查看，管理今日执行的所有定时任务信息和执行状态。</w:t>
            </w:r>
          </w:p>
          <w:p w14:paraId="70ABFC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2</w:t>
            </w:r>
            <w:r>
              <w:rPr>
                <w:rFonts w:hint="eastAsia" w:ascii="宋体" w:hAnsi="宋体" w:eastAsia="宋体" w:cs="宋体"/>
                <w:color w:val="000000"/>
                <w:kern w:val="0"/>
                <w:sz w:val="21"/>
                <w:szCs w:val="21"/>
              </w:rPr>
              <w:t>.支持对≥8路功率分区终端进行功率控制分区设置，通过web页面后台或分控客户端均可设置分区。</w:t>
            </w:r>
          </w:p>
          <w:p w14:paraId="5BF7AC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.支持对终端设置时间显示配置，可设置1-6级别亮度值，可设置断网后不显示时间等模式。</w:t>
            </w:r>
          </w:p>
          <w:p w14:paraId="3C669A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.支持对终端设置不同的灯光模式，可分别自定义设置红灯亮、红灯灭、绿灯/蓝灯亮、绿灯/蓝灯灭时间0-10S。</w:t>
            </w:r>
          </w:p>
          <w:p w14:paraId="571580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.支持广播、对讲、实时采集、终端监听进行录音；支持文本广播功能，可实现将文本转成语音，支持后台调整语速。</w:t>
            </w:r>
          </w:p>
          <w:p w14:paraId="6763D0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.支持终端明细导出功能，支持通过表格方式导出当前系统终端的配置详情。支持批量修改定时任务的时间、执行终端。</w:t>
            </w:r>
          </w:p>
        </w:tc>
      </w:tr>
      <w:tr w14:paraId="1D25D9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75B35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74C5E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IP音频采集器</w:t>
            </w:r>
          </w:p>
        </w:tc>
        <w:tc>
          <w:tcPr>
            <w:tcW w:w="7206" w:type="dxa"/>
            <w:vAlign w:val="center"/>
          </w:tcPr>
          <w:p w14:paraId="0D56C3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1.采集设备支持将模拟音频采集编码成数字音频，具有≥1路RJ45网络接口，支持定时采播任务、临时采播任务功能。</w:t>
            </w:r>
          </w:p>
          <w:p w14:paraId="38CC09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2.具有≥2组RCA音频输入接口，支持音量调节功能。</w:t>
            </w:r>
          </w:p>
          <w:p w14:paraId="20BABD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3.采播任务支持≥3种采集音质可选，支持普通、中级、高级音质选择模式。</w:t>
            </w:r>
          </w:p>
          <w:p w14:paraId="687D2B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4.支持声压触发采集外部音源，智能识别音频,自动建立采集任务,可自定义执行区域,可自定义延时关闭时间。</w:t>
            </w:r>
          </w:p>
        </w:tc>
      </w:tr>
      <w:tr w14:paraId="127C72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ADFB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F9FBB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话筒</w:t>
            </w:r>
          </w:p>
        </w:tc>
        <w:tc>
          <w:tcPr>
            <w:tcW w:w="7206" w:type="dxa"/>
            <w:vAlign w:val="center"/>
          </w:tcPr>
          <w:p w14:paraId="345F96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1.指向性：心形指向性</w:t>
            </w:r>
          </w:p>
          <w:p w14:paraId="5481CB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2.信噪比：≥65dB SPL 1KHz at 1Pa</w:t>
            </w:r>
          </w:p>
          <w:p w14:paraId="55035B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3.频率响应等同或优于20-18KHz</w:t>
            </w:r>
          </w:p>
          <w:p w14:paraId="28B598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4.输出阻抗：≥75Ω</w:t>
            </w:r>
          </w:p>
          <w:p w14:paraId="68C904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5.灵敏度：≥-40dB±2dB</w:t>
            </w:r>
          </w:p>
        </w:tc>
      </w:tr>
      <w:tr w14:paraId="6A4009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4C1A2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4F083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寻呼话筒</w:t>
            </w:r>
          </w:p>
        </w:tc>
        <w:tc>
          <w:tcPr>
            <w:tcW w:w="7206" w:type="dxa"/>
            <w:vAlign w:val="center"/>
          </w:tcPr>
          <w:p w14:paraId="33A197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1.采用话筒桌面式设计，带有显示屏，带触摸控制功能；显示屏自带数字键、功能键，支持通过触摸呼叫广播，支持呼叫分区及多个分区，呼叫全区广播；可支持≥10个按键自定义一键呼叫广播功能。</w:t>
            </w:r>
          </w:p>
          <w:p w14:paraId="68E474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2.内置≥1路网络硬件音频解码模块，具有≥1路RJ45网络接口，≥100Mbps传输速率。</w:t>
            </w:r>
          </w:p>
          <w:p w14:paraId="6822B3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.支持≥1路音频线路输入，支持采集播放功能；具有≥1路音频线路输出，可外接功率放大器。</w:t>
            </w:r>
          </w:p>
          <w:p w14:paraId="02DDFC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.支持直接操作呼叫或对讲任意终端，支持通过话筒广播呼叫功能，广播延时≤100毫秒。</w:t>
            </w:r>
          </w:p>
          <w:p w14:paraId="0718CE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.支持多种呼叫策略，包括无响应转移、占线转移、关机转移；自动接听、手动接听，支持自定义接听提示音，支持转移时间、无人接听时间、呼叫等待时间自定义。</w:t>
            </w:r>
          </w:p>
          <w:p w14:paraId="039562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.具有≥1路短路输出接口、≥1路短路输入接口。</w:t>
            </w:r>
          </w:p>
        </w:tc>
      </w:tr>
      <w:tr w14:paraId="2EFAA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2AD1F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1289" w:type="dxa"/>
            <w:shd w:val="clear" w:color="auto" w:fill="FFFFFF"/>
            <w:vAlign w:val="center"/>
          </w:tcPr>
          <w:p w14:paraId="4D7A4E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采集器（消防）</w:t>
            </w:r>
          </w:p>
        </w:tc>
        <w:tc>
          <w:tcPr>
            <w:tcW w:w="7206" w:type="dxa"/>
            <w:vAlign w:val="center"/>
          </w:tcPr>
          <w:p w14:paraId="38BCB9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1.机柜式设计，拉丝铝合金面板。</w:t>
            </w:r>
          </w:p>
          <w:p w14:paraId="7D65E7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2.设备采用嵌入式计算机技术和DSP音频处理技术设计。</w:t>
            </w:r>
          </w:p>
          <w:p w14:paraId="7E2FE9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3.支持≥16路消防短路信号输入接口</w:t>
            </w:r>
          </w:p>
          <w:p w14:paraId="144178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4.面板支持一键取消任务。</w:t>
            </w:r>
          </w:p>
          <w:p w14:paraId="4E9735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5.支持后台设置报警策略，可为每路短路信号输入端口配置报警策略，关联联动的终端及播放曲目等功能。</w:t>
            </w:r>
          </w:p>
          <w:p w14:paraId="21905F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6.标配网络接口，全速率连接可达≥100M。</w:t>
            </w:r>
          </w:p>
          <w:p w14:paraId="157ECC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7.短路接口：标准压线接线端子。</w:t>
            </w:r>
          </w:p>
        </w:tc>
      </w:tr>
      <w:tr w14:paraId="7BF5C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0DE5E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w:t>
            </w:r>
          </w:p>
        </w:tc>
        <w:tc>
          <w:tcPr>
            <w:tcW w:w="1289" w:type="dxa"/>
            <w:shd w:val="clear" w:color="auto" w:fill="FFFFFF"/>
            <w:vAlign w:val="center"/>
          </w:tcPr>
          <w:p w14:paraId="69FF1E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IP网络音箱</w:t>
            </w:r>
          </w:p>
        </w:tc>
        <w:tc>
          <w:tcPr>
            <w:tcW w:w="7206" w:type="dxa"/>
            <w:vAlign w:val="center"/>
          </w:tcPr>
          <w:p w14:paraId="38F5A1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1.网络接口：标准RJ45输入，音频格式：MP3</w:t>
            </w:r>
          </w:p>
          <w:p w14:paraId="12B717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2.内置≥2x20W（MAX）的双通道数字功率放大器，≥一路接主音箱，≥一路外接到副音箱；具有网络音量设置。</w:t>
            </w:r>
          </w:p>
          <w:p w14:paraId="198DC7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3.具备≥1路线路（AUX）输入接口，具有独立的音量电位器控制；支持断网本地寻呼功能；同时支持缄默强度预置减少功能，支持背景伴奏预置功能。</w:t>
            </w:r>
          </w:p>
        </w:tc>
      </w:tr>
      <w:tr w14:paraId="0EA57A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55E3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1289" w:type="dxa"/>
            <w:shd w:val="clear" w:color="auto" w:fill="FFFFFF"/>
            <w:vAlign w:val="center"/>
          </w:tcPr>
          <w:p w14:paraId="573E28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电源管理器</w:t>
            </w:r>
          </w:p>
        </w:tc>
        <w:tc>
          <w:tcPr>
            <w:tcW w:w="7206" w:type="dxa"/>
            <w:vAlign w:val="center"/>
          </w:tcPr>
          <w:p w14:paraId="482819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1.设有船型开关，支持主从机设置，通过主设备电源锁可一键开启或关闭所有从设备。</w:t>
            </w:r>
          </w:p>
          <w:p w14:paraId="7E7E08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2</w:t>
            </w:r>
            <w:r>
              <w:rPr>
                <w:rFonts w:hint="eastAsia" w:ascii="宋体" w:hAnsi="宋体" w:eastAsia="宋体" w:cs="宋体"/>
                <w:color w:val="000000"/>
                <w:kern w:val="0"/>
                <w:sz w:val="21"/>
                <w:szCs w:val="21"/>
              </w:rPr>
              <w:t>.具备≥8路电源输出插座，其中≥8路10A的插座规格，总电流达30A。支持实时监控插座功率。</w:t>
            </w:r>
          </w:p>
          <w:p w14:paraId="15B6FD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.采用LCD显示屏，可显示温度信息，实时输入电压信息、时间信息、IP信息，定时任务信息等。</w:t>
            </w:r>
          </w:p>
          <w:p w14:paraId="63C49D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.支持PC客户端软件管理，支持三层网络协议，支持跨网关控制和管理。</w:t>
            </w:r>
          </w:p>
          <w:p w14:paraId="729575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.支持对每一路电源输出进行定时编程，实现全自动无人值守的电源管理。</w:t>
            </w:r>
          </w:p>
          <w:p w14:paraId="6750FF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.支持离线模式，本地自带定时程序，内置高精度时钟，在脱离服务器时，也能保证定时任务按时执行。</w:t>
            </w:r>
          </w:p>
          <w:p w14:paraId="475130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.具备≥2个10M/100M网口，≥2路RS485接口、≥1路外接传感器供电接口。</w:t>
            </w:r>
          </w:p>
        </w:tc>
      </w:tr>
      <w:tr w14:paraId="10D7D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EA2C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508EC9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机柜</w:t>
            </w:r>
          </w:p>
        </w:tc>
        <w:tc>
          <w:tcPr>
            <w:tcW w:w="7206" w:type="dxa"/>
            <w:vAlign w:val="center"/>
          </w:tcPr>
          <w:p w14:paraId="254357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42U（600mm*600mm）</w:t>
            </w:r>
          </w:p>
        </w:tc>
      </w:tr>
      <w:tr w14:paraId="78DBAA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2BF54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w:t>
            </w:r>
          </w:p>
        </w:tc>
        <w:tc>
          <w:tcPr>
            <w:tcW w:w="1289" w:type="dxa"/>
            <w:shd w:val="clear" w:color="auto" w:fill="FFFFFF"/>
            <w:vAlign w:val="center"/>
          </w:tcPr>
          <w:p w14:paraId="21217A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IP网络功放终端1</w:t>
            </w:r>
          </w:p>
        </w:tc>
        <w:tc>
          <w:tcPr>
            <w:tcW w:w="7206" w:type="dxa"/>
            <w:vAlign w:val="center"/>
          </w:tcPr>
          <w:p w14:paraId="4CCEC1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4F69C2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4DAD0A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6C44D8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013078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566B62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3C8790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.集成数字功放，功率≥500W；支持定压方式输出。</w:t>
            </w:r>
          </w:p>
          <w:p w14:paraId="3F3092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2A1380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54AC04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2A05D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92FE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w:t>
            </w:r>
          </w:p>
        </w:tc>
        <w:tc>
          <w:tcPr>
            <w:tcW w:w="1289" w:type="dxa"/>
            <w:shd w:val="clear" w:color="auto" w:fill="FFFFFF"/>
            <w:vAlign w:val="center"/>
          </w:tcPr>
          <w:p w14:paraId="60C201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IP网络功放终端2</w:t>
            </w:r>
          </w:p>
        </w:tc>
        <w:tc>
          <w:tcPr>
            <w:tcW w:w="7206" w:type="dxa"/>
            <w:vAlign w:val="center"/>
          </w:tcPr>
          <w:p w14:paraId="2CDBE6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00ED22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23AC6B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2C5153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7CC00F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3D6F9F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651C77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.集成数字功放，功率≥350W；支持定压方式输出。</w:t>
            </w:r>
          </w:p>
          <w:p w14:paraId="1BB6D3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78EC1A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07EF06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674C8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ABBE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12</w:t>
            </w:r>
          </w:p>
        </w:tc>
        <w:tc>
          <w:tcPr>
            <w:tcW w:w="1289" w:type="dxa"/>
            <w:shd w:val="clear" w:color="auto" w:fill="FFFFFF"/>
            <w:vAlign w:val="center"/>
          </w:tcPr>
          <w:p w14:paraId="508171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IP网络功放终端3</w:t>
            </w:r>
          </w:p>
        </w:tc>
        <w:tc>
          <w:tcPr>
            <w:tcW w:w="7206" w:type="dxa"/>
            <w:vAlign w:val="center"/>
          </w:tcPr>
          <w:p w14:paraId="12945A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1.设备采用标准≥19英寸机架设计，带有LCD显示屏。</w:t>
            </w:r>
          </w:p>
          <w:p w14:paraId="78DFF5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2.内置≥1路网络硬件音频解码模块。</w:t>
            </w:r>
          </w:p>
          <w:p w14:paraId="0A98CE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3.支持≥1路线路输入和≥1路话筒输入接口，可独立调节音量。</w:t>
            </w:r>
          </w:p>
          <w:p w14:paraId="0443C6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4.支持高低音调节电位器控制。</w:t>
            </w:r>
          </w:p>
          <w:p w14:paraId="01D78D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5.具有≥1路EMC输入接口，具有最高优先级。</w:t>
            </w:r>
          </w:p>
          <w:p w14:paraId="56A660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.具有≥1路三线制强切输出接口，无需强切电源。</w:t>
            </w:r>
          </w:p>
          <w:p w14:paraId="2BEE88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.集成数字功放，功率≥120W；支持定压方式输出。</w:t>
            </w:r>
          </w:p>
          <w:p w14:paraId="0D5106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.具有≥1路RJ45网络接口，≥100Mbps传输速率。</w:t>
            </w:r>
          </w:p>
          <w:p w14:paraId="313323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.自带≥1路≥100V定压功率备份输入接口，可组成一主多备、多主一备、多主多备的公共打铃系统。</w:t>
            </w:r>
          </w:p>
          <w:p w14:paraId="31F2AB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.内置主/备切换检测模块，断网断电以及本机故障时≤0.3秒内切换到备份功率输入。</w:t>
            </w:r>
          </w:p>
        </w:tc>
      </w:tr>
      <w:tr w14:paraId="54F8C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CB40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13</w:t>
            </w:r>
          </w:p>
        </w:tc>
        <w:tc>
          <w:tcPr>
            <w:tcW w:w="1289" w:type="dxa"/>
            <w:shd w:val="clear" w:color="auto" w:fill="FFFFFF"/>
            <w:vAlign w:val="center"/>
          </w:tcPr>
          <w:p w14:paraId="42C700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壁挂音箱</w:t>
            </w:r>
          </w:p>
        </w:tc>
        <w:tc>
          <w:tcPr>
            <w:tcW w:w="7206" w:type="dxa"/>
            <w:vAlign w:val="center"/>
          </w:tcPr>
          <w:p w14:paraId="72B6CA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1．额定功率（100V）：3W,6W,10W</w:t>
            </w:r>
          </w:p>
          <w:p w14:paraId="16D7CF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2．额定功率（70V）：1.5W,3W,5W</w:t>
            </w:r>
          </w:p>
          <w:p w14:paraId="1A2844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3．灵敏度：91dB±3dB</w:t>
            </w:r>
          </w:p>
          <w:p w14:paraId="6A904C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4．频率响应：130Hz-18KHz</w:t>
            </w:r>
          </w:p>
          <w:p w14:paraId="450609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5．喇叭单元：6.5"×1</w:t>
            </w:r>
          </w:p>
          <w:p w14:paraId="755699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6．防护等级：IP5X</w:t>
            </w:r>
          </w:p>
        </w:tc>
      </w:tr>
      <w:tr w14:paraId="503F70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8B20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14</w:t>
            </w:r>
          </w:p>
        </w:tc>
        <w:tc>
          <w:tcPr>
            <w:tcW w:w="1289" w:type="dxa"/>
            <w:shd w:val="clear" w:color="auto" w:fill="FFFFFF"/>
            <w:vAlign w:val="center"/>
          </w:tcPr>
          <w:p w14:paraId="0CDB03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吸顶喇叭</w:t>
            </w:r>
          </w:p>
        </w:tc>
        <w:tc>
          <w:tcPr>
            <w:tcW w:w="7206" w:type="dxa"/>
            <w:vAlign w:val="center"/>
          </w:tcPr>
          <w:p w14:paraId="567F03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1．额定功率（100V）：3W,6W,9W</w:t>
            </w:r>
          </w:p>
          <w:p w14:paraId="1AF355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2．额定功率（70V）：1.5W,3W,4.5W</w:t>
            </w:r>
          </w:p>
          <w:p w14:paraId="13092C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3．灵敏度≥94dB±3dB</w:t>
            </w:r>
          </w:p>
          <w:p w14:paraId="7A765A9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4．频率响应（-10dB）：110Hz-18kHz</w:t>
            </w:r>
          </w:p>
          <w:p w14:paraId="4E028A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5．喇叭单元：6"x1,1.5"x1</w:t>
            </w:r>
          </w:p>
        </w:tc>
      </w:tr>
      <w:tr w14:paraId="6C5F2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BAC5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lang w:bidi="ar"/>
              </w:rPr>
              <w:t>15</w:t>
            </w:r>
          </w:p>
        </w:tc>
        <w:tc>
          <w:tcPr>
            <w:tcW w:w="1289" w:type="dxa"/>
            <w:shd w:val="clear" w:color="auto" w:fill="FFFFFF"/>
            <w:vAlign w:val="center"/>
          </w:tcPr>
          <w:p w14:paraId="6D6ACD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音柱1</w:t>
            </w:r>
          </w:p>
        </w:tc>
        <w:tc>
          <w:tcPr>
            <w:tcW w:w="7206" w:type="dxa"/>
            <w:vAlign w:val="center"/>
          </w:tcPr>
          <w:p w14:paraId="379382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1．额定功率（100V）：22.5W,45W</w:t>
            </w:r>
          </w:p>
          <w:p w14:paraId="7895D3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2．额定功率（70V）：11.2W,22.5W</w:t>
            </w:r>
          </w:p>
          <w:p w14:paraId="6A0A9D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3．灵敏度：91dB±3dB</w:t>
            </w:r>
          </w:p>
          <w:p w14:paraId="651CF1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4．阻抗：黑:COM白:440Ω绿:220Ω</w:t>
            </w:r>
          </w:p>
          <w:p w14:paraId="1F6714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5．频率响应：50Hz-18KHz</w:t>
            </w:r>
          </w:p>
          <w:p w14:paraId="694572D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6．喇叭单元：4"×4,2.5"×1</w:t>
            </w:r>
          </w:p>
          <w:p w14:paraId="44DCDF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7．防护等级：IP66</w:t>
            </w:r>
          </w:p>
        </w:tc>
      </w:tr>
      <w:tr w14:paraId="4699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2250F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四（2）</w:t>
            </w:r>
          </w:p>
        </w:tc>
        <w:tc>
          <w:tcPr>
            <w:tcW w:w="8495" w:type="dxa"/>
            <w:gridSpan w:val="2"/>
            <w:shd w:val="clear" w:color="auto" w:fill="FFFFFF"/>
            <w:vAlign w:val="center"/>
          </w:tcPr>
          <w:p w14:paraId="5682C8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广播分中心（操场设备）</w:t>
            </w:r>
          </w:p>
        </w:tc>
      </w:tr>
      <w:tr w14:paraId="20163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1A97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522CD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IP终端</w:t>
            </w:r>
          </w:p>
        </w:tc>
        <w:tc>
          <w:tcPr>
            <w:tcW w:w="7206" w:type="dxa"/>
            <w:vAlign w:val="center"/>
          </w:tcPr>
          <w:p w14:paraId="4DF928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1.设备采用≥19英寸机架设计，带有LCD显示屏。</w:t>
            </w:r>
          </w:p>
          <w:p w14:paraId="085865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2.支持≥1路线路输入和≥1路话筒输入接口，可独立调节音量；支持高低音调节电位器控制。</w:t>
            </w:r>
          </w:p>
          <w:p w14:paraId="14EA2F6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3.具有≥1路EMC输入接口，具有最高优先级；具有≥1路音频输出接口。</w:t>
            </w:r>
          </w:p>
          <w:p w14:paraId="1C824F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4.具有≥2路三线制强切输出接口，无需强切电源。</w:t>
            </w:r>
          </w:p>
          <w:p w14:paraId="02A9FE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5.支持≥2路电源输出插座，内置智能电源管理，无音乐或呼叫时，自动切断输出座电源，有信号时自动打开输出座电源。</w:t>
            </w:r>
          </w:p>
        </w:tc>
      </w:tr>
      <w:tr w14:paraId="7B490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14037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2E1D68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7EEF9A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CPU≥6核/内存≥8G/硬盘容量≥256G固态硬盘+1T机械硬盘/显卡支持双屏显示</w:t>
            </w:r>
          </w:p>
        </w:tc>
      </w:tr>
      <w:tr w14:paraId="5EFAB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4E5F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2C4093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IP网络广播系统分控软件</w:t>
            </w:r>
          </w:p>
        </w:tc>
        <w:tc>
          <w:tcPr>
            <w:tcW w:w="7206" w:type="dxa"/>
            <w:vAlign w:val="center"/>
          </w:tcPr>
          <w:p w14:paraId="2CDF72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1.数字客户端分控软件运行于、台式电脑或笔记本电脑，用户登陆通过系统服务器的权限验证即可进行对广播系统的控制。</w:t>
            </w:r>
          </w:p>
          <w:p w14:paraId="1962A7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2.客户端软件利用网络（局域网、广域网）远程登录到服务器，支持多套客户端软件同时登录到服务器，各套客户端软件独立工作。</w:t>
            </w:r>
          </w:p>
          <w:p w14:paraId="041714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3.可实现终端状态查看、音频播放、监听、广播及对讲、会话状态监控等功能。</w:t>
            </w:r>
          </w:p>
          <w:p w14:paraId="3EE41C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4.支持实时查看终端工作状态、音量、任务，并且可在终端状态界面设置终端音量。</w:t>
            </w:r>
          </w:p>
          <w:p w14:paraId="556A09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5.支持创建文本广播任务，可实现将文本转成语音，支持后台调整语速。</w:t>
            </w:r>
          </w:p>
          <w:p w14:paraId="58F7E0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6.支持创建终端采集任务，可设置普通、中级的采集音质类型。</w:t>
            </w:r>
          </w:p>
          <w:p w14:paraId="19F36B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7.支持创建声卡采集任务，可通过分控客户端所在电脑的声卡进行实时采播，并且支持将采播的内容进行录音存储。</w:t>
            </w:r>
          </w:p>
          <w:p w14:paraId="110BBC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8.支持创建音乐播放任务，可进行本地文件播放，可选择多首歌曲进行顺序播放或循环播放或随机播放。</w:t>
            </w:r>
          </w:p>
          <w:p w14:paraId="69D8D2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9.支持进行发起监听功能，在会话状态选择监听终端，可监听某任务播放的内容。</w:t>
            </w:r>
          </w:p>
          <w:p w14:paraId="6520B5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10.支持远程对某终端/分区或全区进行实时的寻呼广播，支持选择网络寻呼话筒进行实时对讲。</w:t>
            </w:r>
          </w:p>
          <w:p w14:paraId="54DBB3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11.支持分控端查看终端上下线记录，可设置终端掉线弹窗提示。</w:t>
            </w:r>
          </w:p>
        </w:tc>
      </w:tr>
      <w:tr w14:paraId="0FB2C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0E81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E3912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IP网络音箱</w:t>
            </w:r>
          </w:p>
        </w:tc>
        <w:tc>
          <w:tcPr>
            <w:tcW w:w="7206" w:type="dxa"/>
            <w:vAlign w:val="center"/>
          </w:tcPr>
          <w:p w14:paraId="7D6A53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1.网络接口：标准RJ45输入，音频格式：MP3</w:t>
            </w:r>
          </w:p>
          <w:p w14:paraId="4719D9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2.内置≥2x20W（MAX）的双通道数字功率放大器，≥一路接主音箱，≥一路外接到副音箱；具有网络音量设置。</w:t>
            </w:r>
          </w:p>
          <w:p w14:paraId="642C89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3.具备≥1路线路（AUX）输入接口，具有独立的音量电位器控制，可扩展2.4G无线音频模块，实现2.4G无线麦克风进行本地扩音；支持断网本地寻呼功能；同时支持缄默强度预置减少功能，支持背景伴奏预置功能。</w:t>
            </w:r>
          </w:p>
        </w:tc>
      </w:tr>
      <w:tr w14:paraId="767812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771F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10D90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调音台</w:t>
            </w:r>
          </w:p>
        </w:tc>
        <w:tc>
          <w:tcPr>
            <w:tcW w:w="7206" w:type="dxa"/>
            <w:vAlign w:val="center"/>
          </w:tcPr>
          <w:p w14:paraId="673E48F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话筒：6</w:t>
            </w:r>
          </w:p>
          <w:p w14:paraId="7909EE3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频响：+0.5dB/-0.5dB（20Hz-20kHz）</w:t>
            </w:r>
          </w:p>
          <w:p w14:paraId="07EC20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总谐波失真：0.03%@+14dBu（20 Hz-20kHz）</w:t>
            </w:r>
          </w:p>
          <w:p w14:paraId="65BC301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输入通道：12通道：单声道：4；立体声：4</w:t>
            </w:r>
          </w:p>
          <w:p w14:paraId="63E6BEC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输出通道：STEREO OUT：2；PHONES：1</w:t>
            </w:r>
          </w:p>
          <w:p w14:paraId="1A7B16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母线：立体声：1；编组：2，AUX</w:t>
            </w:r>
          </w:p>
          <w:p w14:paraId="059863A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幻象电源电压：+48V</w:t>
            </w:r>
          </w:p>
          <w:p w14:paraId="58647C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功率要求：AC 100-240V，50/60Hz</w:t>
            </w:r>
          </w:p>
        </w:tc>
      </w:tr>
      <w:tr w14:paraId="25711E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4CE24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7BC62D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无线寻呼话筒</w:t>
            </w:r>
          </w:p>
        </w:tc>
        <w:tc>
          <w:tcPr>
            <w:tcW w:w="7206" w:type="dxa"/>
            <w:vAlign w:val="center"/>
          </w:tcPr>
          <w:p w14:paraId="20B011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1.终端主机采用机柜式设计；采用UHF双真分集接收，并采用PLL锁相环多信道频率合成技术。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2.提供共≥300个信道选择，真正分集式接收。</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3.带≥8级射频电平显示，≥8级音频电平显示，频道菜单显示，静音显示；主机具有LCD液晶显示屏，支持显示信道号/工作频率。</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4.主机具有平衡和非平衡两种选择输出端口。（提供输出端口图佐证）</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5.无线话筒频率范围：等同或优于640-690MHz、等同或优于807-830MHz；无线话筒使用距离可达≥200米，</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6.系统平台可预设配置≥20组任务，可实现任意时间、任意数量终端、任意音量的任意音乐播放或实时呼叫；广播后台可预设配置终端或分区广播喊话。</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7.支持无线遥控功能，支持距离≥800米遥控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8.主手持话筒自带功能按键和LED显示屏，可对实现任务确认执行、暂停/恢复、停止、上一曲、下一曲、音量加、音量减操作。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9.内置音频采集编码模块，音频采集延时≤200ms</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10.带有≥两个手持话筒。</w:t>
            </w:r>
          </w:p>
        </w:tc>
      </w:tr>
      <w:tr w14:paraId="3625AC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4142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3F6B58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无线话筒</w:t>
            </w:r>
          </w:p>
        </w:tc>
        <w:tc>
          <w:tcPr>
            <w:tcW w:w="7206" w:type="dxa"/>
            <w:vAlign w:val="center"/>
          </w:tcPr>
          <w:p w14:paraId="6519FB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1.频率指标等同或优于支持470-510 M,530-598M,630-698MHz,788-830M。</w:t>
            </w:r>
          </w:p>
          <w:p w14:paraId="668B00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2.配套有≥1台接收主机和≥2个无线手持话筒。</w:t>
            </w:r>
          </w:p>
          <w:p w14:paraId="5475D8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采用UHF超高频段双真分集接收，并采用PLL锁相环多信道频率合成技术；V/A显示屏在任何角度观察字体清晰同时显示信道号与工作频率。红外对频功能，使发射机与接收机频率同步，具有抗干扰能力，能有效抑制由外部带来的噪音干扰及同频干扰。</w:t>
            </w:r>
          </w:p>
          <w:p w14:paraId="26E209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4.带≥8级射频电平显示，≥8级音频电平显示，频道菜单显示，静音显示；具有SCAN 自动扫频功能，使用前按SET功能键自动找一个环境最干净的频点处停下来，此频率作为接收机的使用频率。</w:t>
            </w:r>
          </w:p>
          <w:p w14:paraId="128559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5.平衡和非平衡两种选择输出端口，适应不同的设备连接需求。</w:t>
            </w:r>
          </w:p>
        </w:tc>
      </w:tr>
      <w:tr w14:paraId="75A75C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7ABC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567F5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天线分配器</w:t>
            </w:r>
          </w:p>
        </w:tc>
        <w:tc>
          <w:tcPr>
            <w:tcW w:w="7206" w:type="dxa"/>
            <w:vAlign w:val="center"/>
          </w:tcPr>
          <w:p w14:paraId="749C99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1.可支持为4台一拖二真分集话筒自动选讯接收机的多频道系统共用一对天线和一个电源。</w:t>
            </w:r>
          </w:p>
          <w:p w14:paraId="1E9670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2.频带范围等同或优于470-960MHz，输出/入增益+1.0dB(频段中心)，输出/入阻抗：≥50Ω，频宽：≥320MHz。</w:t>
            </w:r>
          </w:p>
        </w:tc>
      </w:tr>
      <w:tr w14:paraId="354F51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0BEE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2C507A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话筒天线</w:t>
            </w:r>
          </w:p>
        </w:tc>
        <w:tc>
          <w:tcPr>
            <w:tcW w:w="7206" w:type="dxa"/>
            <w:vAlign w:val="center"/>
          </w:tcPr>
          <w:p w14:paraId="7F1E94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1.宽频定向天线等同或优于680-960MHz；适用于GSM,CDMA,WCDMA,WLAN,LTE网络。</w:t>
            </w:r>
          </w:p>
          <w:p w14:paraId="464C9D8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2.水平面波源宽度：≥60°、垂直面波源宽度：≥ 50°。</w:t>
            </w:r>
          </w:p>
        </w:tc>
      </w:tr>
      <w:tr w14:paraId="23E15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4D36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416970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放大器</w:t>
            </w:r>
          </w:p>
        </w:tc>
        <w:tc>
          <w:tcPr>
            <w:tcW w:w="7206" w:type="dxa"/>
            <w:vAlign w:val="center"/>
          </w:tcPr>
          <w:p w14:paraId="531264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1.工作频率等同或优于470-960M段内所有频率，增益：≥12dB。</w:t>
            </w:r>
          </w:p>
          <w:p w14:paraId="0ABE62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2.阻抗：≤50Ω，端口形式： 连接BNC输入端。</w:t>
            </w:r>
          </w:p>
        </w:tc>
      </w:tr>
      <w:tr w14:paraId="427CF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55637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6CF1E3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纯后级功放</w:t>
            </w:r>
          </w:p>
        </w:tc>
        <w:tc>
          <w:tcPr>
            <w:tcW w:w="7206" w:type="dxa"/>
            <w:vAlign w:val="center"/>
          </w:tcPr>
          <w:p w14:paraId="3E21A6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1.采用D类数字功放技术，功率放大电路设计</w:t>
            </w:r>
          </w:p>
          <w:p w14:paraId="68597D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2.额定输出功率：≥1500W</w:t>
            </w:r>
          </w:p>
          <w:p w14:paraId="08A647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3.具有管道式散热结构，内置自动温度控制风扇冷却系统。</w:t>
            </w:r>
          </w:p>
          <w:p w14:paraId="07ADDB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4.具有≥1通道LINE不平衡TRS/XLR高品质多功能输入接口，≥1通道LINE平衡XLR级联输出。</w:t>
            </w:r>
          </w:p>
          <w:p w14:paraId="5C2D80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5.内置PFC电路和软开关电源技术，开关机自动软启动控制。</w:t>
            </w:r>
          </w:p>
          <w:p w14:paraId="22E9C0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.内置智能削顶失真和过流压限系统，能保护扬声器单元。</w:t>
            </w:r>
          </w:p>
          <w:p w14:paraId="234CD0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.具有2种定阻和定压输出模式:4-16Ω/100V可选择。</w:t>
            </w:r>
          </w:p>
        </w:tc>
      </w:tr>
      <w:tr w14:paraId="105FA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5E2FC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028581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音柱2</w:t>
            </w:r>
          </w:p>
        </w:tc>
        <w:tc>
          <w:tcPr>
            <w:tcW w:w="7206" w:type="dxa"/>
            <w:vAlign w:val="center"/>
          </w:tcPr>
          <w:p w14:paraId="08B168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1．额定功率(100V)：90W</w:t>
            </w:r>
          </w:p>
          <w:p w14:paraId="372FFC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2．额定功率(70V)：45W</w:t>
            </w:r>
          </w:p>
          <w:p w14:paraId="7C47C6D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3．灵敏度≥93dB</w:t>
            </w:r>
          </w:p>
          <w:p w14:paraId="78F3AB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4．频率响应：110Hz-15KHz</w:t>
            </w:r>
          </w:p>
          <w:p w14:paraId="4708F9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5．防护等级：IP66</w:t>
            </w:r>
          </w:p>
          <w:p w14:paraId="60064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6．喇叭单元：6.5"×3+3"×1</w:t>
            </w:r>
          </w:p>
        </w:tc>
      </w:tr>
      <w:tr w14:paraId="39FE49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FE10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06E867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2B9DAE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7DB476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EA0E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3A4A57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数字功放</w:t>
            </w:r>
          </w:p>
        </w:tc>
        <w:tc>
          <w:tcPr>
            <w:tcW w:w="7206" w:type="dxa"/>
            <w:vAlign w:val="center"/>
          </w:tcPr>
          <w:p w14:paraId="559729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1.功放采用D类放大电路，要求内置开关电源。</w:t>
            </w:r>
          </w:p>
          <w:p w14:paraId="64D949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.具有≥1通道欧式端子平衡输入，≥1通道欧式端子输出。具有≥1通道数字功率放大器，额定功率输出≥240W，具备≥1路100V或4-16Ω输出端子接线扬声器。</w:t>
            </w:r>
          </w:p>
          <w:p w14:paraId="153FA0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.支持故障输出功能，可远程监控功放设备工作状态。</w:t>
            </w:r>
          </w:p>
          <w:p w14:paraId="242E74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.设备内置≥1通道独立电源供电功能。</w:t>
            </w:r>
          </w:p>
          <w:p w14:paraId="24216D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.支持短路、过载、过热保护功能。</w:t>
            </w:r>
          </w:p>
        </w:tc>
      </w:tr>
      <w:tr w14:paraId="2CA29B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6F382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09F5C8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音柱3</w:t>
            </w:r>
          </w:p>
        </w:tc>
        <w:tc>
          <w:tcPr>
            <w:tcW w:w="7206" w:type="dxa"/>
            <w:vAlign w:val="center"/>
          </w:tcPr>
          <w:p w14:paraId="247C3A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1．额定功率（100V）：22.5W,45W</w:t>
            </w:r>
          </w:p>
          <w:p w14:paraId="612FE2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2．额定功率（70V）：11.2W,22.5W</w:t>
            </w:r>
          </w:p>
          <w:p w14:paraId="4703E5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3．灵敏度：91dB±3dB</w:t>
            </w:r>
          </w:p>
          <w:p w14:paraId="6E48F9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4．阻抗：黑:COM白:440Ω绿:220Ω</w:t>
            </w:r>
          </w:p>
          <w:p w14:paraId="75EDED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5．频率响应：50Hz-18KHz</w:t>
            </w:r>
          </w:p>
          <w:p w14:paraId="3147F4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6．喇叭单元：4"×4,2.5"×1</w:t>
            </w:r>
          </w:p>
          <w:p w14:paraId="10EA9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7．防护等级：IP66</w:t>
            </w:r>
          </w:p>
        </w:tc>
      </w:tr>
      <w:tr w14:paraId="5C9327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84F63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7EFFDD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792BDA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42U（600mm*600mm）</w:t>
            </w:r>
          </w:p>
        </w:tc>
      </w:tr>
      <w:tr w14:paraId="1A511B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CFA96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w:t>
            </w:r>
          </w:p>
        </w:tc>
        <w:tc>
          <w:tcPr>
            <w:tcW w:w="8495" w:type="dxa"/>
            <w:gridSpan w:val="2"/>
            <w:shd w:val="clear" w:color="auto" w:fill="FFFFFF"/>
            <w:vAlign w:val="center"/>
          </w:tcPr>
          <w:p w14:paraId="52BB46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校园音视频系统</w:t>
            </w:r>
          </w:p>
        </w:tc>
      </w:tr>
      <w:tr w14:paraId="4C3A9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CD3C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五（1）</w:t>
            </w:r>
          </w:p>
        </w:tc>
        <w:tc>
          <w:tcPr>
            <w:tcW w:w="8495" w:type="dxa"/>
            <w:gridSpan w:val="2"/>
            <w:shd w:val="clear" w:color="auto" w:fill="FFFFFF"/>
            <w:vAlign w:val="center"/>
          </w:tcPr>
          <w:p w14:paraId="25A494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报告厅视频显示系统</w:t>
            </w:r>
          </w:p>
        </w:tc>
      </w:tr>
      <w:tr w14:paraId="4A60B8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3AFE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747F197A">
            <w:pPr>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sz w:val="21"/>
                <w:szCs w:val="21"/>
              </w:rPr>
            </w:pPr>
            <w:r>
              <w:rPr>
                <w:rFonts w:hint="eastAsia" w:ascii="宋体" w:hAnsi="宋体" w:eastAsia="宋体" w:cs="宋体"/>
                <w:sz w:val="21"/>
                <w:szCs w:val="21"/>
              </w:rPr>
              <w:t>视频显示设备</w:t>
            </w:r>
          </w:p>
        </w:tc>
        <w:tc>
          <w:tcPr>
            <w:tcW w:w="7206" w:type="dxa"/>
            <w:vAlign w:val="center"/>
          </w:tcPr>
          <w:p w14:paraId="0B2D7E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1.投标产品LED 屏像素点间距≤2mm</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2.模组尺寸:320mm*160mm，刷新率&gt;3840Hz；像素点密度≥250000点数/㎡；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3.按照SJ/T 11281-2017 方法测量，像素中心间距相对偏差等级、水平和垂直相对错位等级符合C级≤5%；模组平整度&lt;0.1mm；模组间间间隙&lt;0.1mm；模组间相对错位值≤1%。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4.对比度≥9000:1；亮度500-800Cd/㎡可调；亮度均匀性（校正后）&gt;99% ；发光点中心距偏差≤0.8%。</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5.水平视角≥170°;垂直视角：≥170°；</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6.最大功耗≤410W/㎡；平均功耗≤130W/㎡ ; 休眠功耗≤25W/㎡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7.支持电源均流DC4.2V-DC5V；电源功率因数≥98%，转换效率≥90%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8.色温：100-20000可调，色温为6500K时，100%，75%，50%，25%四档电平白场调节色温误差≤100K。色准：△E≤</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9.色度均匀性（校正后）：±0.001CxCy；像素光强均匀性LRJ≤8%;LGJ≤8%;LBJ≤8%；亮度鉴别等级C级：Bj≥21。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10.依据GB4943.1-2022信息技术设备安全标准对设备进行机械强度试验，加强绝缘，绝缘穿透距离≥0.4mm，外部爬电距离&gt;7.0mm.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11.采用网线传导加扰技术，有效防止传输信息的失泄密和防止劫持相关设备；具有良好的抗还原性能和覆盖性，实现无缝干扰，具有防电力远程窃密技术，防止电磁传导辐射泄露有用信息。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、颜色处理位数≥16Bit；支持BT.2020、DCI-P3、BT.709,sRGB、≥125%NTSC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.一体化控制平台，模块化统一管理，可针对LED显示模块进行统一管理，设置亮度坐标、色温、灰度等参数;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.具有H2S宽动态处理技术，解决主控机二次重复播放时的衰减等现象。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.LED显示屏具备旋转式灯板设计，弱化跨板耦合效应，保证更优质的显示效果；灯芯波长误差值在±1nm之内，每个灯芯亮度误差在3%以内。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 xml:space="preserve">.通过传导抗扰度、辐射抗扰度及工频磁场试验，测试过程中样品均无异常。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 xml:space="preserve">.平均使用寿命≥100000小时；平均无故障时间≥120000小时；平均故障修复时间≤2分钟。 </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18</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19</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.显示屏具备除湿设计，对显示屏灯珠进行预热，蒸发LED灯珠内部湿气，屏体长时间没有使用，屏体自动进入除湿模式，达到保护LED灯。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.辐照强度：0.76W/㎡.nm@340nm,温度60℃。冷凝温度：50℃、24循环，288H，试验后，样品外观无异常，符合5级。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.显示屏画面延迟≤1ms，画面信噪比≥60dB；具备纳秒级响应无拖尾、无鬼影。</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26</w:t>
            </w:r>
            <w:r>
              <w:rPr>
                <w:rFonts w:hint="eastAsia" w:ascii="宋体" w:hAnsi="宋体" w:eastAsia="宋体" w:cs="宋体"/>
                <w:kern w:val="0"/>
                <w:sz w:val="21"/>
                <w:szCs w:val="21"/>
              </w:rPr>
              <w:t>.所投屏体须通过CCC强制认证，不接受OEM产品，要求3c证书，并提供证书复印件。</w:t>
            </w:r>
          </w:p>
        </w:tc>
      </w:tr>
      <w:tr w14:paraId="11E26B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2FB88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253D56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配件包组件（电源）</w:t>
            </w:r>
          </w:p>
        </w:tc>
        <w:tc>
          <w:tcPr>
            <w:tcW w:w="7206" w:type="dxa"/>
            <w:vAlign w:val="center"/>
          </w:tcPr>
          <w:p w14:paraId="4D59E2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所提供电源与显示屏为同一厂家，出具3C认证证书复印件加盖单位公章。</w:t>
            </w:r>
          </w:p>
        </w:tc>
      </w:tr>
      <w:tr w14:paraId="4A2A7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DE20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601F8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接收卡</w:t>
            </w:r>
          </w:p>
        </w:tc>
        <w:tc>
          <w:tcPr>
            <w:tcW w:w="7206" w:type="dxa"/>
            <w:vAlign w:val="center"/>
          </w:tcPr>
          <w:p w14:paraId="54E27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color w:val="auto"/>
                <w:kern w:val="0"/>
                <w:sz w:val="21"/>
                <w:szCs w:val="21"/>
              </w:rPr>
              <w:br w:type="textWrapping"/>
            </w:r>
            <w:r>
              <w:rPr>
                <w:rFonts w:hint="eastAsia" w:ascii="宋体" w:hAnsi="宋体" w:eastAsia="宋体" w:cs="宋体"/>
                <w:color w:val="auto"/>
                <w:kern w:val="0"/>
                <w:sz w:val="21"/>
                <w:szCs w:val="21"/>
              </w:rPr>
              <w:t>2.单卡带载像素512*384</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3.无需转接板，单卡自带HUB75接口。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2C6AD6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A342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3E0BB6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高清视频处理器</w:t>
            </w:r>
          </w:p>
        </w:tc>
        <w:tc>
          <w:tcPr>
            <w:tcW w:w="7206" w:type="dxa"/>
            <w:vAlign w:val="center"/>
          </w:tcPr>
          <w:p w14:paraId="67A5CC0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所投设备与视频显示设备为同一品牌，提供CCC证书复印件加盖单位公章</w:t>
            </w:r>
          </w:p>
          <w:p w14:paraId="581946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16网口输出的集视频处理、视频控制功能于一体的二合一视频控制器。单设备最大带载650万像素点，最大宽度可达10384像素，最高 8192像素，满足现场超宽、超高显示屏控制。                                     </w:t>
            </w:r>
          </w:p>
          <w:p w14:paraId="11EF1B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1DC84C0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7C863D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0AE17F9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404B5F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5AF9DD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2784613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2D9F0A1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187C9B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5654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2BDB90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播控服务器</w:t>
            </w:r>
          </w:p>
        </w:tc>
        <w:tc>
          <w:tcPr>
            <w:tcW w:w="7206" w:type="dxa"/>
            <w:vAlign w:val="center"/>
          </w:tcPr>
          <w:p w14:paraId="34A5154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搭载8核X86高性能CPU，8G双通道内存，256G高速SSD系统盘，2G独立显卡；</w:t>
            </w:r>
          </w:p>
          <w:p w14:paraId="55AE6F3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接口丰富，支持HDMI高清音视频输出接口，音频输入/输出接口，双千兆网口，4个USB2.0+4个USB3.0接口</w:t>
            </w:r>
          </w:p>
          <w:p w14:paraId="2A80273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软硬一体设计，出厂自带操作系统及已授权平台软件，免安装易部署；</w:t>
            </w:r>
          </w:p>
          <w:p w14:paraId="6B12BD8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预装智能大屏管理平台，具备 C/S 和 B/S 结构，可通过客户端软件、平板和浏览器对大屏系统进行统一管理，包括大屏门户、 场景配置、预案切换、远程操控、 信号控制、 一键上墙、内容切换、多屏互动、窗口叠加/拼接/漫游/放大/缩小/移动/关闭等操作；支持查看信号源实时画面，实时查看大屏中正在播放的内容等功能；</w:t>
            </w:r>
          </w:p>
          <w:p w14:paraId="38ACEA4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支持拼控器、播控主机、PC主机、中控主机设备增删改查的统一管理；支持查看播控主机、 PC 主机、中控主机设备的在线/离线状态；支持通过平台远程重启、更新播控主机的程序；支持场景关联播控主机的开关量模式</w:t>
            </w:r>
          </w:p>
          <w:p w14:paraId="5D89A64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系统具备 C/S 和 B/S 结构，可通过客户端软件、平板和浏览器对大屏系统进行统一管理，包括大屏门户、 场景配置、预案切换、远程操控、 信号控制、 一键上墙、内容切换、多屏互动、窗口叠加/拼接/漫游/放大/缩小/移动/关闭等操作；支持查看信号源实时画面，实时查看大屏中正在播放的内容等功能</w:t>
            </w:r>
          </w:p>
          <w:p w14:paraId="6C5AAF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支持拼控器、播控主机、PC主机、中控主机设备增删改查的统一管理；支持查看播控主机、 PC 主机、中控主机设备的在线/离线状态；支持通过平台远程重启、更新播控主机的程序；支持场景关联播控主机的开关量模式</w:t>
            </w:r>
          </w:p>
          <w:p w14:paraId="2CF03F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支持查看指定屏幕场景的播放状态，可添加、修改、删除、切换场景，并且可将场景关联中控模式，使场景与灯光、空调、投影等设备开关量模式联动</w:t>
            </w:r>
          </w:p>
          <w:p w14:paraId="202ECE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支持按照当前选定的显示屏建立相同分辨率的场景，以图形化编辑方式对窗口的开窗参数、窗口比例、窗口位置、窗口大小、窗口层级等参数进行设置，以鼠标拖动方式将信号、视频文件、字幕、图片、程序包等加载至场景中指定播放窗口；支持将网页、程序包、图片、视频、 PPT、Word 文档、 Excel、 PDF、文本等内容窗口拖动到大屏中，每种类型窗口可添加多个文件，可设置内容文件播放时长，内容播放顺序等属性；支持实时查看大屏显示的内容，可远程操控数据可视化面板、AR 客户端、VR 网页端、第三方业务系统等</w:t>
            </w:r>
          </w:p>
          <w:p w14:paraId="73A4520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10.</w:t>
            </w:r>
            <w:r>
              <w:rPr>
                <w:rFonts w:hint="eastAsia" w:ascii="宋体" w:hAnsi="宋体" w:eastAsia="宋体" w:cs="宋体"/>
                <w:kern w:val="0"/>
                <w:sz w:val="21"/>
                <w:szCs w:val="21"/>
              </w:rPr>
              <w:t>大屏上支持显示配置好的门户，作为统一的门户入口，可控制单块或多块屏幕一起切换；支持自定义设置门户标题、背景图片、菜单名称、菜单图片、菜单链接内容，包含页面、场景、二级门户等</w:t>
            </w:r>
          </w:p>
        </w:tc>
      </w:tr>
      <w:tr w14:paraId="55299E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E283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1B1510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配电柜</w:t>
            </w:r>
          </w:p>
        </w:tc>
        <w:tc>
          <w:tcPr>
            <w:tcW w:w="7206" w:type="dxa"/>
            <w:vAlign w:val="center"/>
          </w:tcPr>
          <w:p w14:paraId="3E1158A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10kw 同时具有PLC功能</w:t>
            </w:r>
          </w:p>
          <w:p w14:paraId="075021A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p>
          <w:p w14:paraId="03D3A5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通过该系统可以实现对LED显示屏的远程有线控制上电，实现定时开关屏体，方便用户的使用。</w:t>
            </w:r>
          </w:p>
          <w:p w14:paraId="6B0F6F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2CB611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1354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623145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钢结构以及金属包边</w:t>
            </w:r>
          </w:p>
        </w:tc>
        <w:tc>
          <w:tcPr>
            <w:tcW w:w="7206" w:type="dxa"/>
            <w:vAlign w:val="center"/>
          </w:tcPr>
          <w:p w14:paraId="36E2A5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采用国标镀锌钢材，不锈钢包边</w:t>
            </w:r>
          </w:p>
        </w:tc>
      </w:tr>
      <w:tr w14:paraId="6B4067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C77A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66ABC7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73326A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7F29B7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57E58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9</w:t>
            </w:r>
          </w:p>
        </w:tc>
        <w:tc>
          <w:tcPr>
            <w:tcW w:w="1289" w:type="dxa"/>
            <w:shd w:val="clear" w:color="auto" w:fill="FFFFFF"/>
            <w:vAlign w:val="center"/>
          </w:tcPr>
          <w:p w14:paraId="533D86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安装\调试\培训</w:t>
            </w:r>
          </w:p>
        </w:tc>
        <w:tc>
          <w:tcPr>
            <w:tcW w:w="7206" w:type="dxa"/>
            <w:vAlign w:val="center"/>
          </w:tcPr>
          <w:p w14:paraId="204CCE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56E185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F196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五（2）</w:t>
            </w:r>
          </w:p>
        </w:tc>
        <w:tc>
          <w:tcPr>
            <w:tcW w:w="8495" w:type="dxa"/>
            <w:gridSpan w:val="2"/>
            <w:shd w:val="clear" w:color="auto" w:fill="FFFFFF"/>
            <w:vAlign w:val="center"/>
          </w:tcPr>
          <w:p w14:paraId="2BA083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报告厅会标横屏</w:t>
            </w:r>
          </w:p>
        </w:tc>
      </w:tr>
      <w:tr w14:paraId="0967D5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0FB1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2007F3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单色屏</w:t>
            </w:r>
          </w:p>
        </w:tc>
        <w:tc>
          <w:tcPr>
            <w:tcW w:w="7206" w:type="dxa"/>
            <w:vAlign w:val="center"/>
          </w:tcPr>
          <w:p w14:paraId="60D34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室内F3.75单红色，点中心距4.8mm</w:t>
            </w:r>
          </w:p>
        </w:tc>
      </w:tr>
      <w:tr w14:paraId="383E3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2CE7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198A53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控制卡</w:t>
            </w:r>
          </w:p>
        </w:tc>
        <w:tc>
          <w:tcPr>
            <w:tcW w:w="7206" w:type="dxa"/>
            <w:vAlign w:val="center"/>
          </w:tcPr>
          <w:p w14:paraId="65D288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配套单基色LED屏异步控制。</w:t>
            </w:r>
          </w:p>
        </w:tc>
      </w:tr>
      <w:tr w14:paraId="18F729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85BD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17A5C9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配套软件</w:t>
            </w:r>
          </w:p>
        </w:tc>
        <w:tc>
          <w:tcPr>
            <w:tcW w:w="7206" w:type="dxa"/>
            <w:vAlign w:val="center"/>
          </w:tcPr>
          <w:p w14:paraId="406C1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支持图文/字幕/动画/数字时钟/表盘/正负计时/温度/温湿度等</w:t>
            </w:r>
          </w:p>
        </w:tc>
      </w:tr>
      <w:tr w14:paraId="2572EC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9C1B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6BE2CD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5FB258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4A5676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0E4C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2F3277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钢结构包边</w:t>
            </w:r>
          </w:p>
        </w:tc>
        <w:tc>
          <w:tcPr>
            <w:tcW w:w="7206" w:type="dxa"/>
            <w:vAlign w:val="center"/>
          </w:tcPr>
          <w:p w14:paraId="5F575B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w:t>
            </w:r>
          </w:p>
        </w:tc>
      </w:tr>
      <w:tr w14:paraId="2B90AE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A57D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079DF6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安装\调试\培训</w:t>
            </w:r>
          </w:p>
        </w:tc>
        <w:tc>
          <w:tcPr>
            <w:tcW w:w="7206" w:type="dxa"/>
            <w:vAlign w:val="center"/>
          </w:tcPr>
          <w:p w14:paraId="3C3EDD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4E3DC0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323E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五（3）</w:t>
            </w:r>
          </w:p>
        </w:tc>
        <w:tc>
          <w:tcPr>
            <w:tcW w:w="8495" w:type="dxa"/>
            <w:gridSpan w:val="2"/>
            <w:shd w:val="clear" w:color="auto" w:fill="FFFFFF"/>
            <w:vAlign w:val="center"/>
          </w:tcPr>
          <w:p w14:paraId="1DB1461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100人会议室视频显示系统</w:t>
            </w:r>
          </w:p>
        </w:tc>
      </w:tr>
      <w:tr w14:paraId="168D6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2874C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63EB6C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sz w:val="21"/>
                <w:szCs w:val="21"/>
              </w:rPr>
            </w:pPr>
            <w:r>
              <w:rPr>
                <w:rFonts w:hint="eastAsia" w:ascii="宋体" w:hAnsi="宋体" w:eastAsia="宋体" w:cs="宋体"/>
                <w:kern w:val="0"/>
                <w:sz w:val="21"/>
                <w:szCs w:val="21"/>
              </w:rPr>
              <w:t>视频显示设备</w:t>
            </w:r>
          </w:p>
        </w:tc>
        <w:tc>
          <w:tcPr>
            <w:tcW w:w="7206" w:type="dxa"/>
            <w:vAlign w:val="center"/>
          </w:tcPr>
          <w:p w14:paraId="225F405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投标产品LED 屏像素点间距&lt;1.54mm</w:t>
            </w:r>
          </w:p>
          <w:p w14:paraId="2B3C8FC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模组尺寸:320mm*160mm，刷新率&gt;3840Hz；像素点密度≥422500点数/㎡；</w:t>
            </w:r>
          </w:p>
          <w:p w14:paraId="09A079D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按照SJ/T 11281-2017 方法测量，像素中心间距相对偏差等级、水平和垂直相对错位等级符合C级≤5%；模组平整度&lt;0.1mm；模组间间间隙&lt;0.1mm；模组间相对错位值≤1%。</w:t>
            </w:r>
          </w:p>
          <w:p w14:paraId="23CBBCC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对比度≥9000:1；亮度500-800Cd/㎡可调；亮度均匀性（校正后）&gt;99% ；发光点中心距偏差≤0.8%。</w:t>
            </w:r>
          </w:p>
          <w:p w14:paraId="7A3BF7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水平视角≥170°;垂直视角：≥170°；</w:t>
            </w:r>
          </w:p>
          <w:p w14:paraId="401DED2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最大功耗≤410W/㎡；平均功耗≤130W/㎡ ; 休眠功耗≤25W/㎡   </w:t>
            </w:r>
          </w:p>
          <w:p w14:paraId="3C40B1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支持电源均流DC4.2V-DC5V；电源功率因数≥98%，转换效率≥90%                      </w:t>
            </w:r>
          </w:p>
          <w:p w14:paraId="62F73B9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色温：100-20000可调，色温为6500K时，100%，75%，50%，25%四档电平白场调节色温误差≤100K。色准：△E≤0.9。                                           </w:t>
            </w:r>
          </w:p>
          <w:p w14:paraId="6B21D56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色度均匀性（校正后）：±0.001CxCy；像素光强均匀性LRJ≤8%;LGJ≤8%;LBJ≤8%；亮度鉴别等级C级：Bj≥21。</w:t>
            </w:r>
          </w:p>
          <w:p w14:paraId="5894AE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依据GB4943.1-2022信息技术设备安全标准对设备进行机械强度试验，加强绝缘，绝缘穿透距离≥0.4mm，外部爬电距离&gt;7.0mm.                                                                                                                                                                         </w:t>
            </w:r>
          </w:p>
          <w:p w14:paraId="72372B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采用网线传导加扰技术，有效防止传输信息的失泄密和防止劫持相关设备；具有良好的抗还原性能和覆盖性，实现无缝干扰，具有防电力远程窃密技术，防止电磁传导辐射泄露有用信息。</w:t>
            </w:r>
          </w:p>
          <w:p w14:paraId="38D05E3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颜色处理位数≥16Bit；支持BT.2020、DCI-P3、BT.709,sRGB、≥125%NTSC</w:t>
            </w:r>
          </w:p>
          <w:p w14:paraId="78CA9F0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一体化控制平台，模块化统一管理，可针对LED显示模块进行统一管理，设置亮度坐标、色温、灰度等参数;</w:t>
            </w:r>
          </w:p>
          <w:p w14:paraId="399DFBA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具有H2S宽动态处理技术，解决主控机二次重复播放时的衰减等现象。</w:t>
            </w:r>
          </w:p>
          <w:p w14:paraId="3CEED32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LED显示屏具备旋转式灯板设计，弱化跨板耦合效应，保证更优质的显示效果；灯芯波长误差值在±1nm之内，每个灯芯亮度误差在3%以内。</w:t>
            </w:r>
          </w:p>
          <w:p w14:paraId="362BC1C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 xml:space="preserve">通过传导抗扰度、辐射抗扰度及工频磁场试验，测试过程中样品均无异常。                         </w:t>
            </w:r>
          </w:p>
          <w:p w14:paraId="7C4F8C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 xml:space="preserve">平均使用寿命≥100000小时；平均无故障时间≥120000小时；平均故障修复时间≤2分钟。 </w:t>
            </w:r>
          </w:p>
          <w:p w14:paraId="3682875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p>
          <w:p w14:paraId="3F269D9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p>
          <w:p w14:paraId="1DB94B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p>
          <w:p w14:paraId="25D7E7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显示屏具备除湿设计，对显示屏灯珠进行预热，蒸发LED灯珠内部湿气，屏体长时间没有使用，屏体自动进入除湿模式，达到保护LED灯。</w:t>
            </w:r>
          </w:p>
          <w:p w14:paraId="06737C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22.</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p>
          <w:p w14:paraId="1508CC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23.</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p>
          <w:p w14:paraId="3146315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24.</w:t>
            </w:r>
            <w:r>
              <w:rPr>
                <w:rFonts w:hint="eastAsia" w:ascii="宋体" w:hAnsi="宋体" w:eastAsia="宋体" w:cs="宋体"/>
                <w:kern w:val="0"/>
                <w:sz w:val="21"/>
                <w:szCs w:val="21"/>
              </w:rPr>
              <w:t>辐照强度：0.76W/㎡.nm@340nm,温度60℃。冷凝温度：50℃、24循环，288H，试验后，样品外观无异常，符合5级。</w:t>
            </w:r>
          </w:p>
          <w:p w14:paraId="5D6E44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25.</w:t>
            </w:r>
            <w:r>
              <w:rPr>
                <w:rFonts w:hint="eastAsia" w:ascii="宋体" w:hAnsi="宋体" w:eastAsia="宋体" w:cs="宋体"/>
                <w:kern w:val="0"/>
                <w:sz w:val="21"/>
                <w:szCs w:val="21"/>
              </w:rPr>
              <w:t>显示屏画面延迟≤1ms，画面信噪比≥60dB；具备纳秒级响应无拖尾、无鬼影。</w:t>
            </w:r>
          </w:p>
          <w:p w14:paraId="5822701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26.</w:t>
            </w:r>
            <w:r>
              <w:rPr>
                <w:rFonts w:hint="eastAsia" w:ascii="宋体" w:hAnsi="宋体" w:eastAsia="宋体" w:cs="宋体"/>
                <w:kern w:val="0"/>
                <w:sz w:val="21"/>
                <w:szCs w:val="21"/>
              </w:rPr>
              <w:t>所投屏体须通过CCC强制认证，不接受OEM产品，要求3c证书，并提供证书复印件。</w:t>
            </w:r>
          </w:p>
        </w:tc>
      </w:tr>
      <w:tr w14:paraId="275218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69B3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0BF381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w:t>
            </w:r>
          </w:p>
        </w:tc>
        <w:tc>
          <w:tcPr>
            <w:tcW w:w="7206" w:type="dxa"/>
            <w:vAlign w:val="center"/>
          </w:tcPr>
          <w:p w14:paraId="6F7D71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w:t>
            </w:r>
          </w:p>
        </w:tc>
      </w:tr>
      <w:tr w14:paraId="6C931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80D2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5B448A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接收系统</w:t>
            </w:r>
          </w:p>
        </w:tc>
        <w:tc>
          <w:tcPr>
            <w:tcW w:w="7206" w:type="dxa"/>
            <w:vAlign w:val="center"/>
          </w:tcPr>
          <w:p w14:paraId="380DE8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2.单卡带载像素512*384</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3.无需转接板，单卡自带HUB320 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p>
          <w:p w14:paraId="399B83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0892F9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ED98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40AC92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高清视频处理器</w:t>
            </w:r>
          </w:p>
        </w:tc>
        <w:tc>
          <w:tcPr>
            <w:tcW w:w="7206" w:type="dxa"/>
            <w:vAlign w:val="center"/>
          </w:tcPr>
          <w:p w14:paraId="2B0CD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w:t>
            </w:r>
          </w:p>
          <w:p w14:paraId="2B4A4A5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6网口输出的集视频处理、视频控制功能于一体的二合一视频控制器。单设备最大带载390万像素点，最大宽度可达3840像素，最高 1920像素，满足现场超宽、超高显示屏控制。                                   </w:t>
            </w:r>
          </w:p>
          <w:p w14:paraId="42F603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43D4945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0D38DC3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2F2839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67B531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79E231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7174A82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1DA360F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7942B0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407CC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66F807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配电箱</w:t>
            </w:r>
          </w:p>
        </w:tc>
        <w:tc>
          <w:tcPr>
            <w:tcW w:w="7206" w:type="dxa"/>
            <w:vAlign w:val="center"/>
          </w:tcPr>
          <w:p w14:paraId="1F2B038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10kw 同时具有PLC功能</w:t>
            </w:r>
          </w:p>
          <w:p w14:paraId="145B809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p>
          <w:p w14:paraId="453536D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通过该系统可以实现对LED显示屏的远程有线控制上电，实现定时开关屏体，方便用户的使用。</w:t>
            </w:r>
          </w:p>
          <w:p w14:paraId="5F7123E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44595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63DA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4BD543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线材</w:t>
            </w:r>
          </w:p>
        </w:tc>
        <w:tc>
          <w:tcPr>
            <w:tcW w:w="7206" w:type="dxa"/>
            <w:vAlign w:val="center"/>
          </w:tcPr>
          <w:p w14:paraId="54C41F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满足安装所需的线材</w:t>
            </w:r>
          </w:p>
        </w:tc>
      </w:tr>
      <w:tr w14:paraId="5E405B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D77B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0DCFD4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结构</w:t>
            </w:r>
          </w:p>
        </w:tc>
        <w:tc>
          <w:tcPr>
            <w:tcW w:w="7206" w:type="dxa"/>
            <w:vAlign w:val="center"/>
          </w:tcPr>
          <w:p w14:paraId="475DEF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采用国标镀锌钢材，不锈钢包边</w:t>
            </w:r>
          </w:p>
        </w:tc>
      </w:tr>
      <w:tr w14:paraId="70C9A6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77CD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07C386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安装调试费</w:t>
            </w:r>
          </w:p>
        </w:tc>
        <w:tc>
          <w:tcPr>
            <w:tcW w:w="7206" w:type="dxa"/>
            <w:vAlign w:val="center"/>
          </w:tcPr>
          <w:p w14:paraId="4E5CDE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29121A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21A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五（4）</w:t>
            </w:r>
          </w:p>
        </w:tc>
        <w:tc>
          <w:tcPr>
            <w:tcW w:w="8495" w:type="dxa"/>
            <w:gridSpan w:val="2"/>
            <w:shd w:val="clear" w:color="auto" w:fill="FFFFFF"/>
            <w:vAlign w:val="center"/>
          </w:tcPr>
          <w:p w14:paraId="6B56C7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操场主席台视频显示系统</w:t>
            </w:r>
          </w:p>
        </w:tc>
      </w:tr>
      <w:tr w14:paraId="3E2221A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29CC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7DEF95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FF0000"/>
                <w:sz w:val="21"/>
                <w:szCs w:val="21"/>
              </w:rPr>
            </w:pPr>
            <w:r>
              <w:rPr>
                <w:rFonts w:hint="eastAsia" w:ascii="宋体" w:hAnsi="宋体" w:eastAsia="宋体" w:cs="宋体"/>
                <w:kern w:val="0"/>
                <w:sz w:val="21"/>
                <w:szCs w:val="21"/>
              </w:rPr>
              <w:t>视频显示设备</w:t>
            </w:r>
          </w:p>
        </w:tc>
        <w:tc>
          <w:tcPr>
            <w:tcW w:w="7206" w:type="dxa"/>
            <w:vAlign w:val="center"/>
          </w:tcPr>
          <w:p w14:paraId="1A7873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1.点间距：≤4mm；刷新率≥3840HZ;像素点密度≥62500点数/㎡；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2.按照SJ/T 11281-2017 方法测量，像素中心间距相对偏差等级、水平和垂直相对错位等级符合C级≤5%；模组平整度≤0.1mm；模组间间间隙≤0.1mm；模组间相对错位值≤1%（</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3.对比度：9000:1；亮度4000-7000Cd/㎡可调；亮度均匀性（校正后）≥99% ；发光点中心距偏差≤0.8%</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4.水平视角≥160°;垂直视角：≥150°；</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5.最大功耗≤700W/㎡；平均功耗≤250W/㎡ ; 休眠功耗≤45W/㎡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6.支持电源均流DC4.2V-DC5V；LED对地漏电流的有效值不大于3mA/㎡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7.色温：100-20000可调，色温为6500K时，100%，75%，50%，25%四档电平白场调节色温误差≤100K。色准：△E≤</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 xml:space="preserve">8.色度均匀性（校正后）：±0.0015CxCy；像素光强均匀性LRJ≤8%;LGJ≤8%;LBJ≤8%；亮度鉴别等级C级：Bj≥21。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9.采用网线传导加扰技术，有效防止传输信息的失泄密和防止劫持相关设备；具有良好的抗还原性能和覆盖性，实现无缝干扰，具有防电力远程窃密技术，防止电磁传导辐射泄露有用信息。</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、颜色处理位数≥14Bit；支持软件实现不同亮度情况下，灰度10-22bit 任意设置。</w:t>
            </w:r>
          </w:p>
          <w:p w14:paraId="4BA497C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.采用模组、控制盒、结构采用模块化拼装设计；一体化控制平台，模块化统一管理，可针对LED显示模块进行统一管理，设置亮度坐标、色温、灰度等参数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.具有H2S宽动态处理技术，解决主控机二次重复播放时的衰减等现象；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.根据SJ/T 11590-2016 LED显示屏图像质量主观评价方法，频闪现象，图像均匀性，大面积色彩还原，亮度鉴别等级，伪轮廓现象，图像清晰度，检测结果评分5分，主观评价为优。</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 xml:space="preserve">.通过传导抗扰度、辐射抗扰度及工频磁场试验，测试过程中样品均无异常。                            </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.平均使用寿命≥100000小时；平均无故障时间≥100000小时；平均故障修复时间≤5分钟。</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.模组采用4P接插头，免工具维护，具有防呆装置，避免线路接错的问题。采用集成HUB接收卡控制，支持通讯状态监测，高灰度，高刷新；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.具备0级防霉特性，符合《GBT2423.16-2008电工电子产品环境试验；长时间没有使用屏体，屏体自动切入除湿模式，使屏体从10%到100%亮度逐步显示，达到保护LED灯。</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18</w:t>
            </w:r>
            <w:r>
              <w:rPr>
                <w:rFonts w:hint="eastAsia" w:ascii="宋体" w:hAnsi="宋体" w:eastAsia="宋体" w:cs="宋体"/>
                <w:kern w:val="0"/>
                <w:sz w:val="21"/>
                <w:szCs w:val="21"/>
              </w:rPr>
              <w:t>.依据标准进行过光生物安全和低紫外线试验，试验后属于无危害类产品；视觉舒适度（VICO指数）0-1级，去除100%紫外线，消除80%摩尔纹。</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19</w:t>
            </w:r>
            <w:r>
              <w:rPr>
                <w:rFonts w:hint="eastAsia" w:ascii="宋体" w:hAnsi="宋体" w:eastAsia="宋体" w:cs="宋体"/>
                <w:kern w:val="0"/>
                <w:sz w:val="21"/>
                <w:szCs w:val="21"/>
              </w:rPr>
              <w:t>.支持支持BT.2020\DCT-P3\BT.709，sRGB等多种色域之间的转换，色域支持范围NTSC≥125%。</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0</w:t>
            </w:r>
            <w:r>
              <w:rPr>
                <w:rFonts w:hint="eastAsia" w:ascii="宋体" w:hAnsi="宋体" w:eastAsia="宋体" w:cs="宋体"/>
                <w:kern w:val="0"/>
                <w:sz w:val="21"/>
                <w:szCs w:val="21"/>
              </w:rPr>
              <w:t>.显示屏具有防潮、防尘、防腐蚀、防电磁干扰、防静电等功能，并具有过流、断路、过压、欠压保护；LED显示屏接插件支持不关屏热插拔修维护功能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.支持灯板出现短路时，灯板会自动保护，避免烧坏灯板上的其他元器件，支持更换灯板后，校正参数自动回读功能不需要人工操作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.辐照强度：0.76W/㎡.nm@340nm,温度60℃。冷凝温度：50℃、24循环，288H，试验后，样品外观无异常，符合5级。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.显示屏画面延迟≤1ms，画面信噪比≥60dB；具备纳秒级显示技术无拖尾重影叠加现象，画质稳定流畅。</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.所投屏体须通过CCC强制认证，不接受OEM产品，要求3c证书，并提供证书复印件。</w:t>
            </w:r>
          </w:p>
        </w:tc>
      </w:tr>
      <w:tr w14:paraId="7EB2B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175350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2</w:t>
            </w:r>
          </w:p>
        </w:tc>
        <w:tc>
          <w:tcPr>
            <w:tcW w:w="1289" w:type="dxa"/>
            <w:shd w:val="clear" w:color="auto" w:fill="FFFFFF"/>
            <w:vAlign w:val="center"/>
          </w:tcPr>
          <w:p w14:paraId="0818C0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户外一体箱体</w:t>
            </w:r>
          </w:p>
        </w:tc>
        <w:tc>
          <w:tcPr>
            <w:tcW w:w="7206" w:type="dxa"/>
            <w:vAlign w:val="center"/>
          </w:tcPr>
          <w:p w14:paraId="0C1EB1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镀锌喷涂</w:t>
            </w:r>
          </w:p>
        </w:tc>
      </w:tr>
      <w:tr w14:paraId="62973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FAEE0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3</w:t>
            </w:r>
          </w:p>
        </w:tc>
        <w:tc>
          <w:tcPr>
            <w:tcW w:w="1289" w:type="dxa"/>
            <w:shd w:val="clear" w:color="auto" w:fill="FFFFFF"/>
            <w:vAlign w:val="center"/>
          </w:tcPr>
          <w:p w14:paraId="7956D0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运动比分软件</w:t>
            </w:r>
          </w:p>
        </w:tc>
        <w:tc>
          <w:tcPr>
            <w:tcW w:w="7206" w:type="dxa"/>
            <w:vAlign w:val="center"/>
          </w:tcPr>
          <w:p w14:paraId="7E1682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w:t>
            </w:r>
          </w:p>
        </w:tc>
      </w:tr>
      <w:tr w14:paraId="0F37EE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D93F6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4</w:t>
            </w:r>
          </w:p>
        </w:tc>
        <w:tc>
          <w:tcPr>
            <w:tcW w:w="1289" w:type="dxa"/>
            <w:shd w:val="clear" w:color="auto" w:fill="FFFFFF"/>
            <w:vAlign w:val="center"/>
          </w:tcPr>
          <w:p w14:paraId="24679B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开关电源</w:t>
            </w:r>
          </w:p>
        </w:tc>
        <w:tc>
          <w:tcPr>
            <w:tcW w:w="7206" w:type="dxa"/>
            <w:vAlign w:val="center"/>
          </w:tcPr>
          <w:p w14:paraId="044036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额定输入电压：200VAC-240VAC</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输入频率：47Hz-63Hz</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所提供电源与显示屏为同一厂家，出具3C认证证书复印件。</w:t>
            </w:r>
          </w:p>
        </w:tc>
      </w:tr>
      <w:tr w14:paraId="3C62F9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4F192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5</w:t>
            </w:r>
          </w:p>
        </w:tc>
        <w:tc>
          <w:tcPr>
            <w:tcW w:w="1289" w:type="dxa"/>
            <w:shd w:val="clear" w:color="auto" w:fill="FFFFFF"/>
            <w:vAlign w:val="center"/>
          </w:tcPr>
          <w:p w14:paraId="715F40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接收卡</w:t>
            </w:r>
          </w:p>
        </w:tc>
        <w:tc>
          <w:tcPr>
            <w:tcW w:w="7206" w:type="dxa"/>
            <w:vAlign w:val="center"/>
          </w:tcPr>
          <w:p w14:paraId="6E913B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auto"/>
                <w:kern w:val="0"/>
                <w:sz w:val="21"/>
                <w:szCs w:val="21"/>
              </w:rPr>
              <w:t>1.所投设备需与视频显示设备为同一品牌。</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2.单卡带载像素512*512</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3.无需转接板，单卡自带HUB75接口。</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4.支持逐点亮色度校正，可以对每个灯点的亮度和色度进行校正，有效消除色差，使整屏的亮度和色度达到高度均匀一致，提高显示屏的画质。</w:t>
            </w:r>
          </w:p>
          <w:p w14:paraId="4D470F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5.快速亮暗线调节，在调试软件上进行快速亮暗线调节，快速解决因箱体及模组拼接造成的显示屏亮暗线，调节过程中即时生效，简单易用。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6.配合支持 3D 功能的独立主控，在软件或独立主控的操作面板上开启 3D 功能，并设置 3D 参数，使画面显示 3D 效果。</w:t>
            </w:r>
            <w:r>
              <w:rPr>
                <w:rFonts w:hint="eastAsia" w:ascii="宋体" w:hAnsi="宋体" w:eastAsia="宋体" w:cs="宋体"/>
                <w:kern w:val="0"/>
                <w:sz w:val="21"/>
                <w:szCs w:val="21"/>
              </w:rPr>
              <w:br w:type="textWrapping"/>
            </w:r>
            <w:r>
              <w:rPr>
                <w:rFonts w:hint="eastAsia" w:ascii="宋体" w:hAnsi="宋体" w:eastAsia="宋体" w:cs="宋体"/>
                <w:kern w:val="0"/>
                <w:sz w:val="21"/>
                <w:szCs w:val="21"/>
              </w:rPr>
              <w:t>7.支持灯板flash 管理，校正系数双备份，更换灯板后，无需重新上传校正系数，屏体重新上电即可使用对应灯板校正系数。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8.支持可以回读接收卡的固定程序并可保存到保底；软件可以回读接收卡配置参数</w:t>
            </w:r>
            <w:r>
              <w:rPr>
                <w:rFonts w:hint="eastAsia" w:ascii="宋体" w:hAnsi="宋体" w:eastAsia="宋体" w:cs="宋体"/>
                <w:kern w:val="0"/>
                <w:sz w:val="21"/>
                <w:szCs w:val="21"/>
              </w:rPr>
              <w:br w:type="textWrapping"/>
            </w:r>
            <w:r>
              <w:rPr>
                <w:rFonts w:hint="eastAsia" w:ascii="宋体" w:hAnsi="宋体" w:eastAsia="宋体" w:cs="宋体"/>
                <w:kern w:val="0"/>
                <w:sz w:val="21"/>
                <w:szCs w:val="21"/>
              </w:rPr>
              <w:t>9.可配合多功能卡，实现当温度高于设定值时，自动断电，或打开风扇空调降低温度，保证屏体安全</w:t>
            </w:r>
          </w:p>
        </w:tc>
      </w:tr>
      <w:tr w14:paraId="69DDA0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FA84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6</w:t>
            </w:r>
          </w:p>
        </w:tc>
        <w:tc>
          <w:tcPr>
            <w:tcW w:w="1289" w:type="dxa"/>
            <w:shd w:val="clear" w:color="auto" w:fill="FFFFFF"/>
            <w:vAlign w:val="center"/>
          </w:tcPr>
          <w:p w14:paraId="0BB2B1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视频处理器</w:t>
            </w:r>
          </w:p>
        </w:tc>
        <w:tc>
          <w:tcPr>
            <w:tcW w:w="7206" w:type="dxa"/>
            <w:vAlign w:val="center"/>
          </w:tcPr>
          <w:p w14:paraId="6E3A51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所投设备与视频显示设备为同一品牌，提供CCC证书复印件加盖单位公章</w:t>
            </w:r>
          </w:p>
          <w:p w14:paraId="6D2614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2网口输出的集视频处理、视频控制功能于一体的二合一视频控制器。单设备最大带载130万像素点，最大宽度可达3840像素，最高 1920像素，满足现场超宽、超高显示屏控制。                                          </w:t>
            </w:r>
          </w:p>
          <w:p w14:paraId="7D6CB06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 xml:space="preserve">平均故障时间＞180000小时，最快修复时间＜3s；场景调取响应速度＜5ms；图像开窗响应速度＜10ms。                                                                                      </w:t>
            </w:r>
          </w:p>
          <w:p w14:paraId="6E0A302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输入输出延时＜10ms；信号切换时间＜5ms。</w:t>
            </w:r>
          </w:p>
          <w:p w14:paraId="700678B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 xml:space="preserve">支持智能输出分辨率，根据拼接屏的大小自动计算出分辨率，从根本上解决了发送卡带载不同分辨率的问题；支持拼接屏的拼缝补偿，可精确到1个像素。                                                                        </w:t>
            </w:r>
          </w:p>
          <w:p w14:paraId="6E7449C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支持硬件休眠功能，可直接用脚本激活，可以实现对大屏的一键亮屏、一键黑屏。                                                                         </w:t>
            </w:r>
          </w:p>
          <w:p w14:paraId="540F182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 xml:space="preserve">支持画质调节，支持多种图像模式调节，包括标准模式、文档模式、会议模式、视频模式，并具备通过画质处理算法可极大降低蓝光危害起到护眼效果。                                       </w:t>
            </w:r>
          </w:p>
          <w:p w14:paraId="3D3A48B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屏幕画质调节支持4种调节模式：标准模式、文档模式、会议模式、视频模式，每种模式下均支持护眼模式开关设置，护眼模式关闭时，可对亮度、对比度、饱和度、色调、色温、Gamma进行自定义调节；输出接口画质支持亮度、对比度、饱和度、色调、色温、Gamma调节，可添加22种测试画面图像，支持间距、速度、亮度调节。</w:t>
            </w:r>
          </w:p>
          <w:p w14:paraId="691BA11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完美实现设备输出接口或多台设备间的超大分辨率屏幕的完美拼接同步显示，从根本上消除了拼接缝和图像撕裂问题，支持所有输出图像在小于60ms内同步。</w:t>
            </w:r>
          </w:p>
          <w:p w14:paraId="4FE82B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 xml:space="preserve">支持可以通过客户端软件设置输出视频图像进行水平/垂直裁剪、边缘弱化、亮度设置、透明度设置；可通过客户端软件对发送卡的输出频率进行设置；支持视频图像不正常时的一键修复功能。                                                </w:t>
            </w:r>
          </w:p>
        </w:tc>
      </w:tr>
      <w:tr w14:paraId="280117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14ABB3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7</w:t>
            </w:r>
          </w:p>
        </w:tc>
        <w:tc>
          <w:tcPr>
            <w:tcW w:w="1289" w:type="dxa"/>
            <w:shd w:val="clear" w:color="auto" w:fill="FFFFFF"/>
            <w:vAlign w:val="center"/>
          </w:tcPr>
          <w:p w14:paraId="7CAFB3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播放软件</w:t>
            </w:r>
          </w:p>
        </w:tc>
        <w:tc>
          <w:tcPr>
            <w:tcW w:w="7206" w:type="dxa"/>
            <w:vAlign w:val="center"/>
          </w:tcPr>
          <w:p w14:paraId="0DC9DA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color w:val="auto"/>
                <w:kern w:val="0"/>
                <w:sz w:val="21"/>
                <w:szCs w:val="21"/>
              </w:rPr>
              <w:t xml:space="preserve">与视频显示设备为同一品牌  </w:t>
            </w:r>
            <w:r>
              <w:rPr>
                <w:rFonts w:hint="eastAsia" w:ascii="宋体" w:hAnsi="宋体" w:eastAsia="宋体" w:cs="宋体"/>
                <w:kern w:val="0"/>
                <w:sz w:val="21"/>
                <w:szCs w:val="21"/>
              </w:rPr>
              <w:t xml:space="preserve">           </w:t>
            </w:r>
          </w:p>
          <w:p w14:paraId="6CE8710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利用视频控制软件可以方便地制作节目单，每个节目像安装了定时器一样能自动按照编排好的节目自动播放，能满足客户需求。</w:t>
            </w:r>
          </w:p>
          <w:p w14:paraId="0C8FB0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支持节目单在线编辑、复制,支持节目单顺序调整,支持图片编辑与播放,支持动画编辑与播放,支持文本文件的编辑与播放,支持WORD及EXCEL文件的编辑与播放</w:t>
            </w:r>
          </w:p>
          <w:p w14:paraId="4FAAB34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包含软硬件加密功能，对内容播放的安全性措施的描述。</w:t>
            </w:r>
          </w:p>
          <w:p w14:paraId="27886D4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支持任意场景保存功能，支持场景分组功能，支持任意场景读取功能，支持场景分组功能。</w:t>
            </w:r>
          </w:p>
          <w:p w14:paraId="78167DD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支持信号是否在线显示。</w:t>
            </w:r>
          </w:p>
          <w:p w14:paraId="44ED79D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支持信号分组、检索功能。</w:t>
            </w:r>
          </w:p>
          <w:p w14:paraId="0795A92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支持所有接入信号的实时画面预览，画面无卡顿。</w:t>
            </w:r>
          </w:p>
          <w:p w14:paraId="0D8FF7C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可任意调整设置，实现输出端口与物理屏之间的对应关系，支持输出信号EDID编辑，适应小间距等非标分辨率，集成第三方矩阵设置功能界面，具备SDK开发包，供第三方集成，具备多语言界面。</w:t>
            </w:r>
          </w:p>
        </w:tc>
      </w:tr>
      <w:tr w14:paraId="604B85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16C3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8</w:t>
            </w:r>
          </w:p>
        </w:tc>
        <w:tc>
          <w:tcPr>
            <w:tcW w:w="1289" w:type="dxa"/>
            <w:shd w:val="clear" w:color="auto" w:fill="FFFFFF"/>
            <w:vAlign w:val="center"/>
          </w:tcPr>
          <w:p w14:paraId="07C59C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散热风扇</w:t>
            </w:r>
          </w:p>
        </w:tc>
        <w:tc>
          <w:tcPr>
            <w:tcW w:w="7206" w:type="dxa"/>
            <w:vAlign w:val="center"/>
          </w:tcPr>
          <w:p w14:paraId="60C3E6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国产</w:t>
            </w:r>
          </w:p>
        </w:tc>
      </w:tr>
      <w:tr w14:paraId="50D52C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2718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9</w:t>
            </w:r>
          </w:p>
        </w:tc>
        <w:tc>
          <w:tcPr>
            <w:tcW w:w="1289" w:type="dxa"/>
            <w:shd w:val="clear" w:color="auto" w:fill="FFFFFF"/>
            <w:vAlign w:val="center"/>
          </w:tcPr>
          <w:p w14:paraId="779182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智能配电箱</w:t>
            </w:r>
          </w:p>
        </w:tc>
        <w:tc>
          <w:tcPr>
            <w:tcW w:w="7206" w:type="dxa"/>
            <w:vAlign w:val="center"/>
          </w:tcPr>
          <w:p w14:paraId="564309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20kw 同时具有PLC功能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为了方便对LED显示屏的使用，进一步提高系统的智能化管理和动力电源的集成度与稳定性，采用“显示屏智能上电系统”。</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通过该系统可以实现对LED显示屏的远程有线控制上电，实现定时开关屏体，方便用户的使用。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同时，屏体采用“分步加电”的上电方式，既要避免大负载对电网瞬间的冲击，又要有效地保护显示屏体的工作组件，延长屏体的使用寿命。</w:t>
            </w:r>
          </w:p>
        </w:tc>
      </w:tr>
      <w:tr w14:paraId="52BD0F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1D4CF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10</w:t>
            </w:r>
          </w:p>
        </w:tc>
        <w:tc>
          <w:tcPr>
            <w:tcW w:w="1289" w:type="dxa"/>
            <w:shd w:val="clear" w:color="auto" w:fill="FFFFFF"/>
            <w:vAlign w:val="center"/>
          </w:tcPr>
          <w:p w14:paraId="21248A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显示屏框架</w:t>
            </w:r>
          </w:p>
        </w:tc>
        <w:tc>
          <w:tcPr>
            <w:tcW w:w="7206" w:type="dxa"/>
            <w:vAlign w:val="center"/>
          </w:tcPr>
          <w:p w14:paraId="3D3996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钢结构：钢架构件（含接合板）采用Q235B钢制作，结构用钢应符合《GB700-88》规定的Q235要求，保证其抗拉强度、伸长率、屈服点，碳、硫、磷的极限含量；</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焊条：手工焊：Q235连接用E43系列焊条；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自动焊：Q235连接用H08系列焊条；</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要求：抗震7级，抗风8级；</w:t>
            </w:r>
            <w:r>
              <w:rPr>
                <w:rFonts w:hint="eastAsia" w:ascii="宋体" w:hAnsi="宋体" w:eastAsia="宋体" w:cs="宋体"/>
                <w:kern w:val="0"/>
                <w:sz w:val="21"/>
                <w:szCs w:val="21"/>
              </w:rPr>
              <w:br w:type="textWrapping"/>
            </w:r>
            <w:r>
              <w:rPr>
                <w:rFonts w:hint="eastAsia" w:ascii="宋体" w:hAnsi="宋体" w:eastAsia="宋体" w:cs="宋体"/>
                <w:kern w:val="0"/>
                <w:sz w:val="21"/>
                <w:szCs w:val="21"/>
              </w:rPr>
              <w:t>5</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包边：不锈钢包边。</w:t>
            </w:r>
          </w:p>
        </w:tc>
      </w:tr>
      <w:tr w14:paraId="068482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CFDA9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11</w:t>
            </w:r>
          </w:p>
        </w:tc>
        <w:tc>
          <w:tcPr>
            <w:tcW w:w="1289" w:type="dxa"/>
            <w:shd w:val="clear" w:color="auto" w:fill="FFFFFF"/>
            <w:vAlign w:val="center"/>
          </w:tcPr>
          <w:p w14:paraId="5CB10D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控制终端</w:t>
            </w:r>
          </w:p>
        </w:tc>
        <w:tc>
          <w:tcPr>
            <w:tcW w:w="7206" w:type="dxa"/>
            <w:vAlign w:val="center"/>
          </w:tcPr>
          <w:p w14:paraId="1F6C31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CPU≥6核/内存≥8G/硬盘容量≥256G固态硬盘+1T机械硬盘/显卡支持双屏显示</w:t>
            </w:r>
          </w:p>
        </w:tc>
      </w:tr>
      <w:tr w14:paraId="036F8A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55FE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12</w:t>
            </w:r>
          </w:p>
        </w:tc>
        <w:tc>
          <w:tcPr>
            <w:tcW w:w="1289" w:type="dxa"/>
            <w:shd w:val="clear" w:color="auto" w:fill="FFFFFF"/>
            <w:vAlign w:val="center"/>
          </w:tcPr>
          <w:p w14:paraId="5CEA96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w:t>
            </w:r>
          </w:p>
        </w:tc>
        <w:tc>
          <w:tcPr>
            <w:tcW w:w="7206" w:type="dxa"/>
            <w:vAlign w:val="center"/>
          </w:tcPr>
          <w:p w14:paraId="0DC771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定制，包含安装设备</w:t>
            </w:r>
          </w:p>
        </w:tc>
      </w:tr>
      <w:tr w14:paraId="21483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62678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五（5）</w:t>
            </w:r>
          </w:p>
        </w:tc>
        <w:tc>
          <w:tcPr>
            <w:tcW w:w="8495" w:type="dxa"/>
            <w:gridSpan w:val="2"/>
            <w:shd w:val="clear" w:color="auto" w:fill="FFFFFF"/>
            <w:vAlign w:val="center"/>
          </w:tcPr>
          <w:p w14:paraId="0532F6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舞台灯光系统</w:t>
            </w:r>
          </w:p>
        </w:tc>
      </w:tr>
      <w:tr w14:paraId="1F480A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1B31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507B61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r>
              <w:rPr>
                <w:rFonts w:hint="eastAsia" w:ascii="宋体" w:hAnsi="宋体" w:eastAsia="宋体" w:cs="宋体"/>
                <w:b/>
                <w:bCs/>
                <w:kern w:val="0"/>
                <w:sz w:val="21"/>
                <w:szCs w:val="21"/>
              </w:rPr>
              <w:t>一顶光</w:t>
            </w:r>
          </w:p>
        </w:tc>
        <w:tc>
          <w:tcPr>
            <w:tcW w:w="7206" w:type="dxa"/>
            <w:vAlign w:val="center"/>
          </w:tcPr>
          <w:p w14:paraId="711B72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572EF0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4FA0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21740D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077350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489F47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0AA2F1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4B6DAB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6692A2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459A43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0ACFF1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D44C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2DBCD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0367F1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72C57C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5F6C4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A73E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5F59CB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D436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2840E28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4EADB4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03F7E6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5D7476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728CC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D9C8C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053D0D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09CAA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6B97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238BF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p>
        </w:tc>
        <w:tc>
          <w:tcPr>
            <w:tcW w:w="1289" w:type="dxa"/>
            <w:shd w:val="clear" w:color="auto" w:fill="FFFFFF"/>
            <w:vAlign w:val="center"/>
          </w:tcPr>
          <w:p w14:paraId="53178F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二顶光</w:t>
            </w:r>
            <w:r>
              <w:rPr>
                <w:rFonts w:hint="eastAsia" w:ascii="宋体" w:hAnsi="宋体" w:eastAsia="宋体" w:cs="宋体"/>
                <w:kern w:val="0"/>
                <w:sz w:val="21"/>
                <w:szCs w:val="21"/>
              </w:rPr>
              <w:t>　</w:t>
            </w:r>
          </w:p>
        </w:tc>
        <w:tc>
          <w:tcPr>
            <w:tcW w:w="7206" w:type="dxa"/>
            <w:vAlign w:val="center"/>
          </w:tcPr>
          <w:p w14:paraId="0058E9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0AC9E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2DC2F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1EAF5E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4DA7D52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4F12EE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00916C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16DF6C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530BE5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4861FE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43AE25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38B9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6DC7DC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73CC39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1F4823D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4CFF8D0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1188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0A561C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7826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479996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4A2FB6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422C3C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55D40B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3B5A22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18761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29003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24D3E3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2A454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1987A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p>
        </w:tc>
        <w:tc>
          <w:tcPr>
            <w:tcW w:w="1289" w:type="dxa"/>
            <w:shd w:val="clear" w:color="auto" w:fill="FFFFFF"/>
            <w:vAlign w:val="center"/>
          </w:tcPr>
          <w:p w14:paraId="7DCB27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三顶光</w:t>
            </w:r>
          </w:p>
        </w:tc>
        <w:tc>
          <w:tcPr>
            <w:tcW w:w="7206" w:type="dxa"/>
            <w:vAlign w:val="center"/>
          </w:tcPr>
          <w:p w14:paraId="7355F5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738785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07D4F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81F6E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7B232B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7BA9A9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2692DD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063F79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025728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5BE4F0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616E4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A6DF0D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BA680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51F4F9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682BFF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3D1500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17B55E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61651C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9BEC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92356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770159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6608A0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6B5322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619F00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F884E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3FBE4D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2C7738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714BC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0119B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482A09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四顶光</w:t>
            </w:r>
            <w:r>
              <w:rPr>
                <w:rFonts w:hint="eastAsia" w:ascii="宋体" w:hAnsi="宋体" w:eastAsia="宋体" w:cs="宋体"/>
                <w:kern w:val="0"/>
                <w:sz w:val="21"/>
                <w:szCs w:val="21"/>
              </w:rPr>
              <w:t>　</w:t>
            </w:r>
          </w:p>
        </w:tc>
        <w:tc>
          <w:tcPr>
            <w:tcW w:w="7206" w:type="dxa"/>
            <w:vAlign w:val="center"/>
          </w:tcPr>
          <w:p w14:paraId="39282A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39130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70897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62A9400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58D6CA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1.采用暖白≥300*0.2W颗LED+冷白≥330*0.2W颗LED光源</w:t>
            </w:r>
          </w:p>
          <w:p w14:paraId="002F3D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2.具有调光功能</w:t>
            </w:r>
          </w:p>
          <w:p w14:paraId="370834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3.具有3000-6500K色温调节功能，CRI≥97，TLCI≥95。</w:t>
            </w:r>
          </w:p>
          <w:p w14:paraId="2693A4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4.具有NTC温度控测功能。</w:t>
            </w:r>
          </w:p>
          <w:p w14:paraId="7A205E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5.具备DMX512接口，支持RDM协议，具有程序在线更新功能。</w:t>
            </w:r>
          </w:p>
          <w:p w14:paraId="5718DD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6.支持DMX控制通道数量为2/5通道。</w:t>
            </w:r>
          </w:p>
        </w:tc>
      </w:tr>
      <w:tr w14:paraId="6D93DB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F87DA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10178F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44AE20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3E9B25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F10E3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2A6B83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2712C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AA947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54632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224C1F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2822A6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0A6C79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195F3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6A7B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2903B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913A8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外径50镀锌圆管</w:t>
            </w:r>
          </w:p>
        </w:tc>
      </w:tr>
      <w:tr w14:paraId="080B8D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EABD4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　</w:t>
            </w:r>
          </w:p>
        </w:tc>
        <w:tc>
          <w:tcPr>
            <w:tcW w:w="1289" w:type="dxa"/>
            <w:shd w:val="clear" w:color="auto" w:fill="FFFFFF"/>
            <w:vAlign w:val="center"/>
          </w:tcPr>
          <w:p w14:paraId="2BEC2C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面光</w:t>
            </w:r>
            <w:r>
              <w:rPr>
                <w:rFonts w:hint="eastAsia" w:ascii="宋体" w:hAnsi="宋体" w:eastAsia="宋体" w:cs="宋体"/>
                <w:kern w:val="0"/>
                <w:sz w:val="21"/>
                <w:szCs w:val="21"/>
              </w:rPr>
              <w:t>　</w:t>
            </w:r>
          </w:p>
        </w:tc>
        <w:tc>
          <w:tcPr>
            <w:tcW w:w="7206" w:type="dxa"/>
            <w:vAlign w:val="center"/>
          </w:tcPr>
          <w:p w14:paraId="60D9B2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47C570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53B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9C251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影视灯</w:t>
            </w:r>
          </w:p>
        </w:tc>
        <w:tc>
          <w:tcPr>
            <w:tcW w:w="7206" w:type="dxa"/>
            <w:vAlign w:val="center"/>
          </w:tcPr>
          <w:p w14:paraId="295870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1.采用COB白光200W LED 3200K光源。</w:t>
            </w:r>
          </w:p>
          <w:p w14:paraId="0C481C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2.具备19°光学角度，具有调光、手动调焦功能。</w:t>
            </w:r>
          </w:p>
          <w:p w14:paraId="12BCFF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3.具有3000k色温，Ra≥90显色指数。</w:t>
            </w:r>
          </w:p>
          <w:p w14:paraId="1AE8C5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4.具有散热功能，采用铜管散热器风向引流与温度智能监控技术，根据灯具不同位置的温度高低，自动驱动灯具里面不同部位的冷却风扇，对灯具部件进行有效的冷却。</w:t>
            </w:r>
          </w:p>
          <w:p w14:paraId="342CB5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5.具备DMX512接口，支持RDM协议，通过DMX数据线升级。</w:t>
            </w:r>
          </w:p>
          <w:p w14:paraId="305C826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6.支持DMX控制通道数量为2通道。</w:t>
            </w:r>
          </w:p>
        </w:tc>
      </w:tr>
      <w:tr w14:paraId="36CA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889F2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F6E4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多功能灯勾</w:t>
            </w:r>
          </w:p>
        </w:tc>
        <w:tc>
          <w:tcPr>
            <w:tcW w:w="7206" w:type="dxa"/>
            <w:vAlign w:val="center"/>
          </w:tcPr>
          <w:p w14:paraId="33D8AE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1.规格：30mm厚</w:t>
            </w:r>
          </w:p>
          <w:p w14:paraId="20C328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2.承重：150kg</w:t>
            </w:r>
          </w:p>
          <w:p w14:paraId="55877D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3.卡管：44-52mm</w:t>
            </w:r>
          </w:p>
          <w:p w14:paraId="719C8F5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4.底部螺丝总长：40mm</w:t>
            </w:r>
          </w:p>
        </w:tc>
      </w:tr>
      <w:tr w14:paraId="5E8C5E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4C2E6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BA4B07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安全绳</w:t>
            </w:r>
          </w:p>
        </w:tc>
        <w:tc>
          <w:tcPr>
            <w:tcW w:w="7206" w:type="dxa"/>
            <w:vAlign w:val="center"/>
          </w:tcPr>
          <w:p w14:paraId="2C51BF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1.规格：直径4.0mm</w:t>
            </w:r>
          </w:p>
          <w:p w14:paraId="5BAE72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2.长度：总长850mm</w:t>
            </w:r>
          </w:p>
          <w:p w14:paraId="6B27CD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3.承重：150kg</w:t>
            </w:r>
          </w:p>
        </w:tc>
      </w:tr>
      <w:tr w14:paraId="04B64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32CC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2B7D1C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灯杆</w:t>
            </w:r>
          </w:p>
        </w:tc>
        <w:tc>
          <w:tcPr>
            <w:tcW w:w="7206" w:type="dxa"/>
            <w:vAlign w:val="center"/>
          </w:tcPr>
          <w:p w14:paraId="435AEE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φ50/2.5mm</w:t>
            </w:r>
          </w:p>
        </w:tc>
      </w:tr>
      <w:tr w14:paraId="61063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F32A0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　</w:t>
            </w:r>
          </w:p>
        </w:tc>
        <w:tc>
          <w:tcPr>
            <w:tcW w:w="1289" w:type="dxa"/>
            <w:shd w:val="clear" w:color="auto" w:fill="FFFFFF"/>
            <w:vAlign w:val="center"/>
          </w:tcPr>
          <w:p w14:paraId="09D020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外围设备及控制系统</w:t>
            </w:r>
          </w:p>
        </w:tc>
        <w:tc>
          <w:tcPr>
            <w:tcW w:w="7206" w:type="dxa"/>
            <w:vAlign w:val="center"/>
          </w:tcPr>
          <w:p w14:paraId="28ED1B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p>
        </w:tc>
      </w:tr>
      <w:tr w14:paraId="2510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AAEE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C5B23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控台</w:t>
            </w:r>
          </w:p>
        </w:tc>
        <w:tc>
          <w:tcPr>
            <w:tcW w:w="7206" w:type="dxa"/>
            <w:vAlign w:val="center"/>
          </w:tcPr>
          <w:p w14:paraId="4544EBB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1.具备1024个DMX512 通道数</w:t>
            </w:r>
          </w:p>
          <w:p w14:paraId="1A8844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2.具备96台电脑灯的配接数量</w:t>
            </w:r>
          </w:p>
          <w:p w14:paraId="5B8A04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3.支持电脑灯重新配接地址码，支持灯具水平垂直交换，支持灯具通道反相输出</w:t>
            </w:r>
          </w:p>
          <w:p w14:paraId="1A97B2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4.支持灯具通道滑步模式切换，支持40主通道+40微调通道控制，支持R20灯库</w:t>
            </w:r>
          </w:p>
          <w:p w14:paraId="2EB461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5.具备60个可保存的场景，具备10个可同时运行的场景，具备600步场景的总步数</w:t>
            </w:r>
          </w:p>
          <w:p w14:paraId="1DA0DD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6.具备淡入、淡出、LTP滑步场景时间控制</w:t>
            </w:r>
          </w:p>
          <w:p w14:paraId="1C071D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7.支持推杆启动场景并进行调光，支持互锁场景，支持点控场景</w:t>
            </w:r>
          </w:p>
          <w:p w14:paraId="214AE5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8.具备图形生成器，每个场景可存储5个图形</w:t>
            </w:r>
          </w:p>
          <w:p w14:paraId="100B06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9.具备10个可同时运行图形数量</w:t>
            </w:r>
          </w:p>
          <w:p w14:paraId="7FB43D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10.具备全局、重演、灯具主控推杆</w:t>
            </w:r>
          </w:p>
          <w:p w14:paraId="7C9E7B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1</w:t>
            </w:r>
            <w:r>
              <w:rPr>
                <w:rFonts w:hint="eastAsia" w:ascii="宋体" w:hAnsi="宋体" w:eastAsia="宋体" w:cs="宋体"/>
                <w:color w:val="000000"/>
                <w:kern w:val="0"/>
                <w:sz w:val="21"/>
                <w:szCs w:val="21"/>
              </w:rPr>
              <w:t>.支持转盘调整通道数值，支持推杆调整通道数值，支持推杆调光</w:t>
            </w:r>
          </w:p>
        </w:tc>
      </w:tr>
      <w:tr w14:paraId="7CCB60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748FF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76AE17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直通箱</w:t>
            </w:r>
          </w:p>
        </w:tc>
        <w:tc>
          <w:tcPr>
            <w:tcW w:w="7206" w:type="dxa"/>
            <w:vAlign w:val="center"/>
          </w:tcPr>
          <w:p w14:paraId="6A1927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1.具备过载与短路双重保护高分断空气开关。</w:t>
            </w:r>
          </w:p>
          <w:p w14:paraId="3D46FF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2.具备12路×4kW功率输出</w:t>
            </w:r>
          </w:p>
          <w:p w14:paraId="30F55C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3.支持A.B.C三相工作指示灯。</w:t>
            </w:r>
          </w:p>
          <w:p w14:paraId="29B820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4.支持两脚和三脚万能用插座。</w:t>
            </w:r>
          </w:p>
        </w:tc>
      </w:tr>
      <w:tr w14:paraId="1BF008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1B79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1D42D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信号放大器</w:t>
            </w:r>
          </w:p>
        </w:tc>
        <w:tc>
          <w:tcPr>
            <w:tcW w:w="7206" w:type="dxa"/>
            <w:vAlign w:val="center"/>
          </w:tcPr>
          <w:p w14:paraId="663532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1.支持DMX512公母接口输入。                                                                                                                                                                                          </w:t>
            </w:r>
          </w:p>
          <w:p w14:paraId="5FB562B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2.支持输入输出光电隔离。                                                                                                                                                                                                                </w:t>
            </w:r>
          </w:p>
          <w:p w14:paraId="0D0C8A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3.支持8路独立放大驱动输出。                                                                                                                                                                                            </w:t>
            </w:r>
          </w:p>
          <w:p w14:paraId="56D53A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4.具备信号放大整形功能，延长信号传输距离。                                                                                                                                                                                                        </w:t>
            </w:r>
          </w:p>
          <w:p w14:paraId="761C46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5.具备增强数据总线接入设备数量的能力。                                                                                                               </w:t>
            </w:r>
          </w:p>
          <w:p w14:paraId="58467B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6.具备独立的LED信号指示。</w:t>
            </w:r>
          </w:p>
        </w:tc>
      </w:tr>
      <w:tr w14:paraId="3EC4A1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34A5C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五（6）</w:t>
            </w:r>
          </w:p>
        </w:tc>
        <w:tc>
          <w:tcPr>
            <w:tcW w:w="8495" w:type="dxa"/>
            <w:gridSpan w:val="2"/>
            <w:shd w:val="clear" w:color="auto" w:fill="FFFFFF"/>
            <w:vAlign w:val="center"/>
          </w:tcPr>
          <w:p w14:paraId="0A8F75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报告厅扩声系统</w:t>
            </w:r>
          </w:p>
        </w:tc>
      </w:tr>
      <w:tr w14:paraId="5232CA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1BE25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50F9A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线阵音箱</w:t>
            </w:r>
          </w:p>
        </w:tc>
        <w:tc>
          <w:tcPr>
            <w:tcW w:w="7206" w:type="dxa"/>
            <w:vAlign w:val="center"/>
          </w:tcPr>
          <w:p w14:paraId="07CEFC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1.音箱类型为二分频线性阵列全频音箱。</w:t>
            </w:r>
          </w:p>
          <w:p w14:paraId="1DEDD3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2.功率≥500W，阻抗：≤8Ω，频率范围等同或优于70Hz-20kHz，最大声压级≥127dB。</w:t>
            </w:r>
          </w:p>
          <w:p w14:paraId="2F7F85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3.灵敏度SPL（1W/1M）≥100dB (1M/1W )，低频扬声器：≥8" x 2，高频扬声器：≥75mm（3"）压缩驱动器*1。</w:t>
            </w:r>
          </w:p>
          <w:p w14:paraId="771B7B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4.水平覆盖角(-6dB)≥90°，垂直覆盖角(-6dB)≥10°。</w:t>
            </w:r>
          </w:p>
        </w:tc>
      </w:tr>
      <w:tr w14:paraId="5F49A7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95AB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822A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线阵音箱</w:t>
            </w:r>
          </w:p>
        </w:tc>
        <w:tc>
          <w:tcPr>
            <w:tcW w:w="7206" w:type="dxa"/>
            <w:vAlign w:val="center"/>
          </w:tcPr>
          <w:p w14:paraId="4006C6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1.音箱类型为低频音箱，低频扬声器单元18" x 1。</w:t>
            </w:r>
          </w:p>
          <w:p w14:paraId="7DC44D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2.功率≥600W，阻抗：≤8Ω。</w:t>
            </w:r>
          </w:p>
          <w:p w14:paraId="2CFFBF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3.频率范围等同或优于40Hz-400Hz，灵敏度SPL（1W/1M）≥100dB (1M/1W)，最大声压级≥128dB。</w:t>
            </w:r>
          </w:p>
        </w:tc>
      </w:tr>
      <w:tr w14:paraId="4FC02E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A8345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47B62D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14EE15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音箱配套支架</w:t>
            </w:r>
          </w:p>
        </w:tc>
      </w:tr>
      <w:tr w14:paraId="3D5C74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6E12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CD765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支架</w:t>
            </w:r>
          </w:p>
        </w:tc>
        <w:tc>
          <w:tcPr>
            <w:tcW w:w="7206" w:type="dxa"/>
            <w:vAlign w:val="center"/>
          </w:tcPr>
          <w:p w14:paraId="71BB6F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1.标配长度：≥6米；包含：葫芦架1套。承重：≥2t。</w:t>
            </w:r>
          </w:p>
          <w:p w14:paraId="2E32ED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2.材质：国标G80级锰钢；外壳：加厚合金钢。</w:t>
            </w:r>
          </w:p>
          <w:p w14:paraId="1C0258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3.表面处理：淬火工艺+镀锌；颜色：黄色+红色。</w:t>
            </w:r>
          </w:p>
          <w:p w14:paraId="20333E4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4.链条破断应力：≥800Mpa。</w:t>
            </w:r>
          </w:p>
          <w:p w14:paraId="1231DE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5.刹车系统：双重干式；轴承：滚针轴承。</w:t>
            </w:r>
          </w:p>
        </w:tc>
      </w:tr>
      <w:tr w14:paraId="65EADF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4328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31EFE5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794875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1.双通道大功率专业数字功放。</w:t>
            </w:r>
          </w:p>
          <w:p w14:paraId="4AAFF6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2.功放具有直流、短路、过载、过热保护。</w:t>
            </w:r>
          </w:p>
          <w:p w14:paraId="61C93D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kern w:val="0"/>
                <w:sz w:val="21"/>
                <w:szCs w:val="21"/>
              </w:rPr>
              <w:t>3.具备信号、功率、温度等压限功能。</w:t>
            </w:r>
          </w:p>
          <w:p w14:paraId="645CE6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.输出功率*（1KHz/THD≤1％）：立体声8Ω：≥2*700W；立体声4Ω：≥2*1200W；立体声2Ω：≥2*1800W；桥接16Ω：≥1400W；桥接8Ω：≥2400W；桥接4Ω：≥3600W.</w:t>
            </w:r>
          </w:p>
          <w:p w14:paraId="0ED780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.电压增益 (@1KHz) 等同或优于37.5dB；输入阻抗 ≤ 10K Ω 非平衡、20KΩ 平衡；THD+N(@1/8功率下） ≤0.01％；信噪比 (A计权) ≥102dB；</w:t>
            </w:r>
          </w:p>
        </w:tc>
      </w:tr>
      <w:tr w14:paraId="1566EB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737A7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251B7C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67E7E6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1.双通道大功率专业数字功放；</w:t>
            </w:r>
          </w:p>
          <w:p w14:paraId="602841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2.功放有直流、短路、过载、过热保护；</w:t>
            </w:r>
          </w:p>
          <w:p w14:paraId="05E077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 xml:space="preserve">3.采用可变震荡调制技术、多重反馈调控技术以及输出功率控制技术； </w:t>
            </w:r>
          </w:p>
          <w:p w14:paraId="12679C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rPr>
              <w:t>4.支持灵敏度≥1V/2V可选择切换，XLR平衡式输入/XLR 平衡式LINK输出；SPEAKON音响插座输出；</w:t>
            </w:r>
          </w:p>
          <w:p w14:paraId="22FA18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kern w:val="0"/>
                <w:sz w:val="21"/>
                <w:szCs w:val="21"/>
              </w:rPr>
              <w:t xml:space="preserve">5.输出功率（1KHz/THD≤1％）：连续功率：立体声8Ω×2：≥2*1000W；立体声4Ω×2：≥2*1700W；立体声2Ω×2：≥2*2900W；桥接16Ω：≥2000W；桥接8Ω：≥3400W；桥接4Ω：≥5800W； </w:t>
            </w:r>
          </w:p>
          <w:p w14:paraId="009D3C7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.THD+N(@1/8功率下）：≤0.01％</w:t>
            </w:r>
          </w:p>
          <w:p w14:paraId="4D52FC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.信噪比 (A计权)：≥105dB 注：最大功率*是使用20ms脉冲1kHz正弦波在1%总谐波失真下测量得出。</w:t>
            </w:r>
          </w:p>
        </w:tc>
      </w:tr>
      <w:tr w14:paraId="56FE37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729D7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7E02725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音频处理器</w:t>
            </w:r>
          </w:p>
        </w:tc>
        <w:tc>
          <w:tcPr>
            <w:tcW w:w="7206" w:type="dxa"/>
            <w:vAlign w:val="center"/>
          </w:tcPr>
          <w:p w14:paraId="4A5F2F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1.输入：≥4路平衡式线路输入，采用标准卡侬接口，平衡接法。 </w:t>
            </w:r>
          </w:p>
          <w:p w14:paraId="07B6A0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2.输出：≥8路平衡式线路输出，采用标准卡侬接口，平衡接法。</w:t>
            </w:r>
          </w:p>
          <w:p w14:paraId="62813F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3.支持FIR滤波器。</w:t>
            </w:r>
          </w:p>
          <w:p w14:paraId="2E912C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4.内置数字音频处理算法：增益、延迟、EQ、混音矩阵、压缩器、分配和限幅器。</w:t>
            </w:r>
          </w:p>
          <w:p w14:paraId="043394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5.支持断电自动保护记忆功能。</w:t>
            </w:r>
          </w:p>
          <w:p w14:paraId="27C4B2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.支持USB和RJ45两种连接方式，实现PC软件控制，支持RS232控制，提供第三方控制协议，用于对接中控系统。</w:t>
            </w:r>
          </w:p>
        </w:tc>
      </w:tr>
      <w:tr w14:paraId="0FB8E3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96234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54D3D3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调音台</w:t>
            </w:r>
          </w:p>
        </w:tc>
        <w:tc>
          <w:tcPr>
            <w:tcW w:w="7206" w:type="dxa"/>
            <w:vAlign w:val="center"/>
          </w:tcPr>
          <w:p w14:paraId="1D492E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话筒：6</w:t>
            </w:r>
          </w:p>
          <w:p w14:paraId="181145E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频响：+0.5dB/-0.5dB（20Hz-20kHz）</w:t>
            </w:r>
          </w:p>
          <w:p w14:paraId="378E3DA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总谐波失真：0.03%@+14dBu（20 Hz-20kHz）</w:t>
            </w:r>
          </w:p>
          <w:p w14:paraId="3072169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输入通道：12通道：单声道：4；立体声：4</w:t>
            </w:r>
          </w:p>
          <w:p w14:paraId="304B672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输出通道：STEREO OUT：2；PHONES：1</w:t>
            </w:r>
          </w:p>
          <w:p w14:paraId="2419FC7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母线：立体声：1；编组：2，AUX</w:t>
            </w:r>
          </w:p>
          <w:p w14:paraId="5EA31A4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幻象电源电压：+48V</w:t>
            </w:r>
          </w:p>
          <w:p w14:paraId="4275DBC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kern w:val="0"/>
                <w:sz w:val="21"/>
                <w:szCs w:val="21"/>
              </w:rPr>
              <w:t>功率要求：AC 100-240V，50/60Hz</w:t>
            </w:r>
          </w:p>
        </w:tc>
      </w:tr>
      <w:tr w14:paraId="6BF7A7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B35B1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554F6A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一拖四无线手持话筒</w:t>
            </w:r>
          </w:p>
        </w:tc>
        <w:tc>
          <w:tcPr>
            <w:tcW w:w="7206" w:type="dxa"/>
            <w:vAlign w:val="center"/>
          </w:tcPr>
          <w:p w14:paraId="6CDB5A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1.具有≥1台接收主机、≥4个手持发射机；频率范围：优于或等同540MHz-590MHz、640MHz-690MHz。</w:t>
            </w:r>
          </w:p>
          <w:p w14:paraId="77B8C3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2.接收机具有≥4路平衡输出、≥1路非平衡混音输出。</w:t>
            </w:r>
          </w:p>
          <w:p w14:paraId="5865B8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.支持混响调节功能，比例调节、延时调节、电平调节≥25个档位。</w:t>
            </w:r>
          </w:p>
          <w:p w14:paraId="601BEC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.支持麦克风均衡器调节功能，≥高、中、低音三种调节档位。</w:t>
            </w:r>
          </w:p>
          <w:p w14:paraId="505BED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.具有自动静音功能，麦克风跌落、抛掷时，毫秒级响应自动静音，避免冲击声；产品静置5秒自动静音。</w:t>
            </w:r>
          </w:p>
          <w:p w14:paraId="057FE9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.麦克风具有长时间静置自动关机功能，设备自动检测工作状态（使用状态、静置状态），静置时间≥8分钟后，设备自动关机。</w:t>
            </w:r>
          </w:p>
        </w:tc>
      </w:tr>
      <w:tr w14:paraId="3BCDFA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0433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6A6F67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一拖四无线头戴话筒</w:t>
            </w:r>
          </w:p>
        </w:tc>
        <w:tc>
          <w:tcPr>
            <w:tcW w:w="7206" w:type="dxa"/>
            <w:vAlign w:val="center"/>
          </w:tcPr>
          <w:p w14:paraId="7A6DEC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接收机</w:t>
            </w:r>
          </w:p>
          <w:p w14:paraId="08841E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1.采用数字U段传输技术，pi/4-DQPSK调制方式，抗干扰能力强，误码率低，传输稳定。</w:t>
            </w:r>
          </w:p>
          <w:p w14:paraId="5183E74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.具有混响、高中低音调节。</w:t>
            </w:r>
          </w:p>
          <w:p w14:paraId="7E3694A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.接收机采用2.2英寸TFT-LCD屏。</w:t>
            </w:r>
          </w:p>
          <w:p w14:paraId="44B65B9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.具有≥4路平衡输出、≥1路非平衡混音输出。</w:t>
            </w:r>
          </w:p>
          <w:p w14:paraId="7AE47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头戴腰包</w:t>
            </w:r>
          </w:p>
          <w:p w14:paraId="1D07C2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1.音头：电容式麦克风（头戴话筒）</w:t>
            </w:r>
          </w:p>
          <w:p w14:paraId="41005F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2.频率范围：等同或优于470MHz-510MHz、540MHz-590MHz、640MHz-690MHz、807MHz-830MHz</w:t>
            </w:r>
          </w:p>
        </w:tc>
      </w:tr>
      <w:tr w14:paraId="7AFB8F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D32D1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1DC425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一拖四无线鹅颈话筒</w:t>
            </w:r>
          </w:p>
        </w:tc>
        <w:tc>
          <w:tcPr>
            <w:tcW w:w="7206" w:type="dxa"/>
            <w:vAlign w:val="center"/>
          </w:tcPr>
          <w:p w14:paraId="6FCEFB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1.具有≥1台接收主机、≥4只桌面式鹅颈咪杆话筒；频率范围等同或优于540MHz-590MHz、640MHz-690MHz。</w:t>
            </w:r>
          </w:p>
          <w:p w14:paraId="74C953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2.接收机具有≥4路平衡输出、≥1路非平衡混音输出。</w:t>
            </w:r>
          </w:p>
          <w:p w14:paraId="7E21D6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3.具有自动频率扫描功能，可快速地给麦克风找到清晰的频率。</w:t>
            </w:r>
          </w:p>
          <w:p w14:paraId="2843B1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4.支持混响调节功能，比例调节、延时调节、电平调节≥25个档位。</w:t>
            </w:r>
          </w:p>
          <w:p w14:paraId="6504E97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5.支持麦克风均衡器调节功能，≥高、中、低音三种调节档位。</w:t>
            </w:r>
          </w:p>
          <w:p w14:paraId="5BE847C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6.接收机具有显示屏，用户可通过显示屏查看设备发射功率强度、音频加密状态、电池电量、频率数值。</w:t>
            </w:r>
          </w:p>
          <w:p w14:paraId="448513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7.桌面麦≥1个3.5mm耳机孔，可通过3.5mm耳机孔输入音频。</w:t>
            </w:r>
          </w:p>
          <w:p w14:paraId="1CA2C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8.桌面麦支持通过Type-C口进行充电。</w:t>
            </w:r>
          </w:p>
          <w:p w14:paraId="656FF0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9.桌面麦电池孔位≥4个，连续使用时长≥15小时；电池具有扩展性，连续使用时长可扩展至≥60小时。</w:t>
            </w:r>
          </w:p>
        </w:tc>
      </w:tr>
      <w:tr w14:paraId="696DA7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96CA8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554F1E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天线分配器</w:t>
            </w:r>
          </w:p>
        </w:tc>
        <w:tc>
          <w:tcPr>
            <w:tcW w:w="7206" w:type="dxa"/>
            <w:vAlign w:val="center"/>
          </w:tcPr>
          <w:p w14:paraId="74E06E6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1.具有≥2个信号输入接口，支持接收天线信号，实现放大射频信号的效果。</w:t>
            </w:r>
          </w:p>
          <w:p w14:paraId="77DA37D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2.具有≥8个天线信号输出接口，可将一对天线分频至4台（一拖二）接收机达到扩展无线话筒系统的目的。</w:t>
            </w:r>
          </w:p>
          <w:p w14:paraId="6E05105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3.具有≥2个天线级联接口；支持级联分配器，可实现放大射频信号扩展无线话筒天线的目的。</w:t>
            </w:r>
          </w:p>
          <w:p w14:paraId="764426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4.具有≥4个直流电源接口，支持给4台接收机提供供电。</w:t>
            </w:r>
          </w:p>
        </w:tc>
      </w:tr>
      <w:tr w14:paraId="332EE8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2B7F5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4CAC7A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话筒天线</w:t>
            </w:r>
          </w:p>
        </w:tc>
        <w:tc>
          <w:tcPr>
            <w:tcW w:w="7206" w:type="dxa"/>
            <w:vAlign w:val="center"/>
          </w:tcPr>
          <w:p w14:paraId="6ECF40E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1.天线接收频段广，可接收等同或优于470-950MHZ的频率</w:t>
            </w:r>
          </w:p>
          <w:p w14:paraId="435600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2.天线极化方式：线极化 </w:t>
            </w:r>
          </w:p>
          <w:p w14:paraId="4CD41C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3.天线驻波比：≤2.0      </w:t>
            </w:r>
          </w:p>
          <w:p w14:paraId="0FF080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4.放大器增益：四档可调（-6dB/0dB/6dB/12dB)</w:t>
            </w:r>
          </w:p>
          <w:p w14:paraId="2B76F5D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5.指向性：≥90度指向</w:t>
            </w:r>
          </w:p>
        </w:tc>
      </w:tr>
      <w:tr w14:paraId="65F72B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5FAB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671199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话筒</w:t>
            </w:r>
          </w:p>
        </w:tc>
        <w:tc>
          <w:tcPr>
            <w:tcW w:w="7206" w:type="dxa"/>
            <w:vAlign w:val="center"/>
          </w:tcPr>
          <w:p w14:paraId="6CBA19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1.指向性：心形指向性</w:t>
            </w:r>
          </w:p>
          <w:p w14:paraId="4DF30B7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2.信噪比：≥65dB SPL 1KHz at 1Pa</w:t>
            </w:r>
          </w:p>
          <w:p w14:paraId="2F9D3B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3.频率响应等同或优于20-18KHz</w:t>
            </w:r>
          </w:p>
          <w:p w14:paraId="393017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4.输出阻抗：≥75Ω</w:t>
            </w:r>
          </w:p>
          <w:p w14:paraId="6EAE13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5.灵敏度：≥-40dB±2dB</w:t>
            </w:r>
          </w:p>
        </w:tc>
      </w:tr>
      <w:tr w14:paraId="4DE75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22E9D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1BC2DC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4574E25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1.设有船型开关，支持主从机设置，通过主设备电源锁可一键开启或关闭所有从设备。</w:t>
            </w:r>
          </w:p>
          <w:p w14:paraId="3C5A14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.具备≥8路电源输出插座，其中≥4路10A的、≥4路16A的插座规格，总电流达30A。支持实时监控插座功率。</w:t>
            </w:r>
          </w:p>
          <w:p w14:paraId="43F13E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.采用LCD显示屏，可显示温度信息，实时输入电压信息、时间信息、IP信息，定时任务信息等。</w:t>
            </w:r>
          </w:p>
          <w:p w14:paraId="1B62CB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.支持PC客户端软件管理，支持三层网络协议，支持跨网关控制和管理。</w:t>
            </w:r>
          </w:p>
          <w:p w14:paraId="01E615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.支持对每一路电源输出进行定时编程，实现全自动无人值守的电源管理。</w:t>
            </w:r>
          </w:p>
          <w:p w14:paraId="25405C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.支持离线模式，本地自带定时程序，内置高精度时钟，在脱离服务器时，也能保证定时任务按时执行。</w:t>
            </w:r>
          </w:p>
          <w:p w14:paraId="7C88BA0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.具备≥2个10M/100M网口，≥2路RS485接口、≥1路外接传感器供电接口。</w:t>
            </w:r>
          </w:p>
        </w:tc>
      </w:tr>
      <w:tr w14:paraId="03C78D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D90F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4124F4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5DCA04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1.设有船型开关，支持主从机设置，通过主设备电源锁可一键开启或关闭所有从设备。</w:t>
            </w:r>
          </w:p>
          <w:p w14:paraId="11A094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.具备≥8路电源输出插座，其中≥8路10A的插座规格，总电流达30A。支持实时监控插座功率。</w:t>
            </w:r>
          </w:p>
          <w:p w14:paraId="4FE7C92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.采用LCD显示屏，可显示温度信息，实时输入电压信息、时间信息、IP信息，定时任务信息等。</w:t>
            </w:r>
          </w:p>
          <w:p w14:paraId="0188C1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.支持PC客户端软件管理，支持三层网络协议，支持跨网关控制和管理。</w:t>
            </w:r>
          </w:p>
          <w:p w14:paraId="7826668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.支持对每一路电源输出进行定时编程，实现全自动无人值守的电源管理。</w:t>
            </w:r>
          </w:p>
          <w:p w14:paraId="7C18FA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.支持离线模式，本地自带定时程序，内置高精度时钟，在脱离服务器时，也能保证定时任务按时执行。</w:t>
            </w:r>
          </w:p>
          <w:p w14:paraId="21FDC8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.具备≥2个10M/100M网口，≥2路RS485接口、≥1路外接传感器供电接口。</w:t>
            </w:r>
          </w:p>
        </w:tc>
      </w:tr>
      <w:tr w14:paraId="3C8B79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036AF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30EE34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7FEE62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1.符合 ANSI/EIA RS-310-D、DIN41494 等相关规范。</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2.42U机柜(2000×600×600mm)采用高强度冷轧钢板制作,结构合理、牢固；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084A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EF599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五（7）</w:t>
            </w:r>
          </w:p>
        </w:tc>
        <w:tc>
          <w:tcPr>
            <w:tcW w:w="8495" w:type="dxa"/>
            <w:gridSpan w:val="2"/>
            <w:shd w:val="clear" w:color="auto" w:fill="FFFFFF"/>
            <w:vAlign w:val="center"/>
          </w:tcPr>
          <w:p w14:paraId="7E03833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中控系统</w:t>
            </w:r>
          </w:p>
        </w:tc>
      </w:tr>
      <w:tr w14:paraId="0B33B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7D70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289" w:type="dxa"/>
            <w:shd w:val="clear" w:color="auto" w:fill="FFFFFF"/>
            <w:vAlign w:val="center"/>
          </w:tcPr>
          <w:p w14:paraId="57C257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超高清视频切换器</w:t>
            </w:r>
          </w:p>
        </w:tc>
        <w:tc>
          <w:tcPr>
            <w:tcW w:w="7206" w:type="dxa"/>
            <w:vAlign w:val="center"/>
          </w:tcPr>
          <w:p w14:paraId="38A4324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1.支持≥4个HDMI输入接口，≥4个HDMI输出接口。</w:t>
            </w:r>
          </w:p>
          <w:p w14:paraId="2476C1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2.最大输入输出分辨率≥3840×2160P@60Hz。</w:t>
            </w:r>
          </w:p>
          <w:p w14:paraId="647301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3.支持视频无缝切换、无闪屏、无黑屏。</w:t>
            </w:r>
          </w:p>
          <w:p w14:paraId="51F516D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4.控制接口：≥1×RS-232、≥1×RS-485、≥1×红外传感接收器、≥1×网口、≥1×UPDATE。</w:t>
            </w:r>
          </w:p>
          <w:p w14:paraId="20B171E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5.面板按键：≥4×输入按键、≥4×输出按键、≥6×功能按键。</w:t>
            </w:r>
          </w:p>
          <w:p w14:paraId="55885C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6.支持EDID管理，可选默认EDID或者现场可学习。</w:t>
            </w:r>
          </w:p>
        </w:tc>
      </w:tr>
      <w:tr w14:paraId="180836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3474E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1289" w:type="dxa"/>
            <w:shd w:val="clear" w:color="auto" w:fill="FFFFFF"/>
            <w:vAlign w:val="center"/>
          </w:tcPr>
          <w:p w14:paraId="279F46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网络中控主机</w:t>
            </w:r>
          </w:p>
        </w:tc>
        <w:tc>
          <w:tcPr>
            <w:tcW w:w="7206" w:type="dxa"/>
            <w:vAlign w:val="center"/>
          </w:tcPr>
          <w:p w14:paraId="3F9DB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1.主机具备≥4.3英寸触摸彩屏、≥8路独立可编程串口、≥8路独立可编程IR红外发射口、≥8路数字I/0控制口、≥8路弱电继电器控制接口、≥1个NET网络控制接口、≥1路TF卡接口。</w:t>
            </w:r>
          </w:p>
          <w:p w14:paraId="0D5B9E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color w:val="000000"/>
                <w:kern w:val="0"/>
                <w:sz w:val="21"/>
                <w:szCs w:val="21"/>
              </w:rPr>
              <w:t>2.支持红外控制、RS-232、RS-422、RS-485、UDP、TCP、telnet、http、MQTT以及SNMP等多种协议，兼容性强，可对接第三方设备。</w:t>
            </w:r>
          </w:p>
          <w:p w14:paraId="1023AA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.支持双机热备份。当中控主机出现故障时，备用中控主机自动承担服务，从而保证系统在不需要人工干预的情况下能正常运行。</w:t>
            </w:r>
          </w:p>
          <w:p w14:paraId="07B7BD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.支持触发联动。中控主机可根据传感器采集数据和预设数据进行比对，从而自动控制空调或加湿器等设备，使环境维持在舒适的温湿度范围内。</w:t>
            </w:r>
          </w:p>
          <w:p w14:paraId="063A71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.支持互联网控制。中控主机在连接互联网的情况下，用户可操作手机或平板等移动端通过互联网实现对中控主机远程控制。</w:t>
            </w:r>
          </w:p>
          <w:p w14:paraId="07711E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.支持语音控制。中控主机可搭配语音控制软件或支持对接主机的第三方语音音箱，通过将语音转换成中控指令，实现对周边设备控制或场景调用。</w:t>
            </w:r>
          </w:p>
          <w:p w14:paraId="00CF0D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.支持扫二维码控制。中控主机在连接互联网的情况下会在云平台自动生成二维码，通过微信或者浏览器扫一扫二维码，即可进入控制界面，实现对中控主机控制。支持密码权限设置。</w:t>
            </w:r>
          </w:p>
          <w:p w14:paraId="3807FE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8</w:t>
            </w:r>
            <w:r>
              <w:rPr>
                <w:rFonts w:hint="eastAsia" w:ascii="宋体" w:hAnsi="宋体" w:eastAsia="宋体" w:cs="宋体"/>
                <w:color w:val="000000"/>
                <w:kern w:val="0"/>
                <w:sz w:val="21"/>
                <w:szCs w:val="21"/>
              </w:rPr>
              <w:t>.支持视频矩阵可视化控制。用户可通过控制端实时预览、拖动并切换矩阵视频信号，支持设置触碰和投放触发切换方式。</w:t>
            </w:r>
          </w:p>
          <w:p w14:paraId="212C13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9</w:t>
            </w:r>
            <w:r>
              <w:rPr>
                <w:rFonts w:hint="eastAsia" w:ascii="宋体" w:hAnsi="宋体" w:eastAsia="宋体" w:cs="宋体"/>
                <w:color w:val="000000"/>
                <w:kern w:val="0"/>
                <w:sz w:val="21"/>
                <w:szCs w:val="21"/>
              </w:rPr>
              <w:t>.对接云会务系统。用户通过手机APP或WEB端预约会议室时，可设置情景类型以及开始/结束时间。会议开始前，系统会自动调用场景，场景内所有设备联动启动或切换；会议结束后设备自动关闭。</w:t>
            </w:r>
          </w:p>
          <w:p w14:paraId="720F22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0</w:t>
            </w:r>
            <w:r>
              <w:rPr>
                <w:rFonts w:hint="eastAsia" w:ascii="宋体" w:hAnsi="宋体" w:eastAsia="宋体" w:cs="宋体"/>
                <w:color w:val="000000"/>
                <w:kern w:val="0"/>
                <w:sz w:val="21"/>
                <w:szCs w:val="21"/>
              </w:rPr>
              <w:t>.支持拼接矩阵可视化控制。用户可通过控制端实时预览、放大、缩小、拖动并切换拼接矩阵视频信号，可对输入信号源进行置底、置顶以及一键清屏等操作，支持设置触碰和投放触发切换方式。</w:t>
            </w:r>
          </w:p>
        </w:tc>
      </w:tr>
      <w:tr w14:paraId="5BEF9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64421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289" w:type="dxa"/>
            <w:shd w:val="clear" w:color="auto" w:fill="FFFFFF"/>
            <w:vAlign w:val="center"/>
          </w:tcPr>
          <w:p w14:paraId="0004BD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控制终端</w:t>
            </w:r>
          </w:p>
        </w:tc>
        <w:tc>
          <w:tcPr>
            <w:tcW w:w="7206" w:type="dxa"/>
            <w:vAlign w:val="center"/>
          </w:tcPr>
          <w:p w14:paraId="0BCE13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10英寸平板</w:t>
            </w:r>
          </w:p>
        </w:tc>
      </w:tr>
      <w:tr w14:paraId="52FE5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FCE5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1289" w:type="dxa"/>
            <w:shd w:val="clear" w:color="auto" w:fill="FFFFFF"/>
            <w:vAlign w:val="center"/>
          </w:tcPr>
          <w:p w14:paraId="4CEFFB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路由器</w:t>
            </w:r>
          </w:p>
        </w:tc>
        <w:tc>
          <w:tcPr>
            <w:tcW w:w="7206" w:type="dxa"/>
            <w:vAlign w:val="center"/>
          </w:tcPr>
          <w:p w14:paraId="1776913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1500M高速双频wifi 无线穿墙 路由 5G双频智能千兆无线路由，支持2x2 MIMO</w:t>
            </w:r>
          </w:p>
        </w:tc>
      </w:tr>
      <w:tr w14:paraId="2B7B4B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F6C8A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16E526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安装调试及系统集成费</w:t>
            </w:r>
          </w:p>
        </w:tc>
        <w:tc>
          <w:tcPr>
            <w:tcW w:w="7206" w:type="dxa"/>
            <w:vAlign w:val="center"/>
          </w:tcPr>
          <w:p w14:paraId="6F3B8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报告厅扩声系统敷设管线及设备系统集成安装调试</w:t>
            </w:r>
          </w:p>
        </w:tc>
      </w:tr>
      <w:tr w14:paraId="77E77B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809039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五（8）</w:t>
            </w:r>
          </w:p>
        </w:tc>
        <w:tc>
          <w:tcPr>
            <w:tcW w:w="8495" w:type="dxa"/>
            <w:gridSpan w:val="2"/>
            <w:shd w:val="clear" w:color="auto" w:fill="FFFFFF"/>
            <w:vAlign w:val="center"/>
          </w:tcPr>
          <w:p w14:paraId="7D96FF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100人学生活动室扩声</w:t>
            </w:r>
          </w:p>
        </w:tc>
      </w:tr>
      <w:tr w14:paraId="08B1DC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674A0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w:t>
            </w:r>
          </w:p>
        </w:tc>
        <w:tc>
          <w:tcPr>
            <w:tcW w:w="1289" w:type="dxa"/>
            <w:shd w:val="clear" w:color="auto" w:fill="FFFFFF"/>
            <w:vAlign w:val="center"/>
          </w:tcPr>
          <w:p w14:paraId="199818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专业音箱</w:t>
            </w:r>
          </w:p>
        </w:tc>
        <w:tc>
          <w:tcPr>
            <w:tcW w:w="7206" w:type="dxa"/>
            <w:vAlign w:val="center"/>
          </w:tcPr>
          <w:p w14:paraId="74596AE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1.阻抗≤8Ω</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2.频响等同或优于60Hz~20KHz</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3.额定功率≥200W</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4.灵敏度≥96dB/W/M</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5.水平覆盖角≥80°，垂直覆盖角≥60°</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6.高音≥1.4"压缩高音单元×1</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7.低音≥8"低音×1</w:t>
            </w:r>
          </w:p>
        </w:tc>
      </w:tr>
      <w:tr w14:paraId="79E78A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EF73A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p>
        </w:tc>
        <w:tc>
          <w:tcPr>
            <w:tcW w:w="1289" w:type="dxa"/>
            <w:shd w:val="clear" w:color="auto" w:fill="FFFFFF"/>
            <w:vAlign w:val="center"/>
          </w:tcPr>
          <w:p w14:paraId="383500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支架</w:t>
            </w:r>
          </w:p>
        </w:tc>
        <w:tc>
          <w:tcPr>
            <w:tcW w:w="7206" w:type="dxa"/>
            <w:vAlign w:val="center"/>
          </w:tcPr>
          <w:p w14:paraId="74D39F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音箱支架</w:t>
            </w:r>
          </w:p>
        </w:tc>
      </w:tr>
      <w:tr w14:paraId="6F69B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C7D5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w:t>
            </w:r>
          </w:p>
        </w:tc>
        <w:tc>
          <w:tcPr>
            <w:tcW w:w="1289" w:type="dxa"/>
            <w:shd w:val="clear" w:color="auto" w:fill="FFFFFF"/>
            <w:vAlign w:val="center"/>
          </w:tcPr>
          <w:p w14:paraId="1AA1BF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专业功放</w:t>
            </w:r>
          </w:p>
        </w:tc>
        <w:tc>
          <w:tcPr>
            <w:tcW w:w="7206" w:type="dxa"/>
            <w:vAlign w:val="center"/>
          </w:tcPr>
          <w:p w14:paraId="441B83F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1.1U机箱设计，采用D类数字功放设计方案。</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.内置智能削峰限幅器，支持开机软启动，防止开机时向电网吸收大电流，干扰其它用电设备。 </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.具有：过压保护，欠压保护，过流保护，直流保护，输出短路保护，温控风扇等功能。</w:t>
            </w:r>
            <w:r>
              <w:rPr>
                <w:rFonts w:hint="eastAsia" w:ascii="宋体" w:hAnsi="宋体" w:eastAsia="宋体" w:cs="宋体"/>
                <w:kern w:val="0"/>
                <w:sz w:val="21"/>
                <w:szCs w:val="21"/>
              </w:rPr>
              <w:br w:type="textWrapping"/>
            </w: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.输出功率：立体声@8Ω：≥350W×2；立体声@4Ω：≥600W×2。</w:t>
            </w:r>
          </w:p>
        </w:tc>
      </w:tr>
      <w:tr w14:paraId="33F32A9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9D34A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w:t>
            </w:r>
          </w:p>
        </w:tc>
        <w:tc>
          <w:tcPr>
            <w:tcW w:w="1289" w:type="dxa"/>
            <w:shd w:val="clear" w:color="auto" w:fill="FFFFFF"/>
            <w:vAlign w:val="center"/>
          </w:tcPr>
          <w:p w14:paraId="677F88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调音台</w:t>
            </w:r>
          </w:p>
        </w:tc>
        <w:tc>
          <w:tcPr>
            <w:tcW w:w="7206" w:type="dxa"/>
            <w:vAlign w:val="center"/>
          </w:tcPr>
          <w:p w14:paraId="53432CF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w:t>
            </w:r>
            <w:r>
              <w:rPr>
                <w:rFonts w:hint="eastAsia" w:ascii="宋体" w:hAnsi="宋体" w:eastAsia="宋体" w:cs="宋体"/>
                <w:kern w:val="0"/>
                <w:sz w:val="21"/>
                <w:szCs w:val="21"/>
              </w:rPr>
              <w:t>话筒：6</w:t>
            </w:r>
          </w:p>
          <w:p w14:paraId="4B2BBF1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2.</w:t>
            </w:r>
            <w:r>
              <w:rPr>
                <w:rFonts w:hint="eastAsia" w:ascii="宋体" w:hAnsi="宋体" w:eastAsia="宋体" w:cs="宋体"/>
                <w:kern w:val="0"/>
                <w:sz w:val="21"/>
                <w:szCs w:val="21"/>
              </w:rPr>
              <w:t>频响：+0.5dB/-0.5dB（20Hz-20kHz）</w:t>
            </w:r>
          </w:p>
          <w:p w14:paraId="7DC24F3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输入通道：12通道：单声道：4；立体声：4</w:t>
            </w:r>
          </w:p>
          <w:p w14:paraId="3F27586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4.</w:t>
            </w:r>
            <w:r>
              <w:rPr>
                <w:rFonts w:hint="eastAsia" w:ascii="宋体" w:hAnsi="宋体" w:eastAsia="宋体" w:cs="宋体"/>
                <w:kern w:val="0"/>
                <w:sz w:val="21"/>
                <w:szCs w:val="21"/>
              </w:rPr>
              <w:t>输出通道：STEREO OUT：2；PHONES：1</w:t>
            </w:r>
          </w:p>
          <w:p w14:paraId="5A5AFB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5.</w:t>
            </w:r>
            <w:r>
              <w:rPr>
                <w:rFonts w:hint="eastAsia" w:ascii="宋体" w:hAnsi="宋体" w:eastAsia="宋体" w:cs="宋体"/>
                <w:kern w:val="0"/>
                <w:sz w:val="21"/>
                <w:szCs w:val="21"/>
              </w:rPr>
              <w:t>母线：立体声：1；编组：2，AUX</w:t>
            </w:r>
          </w:p>
          <w:p w14:paraId="54A497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6.</w:t>
            </w:r>
            <w:r>
              <w:rPr>
                <w:rFonts w:hint="eastAsia" w:ascii="宋体" w:hAnsi="宋体" w:eastAsia="宋体" w:cs="宋体"/>
                <w:kern w:val="0"/>
                <w:sz w:val="21"/>
                <w:szCs w:val="21"/>
              </w:rPr>
              <w:t>幻象电源电压：+48V</w:t>
            </w:r>
          </w:p>
          <w:p w14:paraId="641F42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功率要求：AC 100-240V，50/60Hz</w:t>
            </w:r>
          </w:p>
        </w:tc>
      </w:tr>
      <w:tr w14:paraId="13A2D4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19246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w:t>
            </w:r>
          </w:p>
        </w:tc>
        <w:tc>
          <w:tcPr>
            <w:tcW w:w="1289" w:type="dxa"/>
            <w:shd w:val="clear" w:color="auto" w:fill="FFFFFF"/>
            <w:vAlign w:val="center"/>
          </w:tcPr>
          <w:p w14:paraId="74D32F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一拖二手持无线话筒</w:t>
            </w:r>
          </w:p>
        </w:tc>
        <w:tc>
          <w:tcPr>
            <w:tcW w:w="7206" w:type="dxa"/>
            <w:vAlign w:val="center"/>
          </w:tcPr>
          <w:p w14:paraId="56E91E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1.具有≥1台接收主机、≥双手持发射机；频率范围等同或优于470-510MHz、540MHz-590MHz、640MHz-690MHz、807MHz-830MHz。</w:t>
            </w:r>
          </w:p>
          <w:p w14:paraId="072B7F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2.接收机具有≥2路平衡输出、≥1路非平衡混音输出。</w:t>
            </w:r>
          </w:p>
          <w:p w14:paraId="62239F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.支持混响调节功能，比例调节、延时调节、电平调节≥25个档位。</w:t>
            </w:r>
          </w:p>
          <w:p w14:paraId="4FAABA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.支持麦克风均衡器调节功能，≥高、中、低音三种调节档位。</w:t>
            </w:r>
          </w:p>
          <w:p w14:paraId="73710A9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.接收机具有显示屏，用户可通过显示屏查看设备发射功率强度、音频加密状态、电池电量、频率数值、智能静音状态、静音标志。</w:t>
            </w:r>
          </w:p>
          <w:p w14:paraId="6DD725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.具有自动静音功能，麦克风跌落、抛掷时，毫秒级响应自动静音，避免冲击声；产品静置5秒自动静音。</w:t>
            </w:r>
          </w:p>
          <w:p w14:paraId="058A40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.麦克风具有长时间静置自动关机功能，设备自动检测工作状态（使用状态、静置状态），静置时间≥8分钟后，设备自动关机。</w:t>
            </w:r>
          </w:p>
        </w:tc>
      </w:tr>
      <w:tr w14:paraId="5C892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869F48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w:t>
            </w:r>
          </w:p>
        </w:tc>
        <w:tc>
          <w:tcPr>
            <w:tcW w:w="1289" w:type="dxa"/>
            <w:shd w:val="clear" w:color="auto" w:fill="FFFFFF"/>
            <w:vAlign w:val="center"/>
          </w:tcPr>
          <w:p w14:paraId="60FCE0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一拖四无线鹅颈话筒</w:t>
            </w:r>
          </w:p>
        </w:tc>
        <w:tc>
          <w:tcPr>
            <w:tcW w:w="7206" w:type="dxa"/>
            <w:vAlign w:val="center"/>
          </w:tcPr>
          <w:p w14:paraId="224C9F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1.具有≥1台接收主机、≥4只桌面式鹅颈咪杆话筒；频率范围等同或优于540MHz-590MHz、640MHz-690MHz。</w:t>
            </w:r>
          </w:p>
          <w:p w14:paraId="727051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kern w:val="0"/>
                <w:sz w:val="21"/>
                <w:szCs w:val="21"/>
              </w:rPr>
              <w:t>2.接收机具有≥4路平衡输出、≥1路非平衡混音输出。</w:t>
            </w:r>
          </w:p>
          <w:p w14:paraId="2601DEE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.支持混响调节功能，比例调节、延时调节、电平调节≥25个档位。</w:t>
            </w:r>
          </w:p>
          <w:p w14:paraId="4190A3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4</w:t>
            </w:r>
            <w:r>
              <w:rPr>
                <w:rFonts w:hint="eastAsia" w:ascii="宋体" w:hAnsi="宋体" w:eastAsia="宋体" w:cs="宋体"/>
                <w:kern w:val="0"/>
                <w:sz w:val="21"/>
                <w:szCs w:val="21"/>
              </w:rPr>
              <w:t>.支持麦克风均衡器调节功能，≥高、中、低音三种调节档位。</w:t>
            </w:r>
          </w:p>
          <w:p w14:paraId="433430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5</w:t>
            </w:r>
            <w:r>
              <w:rPr>
                <w:rFonts w:hint="eastAsia" w:ascii="宋体" w:hAnsi="宋体" w:eastAsia="宋体" w:cs="宋体"/>
                <w:kern w:val="0"/>
                <w:sz w:val="21"/>
                <w:szCs w:val="21"/>
              </w:rPr>
              <w:t>.接收机具有显示屏，用户可通过显示屏查看设备发射功率强度、音频加密状态、电池电量、频率数值。</w:t>
            </w:r>
          </w:p>
          <w:p w14:paraId="1C9448C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6</w:t>
            </w:r>
            <w:r>
              <w:rPr>
                <w:rFonts w:hint="eastAsia" w:ascii="宋体" w:hAnsi="宋体" w:eastAsia="宋体" w:cs="宋体"/>
                <w:kern w:val="0"/>
                <w:sz w:val="21"/>
                <w:szCs w:val="21"/>
              </w:rPr>
              <w:t>.桌面麦≥1个3.5mm耳机孔，可通过3.5mm耳机孔输入音频。</w:t>
            </w:r>
          </w:p>
          <w:p w14:paraId="7EB1965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7</w:t>
            </w:r>
            <w:r>
              <w:rPr>
                <w:rFonts w:hint="eastAsia" w:ascii="宋体" w:hAnsi="宋体" w:eastAsia="宋体" w:cs="宋体"/>
                <w:kern w:val="0"/>
                <w:sz w:val="21"/>
                <w:szCs w:val="21"/>
              </w:rPr>
              <w:t>.桌面麦支持通过Type-C口进行充电。</w:t>
            </w:r>
          </w:p>
        </w:tc>
      </w:tr>
      <w:tr w14:paraId="0B81D0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1A5D25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w:t>
            </w:r>
          </w:p>
        </w:tc>
        <w:tc>
          <w:tcPr>
            <w:tcW w:w="1289" w:type="dxa"/>
            <w:shd w:val="clear" w:color="auto" w:fill="FFFFFF"/>
            <w:vAlign w:val="center"/>
          </w:tcPr>
          <w:p w14:paraId="1C3CD7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12C876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1.支持≥8通道电源时序打开/关闭，每路动作延时时间：≤1秒，支持远程控制（上电+24V直流信号）8通道电源时序打开/关闭—当电源开关处于off位置时有效。支持配置CH1和CH2通道为受控或不受控状态。</w:t>
            </w:r>
          </w:p>
          <w:p w14:paraId="653FA1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2.当远程控制有效时同时控制后板ALARM（报警）端口导通以起到级联控制ALARM（报警）功能。</w:t>
            </w:r>
          </w:p>
          <w:p w14:paraId="0B8332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3.单个通道最大负载功率≥2200W，所有通道负载总功率≥6000W。输出连接器：多用途电源插座。</w:t>
            </w:r>
          </w:p>
        </w:tc>
      </w:tr>
      <w:tr w14:paraId="74A5CD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F9F94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w:t>
            </w:r>
          </w:p>
        </w:tc>
        <w:tc>
          <w:tcPr>
            <w:tcW w:w="1289" w:type="dxa"/>
            <w:shd w:val="clear" w:color="auto" w:fill="FFFFFF"/>
            <w:vAlign w:val="center"/>
          </w:tcPr>
          <w:p w14:paraId="09336D2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机柜</w:t>
            </w:r>
          </w:p>
        </w:tc>
        <w:tc>
          <w:tcPr>
            <w:tcW w:w="7206" w:type="dxa"/>
            <w:vAlign w:val="center"/>
          </w:tcPr>
          <w:p w14:paraId="20BCF96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1.符合 ANSI/EIA RS-310-D、DIN41494 等相关规范。</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2.标准机柜(1200×600×600mm)采用高强度冷轧钢板制作,结构合理、牢固；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2BA4DC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DEFC0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42CC45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安装调试及系统集成费</w:t>
            </w:r>
          </w:p>
        </w:tc>
        <w:tc>
          <w:tcPr>
            <w:tcW w:w="7206" w:type="dxa"/>
            <w:vAlign w:val="center"/>
          </w:tcPr>
          <w:p w14:paraId="55267C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含高清线、地插、投屏器等。</w:t>
            </w:r>
          </w:p>
        </w:tc>
      </w:tr>
      <w:tr w14:paraId="275835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1AE4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sz w:val="21"/>
                <w:szCs w:val="21"/>
              </w:rPr>
              <w:t>五（9）</w:t>
            </w:r>
          </w:p>
        </w:tc>
        <w:tc>
          <w:tcPr>
            <w:tcW w:w="8495" w:type="dxa"/>
            <w:gridSpan w:val="2"/>
            <w:shd w:val="clear" w:color="auto" w:fill="FFFFFF"/>
            <w:vAlign w:val="center"/>
          </w:tcPr>
          <w:p w14:paraId="42D2A6D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风雨操场扩声</w:t>
            </w:r>
          </w:p>
        </w:tc>
      </w:tr>
      <w:tr w14:paraId="5119F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4F303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3DAF2E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专业音箱</w:t>
            </w:r>
          </w:p>
        </w:tc>
        <w:tc>
          <w:tcPr>
            <w:tcW w:w="7206" w:type="dxa"/>
            <w:vAlign w:val="center"/>
          </w:tcPr>
          <w:p w14:paraId="73EFCD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1．阻抗≤8Ω</w:t>
            </w:r>
          </w:p>
          <w:p w14:paraId="4E7ACA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2．频响等同或优于45Hz-20KHz</w:t>
            </w:r>
          </w:p>
          <w:p w14:paraId="621C5B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3．额定功率≥400W</w:t>
            </w:r>
          </w:p>
          <w:p w14:paraId="7F698A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4．灵敏度≥99dB/W/M</w:t>
            </w:r>
          </w:p>
          <w:p w14:paraId="6DE3B3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5．水平覆盖角≥90°，垂直覆盖角≥80°</w:t>
            </w:r>
          </w:p>
          <w:p w14:paraId="68A3E4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6．高音≥1.7"压缩高音单元×1；低音：12"低音×1</w:t>
            </w:r>
          </w:p>
        </w:tc>
      </w:tr>
      <w:tr w14:paraId="4D4C4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45135C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658AE8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支架</w:t>
            </w:r>
          </w:p>
        </w:tc>
        <w:tc>
          <w:tcPr>
            <w:tcW w:w="7206" w:type="dxa"/>
            <w:vAlign w:val="center"/>
          </w:tcPr>
          <w:p w14:paraId="498A1A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音箱配套支架</w:t>
            </w:r>
          </w:p>
        </w:tc>
      </w:tr>
      <w:tr w14:paraId="2C9E4F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03B4E3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18328FB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专业功放</w:t>
            </w:r>
          </w:p>
        </w:tc>
        <w:tc>
          <w:tcPr>
            <w:tcW w:w="7206" w:type="dxa"/>
            <w:vAlign w:val="center"/>
          </w:tcPr>
          <w:p w14:paraId="1DF925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1.1U机箱设计，采用D类数字功放设计方案。</w:t>
            </w:r>
          </w:p>
          <w:p w14:paraId="4DE269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2.标准XLR输入接口，和LINK输出口。</w:t>
            </w:r>
          </w:p>
          <w:p w14:paraId="1629F3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3.电源采用开关电源技术，效率高，有效的抑制电源谐波。</w:t>
            </w:r>
          </w:p>
          <w:p w14:paraId="6D1EB3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4.内置智能削峰限幅器，支持开机软启动，防止开机时向电网吸收大电流，干扰其它用电设备。 </w:t>
            </w:r>
          </w:p>
          <w:p w14:paraId="53741D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5.具有：过压保护，欠压保护，过流保护，直流保护，输出短路保护，温控风扇等功能。</w:t>
            </w:r>
          </w:p>
          <w:p w14:paraId="2B9C8FF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6.输出功率：立体声@8Ω：≥700W×2；立体声@4Ω：≥1000W×2；桥接@16Ω：≥1400W；桥接@8Ω：≥2000W</w:t>
            </w:r>
          </w:p>
        </w:tc>
      </w:tr>
      <w:tr w14:paraId="2DCF8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C0A8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156BD1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无线话筒</w:t>
            </w:r>
          </w:p>
        </w:tc>
        <w:tc>
          <w:tcPr>
            <w:tcW w:w="7206" w:type="dxa"/>
            <w:vAlign w:val="center"/>
          </w:tcPr>
          <w:p w14:paraId="52C39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1.具有≥1台接收主机、≥双手持发射机；频率范围等同或优于540MHz-590MHz、640MHz-690MHz。</w:t>
            </w:r>
          </w:p>
          <w:p w14:paraId="081613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2.接收机具有≥2路平衡输出、≥1路非平衡混音输出。</w:t>
            </w:r>
          </w:p>
          <w:p w14:paraId="56E74C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3</w:t>
            </w:r>
            <w:r>
              <w:rPr>
                <w:rFonts w:hint="eastAsia" w:ascii="宋体" w:hAnsi="宋体" w:eastAsia="宋体" w:cs="宋体"/>
                <w:color w:val="000000"/>
                <w:kern w:val="0"/>
                <w:sz w:val="21"/>
                <w:szCs w:val="21"/>
              </w:rPr>
              <w:t>.支持混响调节功能，比例调节、延时调节、电平调节≥25个档位。</w:t>
            </w:r>
          </w:p>
          <w:p w14:paraId="34529F2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.支持麦克风均衡器调节功能，≥高、中、低音三种调节档位。</w:t>
            </w:r>
          </w:p>
          <w:p w14:paraId="4915E6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.接收机具有显示屏，用户可通过显示屏查看设备发射功率强度、音频加密状态、电池电量、频率数值、智能静音状态、静音标志。</w:t>
            </w:r>
          </w:p>
          <w:p w14:paraId="590982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.具有自动静音功能，麦克风跌落、抛掷时，毫秒级响应自动静音，避免冲击声；产品静置5秒自动静音。</w:t>
            </w:r>
          </w:p>
          <w:p w14:paraId="0D8D02B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7</w:t>
            </w:r>
            <w:r>
              <w:rPr>
                <w:rFonts w:hint="eastAsia" w:ascii="宋体" w:hAnsi="宋体" w:eastAsia="宋体" w:cs="宋体"/>
                <w:color w:val="000000"/>
                <w:kern w:val="0"/>
                <w:sz w:val="21"/>
                <w:szCs w:val="21"/>
              </w:rPr>
              <w:t>.麦克风具有长时间静置自动关机功能，设备自动检测工作状态（使用状态、静置状态），静置时间大于等于8分钟后，设备自动关机。</w:t>
            </w:r>
          </w:p>
        </w:tc>
      </w:tr>
      <w:tr w14:paraId="5B8B4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B56E8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02F7B0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无线话筒</w:t>
            </w:r>
          </w:p>
        </w:tc>
        <w:tc>
          <w:tcPr>
            <w:tcW w:w="7206" w:type="dxa"/>
            <w:vAlign w:val="center"/>
          </w:tcPr>
          <w:p w14:paraId="14A395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1.频率范围等同或优于540MHz-590MHz、640MHz-690MHz。</w:t>
            </w:r>
          </w:p>
          <w:p w14:paraId="398EE5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2.配套有≥1台接收主机和≥2个无线头戴话筒。</w:t>
            </w:r>
          </w:p>
          <w:p w14:paraId="02646E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rPr>
              <w:t>3.采用独有数字U段传输技术，pi/4-DQPSK调制方式。</w:t>
            </w:r>
          </w:p>
          <w:p w14:paraId="6A9C09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sz w:val="21"/>
                <w:szCs w:val="21"/>
              </w:rPr>
            </w:pPr>
            <w:r>
              <w:rPr>
                <w:rFonts w:hint="eastAsia" w:ascii="宋体" w:hAnsi="宋体" w:eastAsia="宋体" w:cs="宋体"/>
                <w:color w:val="000000"/>
                <w:kern w:val="0"/>
                <w:sz w:val="21"/>
                <w:szCs w:val="21"/>
                <w:lang w:val="en-US" w:eastAsia="zh-CN"/>
              </w:rPr>
              <w:t>4</w:t>
            </w:r>
            <w:r>
              <w:rPr>
                <w:rFonts w:hint="eastAsia" w:ascii="宋体" w:hAnsi="宋体" w:eastAsia="宋体" w:cs="宋体"/>
                <w:color w:val="000000"/>
                <w:kern w:val="0"/>
                <w:sz w:val="21"/>
                <w:szCs w:val="21"/>
              </w:rPr>
              <w:t>.采用独有的ID码导频技术，可防止出现串频干扰。</w:t>
            </w:r>
          </w:p>
          <w:p w14:paraId="55F78D5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.具有≥2路平衡输出、≥1路非平衡混音输出。</w:t>
            </w:r>
          </w:p>
          <w:p w14:paraId="08CC2F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val="en-US" w:eastAsia="zh-CN"/>
              </w:rPr>
              <w:t>6</w:t>
            </w:r>
            <w:r>
              <w:rPr>
                <w:rFonts w:hint="eastAsia" w:ascii="宋体" w:hAnsi="宋体" w:eastAsia="宋体" w:cs="宋体"/>
                <w:color w:val="000000"/>
                <w:kern w:val="0"/>
                <w:sz w:val="21"/>
                <w:szCs w:val="21"/>
              </w:rPr>
              <w:t>.具有一键静音功能。</w:t>
            </w:r>
          </w:p>
        </w:tc>
      </w:tr>
      <w:tr w14:paraId="21A969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6A742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4B5658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调音台</w:t>
            </w:r>
          </w:p>
        </w:tc>
        <w:tc>
          <w:tcPr>
            <w:tcW w:w="7206" w:type="dxa"/>
            <w:vAlign w:val="center"/>
          </w:tcPr>
          <w:p w14:paraId="3928B03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1.</w:t>
            </w:r>
            <w:r>
              <w:rPr>
                <w:rFonts w:hint="eastAsia" w:ascii="宋体" w:hAnsi="宋体" w:eastAsia="宋体" w:cs="宋体"/>
                <w:color w:val="000000"/>
                <w:kern w:val="0"/>
                <w:sz w:val="21"/>
                <w:szCs w:val="21"/>
              </w:rPr>
              <w:t>话筒：6</w:t>
            </w:r>
          </w:p>
          <w:p w14:paraId="6789F9F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2.</w:t>
            </w:r>
            <w:r>
              <w:rPr>
                <w:rFonts w:hint="eastAsia" w:ascii="宋体" w:hAnsi="宋体" w:eastAsia="宋体" w:cs="宋体"/>
                <w:color w:val="000000"/>
                <w:kern w:val="0"/>
                <w:sz w:val="21"/>
                <w:szCs w:val="21"/>
              </w:rPr>
              <w:t>频响：+0.5dB/-0.5dB（20Hz-20kHz）</w:t>
            </w:r>
          </w:p>
          <w:p w14:paraId="08D1E9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3.</w:t>
            </w:r>
            <w:r>
              <w:rPr>
                <w:rFonts w:hint="eastAsia" w:ascii="宋体" w:hAnsi="宋体" w:eastAsia="宋体" w:cs="宋体"/>
                <w:color w:val="000000"/>
                <w:kern w:val="0"/>
                <w:sz w:val="21"/>
                <w:szCs w:val="21"/>
              </w:rPr>
              <w:t>总谐波失真：0.03%@+14dBu（20 Hz-20kHz）</w:t>
            </w:r>
          </w:p>
          <w:p w14:paraId="1FB1A41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4.</w:t>
            </w:r>
            <w:r>
              <w:rPr>
                <w:rFonts w:hint="eastAsia" w:ascii="宋体" w:hAnsi="宋体" w:eastAsia="宋体" w:cs="宋体"/>
                <w:color w:val="000000"/>
                <w:kern w:val="0"/>
                <w:sz w:val="21"/>
                <w:szCs w:val="21"/>
              </w:rPr>
              <w:t>输入通道：12通道：单声道：4；立体声：4</w:t>
            </w:r>
          </w:p>
          <w:p w14:paraId="4441C8E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5.</w:t>
            </w:r>
            <w:r>
              <w:rPr>
                <w:rFonts w:hint="eastAsia" w:ascii="宋体" w:hAnsi="宋体" w:eastAsia="宋体" w:cs="宋体"/>
                <w:color w:val="000000"/>
                <w:kern w:val="0"/>
                <w:sz w:val="21"/>
                <w:szCs w:val="21"/>
              </w:rPr>
              <w:t>输出通道：STEREO OUT：2；PHONES：1</w:t>
            </w:r>
          </w:p>
          <w:p w14:paraId="185C69E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6.</w:t>
            </w:r>
            <w:r>
              <w:rPr>
                <w:rFonts w:hint="eastAsia" w:ascii="宋体" w:hAnsi="宋体" w:eastAsia="宋体" w:cs="宋体"/>
                <w:color w:val="000000"/>
                <w:kern w:val="0"/>
                <w:sz w:val="21"/>
                <w:szCs w:val="21"/>
              </w:rPr>
              <w:t>母线：立体声：1；编组：2，AUX</w:t>
            </w:r>
          </w:p>
          <w:p w14:paraId="3AAE3F4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eastAsia="zh-CN"/>
              </w:rPr>
            </w:pPr>
            <w:r>
              <w:rPr>
                <w:rFonts w:hint="default" w:ascii="宋体" w:hAnsi="宋体" w:eastAsia="宋体" w:cs="宋体"/>
                <w:color w:val="000000"/>
                <w:kern w:val="0"/>
                <w:sz w:val="21"/>
                <w:szCs w:val="21"/>
                <w:lang w:val="en-US" w:eastAsia="zh-CN" w:bidi="ar-SA"/>
              </w:rPr>
              <w:t>7.</w:t>
            </w:r>
            <w:r>
              <w:rPr>
                <w:rFonts w:hint="eastAsia" w:ascii="宋体" w:hAnsi="宋体" w:eastAsia="宋体" w:cs="宋体"/>
                <w:color w:val="000000"/>
                <w:kern w:val="0"/>
                <w:sz w:val="21"/>
                <w:szCs w:val="21"/>
              </w:rPr>
              <w:t>幻象电源电压：+48V</w:t>
            </w:r>
          </w:p>
          <w:p w14:paraId="3BDA17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8.</w:t>
            </w:r>
            <w:r>
              <w:rPr>
                <w:rFonts w:hint="eastAsia" w:ascii="宋体" w:hAnsi="宋体" w:eastAsia="宋体" w:cs="宋体"/>
                <w:color w:val="000000"/>
                <w:kern w:val="0"/>
                <w:sz w:val="21"/>
                <w:szCs w:val="21"/>
              </w:rPr>
              <w:t>功率要求：AC 100-240V，50/60Hz</w:t>
            </w:r>
          </w:p>
        </w:tc>
      </w:tr>
      <w:tr w14:paraId="654D9B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C188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68299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电源管理器</w:t>
            </w:r>
          </w:p>
        </w:tc>
        <w:tc>
          <w:tcPr>
            <w:tcW w:w="7206" w:type="dxa"/>
            <w:vAlign w:val="center"/>
          </w:tcPr>
          <w:p w14:paraId="20453B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1.支持≥8通道电源时序打开/关闭，每路动作延时时间：≤1秒，支持远程控制（上电+24V直流信号）8通道电源时序打开/关闭—当电源开关处于off位置时有效。支持配置CH1和CH2通道为受控或不受控状态。</w:t>
            </w:r>
          </w:p>
          <w:p w14:paraId="5542C4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2.当远程控制有效时同时控制后板ALARM（报警）端口导通以起到级联控制ALARM（报警）功能。</w:t>
            </w:r>
          </w:p>
          <w:p w14:paraId="5AD843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3.单个通道最大负载功率≥2200W，所有通道负载总功率≥6000W。输出连接器：多用途电源插座。</w:t>
            </w:r>
          </w:p>
          <w:p w14:paraId="5D6F4E7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4.具有一路及以上USB输出接口。</w:t>
            </w:r>
          </w:p>
        </w:tc>
      </w:tr>
      <w:tr w14:paraId="7CD2A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170A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1A0E29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kern w:val="0"/>
                <w:sz w:val="21"/>
                <w:szCs w:val="21"/>
              </w:rPr>
              <w:t>机柜</w:t>
            </w:r>
          </w:p>
        </w:tc>
        <w:tc>
          <w:tcPr>
            <w:tcW w:w="7206" w:type="dxa"/>
            <w:vAlign w:val="center"/>
          </w:tcPr>
          <w:p w14:paraId="6EC904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1.符合 ANSI/EIA RS-310-D、DIN41494 等相关规范。</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2.24U机柜采用高强度冷轧钢板制作,结构合理、牢固； 19英寸导轨厚度2.0mm、侧板1.0mm、其他厚度 1.2mm；载重量静态≤800KG，动态≤600KG；全喷塑处理，防止碰伤、腐蚀；快开侧门，方便设备安装维护；分单开门和双开门两种规格；机柜预留接地柱，配有风扇；前门采用优质钢化玻璃，后门网孔（前后门可选材料）；快速的拆装结构和合理线路通道。</w:t>
            </w:r>
          </w:p>
        </w:tc>
      </w:tr>
      <w:tr w14:paraId="0A303D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D3A73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w:t>
            </w:r>
          </w:p>
        </w:tc>
        <w:tc>
          <w:tcPr>
            <w:tcW w:w="1289" w:type="dxa"/>
            <w:shd w:val="clear" w:color="auto" w:fill="FFFFFF"/>
            <w:vAlign w:val="center"/>
          </w:tcPr>
          <w:p w14:paraId="175E08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安装调试及系统集成费</w:t>
            </w:r>
          </w:p>
        </w:tc>
        <w:tc>
          <w:tcPr>
            <w:tcW w:w="7206" w:type="dxa"/>
            <w:vAlign w:val="center"/>
          </w:tcPr>
          <w:p w14:paraId="2BF0C8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风雨操场扩声系统敷设管线及设备系统集成安装调试</w:t>
            </w:r>
          </w:p>
        </w:tc>
      </w:tr>
      <w:tr w14:paraId="68395D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9ED2CA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bookmarkStart w:id="20" w:name="_Hlk182357145"/>
            <w:r>
              <w:rPr>
                <w:rFonts w:hint="eastAsia" w:ascii="宋体" w:hAnsi="宋体" w:eastAsia="宋体" w:cs="宋体"/>
                <w:b/>
                <w:bCs/>
                <w:color w:val="000000"/>
                <w:kern w:val="0"/>
                <w:sz w:val="21"/>
                <w:szCs w:val="21"/>
                <w:lang w:bidi="ar"/>
              </w:rPr>
              <w:t>六</w:t>
            </w:r>
          </w:p>
        </w:tc>
        <w:tc>
          <w:tcPr>
            <w:tcW w:w="8495" w:type="dxa"/>
            <w:gridSpan w:val="2"/>
            <w:shd w:val="clear" w:color="auto" w:fill="FFFFFF"/>
            <w:vAlign w:val="center"/>
          </w:tcPr>
          <w:p w14:paraId="4FE098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录播系统</w:t>
            </w:r>
          </w:p>
        </w:tc>
      </w:tr>
      <w:tr w14:paraId="7D113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D186A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六（1）</w:t>
            </w:r>
          </w:p>
        </w:tc>
        <w:tc>
          <w:tcPr>
            <w:tcW w:w="8495" w:type="dxa"/>
            <w:gridSpan w:val="2"/>
            <w:shd w:val="clear" w:color="auto" w:fill="FFFFFF"/>
            <w:vAlign w:val="center"/>
          </w:tcPr>
          <w:p w14:paraId="68586A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精品录播系统</w:t>
            </w:r>
          </w:p>
        </w:tc>
      </w:tr>
      <w:tr w14:paraId="4750EB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E31D6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4C6E77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高清录播主机</w:t>
            </w:r>
          </w:p>
        </w:tc>
        <w:tc>
          <w:tcPr>
            <w:tcW w:w="7206" w:type="dxa"/>
            <w:vAlign w:val="center"/>
          </w:tcPr>
          <w:p w14:paraId="0C94CAC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低噪声设计：要求所投录播主机产生噪声最大值≤20dB(A)。</w:t>
            </w:r>
          </w:p>
          <w:p w14:paraId="4547376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平台对接：要求支持无缝对接视频资源管理应用平台，实现主机录制生成的视频文件自动上传平台归档。</w:t>
            </w:r>
          </w:p>
          <w:p w14:paraId="5FB2899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视频输入输出：具备高清视频输入接口≥</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、HDMI in≥2；高清输出接口≥</w:t>
            </w:r>
            <w:r>
              <w:rPr>
                <w:rFonts w:hint="eastAsia" w:ascii="宋体" w:hAnsi="宋体" w:eastAsia="宋体" w:cs="宋体"/>
                <w:kern w:val="0"/>
                <w:sz w:val="21"/>
                <w:szCs w:val="21"/>
                <w:lang w:val="en-US" w:eastAsia="zh-CN"/>
              </w:rPr>
              <w:t>3</w:t>
            </w:r>
            <w:r>
              <w:rPr>
                <w:rFonts w:hint="eastAsia" w:ascii="宋体" w:hAnsi="宋体" w:eastAsia="宋体" w:cs="宋体"/>
                <w:kern w:val="0"/>
                <w:sz w:val="21"/>
                <w:szCs w:val="21"/>
              </w:rPr>
              <w:t>。</w:t>
            </w:r>
          </w:p>
          <w:p w14:paraId="1D65FB1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视频编解码：支持标准H.264视频编解码协议；且录制画质分辨率支持1080P@30fps、720P30fps。</w:t>
            </w:r>
          </w:p>
          <w:p w14:paraId="25C939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一线通：支持连接摄像机与主机之间通过一根线进行供电、控制、视频信号同传，不接受使用转接器的方式。</w:t>
            </w:r>
          </w:p>
          <w:p w14:paraId="7EF1755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音频输入输出：具备数字音频输入接口Digital mic≥6、线性音频输入接口Line in≥2；线性音频输出接口Line out≥2。</w:t>
            </w:r>
          </w:p>
          <w:p w14:paraId="5A084AB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.网络接入：具备标准RJ45网络接口，支持10/100/1000M网络自适应。并要求支持IPv4、IPv6双协议栈。</w:t>
            </w:r>
          </w:p>
          <w:p w14:paraId="1F5857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存储容量：内置不少于</w:t>
            </w:r>
            <w:r>
              <w:rPr>
                <w:rFonts w:hint="eastAsia" w:ascii="宋体" w:hAnsi="宋体" w:eastAsia="宋体" w:cs="宋体"/>
                <w:kern w:val="0"/>
                <w:sz w:val="21"/>
                <w:szCs w:val="21"/>
                <w:lang w:val="en-US" w:eastAsia="zh-CN"/>
              </w:rPr>
              <w:t>1</w:t>
            </w:r>
            <w:r>
              <w:rPr>
                <w:rFonts w:hint="eastAsia" w:ascii="宋体" w:hAnsi="宋体" w:eastAsia="宋体" w:cs="宋体"/>
                <w:kern w:val="0"/>
                <w:sz w:val="21"/>
                <w:szCs w:val="21"/>
              </w:rPr>
              <w:t>T存储空间，用于录制视频文件的本地存储。</w:t>
            </w:r>
          </w:p>
          <w:p w14:paraId="5E36662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外设连接：具备USB 2.0接口≥2，可用于连接U盘等外设。</w:t>
            </w:r>
          </w:p>
          <w:p w14:paraId="55FF16E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10.</w:t>
            </w:r>
            <w:r>
              <w:rPr>
                <w:rFonts w:hint="eastAsia" w:ascii="宋体" w:hAnsi="宋体" w:eastAsia="宋体" w:cs="宋体"/>
                <w:kern w:val="0"/>
                <w:sz w:val="21"/>
                <w:szCs w:val="21"/>
              </w:rPr>
              <w:t>其他要求</w:t>
            </w:r>
            <w:r>
              <w:rPr>
                <w:rFonts w:hint="eastAsia" w:ascii="宋体" w:hAnsi="宋体" w:eastAsia="宋体" w:cs="宋体"/>
                <w:kern w:val="0"/>
                <w:sz w:val="21"/>
                <w:szCs w:val="21"/>
                <w:lang w:eastAsia="zh-CN"/>
              </w:rPr>
              <w:t>：</w:t>
            </w:r>
            <w:r>
              <w:rPr>
                <w:rFonts w:hint="eastAsia" w:ascii="宋体" w:hAnsi="宋体" w:eastAsia="宋体" w:cs="宋体"/>
                <w:kern w:val="0"/>
                <w:sz w:val="21"/>
                <w:szCs w:val="21"/>
              </w:rPr>
              <w:t>要求主机与视频资源管理平台、高清摄像机设备为同一品牌。</w:t>
            </w:r>
          </w:p>
        </w:tc>
      </w:tr>
      <w:tr w14:paraId="2FFF95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ACB49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5B3DDF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录播流媒体处理软件</w:t>
            </w:r>
          </w:p>
        </w:tc>
        <w:tc>
          <w:tcPr>
            <w:tcW w:w="7206" w:type="dxa"/>
            <w:vAlign w:val="center"/>
          </w:tcPr>
          <w:p w14:paraId="43E1EEB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一.录播模块</w:t>
            </w:r>
          </w:p>
          <w:p w14:paraId="2C2C9E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分段录制：要求支持长视频分段录制的功能，可自定义视频文件分段时长，当录制课程时间较长时，可在不结束录制的条件下自动按分段时长将课程视频文件分割录制成多个视频文件，提供不分段、30分钟分段、60分钟分段三种方式可选。</w:t>
            </w:r>
          </w:p>
          <w:p w14:paraId="3649F18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音频处理：要求内置音频处理模块，支持EQ均衡、AEC回声抑制、AGC自动增益、ANC噪声抑制等音频处理功能。</w:t>
            </w:r>
          </w:p>
          <w:p w14:paraId="0C1FBDC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二.导播模块</w:t>
            </w:r>
          </w:p>
          <w:p w14:paraId="5AD3ECC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本地导播：要求支持连接外接导播台进行控制导播，实现本地导播控制。</w:t>
            </w:r>
          </w:p>
          <w:p w14:paraId="72EDE4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网络导播：为保障低配置电脑也能正常使用，要求支持通过浏览器访问录播主机进入导播界面。</w:t>
            </w:r>
          </w:p>
          <w:p w14:paraId="43DAF531">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导播预览：要求导播界面可实现接入画面的导播预览，预览画面需包括教师特写、教师全景、学生全景、学生特写、电脑画面等。并支持点击预览画面可自由切换录制画面进行录制。</w:t>
            </w:r>
          </w:p>
          <w:p w14:paraId="527D39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画面布局：提供双分屏、三分屏、画中画等录制布局，并支持自定义布局方式，支持多个视频图层自由叠加组合，自定义布局时可随意拖拉画面窗口。</w:t>
            </w:r>
          </w:p>
          <w:p w14:paraId="5E5A24F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字幕台标：要求录制模式下支持Logo台标、字幕设置，可自主上传Logo图标、编辑字幕内容。</w:t>
            </w:r>
          </w:p>
          <w:p w14:paraId="11F156E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可以音量控制：要求可通过导播界面进行音量控制，调整相关输入输出音量大小。</w:t>
            </w:r>
          </w:p>
          <w:p w14:paraId="6AFB89A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三.直播模块</w:t>
            </w:r>
          </w:p>
          <w:p w14:paraId="06A5A02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多流直播：要求支持RTMP和RTSP视频传输协议，并要求支持不少于3路RTMP同步推流直播，并要求自定义选择主码流或子码流信号源进行推流，实现多流直播。</w:t>
            </w:r>
          </w:p>
          <w:p w14:paraId="464B38A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直播码流：支持自定义直播分辨率和码率，最高支持1080P，以适应不同网络环境下保持直播的流畅性。</w:t>
            </w:r>
          </w:p>
          <w:p w14:paraId="7D831CD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直播模式：要求支持RTMP直播。</w:t>
            </w:r>
          </w:p>
          <w:p w14:paraId="06BF08F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四.互动模块</w:t>
            </w:r>
          </w:p>
          <w:p w14:paraId="3E4E3C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互动协议：支持SIP标准视音频互动协议，便捷进行远程互动教学应用。</w:t>
            </w:r>
          </w:p>
          <w:p w14:paraId="3C6AA4E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双流互动：要求支持双流互动功能，在互动通讯过程中，支持教学场景信号与电脑课件信号以互相独立的信号进行传输，并最终接收端设备可通过两路HDMI接口将接收到的教学场景画面与电脑课件画面同时分别环出到两个显示设备上。</w:t>
            </w:r>
          </w:p>
          <w:p w14:paraId="6A24C10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互动通讯录：支持对接获取互动云系统的通讯录数据，数据内容包括所有已在互动云系统注册的录播账号、录播昵称。支持通过通讯录选择互动对象直接呼叫，或手动输入录播账号进行呼叫，并提供导入通讯录功能。</w:t>
            </w:r>
          </w:p>
        </w:tc>
      </w:tr>
      <w:tr w14:paraId="372729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85B11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66B841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AI智能跟踪处理软件</w:t>
            </w:r>
          </w:p>
        </w:tc>
        <w:tc>
          <w:tcPr>
            <w:tcW w:w="7206" w:type="dxa"/>
            <w:vAlign w:val="center"/>
          </w:tcPr>
          <w:p w14:paraId="268B966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支持基于计算机视觉CV技术的AI人工智能跟踪算法，无需额外配置跟踪辅助拍摄装置如跟踪定位分析摄像头等，实现不同场景画面自动跟踪切换。</w:t>
            </w:r>
          </w:p>
          <w:p w14:paraId="31C828D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支持教师移动跟拍或教师全景、教师投课特写，救师板书行为、救学课件聚踪、学生起立特写、学生听课全景等画面信号的自动跟踪、切换。</w:t>
            </w:r>
          </w:p>
          <w:p w14:paraId="76CA7C9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支持对接入摄像机进行云台控制，实现画面的上下左右移动、放大缩小变焦等操作。</w:t>
            </w:r>
          </w:p>
          <w:p w14:paraId="4041F49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支持对接入摄像机的A1预踪验测区域设置，可根据实景拍摄画面中框选跟踪区，框选后只在区城中方能触发跟踪，所见所得方便操作。</w:t>
            </w:r>
          </w:p>
        </w:tc>
      </w:tr>
      <w:tr w14:paraId="3E11D1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8BCD0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4C2CD6B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高清摄像机</w:t>
            </w:r>
          </w:p>
        </w:tc>
        <w:tc>
          <w:tcPr>
            <w:tcW w:w="7206" w:type="dxa"/>
            <w:vAlign w:val="center"/>
          </w:tcPr>
          <w:p w14:paraId="1B017E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1.传感器：要求采用CMOS类型图像传感器，尺寸≥1/2.5英寸</w:t>
            </w:r>
          </w:p>
          <w:p w14:paraId="20A0BC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2.像素：有效像素不低于207万</w:t>
            </w:r>
          </w:p>
          <w:p w14:paraId="071FF5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3.变焦：要求支持自动和手动变焦，变焦倍数≥12倍</w:t>
            </w:r>
          </w:p>
          <w:p w14:paraId="6FE8AC8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4.云台转动：要求具备机械云台可进行转动跟踪。水平转动速度范围不少于1.0° ~ 94.2°/s，垂直转动速度范围不少于1.0° ~ 74.8°/s</w:t>
            </w:r>
          </w:p>
          <w:p w14:paraId="2433FC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5.拍摄视场角：要求水平视场角度范围不少于72.0° ~ 6.1°，垂直视场角度范围不少于43.2° ~ 3.5°</w:t>
            </w:r>
          </w:p>
          <w:p w14:paraId="79D90A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6.视频编码：要求支持H.265、H.264高清视频编码协议</w:t>
            </w:r>
          </w:p>
          <w:p w14:paraId="40BFB8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7.视频输出：HDMI视频输出口≥1</w:t>
            </w:r>
          </w:p>
          <w:p w14:paraId="735C0D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8.背光补偿：要求具备背光补偿功能</w:t>
            </w:r>
          </w:p>
          <w:p w14:paraId="338629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9.控制协议：要求采用VISCA标准摄像机控制协议</w:t>
            </w:r>
          </w:p>
          <w:p w14:paraId="3391CC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10.通讯接口：要求具备RS232/RS422≥1</w:t>
            </w:r>
          </w:p>
          <w:p w14:paraId="1002C8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11.网络输出：要求具备标准RJ45网络接口，并支持RTSP协议支持网络视频输出</w:t>
            </w:r>
          </w:p>
          <w:p w14:paraId="5E9FA2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12.音频接口：要求具备不少于1路Line in输入口</w:t>
            </w:r>
          </w:p>
          <w:p w14:paraId="59DF21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13.USB接口：要求具备USB Type-A≥1</w:t>
            </w:r>
          </w:p>
          <w:p w14:paraId="6A9754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14.预置位：要求支持设置摄像机预置位，预置位数量≥255</w:t>
            </w:r>
          </w:p>
          <w:p w14:paraId="5B559A6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15.图像翻转：要求支持图像水平、垂直翻转，适应摄像机不同的安装方式要求</w:t>
            </w:r>
          </w:p>
          <w:p w14:paraId="7C50F8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16.一线通：要求与搭配的录播主机连接，可实现摄像机供电、控制以及视频信号传输</w:t>
            </w:r>
          </w:p>
          <w:p w14:paraId="783D1D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17.AI跟踪：要求内置跟踪算法，无需增加任何辅助设备即可实现人像自动跟踪，包括水平运动、俯仰运动、变焦、聚焦四维实时跟踪</w:t>
            </w:r>
          </w:p>
          <w:p w14:paraId="660A469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18.跟踪逻辑自选：要求支持根据AI智能算法，同一摄像机可根据部署使用场景智能应用为教师、学生跟踪模式，无需手动设置</w:t>
            </w:r>
          </w:p>
          <w:p w14:paraId="2F8A2E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19.电源支持：支持录播主机供电和DC12V电源适配器等供电方式</w:t>
            </w:r>
          </w:p>
          <w:p w14:paraId="483785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20.要求摄像机与录播主机为同一品牌</w:t>
            </w:r>
          </w:p>
        </w:tc>
      </w:tr>
      <w:tr w14:paraId="0C675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BF26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165D30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摄像机管理软件</w:t>
            </w:r>
          </w:p>
        </w:tc>
        <w:tc>
          <w:tcPr>
            <w:tcW w:w="7206" w:type="dxa"/>
            <w:vAlign w:val="center"/>
          </w:tcPr>
          <w:p w14:paraId="68C6A6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1.摄像机管理软件采用B/S架构，支持通用浏览器直接访问进行管理。</w:t>
            </w:r>
          </w:p>
          <w:p w14:paraId="1CD317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2.支持曝光模式设置功能，包括自动、手动。</w:t>
            </w:r>
          </w:p>
          <w:p w14:paraId="1BCEB8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3.支持抗闪烁频率、动态范围、光圈、快门参数设置。</w:t>
            </w:r>
          </w:p>
          <w:p w14:paraId="25CFC3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4.支持自动白平衡设置功能，红、蓝增益可调。</w:t>
            </w:r>
          </w:p>
          <w:p w14:paraId="3C8DF8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5.支持噪声抑制设置功能，支持2D、3D降噪。</w:t>
            </w:r>
          </w:p>
          <w:p w14:paraId="2B6D49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6.支持摄像机图像质量调节功能，包括亮度、对比度、色调、饱和度。</w:t>
            </w:r>
          </w:p>
          <w:p w14:paraId="2743A0B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7.支持摄像机控制功能，包括云台控制、预置位设置与调用、焦距调节等。</w:t>
            </w:r>
          </w:p>
          <w:p w14:paraId="0BB889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8.支持教师和学生的AI自动识别切换，根据部署位置、模式自主适配教师或学生的跟踪逻辑。</w:t>
            </w:r>
          </w:p>
        </w:tc>
      </w:tr>
      <w:tr w14:paraId="0B3E43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F3C66E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6FB03C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拾音话筒</w:t>
            </w:r>
          </w:p>
        </w:tc>
        <w:tc>
          <w:tcPr>
            <w:tcW w:w="7206" w:type="dxa"/>
            <w:vAlign w:val="center"/>
          </w:tcPr>
          <w:p w14:paraId="1785CD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频率响应：40Hz—16kHz</w:t>
            </w:r>
          </w:p>
          <w:p w14:paraId="1C28ACA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低频衰减：内置</w:t>
            </w:r>
          </w:p>
          <w:p w14:paraId="616558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灵敏度：-29dB±3dB（1dB=1V/Pa at 1kHz）</w:t>
            </w:r>
          </w:p>
          <w:p w14:paraId="085B6B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输出抗阻：500Ω±20%（at 1kHz）</w:t>
            </w:r>
          </w:p>
          <w:p w14:paraId="04DF763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最大声压级：130dB（T.H.D≤1% at 1kHz）</w:t>
            </w:r>
          </w:p>
        </w:tc>
      </w:tr>
      <w:tr w14:paraId="302DB4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88A03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C5EED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壁挂式面板</w:t>
            </w:r>
          </w:p>
        </w:tc>
        <w:tc>
          <w:tcPr>
            <w:tcW w:w="7206" w:type="dxa"/>
            <w:vAlign w:val="center"/>
          </w:tcPr>
          <w:p w14:paraId="781B9A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支持录制开始/停止、录制暂停/恢复、直播开启/关闭、电脑画面锁定/解锁等功能操作；</w:t>
            </w:r>
          </w:p>
          <w:p w14:paraId="4EA7956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支持常用键位设置，可设置各镜头快速切换、画面布局等相关录课操作常用键位；</w:t>
            </w:r>
          </w:p>
          <w:p w14:paraId="5CF7A1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支持互动过程的录制、暂停、直播等操作；</w:t>
            </w:r>
          </w:p>
          <w:p w14:paraId="24FAD3A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支持互动过程的自动导播控制、互动导播画面自由选择控制功能；</w:t>
            </w:r>
          </w:p>
        </w:tc>
      </w:tr>
      <w:tr w14:paraId="7B6705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B0DD3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784F95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电源管理器</w:t>
            </w:r>
          </w:p>
        </w:tc>
        <w:tc>
          <w:tcPr>
            <w:tcW w:w="7206" w:type="dxa"/>
            <w:vAlign w:val="center"/>
          </w:tcPr>
          <w:p w14:paraId="3DD09A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向录播视频系统、音频系统、显示系统提供统一的、至少八路电源管理； </w:t>
            </w:r>
          </w:p>
          <w:p w14:paraId="76332BD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支持对录播系统控制功能，实现通过录制面板一键启动录播系统相关设备的电源；</w:t>
            </w:r>
          </w:p>
          <w:p w14:paraId="7B28A29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3.</w:t>
            </w:r>
            <w:r>
              <w:rPr>
                <w:rFonts w:hint="eastAsia" w:ascii="宋体" w:hAnsi="宋体" w:eastAsia="宋体" w:cs="宋体"/>
                <w:kern w:val="0"/>
                <w:sz w:val="21"/>
                <w:szCs w:val="21"/>
              </w:rPr>
              <w:t>支持录播系统的远程集中统一控制，实现录播主机远程开关机；</w:t>
            </w:r>
          </w:p>
        </w:tc>
      </w:tr>
      <w:tr w14:paraId="6EEC9B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7906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5829C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导播控制台</w:t>
            </w:r>
          </w:p>
        </w:tc>
        <w:tc>
          <w:tcPr>
            <w:tcW w:w="7206" w:type="dxa"/>
            <w:vAlign w:val="center"/>
          </w:tcPr>
          <w:p w14:paraId="1D892A5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支持云台控制功能：上下左右及变焦功能；</w:t>
            </w:r>
          </w:p>
          <w:p w14:paraId="6484D5E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支持录制、暂停、停止功能；</w:t>
            </w:r>
          </w:p>
          <w:p w14:paraId="0789A5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支持全自动录播模式和手动录播模式。</w:t>
            </w:r>
          </w:p>
          <w:p w14:paraId="0FF400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支持通过USB线缆连接录播主机；</w:t>
            </w:r>
          </w:p>
          <w:p w14:paraId="5D7628E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安装导播控制台软件，并设置录播地址；</w:t>
            </w:r>
          </w:p>
        </w:tc>
      </w:tr>
      <w:tr w14:paraId="5DF56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2F64B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08098BF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互动显示屏</w:t>
            </w:r>
          </w:p>
        </w:tc>
        <w:tc>
          <w:tcPr>
            <w:tcW w:w="7206" w:type="dxa"/>
            <w:vAlign w:val="center"/>
          </w:tcPr>
          <w:p w14:paraId="62BF01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65寸液晶电视机，提供有效期之内的节能产品认证证书或规定网站证书查询截图。</w:t>
            </w:r>
          </w:p>
        </w:tc>
      </w:tr>
      <w:tr w14:paraId="2E9013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EEB96A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11</w:t>
            </w:r>
          </w:p>
        </w:tc>
        <w:tc>
          <w:tcPr>
            <w:tcW w:w="1289" w:type="dxa"/>
            <w:shd w:val="clear" w:color="auto" w:fill="FFFFFF"/>
            <w:vAlign w:val="center"/>
          </w:tcPr>
          <w:p w14:paraId="464E63B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教室音箱</w:t>
            </w:r>
          </w:p>
        </w:tc>
        <w:tc>
          <w:tcPr>
            <w:tcW w:w="7206" w:type="dxa"/>
            <w:vAlign w:val="center"/>
          </w:tcPr>
          <w:p w14:paraId="2B918AC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额定阻抗： 8Ω. </w:t>
            </w:r>
          </w:p>
          <w:p w14:paraId="588C66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额定功率： 60W . </w:t>
            </w:r>
          </w:p>
          <w:p w14:paraId="7F531F0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最大功率：120W . </w:t>
            </w:r>
          </w:p>
        </w:tc>
      </w:tr>
      <w:tr w14:paraId="091D2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929F0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12</w:t>
            </w:r>
          </w:p>
        </w:tc>
        <w:tc>
          <w:tcPr>
            <w:tcW w:w="1289" w:type="dxa"/>
            <w:shd w:val="clear" w:color="auto" w:fill="FFFFFF"/>
            <w:vAlign w:val="center"/>
          </w:tcPr>
          <w:p w14:paraId="39278C9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教室功放</w:t>
            </w:r>
          </w:p>
        </w:tc>
        <w:tc>
          <w:tcPr>
            <w:tcW w:w="7206" w:type="dxa"/>
            <w:vAlign w:val="center"/>
          </w:tcPr>
          <w:p w14:paraId="4F4C215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两组音源输入</w:t>
            </w:r>
          </w:p>
          <w:p w14:paraId="7AE44D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额定功率：立体声2×60W/8Ω . </w:t>
            </w:r>
          </w:p>
        </w:tc>
      </w:tr>
      <w:tr w14:paraId="704586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5E0EB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13</w:t>
            </w:r>
          </w:p>
        </w:tc>
        <w:tc>
          <w:tcPr>
            <w:tcW w:w="1289" w:type="dxa"/>
            <w:shd w:val="clear" w:color="auto" w:fill="FFFFFF"/>
            <w:vAlign w:val="center"/>
          </w:tcPr>
          <w:p w14:paraId="09E360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网络交换机</w:t>
            </w:r>
          </w:p>
        </w:tc>
        <w:tc>
          <w:tcPr>
            <w:tcW w:w="7206" w:type="dxa"/>
            <w:vAlign w:val="center"/>
          </w:tcPr>
          <w:p w14:paraId="2D25B39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千兆以太网交换机;应用层级:二层;传输速率 10Mbps/100Mbps/1000Mbps;端口 数量:16 口</w:t>
            </w:r>
          </w:p>
        </w:tc>
      </w:tr>
      <w:tr w14:paraId="253840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E824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14</w:t>
            </w:r>
          </w:p>
        </w:tc>
        <w:tc>
          <w:tcPr>
            <w:tcW w:w="1289" w:type="dxa"/>
            <w:shd w:val="clear" w:color="auto" w:fill="FFFFFF"/>
            <w:vAlign w:val="center"/>
          </w:tcPr>
          <w:p w14:paraId="11B8B8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POE交换机</w:t>
            </w:r>
          </w:p>
        </w:tc>
        <w:tc>
          <w:tcPr>
            <w:tcW w:w="7206" w:type="dxa"/>
            <w:vAlign w:val="center"/>
          </w:tcPr>
          <w:p w14:paraId="4F2457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网络标准 IEEE 802.3、IEEE 802.3u、IEEE 802.3x、IEEE 802.af、IEEE 802.at; 端口:5 个 10/100Mbps RJ45 端口，其中 1-4 端口支持 PoE 功能</w:t>
            </w:r>
          </w:p>
        </w:tc>
      </w:tr>
      <w:tr w14:paraId="20A50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61F75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15</w:t>
            </w:r>
          </w:p>
        </w:tc>
        <w:tc>
          <w:tcPr>
            <w:tcW w:w="1289" w:type="dxa"/>
            <w:shd w:val="clear" w:color="auto" w:fill="FFFFFF"/>
            <w:vAlign w:val="center"/>
          </w:tcPr>
          <w:p w14:paraId="658B42B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导播监视器</w:t>
            </w:r>
          </w:p>
        </w:tc>
        <w:tc>
          <w:tcPr>
            <w:tcW w:w="7206" w:type="dxa"/>
            <w:vAlign w:val="center"/>
          </w:tcPr>
          <w:p w14:paraId="3D91E46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23寸高清显示器带HDMI接口</w:t>
            </w:r>
          </w:p>
        </w:tc>
      </w:tr>
      <w:tr w14:paraId="1CC2AB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C998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16</w:t>
            </w:r>
          </w:p>
        </w:tc>
        <w:tc>
          <w:tcPr>
            <w:tcW w:w="1289" w:type="dxa"/>
            <w:shd w:val="clear" w:color="auto" w:fill="FFFFFF"/>
            <w:vAlign w:val="center"/>
          </w:tcPr>
          <w:p w14:paraId="7700C34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专业操控台</w:t>
            </w:r>
          </w:p>
        </w:tc>
        <w:tc>
          <w:tcPr>
            <w:tcW w:w="7206" w:type="dxa"/>
            <w:vAlign w:val="center"/>
          </w:tcPr>
          <w:p w14:paraId="6A9BF0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1.机架全钢，布置机柜（高度13U），具有合理的走线槽、全尺寸键盘抽屉；</w:t>
            </w:r>
          </w:p>
          <w:p w14:paraId="4718482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2.面板：材质为防滑、耐磨防火板，边沿前鸭嘴、后圆角式样；                               3.尺寸：1800mm*750mm*800mm；                                                          4.为方便设备检修维护，底部需带4个耐磨轮子，提供产品图片；</w:t>
            </w:r>
          </w:p>
        </w:tc>
      </w:tr>
      <w:tr w14:paraId="3F70C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5AD9A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17</w:t>
            </w:r>
          </w:p>
        </w:tc>
        <w:tc>
          <w:tcPr>
            <w:tcW w:w="1289" w:type="dxa"/>
            <w:shd w:val="clear" w:color="auto" w:fill="FFFFFF"/>
            <w:vAlign w:val="center"/>
          </w:tcPr>
          <w:p w14:paraId="6A2BF00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观摩室音箱</w:t>
            </w:r>
          </w:p>
        </w:tc>
        <w:tc>
          <w:tcPr>
            <w:tcW w:w="7206" w:type="dxa"/>
            <w:vAlign w:val="center"/>
          </w:tcPr>
          <w:p w14:paraId="34C9167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额定阻抗： 8Ω. </w:t>
            </w:r>
          </w:p>
          <w:p w14:paraId="6F46512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额定功率： 60W . </w:t>
            </w:r>
          </w:p>
          <w:p w14:paraId="190F80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 xml:space="preserve">最大功率：120W </w:t>
            </w:r>
          </w:p>
        </w:tc>
      </w:tr>
      <w:tr w14:paraId="62D9CE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C5562E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18</w:t>
            </w:r>
          </w:p>
        </w:tc>
        <w:tc>
          <w:tcPr>
            <w:tcW w:w="1289" w:type="dxa"/>
            <w:shd w:val="clear" w:color="auto" w:fill="FFFFFF"/>
            <w:vAlign w:val="center"/>
          </w:tcPr>
          <w:p w14:paraId="16C939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观摩室功放</w:t>
            </w:r>
          </w:p>
        </w:tc>
        <w:tc>
          <w:tcPr>
            <w:tcW w:w="7206" w:type="dxa"/>
            <w:vAlign w:val="center"/>
          </w:tcPr>
          <w:p w14:paraId="43EA953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两组音源输入</w:t>
            </w:r>
          </w:p>
          <w:p w14:paraId="31C8A3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额定功率：立体声2×60W/8Ω</w:t>
            </w:r>
          </w:p>
        </w:tc>
      </w:tr>
      <w:tr w14:paraId="3E9C06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D5BA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19</w:t>
            </w:r>
          </w:p>
        </w:tc>
        <w:tc>
          <w:tcPr>
            <w:tcW w:w="1289" w:type="dxa"/>
            <w:shd w:val="clear" w:color="auto" w:fill="FFFFFF"/>
            <w:vAlign w:val="center"/>
          </w:tcPr>
          <w:p w14:paraId="705DAB6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观摩室大屏</w:t>
            </w:r>
          </w:p>
        </w:tc>
        <w:tc>
          <w:tcPr>
            <w:tcW w:w="7206" w:type="dxa"/>
            <w:vAlign w:val="center"/>
          </w:tcPr>
          <w:p w14:paraId="4D58DFA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55寸液晶电视机。提供有效期之内的节能产品认证证书或规定网站证书查询截图。</w:t>
            </w:r>
          </w:p>
        </w:tc>
      </w:tr>
      <w:tr w14:paraId="3EB4D5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824D9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20</w:t>
            </w:r>
          </w:p>
        </w:tc>
        <w:tc>
          <w:tcPr>
            <w:tcW w:w="1289" w:type="dxa"/>
            <w:shd w:val="clear" w:color="auto" w:fill="FFFFFF"/>
            <w:vAlign w:val="center"/>
          </w:tcPr>
          <w:p w14:paraId="665F91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教室桌椅</w:t>
            </w:r>
          </w:p>
        </w:tc>
        <w:tc>
          <w:tcPr>
            <w:tcW w:w="7206" w:type="dxa"/>
            <w:vAlign w:val="center"/>
          </w:tcPr>
          <w:p w14:paraId="23D282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根据使用单位要求定做，样式与造型需与使用单位确认。</w:t>
            </w:r>
          </w:p>
        </w:tc>
      </w:tr>
      <w:tr w14:paraId="305459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6EED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21</w:t>
            </w:r>
          </w:p>
        </w:tc>
        <w:tc>
          <w:tcPr>
            <w:tcW w:w="1289" w:type="dxa"/>
            <w:shd w:val="clear" w:color="auto" w:fill="FFFFFF"/>
            <w:vAlign w:val="center"/>
          </w:tcPr>
          <w:p w14:paraId="007E496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观摩室讨论椅</w:t>
            </w:r>
          </w:p>
        </w:tc>
        <w:tc>
          <w:tcPr>
            <w:tcW w:w="7206" w:type="dxa"/>
            <w:vAlign w:val="center"/>
          </w:tcPr>
          <w:p w14:paraId="7849E2D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lang w:bidi="ar"/>
              </w:rPr>
              <w:t>根据使用单位要求定做，样式与造型需与使用单位确认。</w:t>
            </w:r>
          </w:p>
        </w:tc>
      </w:tr>
      <w:tr w14:paraId="2129EE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2B666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22</w:t>
            </w:r>
          </w:p>
        </w:tc>
        <w:tc>
          <w:tcPr>
            <w:tcW w:w="1289" w:type="dxa"/>
            <w:shd w:val="clear" w:color="auto" w:fill="FFFFFF"/>
            <w:vAlign w:val="center"/>
          </w:tcPr>
          <w:p w14:paraId="5F2735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系统配件、施工</w:t>
            </w:r>
          </w:p>
        </w:tc>
        <w:tc>
          <w:tcPr>
            <w:tcW w:w="7206" w:type="dxa"/>
            <w:vAlign w:val="center"/>
          </w:tcPr>
          <w:p w14:paraId="7A6F0E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含录播教室的弱电布线、线材管材、高清线、无线套装键盘、鼠标等各类配件、线材。</w:t>
            </w:r>
          </w:p>
        </w:tc>
      </w:tr>
      <w:tr w14:paraId="14876A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0BCC7F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23</w:t>
            </w:r>
          </w:p>
        </w:tc>
        <w:tc>
          <w:tcPr>
            <w:tcW w:w="1289" w:type="dxa"/>
            <w:shd w:val="clear" w:color="auto" w:fill="FFFFFF"/>
            <w:vAlign w:val="center"/>
          </w:tcPr>
          <w:p w14:paraId="2F00E6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视频资源管理平台服务器</w:t>
            </w:r>
          </w:p>
        </w:tc>
        <w:tc>
          <w:tcPr>
            <w:tcW w:w="7206" w:type="dxa"/>
            <w:vAlign w:val="center"/>
          </w:tcPr>
          <w:p w14:paraId="4342917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平台可部署在云端或本地。</w:t>
            </w:r>
          </w:p>
          <w:p w14:paraId="52A191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（一）云端部署要求：</w:t>
            </w:r>
          </w:p>
          <w:p w14:paraId="0D895BB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1）采用云端部署，学校可用空间不少于1000G。</w:t>
            </w:r>
          </w:p>
          <w:p w14:paraId="30C91E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2）云平台要求具有三级等保备案。</w:t>
            </w:r>
          </w:p>
          <w:p w14:paraId="192BB4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3）学校可永久免费使用。</w:t>
            </w:r>
          </w:p>
          <w:p w14:paraId="3DBA68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（二）本地部署要求提供软硬件：</w:t>
            </w:r>
          </w:p>
          <w:p w14:paraId="2F6CE4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1）服务器软硬件满足信创要求</w:t>
            </w:r>
          </w:p>
          <w:p w14:paraId="77CF0C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2）出厂内置平台软件</w:t>
            </w:r>
          </w:p>
          <w:p w14:paraId="53E6BD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 xml:space="preserve">3）存储容量：2TB </w:t>
            </w:r>
          </w:p>
          <w:p w14:paraId="6EE09E3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4）内存：不小于2G</w:t>
            </w:r>
          </w:p>
          <w:p w14:paraId="3B7D12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5）支持流媒体转发，单台支持不少于200点转发直播。</w:t>
            </w:r>
          </w:p>
          <w:p w14:paraId="5D269B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6）服务器与视频资源管理平台为同一品牌。</w:t>
            </w:r>
          </w:p>
        </w:tc>
      </w:tr>
      <w:tr w14:paraId="3FA28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42552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24</w:t>
            </w:r>
          </w:p>
        </w:tc>
        <w:tc>
          <w:tcPr>
            <w:tcW w:w="1289" w:type="dxa"/>
            <w:shd w:val="clear" w:color="auto" w:fill="FFFFFF"/>
            <w:vAlign w:val="center"/>
          </w:tcPr>
          <w:p w14:paraId="6CB72E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视频资源管理平台</w:t>
            </w:r>
          </w:p>
        </w:tc>
        <w:tc>
          <w:tcPr>
            <w:tcW w:w="7206" w:type="dxa"/>
            <w:vAlign w:val="center"/>
          </w:tcPr>
          <w:p w14:paraId="22F5788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（1）资源管理模块</w:t>
            </w:r>
          </w:p>
          <w:p w14:paraId="23D282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1)资源管理应用平台可任意对接所有录播教室，实现录播资源自动发布及录播教室直播收看。</w:t>
            </w:r>
          </w:p>
          <w:p w14:paraId="117FFD8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2)平台支持用户远程在线预约录播教室，可实现单个或批量预约；可直接导入课表实现预约；支持预约信息的申请和审核管理。</w:t>
            </w:r>
          </w:p>
          <w:p w14:paraId="096D998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3)平台支持视频资源多维度分类查看，如按出版社、年级、学科等分类管理，并根据关注度、用户推荐度和点击热度的不同在页面显眼处自动生成相应的列表。</w:t>
            </w:r>
          </w:p>
          <w:p w14:paraId="288F11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4)用户可灵活创建各种视频专辑收藏及管理视频资源。</w:t>
            </w:r>
          </w:p>
          <w:p w14:paraId="3654F1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5)支持视频下载、上传、编辑、管理。可实现所有主流视频文件格式自动转码，可设置下载及观看权限。</w:t>
            </w:r>
          </w:p>
          <w:p w14:paraId="5C9CC3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（2）直播点播模块</w:t>
            </w:r>
          </w:p>
          <w:p w14:paraId="20802A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1)用户在点播视频或者观看课堂直播</w:t>
            </w:r>
          </w:p>
          <w:p w14:paraId="45641D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2)支持直播权限及密码设置，让直播信息更加安全。</w:t>
            </w:r>
          </w:p>
          <w:p w14:paraId="450D5F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（3）微课模块</w:t>
            </w:r>
          </w:p>
          <w:p w14:paraId="730FAB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1)支持自定义微课时长限制，在规定时长内的视频上传平台后自动归类到微课广场当中。</w:t>
            </w:r>
          </w:p>
          <w:p w14:paraId="664A5E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2)微课视频支持按学段、学科进行归类查询。</w:t>
            </w:r>
          </w:p>
          <w:p w14:paraId="78188EB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3)微课广场中的微课视频支持归类管理，支持按点击热度、最新更新置顶归类。支持视频点播与评论。</w:t>
            </w:r>
          </w:p>
        </w:tc>
      </w:tr>
      <w:tr w14:paraId="5DDC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9501F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25</w:t>
            </w:r>
          </w:p>
        </w:tc>
        <w:tc>
          <w:tcPr>
            <w:tcW w:w="1289" w:type="dxa"/>
            <w:shd w:val="clear" w:color="auto" w:fill="FFFFFF"/>
            <w:vAlign w:val="center"/>
          </w:tcPr>
          <w:p w14:paraId="47C04B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AI数据处理软件</w:t>
            </w:r>
          </w:p>
        </w:tc>
        <w:tc>
          <w:tcPr>
            <w:tcW w:w="7206" w:type="dxa"/>
            <w:vAlign w:val="center"/>
          </w:tcPr>
          <w:p w14:paraId="620FA66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1.处理能力：最大支持接入20台录播终端，支持多路视频并发分析，分析效率不低于40个标准课堂视频/天；</w:t>
            </w:r>
          </w:p>
          <w:p w14:paraId="09793F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2.接入认证：支持录播主机的接入认证，认证过的录播主机方能导入视音频文件数据进行分析；</w:t>
            </w:r>
          </w:p>
          <w:p w14:paraId="26888EE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3.数据导入：支持基于网络方式获取视音频数据，平台排课预约后即可下发指令，通过网络下发视音频文件至分析主机进行导入分析，无需额外导入操作；</w:t>
            </w:r>
          </w:p>
          <w:p w14:paraId="4153E7F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4.分析数据模式：支持自动获取平台排课预约推送视频与手动导入视频分析的两种方式；</w:t>
            </w:r>
          </w:p>
          <w:p w14:paraId="3345423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5.排队机制：支持分析任务排队机制，任务超过并发量自动进行排队等待，逐一进行分析；</w:t>
            </w:r>
          </w:p>
        </w:tc>
      </w:tr>
      <w:tr w14:paraId="452554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A18FE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26</w:t>
            </w:r>
          </w:p>
        </w:tc>
        <w:tc>
          <w:tcPr>
            <w:tcW w:w="1289" w:type="dxa"/>
            <w:shd w:val="clear" w:color="auto" w:fill="FFFFFF"/>
            <w:vAlign w:val="center"/>
          </w:tcPr>
          <w:p w14:paraId="1439DE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智能课堂行为分析软件</w:t>
            </w:r>
          </w:p>
        </w:tc>
        <w:tc>
          <w:tcPr>
            <w:tcW w:w="7206" w:type="dxa"/>
            <w:vAlign w:val="center"/>
          </w:tcPr>
          <w:p w14:paraId="2AE821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一、整体要求</w:t>
            </w:r>
          </w:p>
          <w:p w14:paraId="09CFDFE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1.兼容对接：配套AI视频分析终端，实现视频数据分析；同时支持与视频资源管理平台无缝对接，可将数据通过平台进行分析结果数据展示。</w:t>
            </w:r>
          </w:p>
          <w:p w14:paraId="47B196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2.多维分析：支持多维度课堂分析数据，包括“课堂类型”、“RT-CH互动指数”、“教师轨迹”、“课堂关词”等维度数据。</w:t>
            </w:r>
          </w:p>
          <w:p w14:paraId="5FC936E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3.课堂质量报告：软件通过分析结果对每个课堂视频自动形成“课堂质量报告”，包含对课堂教情数据（包括教师提问、语速、关键词、轨迹、S-T分析、互动指数、RT-CH等）等数据的多维度分析结果。</w:t>
            </w:r>
          </w:p>
          <w:p w14:paraId="259568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二、课堂教情分析要求</w:t>
            </w:r>
          </w:p>
          <w:p w14:paraId="0545C5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1.教学行为分析：支持“教师讲授”、“指导学生”、“学生展示汇报”、“教师板书”、“师生互动”、“学生讨论”、“生生互动”、“课件展示”和“教学资源展示”多种维度的教学行为识别。</w:t>
            </w:r>
          </w:p>
          <w:p w14:paraId="19ED54F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2.展示模型：支持以秒为颗粒度对各种类型的教学行为进行基于AI功能的全自动伴随式分析，以课堂时间为轴线形成课堂教学评估数据，并以图表形式直观展示课堂每个时刻的行为类型和持续时长。</w:t>
            </w:r>
          </w:p>
          <w:p w14:paraId="14787F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3.互动指数：支持生成师生互动指数热力图，通过互动指数展示一节课堂种师生互动情况。</w:t>
            </w:r>
          </w:p>
          <w:p w14:paraId="1EE222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4.支持弗兰德斯教学行为分析法（S-T）：要求支持根据图像识别全自动跟踪数据生成S-T曲线图，帮助用户进行教学技能提升和评估。</w:t>
            </w:r>
          </w:p>
          <w:p w14:paraId="70F8E0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5.RT-CH教学模型：引入RT-CH教学分析模型，系统自动生成矩阵图，并判定授课类型属于对话型、练习型、混合型、讲授型。</w:t>
            </w:r>
          </w:p>
          <w:p w14:paraId="77A08F1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6.教师轨迹分析：支持统计整个课节时间内授课教师的授课行动轨迹并形成教师轨迹热力分布图，要求轨迹图以教室横纵坐标形式直观呈现教师授课过程中的授课位置数据。</w:t>
            </w:r>
          </w:p>
          <w:p w14:paraId="155C3C6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7.教师巡视分析：要求支持教师巡视情况统计并形成教师巡视分析图，分析数据应包括教师课堂巡视次数、时长、巡视区域时长占比等数据。</w:t>
            </w:r>
          </w:p>
        </w:tc>
      </w:tr>
      <w:tr w14:paraId="4FDC7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860AD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27</w:t>
            </w:r>
          </w:p>
        </w:tc>
        <w:tc>
          <w:tcPr>
            <w:tcW w:w="1289" w:type="dxa"/>
            <w:shd w:val="clear" w:color="auto" w:fill="FFFFFF"/>
            <w:vAlign w:val="center"/>
          </w:tcPr>
          <w:p w14:paraId="0B4536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智能语音分析软件</w:t>
            </w:r>
          </w:p>
        </w:tc>
        <w:tc>
          <w:tcPr>
            <w:tcW w:w="7206" w:type="dxa"/>
            <w:vAlign w:val="center"/>
          </w:tcPr>
          <w:p w14:paraId="632C71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1.教师提问情况分析：支持基于课堂语音识别能力进行教师课堂提问行为分析，从提问次数与高频时间段两个核心维度进行数据统计，实现课堂提问情况的清晰回顾。</w:t>
            </w:r>
          </w:p>
          <w:p w14:paraId="7F521EE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2.教师语速分析：支持通过语音识别能力进行教师课堂授课语速分析，呈现数据需包括教师课堂说话词数以及平均语速。</w:t>
            </w:r>
          </w:p>
          <w:p w14:paraId="3F6EAA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3.课堂语音转写：要求基于语音语义识别完成课堂音频的文字转换，实现课堂教学过程语音全纪录，要求平台上可输出整节课的文字字幕。实现字幕与视频进度关联，通过点击字幕同步播放对应进度的视频。</w:t>
            </w:r>
          </w:p>
        </w:tc>
      </w:tr>
      <w:tr w14:paraId="6E3C68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3BFCBF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color w:val="000000"/>
                <w:kern w:val="0"/>
                <w:sz w:val="21"/>
                <w:szCs w:val="21"/>
                <w:lang w:bidi="ar"/>
              </w:rPr>
              <w:t>六（2）</w:t>
            </w:r>
          </w:p>
        </w:tc>
        <w:tc>
          <w:tcPr>
            <w:tcW w:w="8495" w:type="dxa"/>
            <w:gridSpan w:val="2"/>
            <w:shd w:val="clear" w:color="auto" w:fill="FFFFFF"/>
            <w:vAlign w:val="center"/>
          </w:tcPr>
          <w:p w14:paraId="156A0E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移动录播系统</w:t>
            </w:r>
          </w:p>
        </w:tc>
      </w:tr>
      <w:tr w14:paraId="59139C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60C74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C3FC85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便携交互式录播主机</w:t>
            </w:r>
          </w:p>
        </w:tc>
        <w:tc>
          <w:tcPr>
            <w:tcW w:w="7206" w:type="dxa"/>
            <w:vAlign w:val="center"/>
          </w:tcPr>
          <w:p w14:paraId="6088A7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便携式移动录播主机采用笔记本翻盖式设计。主机与导播显示屏一体化设计，具备15寸以上1080P高清液晶屏，主机内嵌导播键盘进行导播操作。</w:t>
            </w:r>
          </w:p>
          <w:p w14:paraId="61188FC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导播键盘支持录制、停止、摄像机控制、预置位调用、画面切换、专场特技等功能按键，提供导播摇杆便于摄像机的云台控制操作。</w:t>
            </w:r>
          </w:p>
          <w:p w14:paraId="760F100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考虑设备稳定性，要求采用嵌入式ARM架构设计，高度集成多种功能应用，包括管理、导播、录制、直播、点播、交互等功能。</w:t>
            </w:r>
          </w:p>
          <w:p w14:paraId="41B8D16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内置音频处理功能。支持对音频输入输出通道进行音量调节，支持对音频输出通道进行静音设置。</w:t>
            </w:r>
          </w:p>
          <w:p w14:paraId="22ADAF8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支持6路1080P高清视频输入，包括4路高清摄像机信号、1路HDMI信号。</w:t>
            </w:r>
          </w:p>
          <w:p w14:paraId="2D74629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 xml:space="preserve">至少支持1路HDMI输出接口，支持录制效果画面输出。  </w:t>
            </w:r>
          </w:p>
          <w:p w14:paraId="38CE3D8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采用AAC音频编码技术，支持音频输入，支持DC48V幻象供电；支持1路Line out、1路耳机监听输出。</w:t>
            </w:r>
          </w:p>
          <w:p w14:paraId="6908E52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采用标准H.264或H.265视频编码技术，便携式录播主机应支持电影模式和资源模式同步录制。支持网络多流和本地SDI多流两种录制模式。</w:t>
            </w:r>
          </w:p>
          <w:p w14:paraId="179009F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内置至少</w:t>
            </w:r>
            <w:r>
              <w:rPr>
                <w:rFonts w:hint="eastAsia" w:ascii="宋体" w:hAnsi="宋体" w:eastAsia="宋体" w:cs="宋体"/>
                <w:kern w:val="0"/>
                <w:sz w:val="21"/>
                <w:szCs w:val="21"/>
                <w:lang w:val="en-US" w:eastAsia="zh-CN"/>
              </w:rPr>
              <w:t>500G</w:t>
            </w:r>
            <w:r>
              <w:rPr>
                <w:rFonts w:hint="eastAsia" w:ascii="宋体" w:hAnsi="宋体" w:eastAsia="宋体" w:cs="宋体"/>
                <w:kern w:val="0"/>
                <w:sz w:val="21"/>
                <w:szCs w:val="21"/>
              </w:rPr>
              <w:t>存储硬盘，支持多种视频封装格式，包括MP4、AVI、WMV。</w:t>
            </w:r>
          </w:p>
          <w:p w14:paraId="4EF91B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支持</w:t>
            </w:r>
            <w:r>
              <w:rPr>
                <w:rFonts w:hint="eastAsia" w:ascii="宋体" w:hAnsi="宋体" w:eastAsia="宋体" w:cs="宋体"/>
                <w:kern w:val="0"/>
                <w:sz w:val="21"/>
                <w:szCs w:val="21"/>
                <w:lang w:val="en-US" w:eastAsia="zh-CN"/>
              </w:rPr>
              <w:t>2</w:t>
            </w:r>
            <w:r>
              <w:rPr>
                <w:rFonts w:hint="eastAsia" w:ascii="宋体" w:hAnsi="宋体" w:eastAsia="宋体" w:cs="宋体"/>
                <w:kern w:val="0"/>
                <w:sz w:val="21"/>
                <w:szCs w:val="21"/>
              </w:rPr>
              <w:t xml:space="preserve">个USB接口，支持U盘/移动硬盘同步录制、视频拷贝。 </w:t>
            </w:r>
          </w:p>
          <w:p w14:paraId="6B7862B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11.</w:t>
            </w:r>
            <w:r>
              <w:rPr>
                <w:rFonts w:hint="eastAsia" w:ascii="宋体" w:hAnsi="宋体" w:eastAsia="宋体" w:cs="宋体"/>
                <w:kern w:val="0"/>
                <w:sz w:val="21"/>
                <w:szCs w:val="21"/>
              </w:rPr>
              <w:t>便携式录播主机与摄像机之间支持通过无线信号进行视频传输，视频质量达到1080P高清画质。可通过无线信号实现便携式录播主机对摄像机的云台控制、调焦和预置位的设置与调用功能。</w:t>
            </w:r>
          </w:p>
        </w:tc>
      </w:tr>
      <w:tr w14:paraId="694FB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6FA12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08650F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录播管理软件</w:t>
            </w:r>
          </w:p>
        </w:tc>
        <w:tc>
          <w:tcPr>
            <w:tcW w:w="7206" w:type="dxa"/>
            <w:vAlign w:val="center"/>
          </w:tcPr>
          <w:p w14:paraId="4AD9DC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一.整体要求</w:t>
            </w:r>
          </w:p>
          <w:p w14:paraId="4B35525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出于录播主机嵌入式设计特性，要求配套的录播管理软件在出厂时内嵌于高清录播主机中。</w:t>
            </w:r>
          </w:p>
          <w:p w14:paraId="46E7C9F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软件架构：要求软件采用B/S架构，使用主流浏览器通过网络即可访问软件后台进行管理。</w:t>
            </w:r>
          </w:p>
          <w:p w14:paraId="5D81772F">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二.录制模块</w:t>
            </w:r>
          </w:p>
          <w:p w14:paraId="77BC1CA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录制存储：要求在断网情况下也可以进行视频录制，并将录制文件保存在录播主机的内置硬盘中。并要求支持1080P高清分辨率录制，采用MP4视频格式封装。</w:t>
            </w:r>
          </w:p>
          <w:p w14:paraId="469FAD6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录制模式：支持电影模式、资源模式等录制模式。电影模式下实现多路信号的复合成一路画面进行录制；资源模式下要求摄像机画面、电脑画面均可独立录制封装。</w:t>
            </w:r>
          </w:p>
          <w:p w14:paraId="3ECC6147">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高低码流录制：要求支持高低双码流同步录制，并要求支持自定义录制分辨率、码流。</w:t>
            </w:r>
          </w:p>
          <w:p w14:paraId="56ACB77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分段录制：要求支持长视频分段录制的功能，可自定义视频文件分段时长，当录制课程时间较长时，可在不结束录制的条件下自动按分段时长将课程视频文件分割录制成多个视频文件，提供不分段、30分钟分段、60分钟分段三种方式可选。</w:t>
            </w:r>
          </w:p>
          <w:p w14:paraId="6865A15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云台控制：支持摄像机云台控制技术，实现对接入摄像机的画面进行云台控制，包括画面上下左右移动、放大缩小变焦等操作。云台控制功能应具有鼠标快速定位功能，通过鼠标点击快速居中画面区域。</w:t>
            </w:r>
          </w:p>
          <w:p w14:paraId="107BFC7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音频处理：要求内置音频处理模块，支持EQ均衡调节、回声抑制、增益调节及音频采样率和比特率设置。</w:t>
            </w:r>
          </w:p>
          <w:p w14:paraId="4F81C5E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9.</w:t>
            </w:r>
            <w:r>
              <w:rPr>
                <w:rFonts w:hint="eastAsia" w:ascii="宋体" w:hAnsi="宋体" w:eastAsia="宋体" w:cs="宋体"/>
                <w:kern w:val="0"/>
                <w:sz w:val="21"/>
                <w:szCs w:val="21"/>
              </w:rPr>
              <w:t>录制控制：支持录制、暂停、停止等基本功能操作，实现全自动、手动两种录制模式，支持录制过程中实时切换录制模式。</w:t>
            </w:r>
          </w:p>
          <w:p w14:paraId="3D36B61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三.导播模块</w:t>
            </w:r>
          </w:p>
          <w:p w14:paraId="027B9B7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10.</w:t>
            </w:r>
            <w:r>
              <w:rPr>
                <w:rFonts w:hint="eastAsia" w:ascii="宋体" w:hAnsi="宋体" w:eastAsia="宋体" w:cs="宋体"/>
                <w:kern w:val="0"/>
                <w:sz w:val="21"/>
                <w:szCs w:val="21"/>
              </w:rPr>
              <w:t>导播方式：要求软件支持通过配套液晶屏触控的方式进行本地导播，保证导播具有较好的实时性和流畅性。</w:t>
            </w:r>
          </w:p>
          <w:p w14:paraId="635707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11.</w:t>
            </w:r>
            <w:r>
              <w:rPr>
                <w:rFonts w:hint="eastAsia" w:ascii="宋体" w:hAnsi="宋体" w:eastAsia="宋体" w:cs="宋体"/>
                <w:kern w:val="0"/>
                <w:sz w:val="21"/>
                <w:szCs w:val="21"/>
              </w:rPr>
              <w:t>导播功能：支持布局切换、转场特效、字幕、LOGO、摄像机控制等基本导播功能。</w:t>
            </w:r>
          </w:p>
          <w:p w14:paraId="6EAD9B9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12.</w:t>
            </w:r>
            <w:r>
              <w:rPr>
                <w:rFonts w:hint="eastAsia" w:ascii="宋体" w:hAnsi="宋体" w:eastAsia="宋体" w:cs="宋体"/>
                <w:kern w:val="0"/>
                <w:sz w:val="21"/>
                <w:szCs w:val="21"/>
              </w:rPr>
              <w:t>导播预览：要求导播界面可实现接入画面的导播预览，预览画面需包括至少3个摄像机拍摄画面与1个电脑信号画面等。并支持点击预览画面可自由切换录制画面进行录制。</w:t>
            </w:r>
          </w:p>
          <w:p w14:paraId="53FA830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13.</w:t>
            </w:r>
            <w:r>
              <w:rPr>
                <w:rFonts w:hint="eastAsia" w:ascii="宋体" w:hAnsi="宋体" w:eastAsia="宋体" w:cs="宋体"/>
                <w:kern w:val="0"/>
                <w:sz w:val="21"/>
                <w:szCs w:val="21"/>
              </w:rPr>
              <w:t>画面布局：提供双分屏、三分屏、画中画等录制布局，并支持自定义布局方式，支持多个视频图层自由叠加组合。</w:t>
            </w:r>
          </w:p>
          <w:p w14:paraId="67496A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14.</w:t>
            </w:r>
            <w:r>
              <w:rPr>
                <w:rFonts w:hint="eastAsia" w:ascii="宋体" w:hAnsi="宋体" w:eastAsia="宋体" w:cs="宋体"/>
                <w:kern w:val="0"/>
                <w:sz w:val="21"/>
                <w:szCs w:val="21"/>
              </w:rPr>
              <w:t>摄像机预置位：要求支持摄像机云台预制位设置，导播过程中可便捷调取摄像机预设位置的画面。</w:t>
            </w:r>
          </w:p>
          <w:p w14:paraId="79443D2D">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15.</w:t>
            </w:r>
            <w:r>
              <w:rPr>
                <w:rFonts w:hint="eastAsia" w:ascii="宋体" w:hAnsi="宋体" w:eastAsia="宋体" w:cs="宋体"/>
                <w:kern w:val="0"/>
                <w:sz w:val="21"/>
                <w:szCs w:val="21"/>
              </w:rPr>
              <w:t>字幕台标：要求录制模式下支持Logo台标、字幕设置，可自主上传Logo图标、编辑字幕内容。</w:t>
            </w:r>
          </w:p>
          <w:p w14:paraId="3191CA3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16.</w:t>
            </w:r>
            <w:r>
              <w:rPr>
                <w:rFonts w:hint="eastAsia" w:ascii="宋体" w:hAnsi="宋体" w:eastAsia="宋体" w:cs="宋体"/>
                <w:kern w:val="0"/>
                <w:sz w:val="21"/>
                <w:szCs w:val="21"/>
              </w:rPr>
              <w:t>音量控制：要求可音量控制，调整相关输入输出音量大小。</w:t>
            </w:r>
          </w:p>
          <w:p w14:paraId="22B945F0">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四.直播模块</w:t>
            </w:r>
          </w:p>
          <w:p w14:paraId="759A20F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17.</w:t>
            </w:r>
            <w:r>
              <w:rPr>
                <w:rFonts w:hint="eastAsia" w:ascii="宋体" w:hAnsi="宋体" w:eastAsia="宋体" w:cs="宋体"/>
                <w:kern w:val="0"/>
                <w:sz w:val="21"/>
                <w:szCs w:val="21"/>
              </w:rPr>
              <w:t>多流直播：要求支持RTMP和RTSP视频传输协议，要求支持不少于3路RTMP同步推流直播，并要求可从接入的摄像机信号和电脑信号中选择每路推流信号源进行推流，实现多流直播。</w:t>
            </w:r>
          </w:p>
          <w:p w14:paraId="6FCCDE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18.</w:t>
            </w:r>
            <w:r>
              <w:rPr>
                <w:rFonts w:hint="eastAsia" w:ascii="宋体" w:hAnsi="宋体" w:eastAsia="宋体" w:cs="宋体"/>
                <w:kern w:val="0"/>
                <w:sz w:val="21"/>
                <w:szCs w:val="21"/>
              </w:rPr>
              <w:t>直播码流：支持自定义直播分辨率和码率，最高支持1080P@30fps，以适应不同网络环境下保持直播的流畅性。</w:t>
            </w:r>
          </w:p>
          <w:p w14:paraId="0363A8D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19.</w:t>
            </w:r>
            <w:r>
              <w:rPr>
                <w:rFonts w:hint="eastAsia" w:ascii="宋体" w:hAnsi="宋体" w:eastAsia="宋体" w:cs="宋体"/>
                <w:kern w:val="0"/>
                <w:sz w:val="21"/>
                <w:szCs w:val="21"/>
              </w:rPr>
              <w:t>双码流直播：支持设置高、低双码流直播设置，配置不同分辨率、码流进行直播。</w:t>
            </w:r>
          </w:p>
          <w:p w14:paraId="03D265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五.互动模块</w:t>
            </w:r>
          </w:p>
          <w:p w14:paraId="1B8E26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20.</w:t>
            </w:r>
            <w:r>
              <w:rPr>
                <w:rFonts w:hint="eastAsia" w:ascii="宋体" w:hAnsi="宋体" w:eastAsia="宋体" w:cs="宋体"/>
                <w:kern w:val="0"/>
                <w:sz w:val="21"/>
                <w:szCs w:val="21"/>
              </w:rPr>
              <w:t xml:space="preserve">互动协议：支持SIP标准视音频互动协议，便捷进行远程互动教学、会议应用。 </w:t>
            </w:r>
          </w:p>
          <w:p w14:paraId="07A28C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21.</w:t>
            </w:r>
            <w:r>
              <w:rPr>
                <w:rFonts w:hint="eastAsia" w:ascii="宋体" w:hAnsi="宋体" w:eastAsia="宋体" w:cs="宋体"/>
                <w:kern w:val="0"/>
                <w:sz w:val="21"/>
                <w:szCs w:val="21"/>
              </w:rPr>
              <w:t>双流互动：要求支持双流互动功能，在互动通讯过程中，支持教学场景信号与电脑课件信号以互相独立的信号进行传输，并最终接收端设备可通过两路HDMI接口将接收到的教学场景画面与电脑课件画面同时分别环出到两个显示设备上。</w:t>
            </w:r>
          </w:p>
        </w:tc>
      </w:tr>
      <w:tr w14:paraId="37589F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B4B8A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48F53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高清摄像机</w:t>
            </w:r>
          </w:p>
        </w:tc>
        <w:tc>
          <w:tcPr>
            <w:tcW w:w="7206" w:type="dxa"/>
            <w:vAlign w:val="center"/>
          </w:tcPr>
          <w:p w14:paraId="6994655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eastAsia" w:ascii="宋体" w:hAnsi="宋体" w:eastAsia="宋体" w:cs="宋体"/>
                <w:kern w:val="0"/>
                <w:sz w:val="21"/>
                <w:szCs w:val="21"/>
              </w:rPr>
              <w:t>硬件参数：</w:t>
            </w:r>
          </w:p>
          <w:p w14:paraId="4EB317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 xml:space="preserve"> 一体化高清摄像机有效像素达到2百万（16：9）</w:t>
            </w:r>
          </w:p>
          <w:p w14:paraId="5288BE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 xml:space="preserve">针对不同应用需求，支持1080p/60，1080p/50,1080p/30,1080i/60,720p/60，1080p/25,1080i/50,720p/50多格式信号；                                        </w:t>
            </w:r>
          </w:p>
          <w:p w14:paraId="40FF7D7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信噪比 ≥55dB</w:t>
            </w:r>
          </w:p>
          <w:p w14:paraId="21AAFE4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水平转动范围：±170°。俯仰转动范围：－30°～＋120°。20) ,支持水平、垂直翻转。</w:t>
            </w:r>
          </w:p>
          <w:p w14:paraId="44DA73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水平分辨率：850电视线以上；</w:t>
            </w:r>
          </w:p>
          <w:p w14:paraId="62F8525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PAL/NTSC双制式输出，可配合所有接收设备。</w:t>
            </w:r>
          </w:p>
          <w:p w14:paraId="3BB9EFF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7.</w:t>
            </w:r>
            <w:r>
              <w:rPr>
                <w:rFonts w:hint="eastAsia" w:ascii="宋体" w:hAnsi="宋体" w:eastAsia="宋体" w:cs="宋体"/>
                <w:kern w:val="0"/>
                <w:sz w:val="21"/>
                <w:szCs w:val="21"/>
              </w:rPr>
              <w:t>预置位数量 255</w:t>
            </w:r>
          </w:p>
          <w:p w14:paraId="55F4A89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8.</w:t>
            </w:r>
            <w:r>
              <w:rPr>
                <w:rFonts w:hint="eastAsia" w:ascii="宋体" w:hAnsi="宋体" w:eastAsia="宋体" w:cs="宋体"/>
                <w:kern w:val="0"/>
                <w:sz w:val="21"/>
                <w:szCs w:val="21"/>
              </w:rPr>
              <w:t xml:space="preserve">视频输出接口：HDMI、RJ45信号；                                         </w:t>
            </w:r>
          </w:p>
          <w:p w14:paraId="45F7B64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9.</w:t>
            </w:r>
            <w:r>
              <w:rPr>
                <w:rFonts w:hint="eastAsia" w:ascii="宋体" w:hAnsi="宋体" w:eastAsia="宋体" w:cs="宋体"/>
                <w:kern w:val="0"/>
                <w:sz w:val="21"/>
                <w:szCs w:val="21"/>
              </w:rPr>
              <w:t xml:space="preserve">音频接口：Line In,3.5mm；                                                              </w:t>
            </w:r>
          </w:p>
        </w:tc>
      </w:tr>
      <w:tr w14:paraId="205588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93B41D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52FFBA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摄像机三脚架</w:t>
            </w:r>
          </w:p>
        </w:tc>
        <w:tc>
          <w:tcPr>
            <w:tcW w:w="7206" w:type="dxa"/>
            <w:vAlign w:val="center"/>
          </w:tcPr>
          <w:p w14:paraId="4F0F0993">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最高高度：157 cm；节数：4 节；最低高度：74 cm；材质：铝合金；承重：5KG；闭合长度：30 cm；云台球碗：75 MM；用途类型：DV系列。</w:t>
            </w:r>
          </w:p>
        </w:tc>
      </w:tr>
      <w:tr w14:paraId="1A0215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F9EA3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23C21D9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数字无线音频套装</w:t>
            </w:r>
          </w:p>
        </w:tc>
        <w:tc>
          <w:tcPr>
            <w:tcW w:w="7206" w:type="dxa"/>
            <w:vAlign w:val="center"/>
          </w:tcPr>
          <w:p w14:paraId="78EEDBA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频率响应40Hz-16kHz</w:t>
            </w:r>
          </w:p>
          <w:p w14:paraId="54455D34">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灵敏度-29±3dB</w:t>
            </w:r>
          </w:p>
          <w:p w14:paraId="09E3BC76">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最大声压级130dB（T.H.D≤1% at 1kHz）</w:t>
            </w:r>
          </w:p>
          <w:p w14:paraId="5A8E413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信噪比70dB（1kHz at 1Pa）</w:t>
            </w:r>
          </w:p>
        </w:tc>
      </w:tr>
      <w:tr w14:paraId="45EB7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FA38B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039C29B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双频无线网卡</w:t>
            </w:r>
          </w:p>
        </w:tc>
        <w:tc>
          <w:tcPr>
            <w:tcW w:w="7206" w:type="dxa"/>
            <w:vAlign w:val="center"/>
          </w:tcPr>
          <w:p w14:paraId="4ACF564B">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传输方式：无线</w:t>
            </w:r>
          </w:p>
          <w:p w14:paraId="0C33A7C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接口：USB</w:t>
            </w:r>
          </w:p>
          <w:p w14:paraId="1AA6462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无线传输速率：不小于300Mbps</w:t>
            </w:r>
          </w:p>
        </w:tc>
      </w:tr>
      <w:tr w14:paraId="35E880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C2F173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19CDB85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移动电源</w:t>
            </w:r>
          </w:p>
        </w:tc>
        <w:tc>
          <w:tcPr>
            <w:tcW w:w="7206" w:type="dxa"/>
            <w:vAlign w:val="center"/>
          </w:tcPr>
          <w:p w14:paraId="1649AFA2">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1.</w:t>
            </w:r>
            <w:r>
              <w:rPr>
                <w:rFonts w:hint="eastAsia" w:ascii="宋体" w:hAnsi="宋体" w:eastAsia="宋体" w:cs="宋体"/>
                <w:kern w:val="0"/>
                <w:sz w:val="21"/>
                <w:szCs w:val="21"/>
              </w:rPr>
              <w:t>容量（mAh）：32000</w:t>
            </w:r>
          </w:p>
          <w:p w14:paraId="59F8DF7E">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2.</w:t>
            </w:r>
            <w:r>
              <w:rPr>
                <w:rFonts w:hint="eastAsia" w:ascii="宋体" w:hAnsi="宋体" w:eastAsia="宋体" w:cs="宋体"/>
                <w:kern w:val="0"/>
                <w:sz w:val="21"/>
                <w:szCs w:val="21"/>
              </w:rPr>
              <w:t>电芯类型：锂聚合物电池</w:t>
            </w:r>
          </w:p>
          <w:p w14:paraId="796069E8">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3.</w:t>
            </w:r>
            <w:r>
              <w:rPr>
                <w:rFonts w:hint="eastAsia" w:ascii="宋体" w:hAnsi="宋体" w:eastAsia="宋体" w:cs="宋体"/>
                <w:kern w:val="0"/>
                <w:sz w:val="21"/>
                <w:szCs w:val="21"/>
              </w:rPr>
              <w:t>输入电压：20V (max)</w:t>
            </w:r>
          </w:p>
          <w:p w14:paraId="47A39BD5">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4.</w:t>
            </w:r>
            <w:r>
              <w:rPr>
                <w:rFonts w:hint="eastAsia" w:ascii="宋体" w:hAnsi="宋体" w:eastAsia="宋体" w:cs="宋体"/>
                <w:kern w:val="0"/>
                <w:sz w:val="21"/>
                <w:szCs w:val="21"/>
              </w:rPr>
              <w:t>输出电压：20V (max)</w:t>
            </w:r>
          </w:p>
          <w:p w14:paraId="7F86AC09">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5.</w:t>
            </w:r>
            <w:r>
              <w:rPr>
                <w:rFonts w:hint="eastAsia" w:ascii="宋体" w:hAnsi="宋体" w:eastAsia="宋体" w:cs="宋体"/>
                <w:kern w:val="0"/>
                <w:sz w:val="21"/>
                <w:szCs w:val="21"/>
              </w:rPr>
              <w:t>输出电流：DC15-24V 2A</w:t>
            </w:r>
          </w:p>
          <w:p w14:paraId="2555431C">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kern w:val="0"/>
                <w:sz w:val="21"/>
                <w:szCs w:val="21"/>
                <w:lang w:eastAsia="zh-CN"/>
              </w:rPr>
            </w:pPr>
            <w:r>
              <w:rPr>
                <w:rFonts w:hint="default" w:ascii="宋体" w:hAnsi="宋体" w:eastAsia="宋体" w:cs="宋体"/>
                <w:kern w:val="0"/>
                <w:sz w:val="21"/>
                <w:szCs w:val="21"/>
                <w:lang w:val="en-US" w:eastAsia="zh-CN" w:bidi="ar-SA"/>
              </w:rPr>
              <w:t>6.</w:t>
            </w:r>
            <w:r>
              <w:rPr>
                <w:rFonts w:hint="eastAsia" w:ascii="宋体" w:hAnsi="宋体" w:eastAsia="宋体" w:cs="宋体"/>
                <w:kern w:val="0"/>
                <w:sz w:val="21"/>
                <w:szCs w:val="21"/>
              </w:rPr>
              <w:t>输入电流：DC15-24V 2A</w:t>
            </w:r>
          </w:p>
          <w:p w14:paraId="2042C30A">
            <w:pPr>
              <w:keepNext w:val="0"/>
              <w:keepLines w:val="0"/>
              <w:pageBreakBefore w:val="0"/>
              <w:widowControl/>
              <w:numPr>
                <w:ilvl w:val="0"/>
                <w:numId w:val="0"/>
              </w:numPr>
              <w:kinsoku/>
              <w:wordWrap/>
              <w:overflowPunct/>
              <w:topLinePunct w:val="0"/>
              <w:autoSpaceDE/>
              <w:autoSpaceDN/>
              <w:bidi w:val="0"/>
              <w:adjustRightInd w:val="0"/>
              <w:snapToGrid w:val="0"/>
              <w:spacing w:line="300" w:lineRule="atLeast"/>
              <w:ind w:left="0" w:leftChars="0" w:firstLine="0" w:firstLineChars="0"/>
              <w:jc w:val="left"/>
              <w:textAlignment w:val="top"/>
              <w:rPr>
                <w:rFonts w:hint="eastAsia" w:ascii="宋体" w:hAnsi="宋体" w:eastAsia="宋体" w:cs="宋体"/>
                <w:color w:val="000000"/>
                <w:kern w:val="0"/>
                <w:sz w:val="21"/>
                <w:szCs w:val="21"/>
                <w:lang w:bidi="ar"/>
              </w:rPr>
            </w:pPr>
            <w:r>
              <w:rPr>
                <w:rFonts w:hint="default" w:ascii="宋体" w:hAnsi="宋体" w:eastAsia="宋体" w:cs="宋体"/>
                <w:color w:val="000000"/>
                <w:kern w:val="0"/>
                <w:sz w:val="21"/>
                <w:szCs w:val="21"/>
                <w:lang w:val="en-US" w:eastAsia="zh-CN" w:bidi="ar"/>
              </w:rPr>
              <w:t>7.</w:t>
            </w:r>
            <w:r>
              <w:rPr>
                <w:rFonts w:hint="eastAsia" w:ascii="宋体" w:hAnsi="宋体" w:eastAsia="宋体" w:cs="宋体"/>
                <w:kern w:val="0"/>
                <w:sz w:val="21"/>
                <w:szCs w:val="21"/>
              </w:rPr>
              <w:t>电量显示：支持</w:t>
            </w:r>
          </w:p>
        </w:tc>
      </w:tr>
      <w:tr w14:paraId="52C4A0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85E4C9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719B46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航空箱</w:t>
            </w:r>
          </w:p>
        </w:tc>
        <w:tc>
          <w:tcPr>
            <w:tcW w:w="7206" w:type="dxa"/>
            <w:vAlign w:val="center"/>
          </w:tcPr>
          <w:p w14:paraId="2F2C91C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配套</w:t>
            </w:r>
          </w:p>
        </w:tc>
      </w:tr>
      <w:tr w14:paraId="308DFD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4DBD20F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9</w:t>
            </w:r>
          </w:p>
        </w:tc>
        <w:tc>
          <w:tcPr>
            <w:tcW w:w="1289" w:type="dxa"/>
            <w:shd w:val="clear" w:color="auto" w:fill="FFFFFF"/>
            <w:vAlign w:val="center"/>
          </w:tcPr>
          <w:p w14:paraId="145959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云直播流量</w:t>
            </w:r>
          </w:p>
        </w:tc>
        <w:tc>
          <w:tcPr>
            <w:tcW w:w="7206" w:type="dxa"/>
            <w:vAlign w:val="center"/>
          </w:tcPr>
          <w:p w14:paraId="3B44F4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rPr>
              <w:t>1</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云直播平台部署在云端，无需本地部署。系统可通过互联网向云端服务器推送直播信号，并通过云服务器强大的视频分发能力，实现大规模直播应用。</w:t>
            </w:r>
            <w:r>
              <w:rPr>
                <w:rFonts w:hint="eastAsia" w:ascii="宋体" w:hAnsi="宋体" w:eastAsia="宋体" w:cs="宋体"/>
                <w:kern w:val="0"/>
                <w:sz w:val="21"/>
                <w:szCs w:val="21"/>
              </w:rPr>
              <w:br w:type="textWrapping"/>
            </w:r>
            <w:r>
              <w:rPr>
                <w:rFonts w:hint="eastAsia" w:ascii="宋体" w:hAnsi="宋体" w:eastAsia="宋体" w:cs="宋体"/>
                <w:kern w:val="0"/>
                <w:sz w:val="21"/>
                <w:szCs w:val="21"/>
              </w:rPr>
              <w:t>2</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云直播平台为每个直播终端提供独立的直播频道，每个频道支持1万以上的观看并发。</w:t>
            </w:r>
            <w:r>
              <w:rPr>
                <w:rFonts w:hint="eastAsia" w:ascii="宋体" w:hAnsi="宋体" w:eastAsia="宋体" w:cs="宋体"/>
                <w:kern w:val="0"/>
                <w:sz w:val="21"/>
                <w:szCs w:val="21"/>
              </w:rPr>
              <w:br w:type="textWrapping"/>
            </w:r>
            <w:r>
              <w:rPr>
                <w:rFonts w:hint="eastAsia" w:ascii="宋体" w:hAnsi="宋体" w:eastAsia="宋体" w:cs="宋体"/>
                <w:kern w:val="0"/>
                <w:sz w:val="21"/>
                <w:szCs w:val="21"/>
              </w:rPr>
              <w:t>3</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提供直播管理后台，并提供后台管理账号，支持直播审批、活动管理、数据统计、流量监测等功能。</w:t>
            </w:r>
            <w:r>
              <w:rPr>
                <w:rFonts w:hint="eastAsia" w:ascii="宋体" w:hAnsi="宋体" w:eastAsia="宋体" w:cs="宋体"/>
                <w:kern w:val="0"/>
                <w:sz w:val="21"/>
                <w:szCs w:val="21"/>
              </w:rPr>
              <w:br w:type="textWrapping"/>
            </w:r>
            <w:r>
              <w:rPr>
                <w:rFonts w:hint="eastAsia" w:ascii="宋体" w:hAnsi="宋体" w:eastAsia="宋体" w:cs="宋体"/>
                <w:kern w:val="0"/>
                <w:sz w:val="21"/>
                <w:szCs w:val="21"/>
              </w:rPr>
              <w:t>4</w:t>
            </w:r>
            <w:r>
              <w:rPr>
                <w:rFonts w:hint="eastAsia" w:ascii="宋体" w:hAnsi="宋体" w:eastAsia="宋体" w:cs="宋体"/>
                <w:kern w:val="0"/>
                <w:sz w:val="21"/>
                <w:szCs w:val="21"/>
                <w:lang w:val="en-US" w:eastAsia="zh-CN"/>
              </w:rPr>
              <w:t>.</w:t>
            </w:r>
            <w:r>
              <w:rPr>
                <w:rFonts w:hint="eastAsia" w:ascii="宋体" w:hAnsi="宋体" w:eastAsia="宋体" w:cs="宋体"/>
                <w:kern w:val="0"/>
                <w:sz w:val="21"/>
                <w:szCs w:val="21"/>
              </w:rPr>
              <w:t>支持15天直播回放功能。</w:t>
            </w:r>
          </w:p>
        </w:tc>
      </w:tr>
      <w:tr w14:paraId="410349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37D4F7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10</w:t>
            </w:r>
          </w:p>
        </w:tc>
        <w:tc>
          <w:tcPr>
            <w:tcW w:w="1289" w:type="dxa"/>
            <w:shd w:val="clear" w:color="auto" w:fill="FFFFFF"/>
            <w:vAlign w:val="center"/>
          </w:tcPr>
          <w:p w14:paraId="141C00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系统配件及调试</w:t>
            </w:r>
          </w:p>
        </w:tc>
        <w:tc>
          <w:tcPr>
            <w:tcW w:w="7206" w:type="dxa"/>
            <w:vAlign w:val="center"/>
          </w:tcPr>
          <w:p w14:paraId="7E98A82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kern w:val="0"/>
                <w:sz w:val="21"/>
                <w:szCs w:val="21"/>
                <w:lang w:val="en-US" w:eastAsia="zh-CN"/>
              </w:rPr>
              <w:t>配套辅材及线材</w:t>
            </w:r>
            <w:r>
              <w:rPr>
                <w:rFonts w:hint="eastAsia" w:ascii="宋体" w:hAnsi="宋体" w:eastAsia="宋体" w:cs="宋体"/>
                <w:kern w:val="0"/>
                <w:sz w:val="21"/>
                <w:szCs w:val="21"/>
              </w:rPr>
              <w:t>。</w:t>
            </w:r>
          </w:p>
        </w:tc>
      </w:tr>
      <w:bookmarkEnd w:id="20"/>
      <w:tr w14:paraId="0543C2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7DD79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b/>
                <w:bCs/>
                <w:kern w:val="0"/>
                <w:sz w:val="21"/>
                <w:szCs w:val="21"/>
              </w:rPr>
              <w:t>七</w:t>
            </w:r>
          </w:p>
        </w:tc>
        <w:tc>
          <w:tcPr>
            <w:tcW w:w="8495" w:type="dxa"/>
            <w:gridSpan w:val="2"/>
            <w:shd w:val="clear" w:color="auto" w:fill="FFFFFF"/>
            <w:vAlign w:val="center"/>
          </w:tcPr>
          <w:p w14:paraId="0BF0DA0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b/>
                <w:bCs/>
                <w:kern w:val="0"/>
                <w:sz w:val="21"/>
                <w:szCs w:val="21"/>
              </w:rPr>
              <w:t>机房系统</w:t>
            </w:r>
          </w:p>
        </w:tc>
      </w:tr>
      <w:tr w14:paraId="1E6D4D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CBB3D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1</w:t>
            </w:r>
          </w:p>
        </w:tc>
        <w:tc>
          <w:tcPr>
            <w:tcW w:w="1289" w:type="dxa"/>
            <w:shd w:val="clear" w:color="auto" w:fill="FFFFFF"/>
            <w:vAlign w:val="center"/>
          </w:tcPr>
          <w:p w14:paraId="0FAAAD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UPS电源主机</w:t>
            </w:r>
          </w:p>
        </w:tc>
        <w:tc>
          <w:tcPr>
            <w:tcW w:w="7206" w:type="dxa"/>
            <w:vAlign w:val="center"/>
          </w:tcPr>
          <w:p w14:paraId="7E6ABE8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1.三进单出高频UPS，总功率≥15KVA。</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2.UPS系统输入功率因数不小于0.99，输出功率因数不小于0.9。</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3.输入交流电压范围207-475VAC，输入频率40-70Hz,依据电网频率自动选择同步范围。</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4.整机效率＞92%。</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5.输出电压精度220V±1％，输出频率精度50Hz±0.1Hz（电池模式）。</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6.市电模式转电池模式：0毫秒。</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7.直流输入电压192V。</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8.采用智能化电池管理方案，UPS具有定期对电池组进行自动浮充、均充转换及电池组放电记录功能。</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9.要求采用先进三电平整流技术。</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 xml:space="preserve">10.需要采用智能的人机界面，LCD液晶显示器，LCD+LED面板,显示输入电压、频率，输出电压、频率，负载大小，电池可待机时间、当前状态、历史记录、故障告警等UPS运行指标，界面友好，方便客户使用。 </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11.UPS标准配置RS232通信接口，可选配SNMP卡，以实现UPS远程监控功能，可实现遥测：输入电压，直流电压，电池电压，输出电压，输出电流，输出频率，输出负载，工作方式等；遥信：输入电源故障，整流器故障，逆变器故障，旁路故障，过载、电池故障、过温故障等信息。</w:t>
            </w:r>
            <w:r>
              <w:rPr>
                <w:rFonts w:hint="eastAsia" w:ascii="宋体" w:hAnsi="宋体" w:eastAsia="宋体" w:cs="宋体"/>
                <w:color w:val="000000"/>
                <w:kern w:val="0"/>
                <w:sz w:val="21"/>
                <w:szCs w:val="21"/>
              </w:rPr>
              <w:br w:type="textWrapping"/>
            </w:r>
            <w:r>
              <w:rPr>
                <w:rFonts w:hint="eastAsia" w:ascii="宋体" w:hAnsi="宋体" w:eastAsia="宋体" w:cs="宋体"/>
                <w:color w:val="000000"/>
                <w:kern w:val="0"/>
                <w:sz w:val="21"/>
                <w:szCs w:val="21"/>
              </w:rPr>
              <w:t>12.UPS应具有输入零火接错保护功能，能发出声光告警并转为蓄电池组供电.</w:t>
            </w:r>
          </w:p>
        </w:tc>
      </w:tr>
      <w:tr w14:paraId="10919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ADE4F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41A1A34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蓄电池</w:t>
            </w:r>
          </w:p>
        </w:tc>
        <w:tc>
          <w:tcPr>
            <w:tcW w:w="7206" w:type="dxa"/>
            <w:vAlign w:val="center"/>
          </w:tcPr>
          <w:p w14:paraId="342B75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12V100AH阀控密封式铅酸免维护蓄电池。</w:t>
            </w:r>
          </w:p>
        </w:tc>
      </w:tr>
      <w:tr w14:paraId="15C2D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CD6170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0627C6D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color w:val="000000"/>
                <w:sz w:val="21"/>
                <w:szCs w:val="21"/>
              </w:rPr>
            </w:pPr>
            <w:r>
              <w:rPr>
                <w:rFonts w:hint="eastAsia" w:ascii="宋体" w:hAnsi="宋体" w:eastAsia="宋体" w:cs="宋体"/>
                <w:kern w:val="0"/>
                <w:sz w:val="21"/>
                <w:szCs w:val="21"/>
              </w:rPr>
              <w:t>电池柜</w:t>
            </w:r>
          </w:p>
        </w:tc>
        <w:tc>
          <w:tcPr>
            <w:tcW w:w="7206" w:type="dxa"/>
            <w:vAlign w:val="center"/>
          </w:tcPr>
          <w:p w14:paraId="787B394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bidi="ar"/>
              </w:rPr>
            </w:pPr>
            <w:r>
              <w:rPr>
                <w:rFonts w:hint="eastAsia" w:ascii="宋体" w:hAnsi="宋体" w:eastAsia="宋体" w:cs="宋体"/>
                <w:color w:val="000000"/>
                <w:kern w:val="0"/>
                <w:sz w:val="21"/>
                <w:szCs w:val="21"/>
              </w:rPr>
              <w:t>16节电池箱，卧式摆放（减少对楼板压强）</w:t>
            </w:r>
          </w:p>
        </w:tc>
      </w:tr>
      <w:tr w14:paraId="523741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3D139C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7016C32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输入输出线材</w:t>
            </w:r>
          </w:p>
        </w:tc>
        <w:tc>
          <w:tcPr>
            <w:tcW w:w="7206" w:type="dxa"/>
            <w:vAlign w:val="center"/>
          </w:tcPr>
          <w:p w14:paraId="36BEF2B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UPS主机的输入输出电缆</w:t>
            </w:r>
          </w:p>
        </w:tc>
      </w:tr>
      <w:tr w14:paraId="49A7B5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026329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089C883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配电箱</w:t>
            </w:r>
          </w:p>
        </w:tc>
        <w:tc>
          <w:tcPr>
            <w:tcW w:w="7206" w:type="dxa"/>
            <w:vAlign w:val="center"/>
          </w:tcPr>
          <w:p w14:paraId="667691C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配套浪涌保护器15KA,含UPS总输入、总输出、输出分路，品牌优质器件</w:t>
            </w:r>
          </w:p>
        </w:tc>
      </w:tr>
      <w:tr w14:paraId="265307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BADF32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6</w:t>
            </w:r>
          </w:p>
        </w:tc>
        <w:tc>
          <w:tcPr>
            <w:tcW w:w="1289" w:type="dxa"/>
            <w:shd w:val="clear" w:color="auto" w:fill="FFFFFF"/>
            <w:vAlign w:val="center"/>
          </w:tcPr>
          <w:p w14:paraId="33CE5E0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附件辅材</w:t>
            </w:r>
          </w:p>
        </w:tc>
        <w:tc>
          <w:tcPr>
            <w:tcW w:w="7206" w:type="dxa"/>
            <w:vAlign w:val="center"/>
          </w:tcPr>
          <w:p w14:paraId="0EBFD9A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满足本项目所需的辅材</w:t>
            </w:r>
          </w:p>
        </w:tc>
      </w:tr>
      <w:tr w14:paraId="5974D5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2835EF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7</w:t>
            </w:r>
          </w:p>
        </w:tc>
        <w:tc>
          <w:tcPr>
            <w:tcW w:w="1289" w:type="dxa"/>
            <w:shd w:val="clear" w:color="auto" w:fill="FFFFFF"/>
            <w:vAlign w:val="center"/>
          </w:tcPr>
          <w:p w14:paraId="5076488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3P立式专用空调</w:t>
            </w:r>
          </w:p>
        </w:tc>
        <w:tc>
          <w:tcPr>
            <w:tcW w:w="7206" w:type="dxa"/>
            <w:vAlign w:val="center"/>
          </w:tcPr>
          <w:p w14:paraId="6F5C53D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风冷型房间级精密空调，上送风，制冷量≥7.5kW，风量≥2300m3/h，能效比≥3.0（工况：室内侧 干球温度约24℃，湿球温度约17℃；放热侧 干球温度约35℃测得）；</w:t>
            </w:r>
          </w:p>
          <w:p w14:paraId="73BB93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2</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精密空调应具有良好性能指标，可满足高效节能的要求，精密空调主要指标不应低于以下要求。</w:t>
            </w:r>
          </w:p>
          <w:p w14:paraId="1FB39D8B">
            <w:pPr>
              <w:keepNext w:val="0"/>
              <w:keepLines w:val="0"/>
              <w:pageBreakBefore w:val="0"/>
              <w:widowControl/>
              <w:kinsoku/>
              <w:wordWrap/>
              <w:overflowPunct/>
              <w:topLinePunct w:val="0"/>
              <w:autoSpaceDE/>
              <w:autoSpaceDN/>
              <w:bidi w:val="0"/>
              <w:adjustRightInd w:val="0"/>
              <w:snapToGrid w:val="0"/>
              <w:spacing w:line="300" w:lineRule="atLeast"/>
              <w:ind w:left="210" w:leftChars="10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1）输入电压允许波动范围：380V±</w:t>
            </w:r>
            <w:r>
              <w:rPr>
                <w:rFonts w:hint="eastAsia" w:ascii="宋体" w:hAnsi="宋体" w:eastAsia="宋体" w:cs="宋体"/>
                <w:color w:val="000000"/>
                <w:kern w:val="0"/>
                <w:sz w:val="21"/>
                <w:szCs w:val="21"/>
                <w:lang w:val="en-US" w:eastAsia="zh-CN"/>
              </w:rPr>
              <w:t>5</w:t>
            </w:r>
            <w:r>
              <w:rPr>
                <w:rFonts w:hint="eastAsia" w:ascii="宋体" w:hAnsi="宋体" w:eastAsia="宋体" w:cs="宋体"/>
                <w:color w:val="000000"/>
                <w:kern w:val="0"/>
                <w:sz w:val="21"/>
                <w:szCs w:val="21"/>
              </w:rPr>
              <w:t xml:space="preserve">%；         </w:t>
            </w:r>
          </w:p>
          <w:p w14:paraId="7448955A">
            <w:pPr>
              <w:keepNext w:val="0"/>
              <w:keepLines w:val="0"/>
              <w:pageBreakBefore w:val="0"/>
              <w:widowControl/>
              <w:kinsoku/>
              <w:wordWrap/>
              <w:overflowPunct/>
              <w:topLinePunct w:val="0"/>
              <w:autoSpaceDE/>
              <w:autoSpaceDN/>
              <w:bidi w:val="0"/>
              <w:adjustRightInd w:val="0"/>
              <w:snapToGrid w:val="0"/>
              <w:spacing w:line="300" w:lineRule="atLeast"/>
              <w:ind w:left="210" w:leftChars="10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2）空调适应性：室内0℃～40℃，室外-15℃～45℃；        </w:t>
            </w:r>
          </w:p>
          <w:p w14:paraId="2372E4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3</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室内风机：空调机组须标准配置EC风机； </w:t>
            </w:r>
          </w:p>
          <w:p w14:paraId="7E1E3C8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4</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采用高效可靠压缩机，保障系统运行的可靠性；  </w:t>
            </w:r>
          </w:p>
          <w:p w14:paraId="3EC4BB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5</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精密空调应能够在设备的正面进行全面维修，空调本体外部应预留各种管道接口（冷媒管、加湿管、凝水管），包括下、后、侧面三方向预留各种管道接口，以便现场安装；</w:t>
            </w:r>
          </w:p>
          <w:p w14:paraId="52327A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6</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为了降低回风风阻，机组应设计三面回风，即正面和左右两侧回风；</w:t>
            </w:r>
          </w:p>
          <w:p w14:paraId="2C1E6F5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7</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为保证系统运行的高效性和稳定性，空调须配置电子膨胀阀；</w:t>
            </w:r>
          </w:p>
          <w:p w14:paraId="69D9374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lang w:eastAsia="zh-CN"/>
              </w:rPr>
            </w:pPr>
            <w:r>
              <w:rPr>
                <w:rFonts w:hint="eastAsia" w:ascii="宋体" w:hAnsi="宋体" w:eastAsia="宋体" w:cs="宋体"/>
                <w:color w:val="000000"/>
                <w:kern w:val="0"/>
                <w:sz w:val="21"/>
                <w:szCs w:val="21"/>
              </w:rPr>
              <w:t>8</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 xml:space="preserve">空调机组需采用R410A制冷剂； </w:t>
            </w:r>
          </w:p>
          <w:p w14:paraId="55D028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w:t>
            </w:r>
            <w:r>
              <w:rPr>
                <w:rFonts w:hint="eastAsia" w:ascii="宋体" w:hAnsi="宋体" w:eastAsia="宋体" w:cs="宋体"/>
                <w:color w:val="000000"/>
                <w:kern w:val="0"/>
                <w:sz w:val="21"/>
                <w:szCs w:val="21"/>
                <w:lang w:val="en-US" w:eastAsia="zh-CN"/>
              </w:rPr>
              <w:t>.</w:t>
            </w:r>
            <w:r>
              <w:rPr>
                <w:rFonts w:hint="eastAsia" w:ascii="宋体" w:hAnsi="宋体" w:eastAsia="宋体" w:cs="宋体"/>
                <w:color w:val="000000"/>
                <w:kern w:val="0"/>
                <w:sz w:val="21"/>
                <w:szCs w:val="21"/>
              </w:rPr>
              <w:t>精密空调具备相序保护功能，来电自启动和延时启动功能；</w:t>
            </w:r>
          </w:p>
        </w:tc>
      </w:tr>
      <w:tr w14:paraId="2B771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7E9B8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8</w:t>
            </w:r>
          </w:p>
        </w:tc>
        <w:tc>
          <w:tcPr>
            <w:tcW w:w="1289" w:type="dxa"/>
            <w:shd w:val="clear" w:color="auto" w:fill="FFFFFF"/>
            <w:vAlign w:val="center"/>
          </w:tcPr>
          <w:p w14:paraId="604A7F1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空调辅材</w:t>
            </w:r>
          </w:p>
        </w:tc>
        <w:tc>
          <w:tcPr>
            <w:tcW w:w="7206" w:type="dxa"/>
            <w:vAlign w:val="center"/>
          </w:tcPr>
          <w:p w14:paraId="3A32561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含档水堰，冷媒、铜管(15m)，20m室内外机控制线等</w:t>
            </w:r>
          </w:p>
        </w:tc>
      </w:tr>
      <w:tr w14:paraId="5BB659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652A73F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b/>
                <w:bCs/>
                <w:kern w:val="0"/>
                <w:sz w:val="21"/>
                <w:szCs w:val="21"/>
              </w:rPr>
              <w:t>八</w:t>
            </w:r>
          </w:p>
        </w:tc>
        <w:tc>
          <w:tcPr>
            <w:tcW w:w="8495" w:type="dxa"/>
            <w:gridSpan w:val="2"/>
            <w:shd w:val="clear" w:color="auto" w:fill="FFFFFF"/>
            <w:vAlign w:val="center"/>
          </w:tcPr>
          <w:p w14:paraId="19D2E8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b/>
                <w:bCs/>
                <w:kern w:val="0"/>
                <w:sz w:val="21"/>
                <w:szCs w:val="21"/>
              </w:rPr>
              <w:t>教学多媒体系统</w:t>
            </w:r>
          </w:p>
        </w:tc>
      </w:tr>
      <w:tr w14:paraId="633F47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5F4A634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color w:val="000000"/>
                <w:kern w:val="0"/>
                <w:sz w:val="21"/>
                <w:szCs w:val="21"/>
              </w:rPr>
              <w:t>1</w:t>
            </w:r>
          </w:p>
        </w:tc>
        <w:tc>
          <w:tcPr>
            <w:tcW w:w="1289" w:type="dxa"/>
            <w:shd w:val="clear" w:color="auto" w:fill="FFFFFF"/>
            <w:vAlign w:val="center"/>
          </w:tcPr>
          <w:p w14:paraId="4161C61D">
            <w:pPr>
              <w:pStyle w:val="30"/>
              <w:keepNext w:val="0"/>
              <w:keepLines w:val="0"/>
              <w:pageBreakBefore w:val="0"/>
              <w:kinsoku/>
              <w:wordWrap/>
              <w:overflowPunct/>
              <w:topLinePunct w:val="0"/>
              <w:autoSpaceDE/>
              <w:autoSpaceDN/>
              <w:bidi w:val="0"/>
              <w:adjustRightInd w:val="0"/>
              <w:snapToGrid w:val="0"/>
              <w:spacing w:line="300" w:lineRule="atLeast"/>
              <w:ind w:left="0" w:firstLine="0" w:firstLineChars="0"/>
              <w:jc w:val="center"/>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互动教学终端</w:t>
            </w:r>
          </w:p>
        </w:tc>
        <w:tc>
          <w:tcPr>
            <w:tcW w:w="7206" w:type="dxa"/>
            <w:vAlign w:val="center"/>
          </w:tcPr>
          <w:p w14:paraId="46C36D1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一、整体设计</w:t>
            </w:r>
          </w:p>
          <w:p w14:paraId="11080E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1.整机采用一体化设计，外部无任何可见内部功能模块连接线；采用全金属外观，边角采用弧形设计，表面无尖锐边缘或凸起。</w:t>
            </w:r>
          </w:p>
          <w:p w14:paraId="29727C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w:t>
            </w:r>
            <w:r>
              <w:rPr>
                <w:rFonts w:hint="eastAsia" w:ascii="宋体" w:hAnsi="宋体" w:eastAsia="宋体" w:cs="宋体"/>
                <w:b/>
                <w:bCs/>
                <w:color w:val="000000"/>
                <w:sz w:val="21"/>
                <w:szCs w:val="21"/>
              </w:rPr>
              <w:t>整机采用UHD超高清LED液晶屏，A规屏，显示尺寸86英寸，显示比例16:9，4K 屏体,物理分辨率3840*2160。</w:t>
            </w:r>
            <w:r>
              <w:rPr>
                <w:rFonts w:hint="eastAsia" w:ascii="宋体" w:hAnsi="宋体" w:eastAsia="宋体" w:cs="宋体"/>
                <w:color w:val="000000"/>
                <w:sz w:val="21"/>
                <w:szCs w:val="21"/>
              </w:rPr>
              <w:t xml:space="preserve">显示性能满足UHD超高清点对点要求（可无损播放4K片源，PC通道下可将系统画面分辨率设置为3840*2160， </w:t>
            </w:r>
          </w:p>
          <w:p w14:paraId="11A97B0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3.屏体亮度≥350cd/㎡，对比度≥4000：1，最大可视角度≥178度，灰度等级≥256级。</w:t>
            </w:r>
          </w:p>
          <w:p w14:paraId="62AB7D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 xml:space="preserve">4.安全性：整机屏幕采用钢化玻璃，防撞防划，具备防眩光效果。钢化玻璃≤4mm，玻璃表面硬度≥9H。其钢化玻璃安全性满足教学需求， </w:t>
            </w:r>
          </w:p>
          <w:p w14:paraId="3DC5C7F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5.整机内置2.1或以上的声道扬声器，额定总功率≥60W。</w:t>
            </w:r>
          </w:p>
          <w:p w14:paraId="0DC098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 xml:space="preserve">6.“整机符合GB 40070-2021视力防护标准，蓝光危害RG0级别。” </w:t>
            </w:r>
          </w:p>
          <w:p w14:paraId="5B88B7D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护眼模式：整机具备护眼模式的调用，支持多种护眼模式，支持自定义调节；整机能感应并自动调节屏幕亮度来达到在不同光照环境下的最佳显示效果，支持根据环境光自动调节，此功能可自行开启或关闭。设备扫描环境色温，提供当前屏幕色温数值及推荐色温数值，并支持一键设置。</w:t>
            </w:r>
          </w:p>
          <w:p w14:paraId="1829CD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8.机身具备防盐雾锈蚀特性，且满足GB4943.1-2011标准中的防火要求。</w:t>
            </w:r>
          </w:p>
          <w:p w14:paraId="202B07E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9.具有防雷击4级要求。</w:t>
            </w:r>
          </w:p>
          <w:p w14:paraId="4AE98E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10.内置OPS电脑模块。</w:t>
            </w:r>
          </w:p>
          <w:p w14:paraId="7E8C87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11.信号端子口具有抗静电干扰功能,确保外连设备间的信号稳定及设备安全。</w:t>
            </w:r>
          </w:p>
          <w:p w14:paraId="2545F2B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12.黑板关闭自动节能：当整机安装到推拉黑板中时，关闭推拉黑板，整机将在短时间内自动进入黑屏节能模式。</w:t>
            </w:r>
          </w:p>
          <w:p w14:paraId="66D82E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13.设备自带嵌入式操作系统，在该系统下可实现白板书写、PPT  课件播放、多媒体播放、网页浏览。</w:t>
            </w:r>
          </w:p>
          <w:p w14:paraId="04A7EE1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二、整机设计</w:t>
            </w:r>
          </w:p>
          <w:p w14:paraId="5CD227F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1.整机按键前置，方便老师开关机、各类菜单、音量+/-、护眼等的操作。</w:t>
            </w:r>
          </w:p>
          <w:p w14:paraId="56D2912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2.整机前置接口：全功能通道USB Type-C接口 ≥1，双通道USB Type-A 接口≥2（Windows和Android系统均能被识别，无需区分）。</w:t>
            </w:r>
          </w:p>
          <w:p w14:paraId="23D2C6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3.前置 USB 接口必须具备防护挡板。</w:t>
            </w:r>
          </w:p>
          <w:p w14:paraId="4B77C3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highlight w:val="yellow"/>
              </w:rPr>
            </w:pPr>
            <w:r>
              <w:rPr>
                <w:rFonts w:hint="eastAsia" w:ascii="宋体" w:hAnsi="宋体" w:eastAsia="宋体" w:cs="宋体"/>
                <w:color w:val="000000"/>
                <w:sz w:val="21"/>
                <w:szCs w:val="21"/>
              </w:rPr>
              <w:t>4.整机侧置接口：具有至少1路侧置双通道USB接口，USB接口支持Windows和Android双系统读取外接存储设备数据和识别展台信号。HDMI IN≥2，RS232≥1，Audio out≥1，USB Type-B(TOUCH) 触控接口≥1；</w:t>
            </w:r>
          </w:p>
          <w:p w14:paraId="05297E7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5.整机内置无线网络模块，PC模块无任何外接或转接天线、网卡可实现Wi-Fi无线上网连接和AP无线热点发射；Wi-Fi和AP热点均支持频段 2.4GHz/5GHz，满足IEEE 802.11 a/b/g/n/ac标准；Wi-Fi和AP热点工作距离满足实际需求。</w:t>
            </w:r>
          </w:p>
          <w:p w14:paraId="1A72033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6.设备支持通过前置面板物理按键或屏幕快捷方式一键启动录屏功能，可将屏幕中显示的课件、音频内容与老师人声同时录制。</w:t>
            </w:r>
          </w:p>
          <w:p w14:paraId="28C68F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7.整机内置（非外扩展）高清摄像头，可拍摄不低于 1300 万像素数的照片，摄像头对角角度≥120°；支持远程巡课应用。</w:t>
            </w:r>
          </w:p>
          <w:p w14:paraId="62882F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8.具备摄像头工作指示灯，摄像头运行时，有指示灯提示。</w:t>
            </w:r>
          </w:p>
          <w:p w14:paraId="138254C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9.整机内置非独立外扩展的阵列麦克风，可用于对教室环境音频进行采集，拾音距离≥10m。</w:t>
            </w:r>
          </w:p>
          <w:p w14:paraId="340F3E6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10.内置摄像头、麦克风，无外接线材连接，无可见模块化拼接，未占用整机设备端口。</w:t>
            </w:r>
          </w:p>
          <w:p w14:paraId="1506C38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11.整机内置蓝牙模块，能连接外部蓝牙音箱播放音频，能接收外部手机通过蓝牙发送的文件；蓝牙支持 Bluetooth 5.0 及以上标准；内置蓝牙模块工作距离不低于10m。</w:t>
            </w:r>
          </w:p>
          <w:p w14:paraId="6B9E84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12.外接电脑设备连接整机且触摸信号连通时，外接电脑设备可直接读取整机前置USB接口的移动存储设备数据，连接整机前置USB接口的翻页笔和无线键鼠可直接使用于外接电脑。</w:t>
            </w:r>
          </w:p>
          <w:p w14:paraId="3A1A2F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13.Android系统和Windows系统下，支持通过任何一个前置USB接口读取外接移动存储设备。</w:t>
            </w:r>
          </w:p>
          <w:p w14:paraId="58987D5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14.整机具备抗振动、防跌落特性，保证整机运输或使用过程中不易受损。</w:t>
            </w:r>
          </w:p>
          <w:p w14:paraId="581C9F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15.内置网卡：10M/100M/1000M</w:t>
            </w:r>
          </w:p>
          <w:p w14:paraId="7FDA241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三、主要功能</w:t>
            </w:r>
          </w:p>
          <w:p w14:paraId="5F69CA2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1.内置触摸中控菜单，将信号源通道切换、亮度对比度调节、声音图像调节等整合到同一菜单下，无须实体按键，在任意显示通道下均可在屏幕上调取该触摸菜单；</w:t>
            </w:r>
          </w:p>
          <w:p w14:paraId="2E50131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具有智能手势识别功能，任意信号源通道下可识别五指上、下、左、右方向手势滑动，手指划O，左右晃动等操作调用相应功能，支持息屏、批注、桌面、半屏模式，支持屏幕下移，能将显示画面下拉时依然可以正常触控操作系统。</w:t>
            </w:r>
          </w:p>
          <w:p w14:paraId="13D7896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3.任何信号源下可实现即时批注、擦除、返回主页等功能。</w:t>
            </w:r>
          </w:p>
          <w:p w14:paraId="00A9FB5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4.支持传屏功能，可以将外部电脑、平板PAD、手机等的屏幕画面通过无线方式传输到整机上显示。</w:t>
            </w:r>
          </w:p>
          <w:p w14:paraId="2CA9B92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5.支持自定义开机通道，用户可设置默认通道，开机自动进入无需手动切换；支持通道记忆功能，开机默认回到最近一次关机时的显示通道。</w:t>
            </w:r>
          </w:p>
          <w:p w14:paraId="08C170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6.支持通道自动跳转功能，如整机处于正常使用状态，HDMI信号接入时，能自动识别、并切换到对应的HDMI信号源通道，且断开后能回到上一通道，自动跳转前支持选择确认，待确认后再跳转。</w:t>
            </w:r>
          </w:p>
          <w:p w14:paraId="20ADCDE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7.支持外接信号输入时自动唤醒功能，整机处于关机通电状态，外接电脑显示信号通过HDMI传输线连接至整机时，整机可智能识别外接电脑设备信号输入并自动开机。</w:t>
            </w:r>
          </w:p>
          <w:p w14:paraId="18B2B3A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8.为有效、及时解决教学中故障，在PC系统出现异常或需要清除PC数据时，无需额外工具辅助，可通过整机前置物理按键，将PC系统恢复至出厂状态。</w:t>
            </w:r>
          </w:p>
          <w:p w14:paraId="002C2AE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9.支持屏幕下移模式，能将Windows显示画面上面部分下拉，此时依然可以正常触控操作Windows系统；点击非Windows显示画面区域，即可退出该模式，无需其他设置。</w:t>
            </w:r>
          </w:p>
          <w:p w14:paraId="34ECDFF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支持锁定屏幕触摸和整机前置按键，可通过遥控器、软件菜单（调试菜单）实现该功能，也可通过前置面板的物理按键进行锁定/解锁。整机下课一键锁定功能，避免学生对设备的误操作，具备一键锁定且支持无网解锁（密码解锁）、有网解锁（教师激活码解锁、扫码解锁），在任何情况下均支持数字密码解锁，适用于各类教学环境。</w:t>
            </w:r>
          </w:p>
          <w:p w14:paraId="3C6FC8C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11.整机无需外接无线网卡，在Windows系统下接入无线网络，切换到嵌入式Android系统下可直接实现无线上网功能，不需手动重复设置。</w:t>
            </w:r>
          </w:p>
          <w:p w14:paraId="7BBECEC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12.部署单根网线可实现Android、Windows双系统有线网络连通。</w:t>
            </w:r>
          </w:p>
          <w:p w14:paraId="57D40A3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13.支持将自定义图片设置为开机画面。</w:t>
            </w:r>
          </w:p>
          <w:p w14:paraId="78CEBF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14.从PC通道切换到外部通道后在4s内达到可触摸状态。</w:t>
            </w:r>
          </w:p>
          <w:p w14:paraId="7FEF16A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15.支持前置Type-C接口，通过Type-C接口可实现音视频输入，外接电脑设备通过标准Type-C线连接至整机Type-C口，即可把外接电脑设备画面投到屏幕上，同时在互动教学终端上操作画面，可实现触摸电脑的操作，无需再连接触控USB线。.支持通过Type-C接口U盘进行文件传输，兼容手机充电。</w:t>
            </w:r>
          </w:p>
          <w:p w14:paraId="5899CE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16.整机在五分钟内处于无信号接收状态时，能够自动关机。</w:t>
            </w:r>
          </w:p>
          <w:p w14:paraId="101145A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17.整机内置专业硬件自检维护工具（非第三方工具），支持对触摸框、PC模块等模块进行检测，针对不同模块给出问题原因提示。</w:t>
            </w:r>
          </w:p>
          <w:p w14:paraId="6717873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18.具备无线智能遥控功能，支持屏幕密码锁功能。</w:t>
            </w:r>
          </w:p>
          <w:p w14:paraId="2F95870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19.可与互动教学终端实现无线连接，教师可通过移动端对授课播放课件进行翻页，课件预览、课件跳页等操作进行教学，同时提供同步批注功能，并实时同步至交互智能平板上。</w:t>
            </w:r>
          </w:p>
          <w:p w14:paraId="09D25E5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四、触摸系统参数：</w:t>
            </w:r>
          </w:p>
          <w:p w14:paraId="2AA97F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1.采用红外触控技术，支持红外笔书写。</w:t>
            </w:r>
          </w:p>
          <w:p w14:paraId="0FC6872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2.触摸屏触摸分辨率32768×32768，触摸响应时间≤4ms，触摸最小识别物≤3mm。防强光：触摸屏具有防光干扰功能，能在照度100K LUX（勒克司）环境下仍能正常工作。</w:t>
            </w:r>
          </w:p>
          <w:p w14:paraId="0927608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3.整机屏幕触摸有效识别高度不超过3.5mm,即触摸物体距离玻璃外表面高度不超过3.5mm时，触摸屏识别为点击操作。</w:t>
            </w:r>
          </w:p>
          <w:p w14:paraId="24CE3A8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4.触摸屏具有防遮挡功能，触摸接收器在单点或多点遮挡后仍能正常书写。</w:t>
            </w:r>
          </w:p>
          <w:p w14:paraId="08B4690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5.触摸框免驱：无需安装触摸框驱动。</w:t>
            </w:r>
          </w:p>
          <w:p w14:paraId="6EFC1D7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b/>
                <w:bCs/>
                <w:sz w:val="21"/>
                <w:szCs w:val="21"/>
              </w:rPr>
              <w:t>五、嵌入式系统：</w:t>
            </w:r>
            <w:r>
              <w:rPr>
                <w:rFonts w:hint="eastAsia" w:ascii="宋体" w:hAnsi="宋体" w:eastAsia="宋体" w:cs="宋体"/>
                <w:sz w:val="21"/>
                <w:szCs w:val="21"/>
              </w:rPr>
              <w:t xml:space="preserve"> </w:t>
            </w:r>
          </w:p>
          <w:p w14:paraId="28F0CE4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sz w:val="21"/>
                <w:szCs w:val="21"/>
              </w:rPr>
              <w:t>1.系统硬件配置: 嵌入式系统版本不低于Android 13.0</w:t>
            </w:r>
            <w:r>
              <w:rPr>
                <w:rFonts w:hint="eastAsia" w:ascii="宋体" w:hAnsi="宋体" w:eastAsia="宋体" w:cs="宋体"/>
                <w:sz w:val="21"/>
                <w:szCs w:val="21"/>
                <w:lang w:val="en-US" w:eastAsia="zh-CN"/>
              </w:rPr>
              <w:t>或其它同等配置</w:t>
            </w:r>
            <w:r>
              <w:rPr>
                <w:rFonts w:hint="eastAsia" w:ascii="宋体" w:hAnsi="宋体" w:eastAsia="宋体" w:cs="宋体"/>
                <w:sz w:val="21"/>
                <w:szCs w:val="21"/>
              </w:rPr>
              <w:t>，内存≥2GB，存储空间≥8GB。</w:t>
            </w:r>
          </w:p>
          <w:p w14:paraId="2B09D84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2.嵌入式操作系统下可实现电脑操作系统中常用的教学应用功能，如白板书写、WPS软件使用和网页浏览。</w:t>
            </w:r>
          </w:p>
          <w:p w14:paraId="00DA4BF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3.在嵌入式操作系统下，能对TV多媒体USB所读取到的课件文件进行自动归类，可分类查找文档、音视频、图片等文件，检索后可直接在界面中打开。</w:t>
            </w:r>
          </w:p>
          <w:p w14:paraId="1B5784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4.嵌入式Android操作系统下，互动白板支持不同背景颜色，同时提供学科专用背景。</w:t>
            </w:r>
          </w:p>
          <w:p w14:paraId="5ADDBBD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5.无PC状态下，嵌入式系统内置互动白板支持≥10 笔书写及手掌擦除，手掌擦除面积根据手掌与屏幕的接触面大小自动调整，白板书写内容可导出PDF、图片格式。</w:t>
            </w:r>
          </w:p>
          <w:p w14:paraId="1F05036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6.无需借助PC，整机可一键进行硬件自检，包括对系统硬盘、系统内存、触摸框、PC模块、光感系统等模块进行检测，提供直观状态、故障提示。</w:t>
            </w:r>
          </w:p>
          <w:p w14:paraId="4D7C5C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六、教学软件的参数</w:t>
            </w:r>
          </w:p>
          <w:p w14:paraId="5E1A37F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1.教学软件为教师提供可扩展，易于学校管理，安全可靠的云存储空间，根据每名教师使用时长与教学资料制作频率提供可扩展升级至不小于200G的个人云空间。</w:t>
            </w:r>
          </w:p>
          <w:p w14:paraId="751BA89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采用备授课一体化设计，为使用方全体教师配备个人账号，形成一体的信息化教学账号体系；根据教师账号信息将教师云空间匹配至对应学校、学科校本资源库。支持多种方式登录个人帐号，包括但不限于帐号密码、二维码登录等方式。</w:t>
            </w:r>
          </w:p>
          <w:p w14:paraId="4A3C9E6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书写和边写边擦：书写支持三种及以上书写笔类型，书写时不出现跳笔、跳位、断笔、时滞、变形走样等现场。边写边擦：支持点擦除、区域擦除及全部擦除（清页操作）,并可支持在选择笔工具状态下直接通过手势识别动作实现擦除功能；支持两到三个人在选择书写工具的状态下同时书写和擦除，互不影响。</w:t>
            </w:r>
          </w:p>
          <w:p w14:paraId="2CAF0DE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提供语文、数学、英语、科学等学科教学场景，在学科教学场景中提供相应的教学工具。资源必须符合新课程标准，根据学科知识点教学要求，规范分类各教学资源素材。学科工具功能，如：化学方程式只需输入一个元素，将自动显示出和该元素相关的多个常用化学反应方程式供选用；语文、英语听写工具：支持自定义听写频率和次数，一键生成听写卡，一键开启听写朗读。</w:t>
            </w:r>
          </w:p>
          <w:p w14:paraId="6A39C8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备授课一体化，具有备课模式及授课模式，且操作界面根据备课和授课使用场景不同而区别设计，符合用户使用需求。备课平台创建集体备课活动，支持校内和跨校集备，老师可以针对课件、教案进行批注和研讨。主备人可多次修改稿件后上传，具备稿件版本对比功能。支持数据统计和访问记录查看。支持一键导出为文字版报告。</w:t>
            </w:r>
          </w:p>
          <w:p w14:paraId="53566E6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思维导图：提供多种思维导图模板如逻辑图、鱼骨图、组织结构图，可轻松增删或拖拽编辑内容、节点，并支持在节点上插入图片、音频、视频、文档等附件、及网页链接、课件页面等教学内容，支持思维导图逐级、逐个节点展开，满足不同教学需求。</w:t>
            </w:r>
          </w:p>
          <w:p w14:paraId="5848CAE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支持课件云同步，课件上的所有修改、操作均可实时同步至云端，无需单独保存上传，确保多终端调用同个课件均为最新版本。上传下载一体化云存储：备课时支持将云空间中存储图片、音频、视频、Flash等素材插入课件，同时支持将课件中的图片、音频、视频、Flash、PPT等素材上传至云空间。</w:t>
            </w:r>
          </w:p>
          <w:p w14:paraId="3445202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8.课件定向分享：互动教学课件支持定向分享，分享者可将互动课件推送至指定接收方，接收方可接收并打开分享课件。</w:t>
            </w:r>
          </w:p>
          <w:p w14:paraId="3D1B888C">
            <w:pPr>
              <w:pStyle w:val="23"/>
              <w:keepNext w:val="0"/>
              <w:keepLines w:val="0"/>
              <w:pageBreakBefore w:val="0"/>
              <w:kinsoku/>
              <w:wordWrap/>
              <w:overflowPunct/>
              <w:topLinePunct w:val="0"/>
              <w:autoSpaceDE/>
              <w:autoSpaceDN/>
              <w:bidi w:val="0"/>
              <w:adjustRightInd w:val="0"/>
              <w:snapToGrid w:val="0"/>
              <w:spacing w:line="300" w:lineRule="atLeast"/>
              <w:ind w:left="0" w:firstLine="0" w:firstLineChars="0"/>
              <w:rPr>
                <w:rFonts w:hint="eastAsia" w:ascii="宋体" w:hAnsi="宋体" w:eastAsia="宋体" w:cs="宋体"/>
                <w:color w:val="000000"/>
                <w:sz w:val="21"/>
                <w:szCs w:val="21"/>
              </w:rPr>
            </w:pPr>
            <w:r>
              <w:rPr>
                <w:rFonts w:hint="eastAsia" w:ascii="宋体" w:hAnsi="宋体" w:eastAsia="宋体" w:cs="宋体"/>
                <w:color w:val="000000"/>
                <w:sz w:val="21"/>
                <w:szCs w:val="21"/>
              </w:rPr>
              <w:t>9.教学教研平台听、评课功能：参与听课老师只需扫描二维码即可通过手机进行评课，评课结果自动上传到数据管理平台，展示教研组听评课数据概况，支持获取查看优秀课例，可查看教师评课维度</w:t>
            </w:r>
          </w:p>
          <w:p w14:paraId="2CA1EBC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10.提供PPT课件的播放控制、聚光灯、放大镜和书写批注等功能。</w:t>
            </w:r>
          </w:p>
          <w:p w14:paraId="4AB3FA9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【移动授课助手】</w:t>
            </w:r>
          </w:p>
          <w:p w14:paraId="5CD69F1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1．支持移动端与 PC 端通过扫描二维码、账号识别自动连接，无需用户手动连接。</w:t>
            </w:r>
          </w:p>
          <w:p w14:paraId="6A8656B5">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2．可通过移动终端远程控制电脑，随意打开电脑的文件。</w:t>
            </w:r>
          </w:p>
          <w:p w14:paraId="640056A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3．支持调用移动端摄像头拍摄的影像或相册内的照片（包含文档）并上传至互动教学终端；</w:t>
            </w:r>
          </w:p>
          <w:p w14:paraId="539116A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4．可实现手机直播：同步直播手机摄像头画面至 PC （移动）端，支持一键切换前后置摄像头；</w:t>
            </w:r>
          </w:p>
          <w:p w14:paraId="6C7560F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5．可与互动教学终端实现无线连接，教师可通过移动端对授课播放课件进行翻页，同时提供同步批注功能，并实时同步至交互智能平板上。</w:t>
            </w:r>
          </w:p>
          <w:p w14:paraId="5B38ED3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【微课功能】</w:t>
            </w:r>
          </w:p>
          <w:p w14:paraId="735195C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微课功能内置于教学软件中，支持快速录制微课，微课可录制保存音频和课件的互动操作。</w:t>
            </w:r>
          </w:p>
          <w:p w14:paraId="61BCA96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1．录制功能：录制过程中可对课件中的元素进行拖动、克隆、删除等操作，支持在录制过程中进行书写和擦除、批注、插入学科工具辅助进行讲解。</w:t>
            </w:r>
          </w:p>
          <w:p w14:paraId="10CBF88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2．剪辑重录功能：支持按照课件页面片段剪辑和重录微课，支持一键上传至云端保存；</w:t>
            </w:r>
          </w:p>
          <w:p w14:paraId="5DB733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3．听课方式：微课录制结束后自动生成分享海报，学生扫码在即可在微信观看，无需下载额外APP使用。</w:t>
            </w:r>
          </w:p>
          <w:p w14:paraId="3B4F10C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4．系统后台支持导出学情分析表，包括课程信息、学生基本信息、观看微课时间，便于教师做教研管理。</w:t>
            </w:r>
          </w:p>
          <w:p w14:paraId="749276A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【直播功能】</w:t>
            </w:r>
          </w:p>
          <w:p w14:paraId="071B1E0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sz w:val="21"/>
                <w:szCs w:val="21"/>
              </w:rPr>
            </w:pPr>
            <w:r>
              <w:rPr>
                <w:rFonts w:hint="eastAsia" w:ascii="宋体" w:hAnsi="宋体" w:eastAsia="宋体" w:cs="宋体"/>
                <w:sz w:val="21"/>
                <w:szCs w:val="21"/>
              </w:rPr>
              <w:t>直播功能内置于交互式备授课教学软件中，无需额外安装部署直播软件，可实现语音直播、课件同步、互动工具等远程教学功能（包括文本聊天工具、互动答题工具、远程互动工具、课堂奖励工具、远程考勤管理、课程回放。）。支持教师“一键开课”生成课程海报；学生扫描课程海报微信二维码即可加入直播课堂观看直播等。</w:t>
            </w:r>
          </w:p>
          <w:p w14:paraId="464460D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【互动教学】</w:t>
            </w:r>
          </w:p>
          <w:p w14:paraId="0B4554D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1．软件应支持微信扫码登录，无需输入帐号密码即可实现登录，用户可便捷、快速进入课堂。</w:t>
            </w:r>
          </w:p>
          <w:p w14:paraId="0E7F404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2．支持按天显示预约的活动信息，包括直播活动、互动课堂、网络教研的活动类型、活动名称、活动时间、活动状态。</w:t>
            </w:r>
          </w:p>
          <w:p w14:paraId="66DD23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3．板书同步：授课过程中支持用户调起白板工具，在大屏上进行板书，板书内容将在听课端实时同步；且支持听课端在大屏上板书，反向实时同步至授课端及其他听课端。</w:t>
            </w:r>
          </w:p>
          <w:p w14:paraId="0E67905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4．书写笔迹支持至少3种不同粗细选择，12种不同颜色选择。</w:t>
            </w:r>
          </w:p>
          <w:p w14:paraId="62FFE54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5．默认颜色：系统智能分配授课端及不同听课端的默认笔迹颜色，学生可区分不同教室板书内容。</w:t>
            </w:r>
          </w:p>
          <w:p w14:paraId="21551213">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6．课堂活动：支持用户在云课件中进行远程同步课堂游戏，异地教室的学生可同时在大屏上进行知识竞赛，以左右分屏形式实现两个教室的学生同台竞争。支持至少6种类型、50个模板的课堂活动。</w:t>
            </w:r>
          </w:p>
          <w:p w14:paraId="0BDA004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拍照上传：支持在授课端及听课端生成拍照上传二维码，使用手机微信扫码后，可实时上传学生作业、试卷内容至大屏，授课端及听课端同步显示照片内容，且分别支持授课端与听课端的师生对照片进行拖动、放大、批注操作，实现远程讲评。</w:t>
            </w:r>
          </w:p>
          <w:p w14:paraId="075A04D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画板同步：授课过程中支持用户调起画板工具，提供不少于4种书写工具和14种基础颜色；提供调色板功能，可选择任意基础颜色进行混合产生新的颜色；画板工具中所有功能均可在授课端及听课端同步操作，且可同时独立调色，互不干扰。</w:t>
            </w:r>
          </w:p>
          <w:p w14:paraId="02D96E7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9．乐器同步：授课过程中支持用户调起乐器工具，提供虚拟键盘，不少于36个 琴键，授课端弹奏的内容可同步到所有听课端；听课端也可弹奏并反向同步到所有授课端和听课端。</w:t>
            </w:r>
          </w:p>
          <w:p w14:paraId="3043621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10．支持互动课堂中可对本地班级、听课班级中表现好的班级发送点评奖励，每堂课可统计各班点评总分，并在课上一键展示最高得分的班级进行表扬。</w:t>
            </w:r>
          </w:p>
          <w:p w14:paraId="49E1D4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11．提供不少于4个通用工具，8个学科工具，支持语文、数学、英语、美术、地理等学科使用，并支持授课端与听课端多方交互触控。</w:t>
            </w:r>
          </w:p>
          <w:p w14:paraId="53912DC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b/>
                <w:bCs/>
                <w:sz w:val="21"/>
                <w:szCs w:val="21"/>
              </w:rPr>
            </w:pPr>
            <w:r>
              <w:rPr>
                <w:rFonts w:hint="eastAsia" w:ascii="宋体" w:hAnsi="宋体" w:eastAsia="宋体" w:cs="宋体"/>
                <w:b/>
                <w:bCs/>
                <w:sz w:val="21"/>
                <w:szCs w:val="21"/>
              </w:rPr>
              <w:t>七、嵌入式电脑模块：</w:t>
            </w:r>
          </w:p>
          <w:p w14:paraId="5490E5C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1.采用模块化电脑方案，抽拉内置式，PC模块可完全插入整机，</w:t>
            </w:r>
          </w:p>
          <w:p w14:paraId="552BAD19">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2.处理器：</w:t>
            </w:r>
            <w:r>
              <w:rPr>
                <w:rFonts w:hint="eastAsia" w:ascii="宋体" w:hAnsi="宋体" w:eastAsia="宋体" w:cs="宋体"/>
                <w:color w:val="000000"/>
                <w:sz w:val="21"/>
                <w:szCs w:val="21"/>
                <w:lang w:val="en-US" w:eastAsia="zh-CN"/>
              </w:rPr>
              <w:t>主频</w:t>
            </w:r>
            <w:r>
              <w:rPr>
                <w:rFonts w:hint="eastAsia" w:ascii="宋体" w:hAnsi="宋体" w:eastAsia="宋体" w:cs="宋体"/>
                <w:i w:val="0"/>
                <w:iCs w:val="0"/>
                <w:caps w:val="0"/>
                <w:color w:val="000000"/>
                <w:spacing w:val="0"/>
                <w:sz w:val="21"/>
                <w:szCs w:val="21"/>
                <w:shd w:val="clear" w:fill="EBF1DE" w:themeFill="accent3" w:themeFillTint="32"/>
              </w:rPr>
              <w:t>不低于2.</w:t>
            </w:r>
            <w:r>
              <w:rPr>
                <w:rFonts w:hint="eastAsia" w:ascii="宋体" w:hAnsi="宋体" w:eastAsia="宋体" w:cs="宋体"/>
                <w:i w:val="0"/>
                <w:iCs w:val="0"/>
                <w:caps w:val="0"/>
                <w:color w:val="000000"/>
                <w:spacing w:val="0"/>
                <w:sz w:val="21"/>
                <w:szCs w:val="21"/>
                <w:shd w:val="clear" w:fill="EBF1DE" w:themeFill="accent3" w:themeFillTint="32"/>
                <w:lang w:val="en-US" w:eastAsia="zh-CN"/>
              </w:rPr>
              <w:t>0</w:t>
            </w:r>
            <w:r>
              <w:rPr>
                <w:rFonts w:hint="eastAsia" w:ascii="宋体" w:hAnsi="宋体" w:eastAsia="宋体" w:cs="宋体"/>
                <w:i w:val="0"/>
                <w:iCs w:val="0"/>
                <w:caps w:val="0"/>
                <w:color w:val="000000"/>
                <w:spacing w:val="0"/>
                <w:sz w:val="21"/>
                <w:szCs w:val="21"/>
                <w:shd w:val="clear" w:fill="EBF1DE" w:themeFill="accent3" w:themeFillTint="32"/>
              </w:rPr>
              <w:t>GHz</w:t>
            </w:r>
            <w:r>
              <w:rPr>
                <w:rFonts w:hint="eastAsia" w:ascii="宋体" w:hAnsi="宋体" w:eastAsia="宋体" w:cs="宋体"/>
                <w:color w:val="000000"/>
                <w:sz w:val="21"/>
                <w:szCs w:val="21"/>
              </w:rPr>
              <w:t>。</w:t>
            </w:r>
          </w:p>
          <w:p w14:paraId="2CA92E2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3.内存：16G DDR4笔记本内存或以上，内存可扩展32G。</w:t>
            </w:r>
          </w:p>
          <w:p w14:paraId="0B56EF7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4.硬盘：512G或以上SSD固态硬盘。（至少两个分区）。</w:t>
            </w:r>
          </w:p>
          <w:p w14:paraId="31EA5F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5.具有独立非外扩展的电脑USB接口，电脑上至少</w:t>
            </w:r>
            <w:r>
              <w:rPr>
                <w:rFonts w:hint="eastAsia" w:ascii="宋体" w:hAnsi="宋体" w:eastAsia="宋体" w:cs="宋体"/>
                <w:color w:val="000000"/>
                <w:sz w:val="21"/>
                <w:szCs w:val="21"/>
                <w:lang w:val="en-US" w:eastAsia="zh-CN"/>
              </w:rPr>
              <w:t>3</w:t>
            </w:r>
            <w:r>
              <w:rPr>
                <w:rFonts w:hint="eastAsia" w:ascii="宋体" w:hAnsi="宋体" w:eastAsia="宋体" w:cs="宋体"/>
                <w:color w:val="000000"/>
                <w:sz w:val="21"/>
                <w:szCs w:val="21"/>
              </w:rPr>
              <w:t>个及以上USB接口。</w:t>
            </w:r>
          </w:p>
          <w:p w14:paraId="09271596">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6.具有独立非外扩展的视频输出接口：≥1路HDMI 。</w:t>
            </w:r>
          </w:p>
          <w:p w14:paraId="7C01642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7.具有标准PC防盗锁孔，确保电脑模块安全防盗。</w:t>
            </w:r>
          </w:p>
          <w:p w14:paraId="7586B87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8.出厂预装正版中文版操作系统。</w:t>
            </w:r>
          </w:p>
          <w:p w14:paraId="50C1C51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center"/>
              <w:rPr>
                <w:rFonts w:hint="eastAsia" w:ascii="宋体" w:hAnsi="宋体" w:eastAsia="宋体" w:cs="宋体"/>
                <w:color w:val="000000"/>
                <w:sz w:val="21"/>
                <w:szCs w:val="21"/>
              </w:rPr>
            </w:pPr>
            <w:r>
              <w:rPr>
                <w:rFonts w:hint="eastAsia" w:ascii="宋体" w:hAnsi="宋体" w:eastAsia="宋体" w:cs="宋体"/>
                <w:color w:val="000000"/>
                <w:sz w:val="21"/>
                <w:szCs w:val="21"/>
              </w:rPr>
              <w:t>9.安装与集中管理控制平台相匹配的冰点还原软件。</w:t>
            </w:r>
          </w:p>
          <w:p w14:paraId="1C5B41B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rPr>
            </w:pPr>
            <w:r>
              <w:rPr>
                <w:rFonts w:hint="eastAsia" w:ascii="宋体" w:hAnsi="宋体" w:eastAsia="宋体" w:cs="宋体"/>
                <w:color w:val="000000"/>
                <w:sz w:val="21"/>
                <w:szCs w:val="21"/>
              </w:rPr>
              <w:t>10.电脑模块与互动教学终端品牌一致</w:t>
            </w:r>
          </w:p>
          <w:p w14:paraId="66FEFF1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sz w:val="21"/>
                <w:szCs w:val="21"/>
                <w:lang w:val="en-US" w:eastAsia="zh-CN"/>
              </w:rPr>
            </w:pPr>
            <w:r>
              <w:rPr>
                <w:rFonts w:hint="eastAsia" w:ascii="宋体" w:hAnsi="宋体" w:eastAsia="宋体" w:cs="宋体"/>
                <w:color w:val="000000"/>
                <w:sz w:val="21"/>
                <w:szCs w:val="21"/>
                <w:lang w:val="en-US" w:eastAsia="zh-CN"/>
              </w:rPr>
              <w:t>11.符合信创要求</w:t>
            </w:r>
          </w:p>
        </w:tc>
      </w:tr>
      <w:tr w14:paraId="6C48F3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1F84FB4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2</w:t>
            </w:r>
          </w:p>
        </w:tc>
        <w:tc>
          <w:tcPr>
            <w:tcW w:w="1289" w:type="dxa"/>
            <w:shd w:val="clear" w:color="auto" w:fill="FFFFFF"/>
            <w:vAlign w:val="center"/>
          </w:tcPr>
          <w:p w14:paraId="35F5E17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移动支架</w:t>
            </w:r>
          </w:p>
        </w:tc>
        <w:tc>
          <w:tcPr>
            <w:tcW w:w="7206" w:type="dxa"/>
            <w:vAlign w:val="center"/>
          </w:tcPr>
          <w:p w14:paraId="1C24B5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color w:val="000000"/>
                <w:kern w:val="0"/>
                <w:sz w:val="21"/>
                <w:szCs w:val="21"/>
              </w:rPr>
            </w:pPr>
            <w:r>
              <w:rPr>
                <w:rFonts w:hint="eastAsia" w:ascii="宋体" w:hAnsi="宋体" w:eastAsia="宋体" w:cs="宋体"/>
                <w:kern w:val="0"/>
                <w:sz w:val="21"/>
                <w:szCs w:val="21"/>
              </w:rPr>
              <w:t>定制</w:t>
            </w:r>
          </w:p>
        </w:tc>
      </w:tr>
      <w:tr w14:paraId="11D57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A420161">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3</w:t>
            </w:r>
          </w:p>
        </w:tc>
        <w:tc>
          <w:tcPr>
            <w:tcW w:w="1289" w:type="dxa"/>
            <w:shd w:val="clear" w:color="auto" w:fill="FFFFFF"/>
            <w:vAlign w:val="center"/>
          </w:tcPr>
          <w:p w14:paraId="7714B86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推拉绿板</w:t>
            </w:r>
          </w:p>
        </w:tc>
        <w:tc>
          <w:tcPr>
            <w:tcW w:w="7206" w:type="dxa"/>
            <w:vAlign w:val="center"/>
          </w:tcPr>
          <w:p w14:paraId="3D3FA4F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结构：双层结构，内层为两块固定书写板左右各一块，中间预留放置电子产品空间，外层为两块滑动书写板，开闭自如确保互动教学终端的安全管理，支持电子产品居中放置。滑动板与固定板安装于教学书写板外框上，当滑动板闭合时，教学书写板外框应被隐藏在滑动板与固定板后部，（闭合时）于正面观测，不可有外框外漏。</w:t>
            </w:r>
          </w:p>
          <w:p w14:paraId="6E6E228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2.尺寸：长度≥4200mm，高度可根据所配电子产品适当调整，确保与电子产品的有效配套。</w:t>
            </w:r>
          </w:p>
          <w:p w14:paraId="281389D0">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3.内板：正面左右两侧无边框设计，上下边框正面高度不超15mm，最大限度的增大书写面。内板四角应配有带弧形的ABS塑料角，降低撞伤伤害。滑动板、固定板均可在不拆除教学书写板整板的前提下，于正面单独拆卸，以便于维修/更换大屏OPS、内板。</w:t>
            </w:r>
          </w:p>
          <w:p w14:paraId="49DB0B32">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4.板面：采用金属烤漆书写板面，亚光、墨绿色，光泽度≤12光泽单位，没有因教学书写板本身原因产生的眩光，书写流畅字迹清晰、色彩协调可视效果佳，有效的缓解学生视觉疲劳；可吸附磁钉、磁片，便于教学。为确保师生健康，板面应无铅镉汞等重金属物质。</w:t>
            </w:r>
          </w:p>
          <w:p w14:paraId="37382D4A">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5.背板：采用优质镀锌钢板，机械化流水线一次成型。</w:t>
            </w:r>
          </w:p>
          <w:p w14:paraId="7B0229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6.衬板：选用高强度、吸音、防潮、阻燃聚苯乙烯板,厚度≥14mm。</w:t>
            </w:r>
          </w:p>
          <w:p w14:paraId="4B3E80AB">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7.覆板：采用自动化流水线覆板作业，避免人工作业刷胶不均导致粘贴不牢、起鼓等现象，并提供自动化流水线覆板作业证明文件。甲醛释放量≤0.2mg/L，符合GB 28231-2011《书写板安全卫生要求》。</w:t>
            </w:r>
          </w:p>
          <w:p w14:paraId="15C1E27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8.边框：采用高强度白色铝合金型材，横框规格≥35×75mmmm，立框规格≥25mm×115mm。立框应隐藏于固定板后部，以使闭合后整体性效果更美观，并从根本上解决滑动板撞击立框造成夹手及影响产品寿命的情形。横立框不可采用拼接方式以确保强度。边框应具有良好的耐磨性及耐腐蚀性，耐腐蚀性CASS 72H不得低于10级，耐磨性（落沙试验）应不低于3900g。</w:t>
            </w:r>
          </w:p>
          <w:p w14:paraId="455B5014">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9.置物：液晶屏下侧应设有置物空间，可放置粉笔、教鞭等。置物空间后部应有封堵，避免物品掉落。其下侧面向学生侧应有避免物品从前端滚落的凸起。</w:t>
            </w:r>
          </w:p>
          <w:p w14:paraId="320DC0EE">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10.滑轮：采用高精度轴承滑轮，滑轮轨道铝合金壁厚≥3mm，每块滑动板上下各4组，每组不低于3个滑轮。为确保产品耐久性，滑轮使用寿命应不低于10万次。</w:t>
            </w:r>
          </w:p>
          <w:p w14:paraId="51236558">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rPr>
              <w:t>11.包角：教学书写板边框四周应有弧形的ABS塑料，降低撞伤伤害。</w:t>
            </w:r>
          </w:p>
        </w:tc>
      </w:tr>
      <w:tr w14:paraId="6D2921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271867F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4</w:t>
            </w:r>
          </w:p>
        </w:tc>
        <w:tc>
          <w:tcPr>
            <w:tcW w:w="1289" w:type="dxa"/>
            <w:shd w:val="clear" w:color="auto" w:fill="FFFFFF"/>
            <w:vAlign w:val="center"/>
          </w:tcPr>
          <w:p w14:paraId="6B5B2AA7">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实物展台</w:t>
            </w:r>
          </w:p>
        </w:tc>
        <w:tc>
          <w:tcPr>
            <w:tcW w:w="7206" w:type="dxa"/>
            <w:vAlign w:val="center"/>
          </w:tcPr>
          <w:p w14:paraId="38666F34">
            <w:pPr>
              <w:keepNext w:val="0"/>
              <w:keepLines w:val="0"/>
              <w:pageBreakBefore w:val="0"/>
              <w:widowControl/>
              <w:shd w:val="clear" w:fill="F2DCDC" w:themeFill="accent2" w:themeFillTint="32"/>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像素：不小于</w:t>
            </w:r>
            <w:r>
              <w:rPr>
                <w:rFonts w:hint="eastAsia" w:ascii="宋体" w:hAnsi="宋体" w:eastAsia="宋体" w:cs="宋体"/>
                <w:kern w:val="0"/>
                <w:sz w:val="21"/>
                <w:szCs w:val="21"/>
              </w:rPr>
              <w:t>1000W像素</w:t>
            </w:r>
          </w:p>
          <w:p w14:paraId="0F9965EF">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kern w:val="0"/>
                <w:sz w:val="21"/>
                <w:szCs w:val="21"/>
                <w:lang w:val="en-US" w:eastAsia="zh-CN"/>
              </w:rPr>
              <w:t>对焦：</w:t>
            </w:r>
            <w:r>
              <w:rPr>
                <w:rFonts w:hint="eastAsia" w:ascii="宋体" w:hAnsi="宋体" w:eastAsia="宋体" w:cs="宋体"/>
                <w:kern w:val="0"/>
                <w:sz w:val="21"/>
                <w:szCs w:val="21"/>
              </w:rPr>
              <w:t>支持自动对焦</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支持LED补光辅助</w:t>
            </w:r>
            <w:r>
              <w:rPr>
                <w:rFonts w:hint="eastAsia" w:ascii="宋体" w:hAnsi="宋体" w:eastAsia="宋体" w:cs="宋体"/>
                <w:kern w:val="0"/>
                <w:sz w:val="21"/>
                <w:szCs w:val="21"/>
              </w:rPr>
              <w:br w:type="textWrapping"/>
            </w:r>
            <w:r>
              <w:rPr>
                <w:rFonts w:hint="eastAsia" w:ascii="宋体" w:hAnsi="宋体" w:eastAsia="宋体" w:cs="宋体"/>
                <w:kern w:val="0"/>
                <w:sz w:val="21"/>
                <w:szCs w:val="21"/>
              </w:rPr>
              <w:t>支持A3、A4及以下</w:t>
            </w:r>
          </w:p>
        </w:tc>
      </w:tr>
      <w:tr w14:paraId="7D38EB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6" w:type="dxa"/>
            <w:shd w:val="clear" w:color="auto" w:fill="auto"/>
            <w:vAlign w:val="center"/>
          </w:tcPr>
          <w:p w14:paraId="7326F7A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5</w:t>
            </w:r>
          </w:p>
        </w:tc>
        <w:tc>
          <w:tcPr>
            <w:tcW w:w="1289" w:type="dxa"/>
            <w:shd w:val="clear" w:color="auto" w:fill="FFFFFF"/>
            <w:vAlign w:val="center"/>
          </w:tcPr>
          <w:p w14:paraId="3DE1413C">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center"/>
              <w:textAlignment w:val="center"/>
              <w:rPr>
                <w:rFonts w:hint="eastAsia" w:ascii="宋体" w:hAnsi="宋体" w:eastAsia="宋体" w:cs="宋体"/>
                <w:kern w:val="0"/>
                <w:sz w:val="21"/>
                <w:szCs w:val="21"/>
              </w:rPr>
            </w:pPr>
            <w:r>
              <w:rPr>
                <w:rFonts w:hint="eastAsia" w:ascii="宋体" w:hAnsi="宋体" w:eastAsia="宋体" w:cs="宋体"/>
                <w:kern w:val="0"/>
                <w:sz w:val="21"/>
                <w:szCs w:val="21"/>
              </w:rPr>
              <w:t>集成费</w:t>
            </w:r>
          </w:p>
        </w:tc>
        <w:tc>
          <w:tcPr>
            <w:tcW w:w="7206" w:type="dxa"/>
            <w:vAlign w:val="center"/>
          </w:tcPr>
          <w:p w14:paraId="612CC29D">
            <w:pPr>
              <w:keepNext w:val="0"/>
              <w:keepLines w:val="0"/>
              <w:pageBreakBefore w:val="0"/>
              <w:widowControl/>
              <w:kinsoku/>
              <w:wordWrap/>
              <w:overflowPunct/>
              <w:topLinePunct w:val="0"/>
              <w:autoSpaceDE/>
              <w:autoSpaceDN/>
              <w:bidi w:val="0"/>
              <w:adjustRightInd w:val="0"/>
              <w:snapToGrid w:val="0"/>
              <w:spacing w:line="300" w:lineRule="atLeast"/>
              <w:ind w:left="0" w:firstLine="0" w:firstLineChars="0"/>
              <w:jc w:val="left"/>
              <w:textAlignment w:val="top"/>
              <w:rPr>
                <w:rFonts w:hint="eastAsia" w:ascii="宋体" w:hAnsi="宋体" w:eastAsia="宋体" w:cs="宋体"/>
                <w:kern w:val="0"/>
                <w:sz w:val="21"/>
                <w:szCs w:val="21"/>
              </w:rPr>
            </w:pPr>
            <w:r>
              <w:rPr>
                <w:rFonts w:hint="eastAsia" w:ascii="宋体" w:hAnsi="宋体" w:eastAsia="宋体" w:cs="宋体"/>
                <w:color w:val="000000"/>
                <w:kern w:val="0"/>
                <w:sz w:val="21"/>
                <w:szCs w:val="21"/>
              </w:rPr>
              <w:t>定制</w:t>
            </w:r>
          </w:p>
        </w:tc>
      </w:tr>
    </w:tbl>
    <w:p w14:paraId="308DF2F1">
      <w:pPr>
        <w:widowControl/>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（1）</w:t>
      </w:r>
      <w:r>
        <w:rPr>
          <w:rFonts w:hint="eastAsia" w:ascii="宋体" w:hAnsi="宋体" w:cs="宋体"/>
          <w:b/>
          <w:bCs/>
          <w:kern w:val="0"/>
          <w:sz w:val="24"/>
          <w:lang w:bidi="ar"/>
        </w:rPr>
        <w:t>本项目所含软件要求永久授权、可永久免费更新升级。</w:t>
      </w:r>
    </w:p>
    <w:p w14:paraId="48783DF4">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▲（2）</w:t>
      </w:r>
      <w:r>
        <w:rPr>
          <w:rFonts w:hint="eastAsia" w:ascii="宋体" w:hAnsi="宋体" w:cs="宋体"/>
          <w:b/>
          <w:bCs/>
          <w:kern w:val="0"/>
          <w:sz w:val="24"/>
          <w:lang w:bidi="ar"/>
        </w:rPr>
        <w:t>本项目设备如属于 《节能产品政府采购品目清单》中政府强制采购产品的，必须提供有效期之内的节能产品认证证书或规定网站证书查询截图，否则将作为无效标处理。</w:t>
      </w:r>
    </w:p>
    <w:p w14:paraId="5154FC5D">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（3）</w:t>
      </w:r>
      <w:r>
        <w:rPr>
          <w:rFonts w:hint="eastAsia" w:ascii="宋体" w:hAnsi="宋体" w:cs="宋体"/>
          <w:b/>
          <w:bCs/>
          <w:kern w:val="0"/>
          <w:sz w:val="24"/>
          <w:lang w:bidi="ar"/>
        </w:rPr>
        <w:t>本项目的核心产品：六类UTP双绞线、核心交换机、汇聚交换机、高清录播主机、监控摄像机、硬盘录像机、广播主机、互动教学终端、视频显示系统、报告厅音箱功放。</w:t>
      </w:r>
    </w:p>
    <w:p w14:paraId="1C5DAEC6">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（4）</w:t>
      </w:r>
      <w:r>
        <w:rPr>
          <w:rFonts w:hint="eastAsia" w:ascii="宋体" w:hAnsi="宋体" w:cs="宋体"/>
          <w:b/>
          <w:bCs/>
          <w:kern w:val="0"/>
          <w:sz w:val="24"/>
          <w:lang w:bidi="ar"/>
        </w:rPr>
        <w:t>签订合同时必须提供本项目核心产品的生产厂家对本项目设备三年原厂质保的承诺书及授权书原件（如不提供，采购人有权取消其中标资格）。</w:t>
      </w:r>
    </w:p>
    <w:p w14:paraId="647379D0">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kern w:val="0"/>
          <w:sz w:val="24"/>
          <w:lang w:bidi="ar"/>
        </w:rPr>
      </w:pPr>
      <w:r>
        <w:rPr>
          <w:rFonts w:hint="eastAsia" w:ascii="宋体" w:hAnsi="宋体" w:cs="宋体"/>
          <w:b/>
          <w:bCs/>
          <w:sz w:val="24"/>
        </w:rPr>
        <w:t>（5）签订合同时必须提供生产厂家对本项目综合布线系统十五年质保的承诺书及授权书原件</w:t>
      </w:r>
      <w:r>
        <w:rPr>
          <w:rFonts w:hint="eastAsia" w:ascii="宋体" w:hAnsi="宋体" w:cs="宋体"/>
          <w:b/>
          <w:bCs/>
          <w:kern w:val="0"/>
          <w:sz w:val="24"/>
          <w:lang w:bidi="ar"/>
        </w:rPr>
        <w:t>。</w:t>
      </w:r>
    </w:p>
    <w:p w14:paraId="0E2E5C2D">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b/>
          <w:bCs/>
          <w:sz w:val="24"/>
        </w:rPr>
      </w:pPr>
      <w:r>
        <w:rPr>
          <w:rFonts w:hint="eastAsia" w:ascii="宋体" w:hAnsi="宋体" w:cs="宋体"/>
          <w:b/>
          <w:bCs/>
          <w:sz w:val="24"/>
        </w:rPr>
        <w:t>（</w:t>
      </w:r>
      <w:r>
        <w:rPr>
          <w:rFonts w:hint="eastAsia" w:ascii="宋体" w:hAnsi="宋体" w:cs="宋体"/>
          <w:b/>
          <w:bCs/>
          <w:sz w:val="24"/>
          <w:lang w:val="en-US" w:eastAsia="zh-CN"/>
        </w:rPr>
        <w:t>6</w:t>
      </w:r>
      <w:r>
        <w:rPr>
          <w:rFonts w:hint="eastAsia" w:ascii="宋体" w:hAnsi="宋体" w:cs="宋体"/>
          <w:b/>
          <w:bCs/>
          <w:sz w:val="24"/>
        </w:rPr>
        <w:t>）本项目无线设备要求接入桐庐校园无线网络统一管理平台，实现无线用户统一管理和统一认证，</w:t>
      </w:r>
      <w:r>
        <w:rPr>
          <w:rFonts w:hint="eastAsia" w:ascii="宋体" w:hAnsi="宋体" w:cs="宋体"/>
          <w:b/>
          <w:bCs/>
          <w:kern w:val="0"/>
          <w:sz w:val="24"/>
          <w:lang w:bidi="ar"/>
        </w:rPr>
        <w:t>所投无线网络设备的生产厂家须提供相关证明文件或承诺</w:t>
      </w:r>
      <w:r>
        <w:rPr>
          <w:rFonts w:hint="eastAsia" w:ascii="宋体" w:hAnsi="宋体" w:cs="宋体"/>
          <w:b/>
          <w:bCs/>
          <w:sz w:val="24"/>
        </w:rPr>
        <w:t>。</w:t>
      </w:r>
    </w:p>
    <w:p w14:paraId="4CC88C93">
      <w:pPr>
        <w:pStyle w:val="841"/>
        <w:keepNext w:val="0"/>
        <w:keepLines w:val="0"/>
        <w:pageBreakBefore w:val="0"/>
        <w:kinsoku/>
        <w:wordWrap/>
        <w:overflowPunct/>
        <w:topLinePunct w:val="0"/>
        <w:autoSpaceDE/>
        <w:autoSpaceDN/>
        <w:bidi w:val="0"/>
        <w:adjustRightInd w:val="0"/>
        <w:spacing w:line="360" w:lineRule="auto"/>
        <w:rPr>
          <w:rFonts w:hint="default" w:ascii="宋体" w:hAnsi="宋体" w:eastAsia="宋体" w:cs="宋体"/>
          <w:b/>
          <w:bCs/>
          <w:sz w:val="24"/>
          <w:lang w:val="en-US" w:eastAsia="zh-CN"/>
        </w:rPr>
      </w:pPr>
      <w:r>
        <w:rPr>
          <w:rFonts w:hint="eastAsia" w:ascii="宋体" w:hAnsi="宋体" w:eastAsia="宋体" w:cs="宋体"/>
          <w:b/>
          <w:bCs/>
          <w:kern w:val="2"/>
          <w:sz w:val="24"/>
          <w:szCs w:val="24"/>
          <w:lang w:val="en-US" w:eastAsia="zh-CN" w:bidi="ar-SA"/>
        </w:rPr>
        <w:t>验收时要求提供综合布线系统福禄克测试报告。</w:t>
      </w:r>
    </w:p>
    <w:p w14:paraId="56B86A6A">
      <w:pPr>
        <w:keepNext w:val="0"/>
        <w:keepLines w:val="0"/>
        <w:pageBreakBefore w:val="0"/>
        <w:widowControl/>
        <w:kinsoku/>
        <w:wordWrap/>
        <w:overflowPunct/>
        <w:topLinePunct w:val="0"/>
        <w:autoSpaceDE/>
        <w:autoSpaceDN/>
        <w:bidi w:val="0"/>
        <w:adjustRightInd w:val="0"/>
        <w:snapToGrid w:val="0"/>
        <w:spacing w:line="360" w:lineRule="auto"/>
        <w:ind w:firstLine="482" w:firstLineChars="200"/>
        <w:textAlignment w:val="center"/>
        <w:rPr>
          <w:rFonts w:hint="eastAsia" w:ascii="宋体" w:hAnsi="宋体" w:cs="宋体"/>
          <w:kern w:val="0"/>
          <w:sz w:val="24"/>
          <w:lang w:bidi="ar"/>
        </w:rPr>
      </w:pPr>
      <w:r>
        <w:rPr>
          <w:rFonts w:hint="eastAsia" w:ascii="宋体" w:hAnsi="宋体" w:cs="宋体"/>
          <w:b/>
          <w:bCs/>
          <w:sz w:val="24"/>
        </w:rPr>
        <w:t>（</w:t>
      </w:r>
      <w:r>
        <w:rPr>
          <w:rFonts w:hint="eastAsia" w:ascii="宋体" w:hAnsi="宋体" w:cs="宋体"/>
          <w:b/>
          <w:bCs/>
          <w:sz w:val="24"/>
          <w:lang w:val="en-US" w:eastAsia="zh-CN"/>
        </w:rPr>
        <w:t>7</w:t>
      </w:r>
      <w:r>
        <w:rPr>
          <w:rFonts w:hint="eastAsia" w:ascii="宋体" w:hAnsi="宋体" w:cs="宋体"/>
          <w:b/>
          <w:bCs/>
          <w:sz w:val="24"/>
        </w:rPr>
        <w:t>）</w:t>
      </w:r>
      <w:r>
        <w:rPr>
          <w:rFonts w:hint="eastAsia" w:ascii="宋体" w:hAnsi="宋体" w:cs="宋体"/>
          <w:b/>
          <w:bCs/>
          <w:kern w:val="0"/>
          <w:sz w:val="24"/>
          <w:lang w:bidi="ar"/>
        </w:rPr>
        <w:t>所供物品具体数量，根据学校需求按实结算。</w:t>
      </w:r>
    </w:p>
    <w:p w14:paraId="1519299D">
      <w:pPr>
        <w:snapToGrid w:val="0"/>
        <w:spacing w:line="360" w:lineRule="auto"/>
        <w:outlineLvl w:val="0"/>
        <w:rPr>
          <w:rFonts w:hint="eastAsia" w:ascii="宋体" w:hAnsi="宋体"/>
          <w:b/>
          <w:sz w:val="28"/>
          <w:szCs w:val="28"/>
        </w:rPr>
      </w:pPr>
      <w:r>
        <w:rPr>
          <w:rFonts w:hint="eastAsia" w:ascii="宋体" w:hAnsi="宋体"/>
          <w:b/>
          <w:sz w:val="28"/>
          <w:szCs w:val="28"/>
        </w:rPr>
        <w:t>三、质量与服务要求</w:t>
      </w:r>
    </w:p>
    <w:p w14:paraId="66574577">
      <w:pPr>
        <w:pStyle w:val="840"/>
        <w:spacing w:line="360" w:lineRule="auto"/>
        <w:rPr>
          <w:rFonts w:hint="eastAsia" w:ascii="宋体" w:hAnsi="宋体" w:eastAsia="宋体" w:cs="宋体"/>
          <w:kern w:val="2"/>
        </w:rPr>
      </w:pPr>
      <w:r>
        <w:rPr>
          <w:rFonts w:hint="eastAsia" w:ascii="宋体" w:hAnsi="宋体" w:eastAsia="宋体" w:cs="宋体"/>
          <w:kern w:val="2"/>
        </w:rPr>
        <w:t>（1）中标人必须对货物提供终身维修维护服务并负责售后服务，所有产品要求提供≥3年原厂质保。</w:t>
      </w:r>
    </w:p>
    <w:p w14:paraId="4913D7ED">
      <w:pPr>
        <w:pStyle w:val="840"/>
        <w:spacing w:line="360" w:lineRule="auto"/>
        <w:rPr>
          <w:rFonts w:hint="eastAsia" w:ascii="宋体" w:hAnsi="宋体" w:eastAsia="宋体" w:cs="宋体"/>
          <w:kern w:val="2"/>
        </w:rPr>
      </w:pPr>
      <w:r>
        <w:rPr>
          <w:rFonts w:hint="eastAsia" w:ascii="宋体" w:hAnsi="宋体" w:eastAsia="宋体" w:cs="宋体"/>
          <w:kern w:val="2"/>
        </w:rPr>
        <w:t>在质保期内，供应商应提供不低于5*8小时的现场质保和技术支持服务，对故障在2小时内响应，3小时以内解决问题；不能当场修复的，必须采取提供备品、备件或备机等措施，以保证采购单位的正常使用。如果逾期未作出响应，供应商应承担由于故障所造成的全部损失。</w:t>
      </w:r>
    </w:p>
    <w:p w14:paraId="19036C7C">
      <w:pPr>
        <w:pStyle w:val="840"/>
        <w:spacing w:line="360" w:lineRule="auto"/>
        <w:rPr>
          <w:rFonts w:hint="eastAsia" w:ascii="宋体" w:hAnsi="宋体" w:eastAsia="宋体" w:cs="宋体"/>
          <w:kern w:val="2"/>
        </w:rPr>
      </w:pPr>
      <w:r>
        <w:rPr>
          <w:rFonts w:hint="eastAsia" w:ascii="宋体" w:hAnsi="宋体" w:eastAsia="宋体" w:cs="宋体"/>
          <w:kern w:val="2"/>
        </w:rPr>
        <w:t>质保期内所有因更换或修理设备或部件而导致设备停止运行的时间应从其质保期内扣除。</w:t>
      </w:r>
    </w:p>
    <w:p w14:paraId="588D82D0">
      <w:pPr>
        <w:pStyle w:val="840"/>
        <w:spacing w:line="360" w:lineRule="auto"/>
        <w:rPr>
          <w:rFonts w:hint="eastAsia" w:ascii="宋体" w:hAnsi="宋体" w:eastAsia="宋体" w:cs="宋体"/>
          <w:kern w:val="2"/>
        </w:rPr>
      </w:pPr>
      <w:r>
        <w:rPr>
          <w:rFonts w:hint="eastAsia" w:ascii="宋体" w:hAnsi="宋体" w:eastAsia="宋体" w:cs="宋体"/>
          <w:kern w:val="2"/>
        </w:rPr>
        <w:t>供应商必须为维修和技术支持所未能解决的问题和故障提供正式的升级方案。</w:t>
      </w:r>
    </w:p>
    <w:p w14:paraId="57A3A48E">
      <w:pPr>
        <w:pStyle w:val="840"/>
        <w:spacing w:line="360" w:lineRule="auto"/>
        <w:rPr>
          <w:rFonts w:hint="eastAsia" w:ascii="宋体" w:hAnsi="宋体" w:eastAsia="宋体" w:cs="宋体"/>
          <w:kern w:val="2"/>
        </w:rPr>
      </w:pPr>
      <w:r>
        <w:rPr>
          <w:rFonts w:hint="eastAsia" w:ascii="宋体" w:hAnsi="宋体" w:eastAsia="宋体" w:cs="宋体"/>
          <w:kern w:val="2"/>
        </w:rPr>
        <w:t>在质保期内，供应商有责任解决所提供的投标设备和软件系统的任何问题，在质保期满后，当需要时，供应商仍须对因投标设备本身的固有缺陷和瑕疵承担相应责任。</w:t>
      </w:r>
    </w:p>
    <w:p w14:paraId="6263F5BE">
      <w:pPr>
        <w:widowControl/>
        <w:adjustRightInd/>
        <w:spacing w:line="360" w:lineRule="auto"/>
        <w:ind w:firstLine="480" w:firstLineChars="200"/>
        <w:textAlignment w:val="center"/>
        <w:rPr>
          <w:rFonts w:hint="eastAsia" w:ascii="宋体" w:hAnsi="宋体" w:cs="宋体"/>
          <w:sz w:val="24"/>
        </w:rPr>
      </w:pPr>
      <w:r>
        <w:rPr>
          <w:rFonts w:hint="eastAsia" w:ascii="宋体" w:hAnsi="宋体" w:cs="宋体"/>
          <w:sz w:val="24"/>
        </w:rPr>
        <w:t>（2）完成安装后试运行一个月，各项功能和性能符合采购要求和相关建设标准，然后组织验收。项目验收前提供竣工资料，内容至少包括：</w:t>
      </w:r>
    </w:p>
    <w:p w14:paraId="356B230A">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设计方案、项目实施计划</w:t>
      </w:r>
    </w:p>
    <w:p w14:paraId="4E26DC65">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试运行报告</w:t>
      </w:r>
    </w:p>
    <w:p w14:paraId="6916FD42">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设备签收单</w:t>
      </w:r>
    </w:p>
    <w:p w14:paraId="7DE2BDE8">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结算单</w:t>
      </w:r>
    </w:p>
    <w:p w14:paraId="02F6A0F8">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用户使用手册</w:t>
      </w:r>
    </w:p>
    <w:p w14:paraId="52F5209B">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设备的ip地址、MAC地址、账号、密码及配置</w:t>
      </w:r>
    </w:p>
    <w:p w14:paraId="64232039">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设备序列号、原厂质保证明材料</w:t>
      </w:r>
    </w:p>
    <w:p w14:paraId="3AC238D9">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系统图、拓扑图</w:t>
      </w:r>
    </w:p>
    <w:p w14:paraId="236B60FE">
      <w:pPr>
        <w:pStyle w:val="840"/>
        <w:numPr>
          <w:ilvl w:val="0"/>
          <w:numId w:val="5"/>
        </w:numPr>
        <w:spacing w:line="360" w:lineRule="auto"/>
        <w:ind w:firstLine="480"/>
        <w:rPr>
          <w:rFonts w:hint="eastAsia" w:ascii="宋体" w:hAnsi="宋体" w:eastAsia="宋体" w:cs="宋体"/>
          <w:kern w:val="2"/>
        </w:rPr>
      </w:pPr>
      <w:r>
        <w:rPr>
          <w:rFonts w:hint="eastAsia" w:ascii="宋体" w:hAnsi="宋体" w:eastAsia="宋体" w:cs="宋体"/>
          <w:kern w:val="2"/>
        </w:rPr>
        <w:t>主要场地和设备照片（要求彩色打印）</w:t>
      </w:r>
    </w:p>
    <w:p w14:paraId="0475F896">
      <w:pPr>
        <w:pStyle w:val="840"/>
        <w:numPr>
          <w:ilvl w:val="0"/>
          <w:numId w:val="5"/>
        </w:numPr>
        <w:spacing w:line="360" w:lineRule="auto"/>
        <w:ind w:firstLine="480"/>
      </w:pPr>
      <w:r>
        <w:rPr>
          <w:rFonts w:hint="eastAsia" w:ascii="宋体" w:hAnsi="宋体" w:eastAsia="宋体" w:cs="宋体"/>
          <w:kern w:val="2"/>
        </w:rPr>
        <w:t>授权质保函</w:t>
      </w:r>
    </w:p>
    <w:p w14:paraId="08F7BDEB">
      <w:pPr>
        <w:snapToGrid w:val="0"/>
        <w:spacing w:line="360" w:lineRule="auto"/>
        <w:outlineLvl w:val="0"/>
        <w:rPr>
          <w:rFonts w:hint="eastAsia" w:ascii="宋体" w:hAnsi="宋体"/>
          <w:b/>
          <w:sz w:val="28"/>
          <w:szCs w:val="28"/>
        </w:rPr>
      </w:pPr>
      <w:r>
        <w:rPr>
          <w:rFonts w:hint="eastAsia" w:ascii="宋体" w:hAnsi="宋体"/>
          <w:b/>
          <w:sz w:val="28"/>
          <w:szCs w:val="28"/>
        </w:rPr>
        <w:t>三、交货期、履约保证金、付款方式</w:t>
      </w:r>
    </w:p>
    <w:p w14:paraId="35ED9CB0">
      <w:pPr>
        <w:pStyle w:val="840"/>
        <w:spacing w:line="360" w:lineRule="auto"/>
        <w:rPr>
          <w:rFonts w:hint="eastAsia" w:ascii="宋体" w:hAnsi="宋体" w:eastAsia="宋体" w:cs="宋体"/>
          <w:kern w:val="2"/>
        </w:rPr>
      </w:pPr>
      <w:r>
        <w:rPr>
          <w:rFonts w:hint="eastAsia" w:ascii="宋体" w:hAnsi="宋体" w:eastAsia="宋体" w:cs="宋体"/>
          <w:kern w:val="2"/>
        </w:rPr>
        <w:t>（1）交货期：</w:t>
      </w:r>
      <w:r>
        <w:rPr>
          <w:rFonts w:hint="eastAsia" w:ascii="宋体" w:hAnsi="宋体" w:eastAsia="宋体" w:cs="宋体"/>
          <w:kern w:val="2"/>
          <w:u w:val="single"/>
        </w:rPr>
        <w:t>合同签订后60天完成供货安装调试。</w:t>
      </w:r>
    </w:p>
    <w:p w14:paraId="13FA102D">
      <w:pPr>
        <w:pStyle w:val="840"/>
        <w:spacing w:line="360" w:lineRule="auto"/>
        <w:rPr>
          <w:rFonts w:hint="eastAsia" w:ascii="宋体" w:hAnsi="宋体" w:eastAsia="宋体" w:cs="宋体"/>
          <w:kern w:val="2"/>
        </w:rPr>
      </w:pPr>
      <w:r>
        <w:rPr>
          <w:rFonts w:hint="eastAsia" w:ascii="宋体" w:hAnsi="宋体" w:eastAsia="宋体" w:cs="宋体"/>
          <w:kern w:val="2"/>
        </w:rPr>
        <w:t>（2）履约保证金：签订合同时，中标人缴纳合同价的0.1%作为履约保证金，验收合格后无息退还。履约保证金可以以保函形式提交。</w:t>
      </w:r>
    </w:p>
    <w:p w14:paraId="01A7E49D">
      <w:pPr>
        <w:pStyle w:val="840"/>
        <w:spacing w:line="360" w:lineRule="auto"/>
        <w:rPr>
          <w:rFonts w:hint="eastAsia" w:ascii="宋体" w:hAnsi="宋体" w:eastAsia="宋体" w:cs="宋体"/>
          <w:kern w:val="2"/>
        </w:rPr>
      </w:pPr>
      <w:r>
        <w:rPr>
          <w:rFonts w:hint="eastAsia" w:ascii="宋体" w:hAnsi="宋体" w:eastAsia="宋体" w:cs="宋体"/>
          <w:kern w:val="2"/>
        </w:rPr>
        <w:t>（3）</w:t>
      </w:r>
      <w:r>
        <w:rPr>
          <w:rFonts w:ascii="宋体" w:hAnsi="宋体" w:eastAsia="宋体" w:cs="宋体"/>
          <w:kern w:val="2"/>
        </w:rPr>
        <w:t>付款方式：</w:t>
      </w:r>
      <w:r>
        <w:rPr>
          <w:rFonts w:hint="eastAsia" w:ascii="宋体" w:hAnsi="宋体" w:eastAsia="宋体" w:cs="宋体"/>
          <w:kern w:val="2"/>
        </w:rPr>
        <w:t>项目合同签订后并具备实施条件</w:t>
      </w:r>
      <w:r>
        <w:rPr>
          <w:rFonts w:ascii="宋体" w:hAnsi="宋体" w:eastAsia="宋体" w:cs="宋体"/>
          <w:kern w:val="2"/>
        </w:rPr>
        <w:t>7个工件日内，支付项目合同价</w:t>
      </w:r>
      <w:r>
        <w:rPr>
          <w:rFonts w:hint="eastAsia" w:ascii="宋体" w:hAnsi="宋体" w:eastAsia="宋体" w:cs="宋体"/>
          <w:kern w:val="2"/>
        </w:rPr>
        <w:t>6</w:t>
      </w:r>
      <w:r>
        <w:rPr>
          <w:rFonts w:ascii="宋体" w:hAnsi="宋体" w:eastAsia="宋体" w:cs="宋体"/>
          <w:kern w:val="2"/>
        </w:rPr>
        <w:t>0%的预付款，项目全部交付并验收合格后支付项目余下款项。（注：中标人向采购人提交银行、保险公司等金融机构出具的预付款保函或其他担保措施。）</w:t>
      </w:r>
    </w:p>
    <w:p w14:paraId="25919F14">
      <w:pPr>
        <w:adjustRightInd/>
        <w:spacing w:line="360" w:lineRule="auto"/>
        <w:jc w:val="center"/>
        <w:rPr>
          <w:rFonts w:hint="eastAsia" w:ascii="宋体" w:hAnsi="宋体" w:cs="宋体"/>
          <w:b/>
          <w:sz w:val="36"/>
          <w:szCs w:val="36"/>
        </w:rPr>
      </w:pPr>
    </w:p>
    <w:p w14:paraId="1A990278">
      <w:pPr>
        <w:rPr>
          <w:rFonts w:hint="eastAsia" w:ascii="宋体" w:hAnsi="宋体" w:cs="宋体"/>
        </w:rPr>
      </w:pPr>
    </w:p>
    <w:p w14:paraId="42E7269E">
      <w:pPr>
        <w:rPr>
          <w:rFonts w:hint="eastAsia" w:ascii="宋体" w:hAnsi="宋体" w:cs="宋体"/>
        </w:rPr>
      </w:pPr>
    </w:p>
    <w:p w14:paraId="57CE9C4E">
      <w:pPr>
        <w:rPr>
          <w:rFonts w:hint="eastAsia" w:ascii="宋体" w:hAnsi="宋体" w:cs="宋体"/>
        </w:rPr>
      </w:pPr>
    </w:p>
    <w:p w14:paraId="17F7CA6D">
      <w:pPr>
        <w:adjustRightInd/>
        <w:jc w:val="center"/>
        <w:rPr>
          <w:rFonts w:hint="eastAsia" w:ascii="宋体" w:hAnsi="宋体" w:cs="宋体"/>
          <w:b/>
          <w:sz w:val="24"/>
          <w:lang w:val="zh-CN"/>
        </w:rPr>
      </w:pPr>
      <w:r>
        <w:rPr>
          <w:rFonts w:hint="eastAsia" w:ascii="宋体" w:hAnsi="宋体" w:cs="宋体"/>
          <w:b/>
          <w:sz w:val="36"/>
          <w:szCs w:val="36"/>
        </w:rPr>
        <w:t xml:space="preserve">第四部分   </w:t>
      </w:r>
      <w:bookmarkStart w:id="21" w:name="_Toc184312114"/>
      <w:bookmarkEnd w:id="21"/>
      <w:bookmarkStart w:id="22" w:name="_Toc184313267"/>
      <w:bookmarkEnd w:id="22"/>
      <w:bookmarkStart w:id="23" w:name="_Toc184312132"/>
      <w:bookmarkEnd w:id="23"/>
      <w:bookmarkStart w:id="24" w:name="_Toc184308078"/>
      <w:bookmarkEnd w:id="24"/>
      <w:bookmarkStart w:id="25" w:name="_Toc184312098"/>
      <w:bookmarkEnd w:id="25"/>
      <w:bookmarkStart w:id="26" w:name="_Toc184310281"/>
      <w:bookmarkEnd w:id="26"/>
      <w:bookmarkStart w:id="27" w:name="_Toc184314414"/>
      <w:bookmarkEnd w:id="27"/>
      <w:bookmarkStart w:id="28" w:name="_Toc184310314"/>
      <w:bookmarkEnd w:id="28"/>
      <w:bookmarkStart w:id="29" w:name="_Toc184308073"/>
      <w:bookmarkEnd w:id="29"/>
      <w:bookmarkStart w:id="30" w:name="_Toc184313269"/>
      <w:bookmarkEnd w:id="30"/>
      <w:bookmarkStart w:id="31" w:name="_Toc184310274"/>
      <w:bookmarkEnd w:id="31"/>
      <w:bookmarkStart w:id="32" w:name="_Toc184308096"/>
      <w:bookmarkEnd w:id="32"/>
      <w:bookmarkStart w:id="33" w:name="_Toc184312111"/>
      <w:bookmarkEnd w:id="33"/>
      <w:bookmarkStart w:id="34" w:name="_Toc184312072"/>
      <w:bookmarkEnd w:id="34"/>
      <w:bookmarkStart w:id="35" w:name="_Toc184313303"/>
      <w:bookmarkEnd w:id="35"/>
      <w:bookmarkStart w:id="36" w:name="_Toc184314433"/>
      <w:bookmarkEnd w:id="36"/>
      <w:bookmarkStart w:id="37" w:name="_Toc184308084"/>
      <w:bookmarkEnd w:id="37"/>
      <w:bookmarkStart w:id="38" w:name="_Toc184310327"/>
      <w:bookmarkEnd w:id="38"/>
      <w:bookmarkStart w:id="39" w:name="_Toc184313253"/>
      <w:bookmarkEnd w:id="39"/>
      <w:bookmarkStart w:id="40" w:name="_Toc184314421"/>
      <w:bookmarkEnd w:id="40"/>
      <w:bookmarkStart w:id="41" w:name="_Toc184310313"/>
      <w:bookmarkEnd w:id="41"/>
      <w:bookmarkStart w:id="42" w:name="_Toc184312125"/>
      <w:bookmarkEnd w:id="42"/>
      <w:bookmarkStart w:id="43" w:name="_Toc184314452"/>
      <w:bookmarkEnd w:id="43"/>
      <w:bookmarkStart w:id="44" w:name="_Toc184310323"/>
      <w:bookmarkEnd w:id="44"/>
      <w:bookmarkStart w:id="45" w:name="_Toc184312127"/>
      <w:bookmarkEnd w:id="45"/>
      <w:bookmarkStart w:id="46" w:name="_Toc184314479"/>
      <w:bookmarkEnd w:id="46"/>
      <w:bookmarkStart w:id="47" w:name="_Toc184308077"/>
      <w:bookmarkEnd w:id="47"/>
      <w:bookmarkStart w:id="48" w:name="_Toc184313277"/>
      <w:bookmarkEnd w:id="48"/>
      <w:bookmarkStart w:id="49" w:name="_Toc184308053"/>
      <w:bookmarkEnd w:id="49"/>
      <w:bookmarkStart w:id="50" w:name="_Toc184308044"/>
      <w:bookmarkEnd w:id="50"/>
      <w:bookmarkStart w:id="51" w:name="_Toc184310342"/>
      <w:bookmarkEnd w:id="51"/>
      <w:bookmarkStart w:id="52" w:name="_Toc184308039"/>
      <w:bookmarkEnd w:id="52"/>
      <w:bookmarkStart w:id="53" w:name="_Toc184313298"/>
      <w:bookmarkEnd w:id="53"/>
      <w:bookmarkStart w:id="54" w:name="_Toc184314480"/>
      <w:bookmarkEnd w:id="54"/>
      <w:bookmarkStart w:id="55" w:name="_Toc184312080"/>
      <w:bookmarkEnd w:id="55"/>
      <w:bookmarkStart w:id="56" w:name="_Toc184313286"/>
      <w:bookmarkEnd w:id="56"/>
      <w:bookmarkStart w:id="57" w:name="_Toc184308081"/>
      <w:bookmarkEnd w:id="57"/>
      <w:bookmarkStart w:id="58" w:name="_Toc184310329"/>
      <w:bookmarkEnd w:id="58"/>
      <w:bookmarkStart w:id="59" w:name="_Toc184314467"/>
      <w:bookmarkEnd w:id="59"/>
      <w:bookmarkStart w:id="60" w:name="_Toc184312083"/>
      <w:bookmarkEnd w:id="60"/>
      <w:bookmarkStart w:id="61" w:name="_Toc184312131"/>
      <w:bookmarkEnd w:id="61"/>
      <w:bookmarkStart w:id="62" w:name="_Toc184310337"/>
      <w:bookmarkEnd w:id="62"/>
      <w:bookmarkStart w:id="63" w:name="_Toc184312118"/>
      <w:bookmarkEnd w:id="63"/>
      <w:bookmarkStart w:id="64" w:name="_Toc184314443"/>
      <w:bookmarkEnd w:id="64"/>
      <w:bookmarkStart w:id="65" w:name="_Toc184308104"/>
      <w:bookmarkEnd w:id="65"/>
      <w:bookmarkStart w:id="66" w:name="_Toc184313260"/>
      <w:bookmarkEnd w:id="66"/>
      <w:bookmarkStart w:id="67" w:name="_Toc184312094"/>
      <w:bookmarkEnd w:id="67"/>
      <w:bookmarkStart w:id="68" w:name="_Toc184314424"/>
      <w:bookmarkEnd w:id="68"/>
      <w:bookmarkStart w:id="69" w:name="_Toc184314430"/>
      <w:bookmarkEnd w:id="69"/>
      <w:bookmarkStart w:id="70" w:name="_Toc184314441"/>
      <w:bookmarkEnd w:id="70"/>
      <w:bookmarkStart w:id="71" w:name="_Toc184313309"/>
      <w:bookmarkEnd w:id="71"/>
      <w:bookmarkStart w:id="72" w:name="_Toc184313279"/>
      <w:bookmarkEnd w:id="72"/>
      <w:bookmarkStart w:id="73" w:name="_Toc184312081"/>
      <w:bookmarkEnd w:id="73"/>
      <w:bookmarkStart w:id="74" w:name="_Toc184308107"/>
      <w:bookmarkEnd w:id="74"/>
      <w:bookmarkStart w:id="75" w:name="_Toc184308057"/>
      <w:bookmarkEnd w:id="75"/>
      <w:bookmarkStart w:id="76" w:name="_Toc184312119"/>
      <w:bookmarkEnd w:id="76"/>
      <w:bookmarkStart w:id="77" w:name="_Toc184308082"/>
      <w:bookmarkEnd w:id="77"/>
      <w:bookmarkStart w:id="78" w:name="_Toc184308094"/>
      <w:bookmarkEnd w:id="78"/>
      <w:bookmarkStart w:id="79" w:name="_Toc184310317"/>
      <w:bookmarkEnd w:id="79"/>
      <w:bookmarkStart w:id="80" w:name="_Toc184310303"/>
      <w:bookmarkEnd w:id="80"/>
      <w:bookmarkStart w:id="81" w:name="_Toc184313276"/>
      <w:bookmarkEnd w:id="81"/>
      <w:bookmarkStart w:id="82" w:name="_Toc184310289"/>
      <w:bookmarkEnd w:id="82"/>
      <w:bookmarkStart w:id="83" w:name="_Toc184314472"/>
      <w:bookmarkEnd w:id="83"/>
      <w:bookmarkStart w:id="84" w:name="_Toc184312123"/>
      <w:bookmarkEnd w:id="84"/>
      <w:bookmarkStart w:id="85" w:name="_Toc184314476"/>
      <w:bookmarkEnd w:id="85"/>
      <w:bookmarkStart w:id="86" w:name="_Toc184314428"/>
      <w:bookmarkEnd w:id="86"/>
      <w:bookmarkStart w:id="87" w:name="_Toc184313252"/>
      <w:bookmarkEnd w:id="87"/>
      <w:bookmarkStart w:id="88" w:name="_Toc184312106"/>
      <w:bookmarkEnd w:id="88"/>
      <w:bookmarkStart w:id="89" w:name="_Toc184312079"/>
      <w:bookmarkEnd w:id="89"/>
      <w:bookmarkStart w:id="90" w:name="_Toc184313239"/>
      <w:bookmarkEnd w:id="90"/>
      <w:bookmarkStart w:id="91" w:name="_Toc184314429"/>
      <w:bookmarkEnd w:id="91"/>
      <w:bookmarkStart w:id="92" w:name="_Toc184310280"/>
      <w:bookmarkEnd w:id="92"/>
      <w:bookmarkStart w:id="93" w:name="_Toc184313257"/>
      <w:bookmarkEnd w:id="93"/>
      <w:bookmarkStart w:id="94" w:name="_Toc184312137"/>
      <w:bookmarkEnd w:id="94"/>
      <w:bookmarkStart w:id="95" w:name="_Toc184310291"/>
      <w:bookmarkEnd w:id="95"/>
      <w:bookmarkStart w:id="96" w:name="_Toc184310275"/>
      <w:bookmarkEnd w:id="96"/>
      <w:bookmarkStart w:id="97" w:name="_Toc184314422"/>
      <w:bookmarkEnd w:id="97"/>
      <w:bookmarkStart w:id="98" w:name="_Toc184313283"/>
      <w:bookmarkEnd w:id="98"/>
      <w:bookmarkStart w:id="99" w:name="_Toc184313245"/>
      <w:bookmarkEnd w:id="99"/>
      <w:bookmarkStart w:id="100" w:name="_Toc184310288"/>
      <w:bookmarkEnd w:id="100"/>
      <w:bookmarkStart w:id="101" w:name="_Toc184313301"/>
      <w:bookmarkEnd w:id="101"/>
      <w:bookmarkStart w:id="102" w:name="_Toc184313268"/>
      <w:bookmarkEnd w:id="102"/>
      <w:bookmarkStart w:id="103" w:name="_Toc184312073"/>
      <w:bookmarkEnd w:id="103"/>
      <w:bookmarkStart w:id="104" w:name="_Toc184312109"/>
      <w:bookmarkEnd w:id="104"/>
      <w:bookmarkStart w:id="105" w:name="_Toc184308067"/>
      <w:bookmarkEnd w:id="105"/>
      <w:bookmarkStart w:id="106" w:name="_Toc184310285"/>
      <w:bookmarkEnd w:id="106"/>
      <w:bookmarkStart w:id="107" w:name="_Toc184314453"/>
      <w:bookmarkEnd w:id="107"/>
      <w:bookmarkStart w:id="108" w:name="_Toc184310340"/>
      <w:bookmarkEnd w:id="108"/>
      <w:bookmarkStart w:id="109" w:name="_Toc184314457"/>
      <w:bookmarkEnd w:id="109"/>
      <w:bookmarkStart w:id="110" w:name="_Toc184308087"/>
      <w:bookmarkEnd w:id="110"/>
      <w:bookmarkStart w:id="111" w:name="_Toc184308065"/>
      <w:bookmarkEnd w:id="111"/>
      <w:bookmarkStart w:id="112" w:name="_Toc184312100"/>
      <w:bookmarkEnd w:id="112"/>
      <w:bookmarkStart w:id="113" w:name="_Toc184313275"/>
      <w:bookmarkEnd w:id="113"/>
      <w:bookmarkStart w:id="114" w:name="_Toc184313274"/>
      <w:bookmarkEnd w:id="114"/>
      <w:bookmarkStart w:id="115" w:name="_Toc184310315"/>
      <w:bookmarkEnd w:id="115"/>
      <w:bookmarkStart w:id="116" w:name="_Toc184308072"/>
      <w:bookmarkEnd w:id="116"/>
      <w:bookmarkStart w:id="117" w:name="_Toc184314417"/>
      <w:bookmarkEnd w:id="117"/>
      <w:bookmarkStart w:id="118" w:name="_Toc184313258"/>
      <w:bookmarkEnd w:id="118"/>
      <w:bookmarkStart w:id="119" w:name="_Toc184314431"/>
      <w:bookmarkEnd w:id="119"/>
      <w:bookmarkStart w:id="120" w:name="_Toc184312129"/>
      <w:bookmarkEnd w:id="120"/>
      <w:bookmarkStart w:id="121" w:name="_Toc184314411"/>
      <w:bookmarkEnd w:id="121"/>
      <w:bookmarkStart w:id="122" w:name="_Toc184314427"/>
      <w:bookmarkEnd w:id="122"/>
      <w:bookmarkStart w:id="123" w:name="_Toc184313248"/>
      <w:bookmarkEnd w:id="123"/>
      <w:bookmarkStart w:id="124" w:name="_Toc184310333"/>
      <w:bookmarkEnd w:id="124"/>
      <w:bookmarkStart w:id="125" w:name="_Toc184310318"/>
      <w:bookmarkEnd w:id="125"/>
      <w:bookmarkStart w:id="126" w:name="_Toc184308097"/>
      <w:bookmarkEnd w:id="126"/>
      <w:bookmarkStart w:id="127" w:name="_Toc184310332"/>
      <w:bookmarkEnd w:id="127"/>
      <w:bookmarkStart w:id="128" w:name="_Toc184308042"/>
      <w:bookmarkEnd w:id="128"/>
      <w:bookmarkStart w:id="129" w:name="_Toc184313289"/>
      <w:bookmarkEnd w:id="129"/>
      <w:bookmarkStart w:id="130" w:name="_Toc184314461"/>
      <w:bookmarkEnd w:id="130"/>
      <w:bookmarkStart w:id="131" w:name="_Toc184310292"/>
      <w:bookmarkEnd w:id="131"/>
      <w:bookmarkStart w:id="132" w:name="_Toc184308090"/>
      <w:bookmarkEnd w:id="132"/>
      <w:bookmarkStart w:id="133" w:name="_Toc184310296"/>
      <w:bookmarkEnd w:id="133"/>
      <w:bookmarkStart w:id="134" w:name="_Toc184310284"/>
      <w:bookmarkEnd w:id="134"/>
      <w:bookmarkStart w:id="135" w:name="_Toc184308071"/>
      <w:bookmarkEnd w:id="135"/>
      <w:bookmarkStart w:id="136" w:name="_Toc184308060"/>
      <w:bookmarkEnd w:id="136"/>
      <w:bookmarkStart w:id="137" w:name="_Toc184312089"/>
      <w:bookmarkEnd w:id="137"/>
      <w:bookmarkStart w:id="138" w:name="_Toc184312130"/>
      <w:bookmarkEnd w:id="138"/>
      <w:bookmarkStart w:id="139" w:name="_Toc184314450"/>
      <w:bookmarkEnd w:id="139"/>
      <w:bookmarkStart w:id="140" w:name="_Toc184310290"/>
      <w:bookmarkEnd w:id="140"/>
      <w:bookmarkStart w:id="141" w:name="_Toc184308046"/>
      <w:bookmarkEnd w:id="141"/>
      <w:bookmarkStart w:id="142" w:name="_Toc184314426"/>
      <w:bookmarkEnd w:id="142"/>
      <w:bookmarkStart w:id="143" w:name="_Toc184310300"/>
      <w:bookmarkEnd w:id="143"/>
      <w:bookmarkStart w:id="144" w:name="_Toc184308080"/>
      <w:bookmarkEnd w:id="144"/>
      <w:bookmarkStart w:id="145" w:name="_Toc184313284"/>
      <w:bookmarkEnd w:id="145"/>
      <w:bookmarkStart w:id="146" w:name="_Toc184314412"/>
      <w:bookmarkEnd w:id="146"/>
      <w:bookmarkStart w:id="147" w:name="_Toc184313242"/>
      <w:bookmarkEnd w:id="147"/>
      <w:bookmarkStart w:id="148" w:name="_Toc184308058"/>
      <w:bookmarkEnd w:id="148"/>
      <w:bookmarkStart w:id="149" w:name="_Toc184308086"/>
      <w:bookmarkEnd w:id="149"/>
      <w:bookmarkStart w:id="150" w:name="_Toc184313249"/>
      <w:bookmarkEnd w:id="150"/>
      <w:bookmarkStart w:id="151" w:name="_Toc184310287"/>
      <w:bookmarkEnd w:id="151"/>
      <w:bookmarkStart w:id="152" w:name="_Toc184312139"/>
      <w:bookmarkEnd w:id="152"/>
      <w:bookmarkStart w:id="153" w:name="_Toc184312069"/>
      <w:bookmarkEnd w:id="153"/>
      <w:bookmarkStart w:id="154" w:name="_Toc184313294"/>
      <w:bookmarkEnd w:id="154"/>
      <w:bookmarkStart w:id="155" w:name="_Toc184310326"/>
      <w:bookmarkEnd w:id="155"/>
      <w:bookmarkStart w:id="156" w:name="_Toc184308036"/>
      <w:bookmarkEnd w:id="156"/>
      <w:bookmarkStart w:id="157" w:name="_Toc184310321"/>
      <w:bookmarkEnd w:id="157"/>
      <w:bookmarkStart w:id="158" w:name="_Toc184312117"/>
      <w:bookmarkEnd w:id="158"/>
      <w:bookmarkStart w:id="159" w:name="_Toc184314449"/>
      <w:bookmarkEnd w:id="159"/>
      <w:bookmarkStart w:id="160" w:name="_Toc184312084"/>
      <w:bookmarkEnd w:id="160"/>
      <w:bookmarkStart w:id="161" w:name="_Toc184313291"/>
      <w:bookmarkEnd w:id="161"/>
      <w:bookmarkStart w:id="162" w:name="_Toc184314423"/>
      <w:bookmarkEnd w:id="162"/>
      <w:bookmarkStart w:id="163" w:name="_Toc184312099"/>
      <w:bookmarkEnd w:id="163"/>
      <w:bookmarkStart w:id="164" w:name="_Toc184312085"/>
      <w:bookmarkEnd w:id="164"/>
      <w:bookmarkStart w:id="165" w:name="_Toc184310310"/>
      <w:bookmarkEnd w:id="165"/>
      <w:bookmarkStart w:id="166" w:name="_Toc184314469"/>
      <w:bookmarkEnd w:id="166"/>
      <w:bookmarkStart w:id="167" w:name="_Toc184308099"/>
      <w:bookmarkEnd w:id="167"/>
      <w:bookmarkStart w:id="168" w:name="_Toc184314434"/>
      <w:bookmarkEnd w:id="168"/>
      <w:bookmarkStart w:id="169" w:name="_Toc184313241"/>
      <w:bookmarkEnd w:id="169"/>
      <w:bookmarkStart w:id="170" w:name="_Toc184308075"/>
      <w:bookmarkEnd w:id="170"/>
      <w:bookmarkStart w:id="171" w:name="_Toc184312076"/>
      <w:bookmarkEnd w:id="171"/>
      <w:bookmarkStart w:id="172" w:name="_Toc184308037"/>
      <w:bookmarkEnd w:id="172"/>
      <w:bookmarkStart w:id="173" w:name="_Toc184312121"/>
      <w:bookmarkEnd w:id="173"/>
      <w:bookmarkStart w:id="174" w:name="_Toc184314437"/>
      <w:bookmarkEnd w:id="174"/>
      <w:bookmarkStart w:id="175" w:name="_Toc184310295"/>
      <w:bookmarkEnd w:id="175"/>
      <w:bookmarkStart w:id="176" w:name="_Toc184312113"/>
      <w:bookmarkEnd w:id="176"/>
      <w:bookmarkStart w:id="177" w:name="_Toc184308079"/>
      <w:bookmarkEnd w:id="177"/>
      <w:bookmarkStart w:id="178" w:name="_Toc184314481"/>
      <w:bookmarkEnd w:id="178"/>
      <w:bookmarkStart w:id="179" w:name="_Toc184308045"/>
      <w:bookmarkEnd w:id="179"/>
      <w:bookmarkStart w:id="180" w:name="_Toc184313273"/>
      <w:bookmarkEnd w:id="180"/>
      <w:bookmarkStart w:id="181" w:name="_Toc184308093"/>
      <w:bookmarkEnd w:id="181"/>
      <w:bookmarkStart w:id="182" w:name="_Toc184310335"/>
      <w:bookmarkEnd w:id="182"/>
      <w:bookmarkStart w:id="183" w:name="_Toc184310286"/>
      <w:bookmarkEnd w:id="183"/>
      <w:bookmarkStart w:id="184" w:name="_Toc184308089"/>
      <w:bookmarkEnd w:id="184"/>
      <w:bookmarkStart w:id="185" w:name="_Toc184314454"/>
      <w:bookmarkEnd w:id="185"/>
      <w:bookmarkStart w:id="186" w:name="_Toc184314420"/>
      <w:bookmarkEnd w:id="186"/>
      <w:bookmarkStart w:id="187" w:name="_Toc184312112"/>
      <w:bookmarkEnd w:id="187"/>
      <w:bookmarkStart w:id="188" w:name="_Toc184313262"/>
      <w:bookmarkEnd w:id="188"/>
      <w:bookmarkStart w:id="189" w:name="_Toc184314459"/>
      <w:bookmarkEnd w:id="189"/>
      <w:bookmarkStart w:id="190" w:name="_Toc184310328"/>
      <w:bookmarkEnd w:id="190"/>
      <w:bookmarkStart w:id="191" w:name="_Toc184313304"/>
      <w:bookmarkEnd w:id="191"/>
      <w:bookmarkStart w:id="192" w:name="_Toc184310339"/>
      <w:bookmarkEnd w:id="192"/>
      <w:bookmarkStart w:id="193" w:name="_Toc184312133"/>
      <w:bookmarkEnd w:id="193"/>
      <w:bookmarkStart w:id="194" w:name="_Toc184314478"/>
      <w:bookmarkEnd w:id="194"/>
      <w:bookmarkStart w:id="195" w:name="_Toc184310283"/>
      <w:bookmarkEnd w:id="195"/>
      <w:bookmarkStart w:id="196" w:name="_Toc184314415"/>
      <w:bookmarkEnd w:id="196"/>
      <w:bookmarkStart w:id="197" w:name="_Toc184308074"/>
      <w:bookmarkEnd w:id="197"/>
      <w:bookmarkStart w:id="198" w:name="_Toc184308055"/>
      <w:bookmarkEnd w:id="198"/>
      <w:bookmarkStart w:id="199" w:name="_Toc184312138"/>
      <w:bookmarkEnd w:id="199"/>
      <w:bookmarkStart w:id="200" w:name="_Toc184313281"/>
      <w:bookmarkEnd w:id="200"/>
      <w:bookmarkStart w:id="201" w:name="_Toc184313266"/>
      <w:bookmarkEnd w:id="201"/>
      <w:bookmarkStart w:id="202" w:name="_Toc184310316"/>
      <w:bookmarkEnd w:id="202"/>
      <w:bookmarkStart w:id="203" w:name="_Toc184308103"/>
      <w:bookmarkEnd w:id="203"/>
      <w:bookmarkStart w:id="204" w:name="_Toc184312095"/>
      <w:bookmarkEnd w:id="204"/>
      <w:bookmarkStart w:id="205" w:name="_Toc184314410"/>
      <w:bookmarkEnd w:id="205"/>
      <w:bookmarkStart w:id="206" w:name="_Toc184310311"/>
      <w:bookmarkEnd w:id="206"/>
      <w:bookmarkStart w:id="207" w:name="_Toc184308064"/>
      <w:bookmarkEnd w:id="207"/>
      <w:bookmarkStart w:id="208" w:name="_Toc184312135"/>
      <w:bookmarkEnd w:id="208"/>
      <w:bookmarkStart w:id="209" w:name="_Toc184313302"/>
      <w:bookmarkEnd w:id="209"/>
      <w:bookmarkStart w:id="210" w:name="_Toc184314448"/>
      <w:bookmarkEnd w:id="210"/>
      <w:bookmarkStart w:id="211" w:name="_Toc184308088"/>
      <w:bookmarkEnd w:id="211"/>
      <w:bookmarkStart w:id="212" w:name="_Toc184310282"/>
      <w:bookmarkEnd w:id="212"/>
      <w:bookmarkStart w:id="213" w:name="_Toc184313255"/>
      <w:bookmarkEnd w:id="213"/>
      <w:bookmarkStart w:id="214" w:name="_Toc184314465"/>
      <w:bookmarkEnd w:id="214"/>
      <w:bookmarkStart w:id="215" w:name="_Toc184310301"/>
      <w:bookmarkEnd w:id="215"/>
      <w:bookmarkStart w:id="216" w:name="_Toc184314468"/>
      <w:bookmarkEnd w:id="216"/>
      <w:bookmarkStart w:id="217" w:name="_Toc184308108"/>
      <w:bookmarkEnd w:id="217"/>
      <w:bookmarkStart w:id="218" w:name="_Toc184314470"/>
      <w:bookmarkEnd w:id="218"/>
      <w:bookmarkStart w:id="219" w:name="_Toc184314419"/>
      <w:bookmarkEnd w:id="219"/>
      <w:bookmarkStart w:id="220" w:name="_Toc184313259"/>
      <w:bookmarkEnd w:id="220"/>
      <w:bookmarkStart w:id="221" w:name="_Toc184313282"/>
      <w:bookmarkEnd w:id="221"/>
      <w:bookmarkStart w:id="222" w:name="_Toc184312088"/>
      <w:bookmarkEnd w:id="222"/>
      <w:bookmarkStart w:id="223" w:name="_Toc184308052"/>
      <w:bookmarkEnd w:id="223"/>
      <w:bookmarkStart w:id="224" w:name="_Toc184310324"/>
      <w:bookmarkEnd w:id="224"/>
      <w:bookmarkStart w:id="225" w:name="_Toc184313310"/>
      <w:bookmarkEnd w:id="225"/>
      <w:bookmarkStart w:id="226" w:name="_Toc184314463"/>
      <w:bookmarkEnd w:id="226"/>
      <w:bookmarkStart w:id="227" w:name="_Toc184308041"/>
      <w:bookmarkEnd w:id="227"/>
      <w:bookmarkStart w:id="228" w:name="_Toc184314475"/>
      <w:bookmarkEnd w:id="228"/>
      <w:bookmarkStart w:id="229" w:name="_Toc184308083"/>
      <w:bookmarkEnd w:id="229"/>
      <w:bookmarkStart w:id="230" w:name="_Toc184314442"/>
      <w:bookmarkEnd w:id="230"/>
      <w:bookmarkStart w:id="231" w:name="_Toc184312096"/>
      <w:bookmarkEnd w:id="231"/>
      <w:bookmarkStart w:id="232" w:name="_Toc184312074"/>
      <w:bookmarkEnd w:id="232"/>
      <w:bookmarkStart w:id="233" w:name="_Toc184312108"/>
      <w:bookmarkEnd w:id="233"/>
      <w:bookmarkStart w:id="234" w:name="_Toc184314464"/>
      <w:bookmarkEnd w:id="234"/>
      <w:bookmarkStart w:id="235" w:name="_Toc184313287"/>
      <w:bookmarkEnd w:id="235"/>
      <w:bookmarkStart w:id="236" w:name="_Toc184308069"/>
      <w:bookmarkEnd w:id="236"/>
      <w:bookmarkStart w:id="237" w:name="_Toc184310309"/>
      <w:bookmarkEnd w:id="237"/>
      <w:bookmarkStart w:id="238" w:name="_Toc184313297"/>
      <w:bookmarkEnd w:id="238"/>
      <w:bookmarkStart w:id="239" w:name="_Toc184308059"/>
      <w:bookmarkEnd w:id="239"/>
      <w:bookmarkStart w:id="240" w:name="_Toc184310302"/>
      <w:bookmarkEnd w:id="240"/>
      <w:bookmarkStart w:id="241" w:name="_Toc184312136"/>
      <w:bookmarkEnd w:id="241"/>
      <w:bookmarkStart w:id="242" w:name="_Toc184313278"/>
      <w:bookmarkEnd w:id="242"/>
      <w:bookmarkStart w:id="243" w:name="_Toc184312124"/>
      <w:bookmarkEnd w:id="243"/>
      <w:bookmarkStart w:id="244" w:name="_Toc184313243"/>
      <w:bookmarkEnd w:id="244"/>
      <w:bookmarkStart w:id="245" w:name="_Toc184308061"/>
      <w:bookmarkEnd w:id="245"/>
      <w:bookmarkStart w:id="246" w:name="_Toc184312097"/>
      <w:bookmarkEnd w:id="246"/>
      <w:bookmarkStart w:id="247" w:name="_Toc184308051"/>
      <w:bookmarkEnd w:id="247"/>
      <w:bookmarkStart w:id="248" w:name="_Toc184313285"/>
      <w:bookmarkEnd w:id="248"/>
      <w:bookmarkStart w:id="249" w:name="_Toc184314455"/>
      <w:bookmarkEnd w:id="249"/>
      <w:bookmarkStart w:id="250" w:name="_Toc184310307"/>
      <w:bookmarkEnd w:id="250"/>
      <w:bookmarkStart w:id="251" w:name="_Toc184314451"/>
      <w:bookmarkEnd w:id="251"/>
      <w:bookmarkStart w:id="252" w:name="_Toc184313295"/>
      <w:bookmarkEnd w:id="252"/>
      <w:bookmarkStart w:id="253" w:name="_Toc184313307"/>
      <w:bookmarkEnd w:id="253"/>
      <w:bookmarkStart w:id="254" w:name="_Toc184313246"/>
      <w:bookmarkEnd w:id="254"/>
      <w:bookmarkStart w:id="255" w:name="_Toc184310341"/>
      <w:bookmarkEnd w:id="255"/>
      <w:bookmarkStart w:id="256" w:name="_Toc184313299"/>
      <w:bookmarkEnd w:id="256"/>
      <w:bookmarkStart w:id="257" w:name="_Toc184310299"/>
      <w:bookmarkEnd w:id="257"/>
      <w:bookmarkStart w:id="258" w:name="_Toc184312075"/>
      <w:bookmarkEnd w:id="258"/>
      <w:bookmarkStart w:id="259" w:name="_Toc184314458"/>
      <w:bookmarkEnd w:id="259"/>
      <w:bookmarkStart w:id="260" w:name="_Toc184312071"/>
      <w:bookmarkEnd w:id="260"/>
      <w:bookmarkStart w:id="261" w:name="_Toc184312115"/>
      <w:bookmarkEnd w:id="261"/>
      <w:bookmarkStart w:id="262" w:name="_Toc184312087"/>
      <w:bookmarkEnd w:id="262"/>
      <w:bookmarkStart w:id="263" w:name="_Toc184312126"/>
      <w:bookmarkEnd w:id="263"/>
      <w:bookmarkStart w:id="264" w:name="_Toc184312110"/>
      <w:bookmarkEnd w:id="264"/>
      <w:bookmarkStart w:id="265" w:name="_Toc184312067"/>
      <w:bookmarkEnd w:id="265"/>
      <w:bookmarkStart w:id="266" w:name="_Toc184314444"/>
      <w:bookmarkEnd w:id="266"/>
      <w:bookmarkStart w:id="267" w:name="_Toc184308049"/>
      <w:bookmarkEnd w:id="267"/>
      <w:bookmarkStart w:id="268" w:name="_Toc184314416"/>
      <w:bookmarkEnd w:id="268"/>
      <w:bookmarkStart w:id="269" w:name="_Toc184314425"/>
      <w:bookmarkEnd w:id="269"/>
      <w:bookmarkStart w:id="270" w:name="_Toc184310306"/>
      <w:bookmarkEnd w:id="270"/>
      <w:bookmarkStart w:id="271" w:name="_Toc184308092"/>
      <w:bookmarkEnd w:id="271"/>
      <w:bookmarkStart w:id="272" w:name="_Toc184313290"/>
      <w:bookmarkEnd w:id="272"/>
      <w:bookmarkStart w:id="273" w:name="_Toc184312068"/>
      <w:bookmarkEnd w:id="273"/>
      <w:bookmarkStart w:id="274" w:name="_Toc184308063"/>
      <w:bookmarkEnd w:id="274"/>
      <w:bookmarkStart w:id="275" w:name="_Toc184308047"/>
      <w:bookmarkEnd w:id="275"/>
      <w:bookmarkStart w:id="276" w:name="_Toc184308106"/>
      <w:bookmarkEnd w:id="276"/>
      <w:bookmarkStart w:id="277" w:name="_Toc184314436"/>
      <w:bookmarkEnd w:id="277"/>
      <w:bookmarkStart w:id="278" w:name="_Toc184312077"/>
      <w:bookmarkEnd w:id="278"/>
      <w:bookmarkStart w:id="279" w:name="_Toc184313256"/>
      <w:bookmarkEnd w:id="279"/>
      <w:bookmarkStart w:id="280" w:name="_Toc184314447"/>
      <w:bookmarkEnd w:id="280"/>
      <w:bookmarkStart w:id="281" w:name="_Toc184313250"/>
      <w:bookmarkEnd w:id="281"/>
      <w:bookmarkStart w:id="282" w:name="_Toc184312092"/>
      <w:bookmarkEnd w:id="282"/>
      <w:bookmarkStart w:id="283" w:name="_Toc184313280"/>
      <w:bookmarkEnd w:id="283"/>
      <w:bookmarkStart w:id="284" w:name="_Toc184312070"/>
      <w:bookmarkEnd w:id="284"/>
      <w:bookmarkStart w:id="285" w:name="_Toc184312078"/>
      <w:bookmarkEnd w:id="285"/>
      <w:bookmarkStart w:id="286" w:name="_Toc184312103"/>
      <w:bookmarkEnd w:id="286"/>
      <w:bookmarkStart w:id="287" w:name="_Toc184308070"/>
      <w:bookmarkEnd w:id="287"/>
      <w:bookmarkStart w:id="288" w:name="_Toc184313247"/>
      <w:bookmarkEnd w:id="288"/>
      <w:bookmarkStart w:id="289" w:name="_Toc184310338"/>
      <w:bookmarkEnd w:id="289"/>
      <w:bookmarkStart w:id="290" w:name="_Toc184310330"/>
      <w:bookmarkEnd w:id="290"/>
      <w:bookmarkStart w:id="291" w:name="_Toc184310272"/>
      <w:bookmarkEnd w:id="291"/>
      <w:bookmarkStart w:id="292" w:name="_Toc184312122"/>
      <w:bookmarkEnd w:id="292"/>
      <w:bookmarkStart w:id="293" w:name="_Toc184313270"/>
      <w:bookmarkEnd w:id="293"/>
      <w:bookmarkStart w:id="294" w:name="_Toc184312128"/>
      <w:bookmarkEnd w:id="294"/>
      <w:bookmarkStart w:id="295" w:name="_Toc184310322"/>
      <w:bookmarkEnd w:id="295"/>
      <w:bookmarkStart w:id="296" w:name="_Toc184313240"/>
      <w:bookmarkEnd w:id="296"/>
      <w:bookmarkStart w:id="297" w:name="_Toc184310331"/>
      <w:bookmarkEnd w:id="297"/>
      <w:bookmarkStart w:id="298" w:name="_Toc184310336"/>
      <w:bookmarkEnd w:id="298"/>
      <w:bookmarkStart w:id="299" w:name="_Toc184308091"/>
      <w:bookmarkEnd w:id="299"/>
      <w:bookmarkStart w:id="300" w:name="_Toc184314460"/>
      <w:bookmarkEnd w:id="300"/>
      <w:bookmarkStart w:id="301" w:name="_Toc184310279"/>
      <w:bookmarkEnd w:id="301"/>
      <w:bookmarkStart w:id="302" w:name="_Toc184313292"/>
      <w:bookmarkEnd w:id="302"/>
      <w:bookmarkStart w:id="303" w:name="_Toc184312093"/>
      <w:bookmarkEnd w:id="303"/>
      <w:bookmarkStart w:id="304" w:name="_Toc184314439"/>
      <w:bookmarkEnd w:id="304"/>
      <w:bookmarkStart w:id="305" w:name="_Toc184314466"/>
      <w:bookmarkEnd w:id="305"/>
      <w:bookmarkStart w:id="306" w:name="_Toc184310343"/>
      <w:bookmarkEnd w:id="306"/>
      <w:bookmarkStart w:id="307" w:name="_Toc184308050"/>
      <w:bookmarkEnd w:id="307"/>
      <w:bookmarkStart w:id="308" w:name="_Toc184314438"/>
      <w:bookmarkEnd w:id="308"/>
      <w:bookmarkStart w:id="309" w:name="_Toc184313306"/>
      <w:bookmarkEnd w:id="309"/>
      <w:bookmarkStart w:id="310" w:name="_Toc184308062"/>
      <w:bookmarkEnd w:id="310"/>
      <w:bookmarkStart w:id="311" w:name="_Toc184310305"/>
      <w:bookmarkEnd w:id="311"/>
      <w:bookmarkStart w:id="312" w:name="_Toc184314477"/>
      <w:bookmarkEnd w:id="312"/>
      <w:bookmarkStart w:id="313" w:name="_Toc184312107"/>
      <w:bookmarkEnd w:id="313"/>
      <w:bookmarkStart w:id="314" w:name="_Toc184308095"/>
      <w:bookmarkEnd w:id="314"/>
      <w:bookmarkStart w:id="315" w:name="_Toc184312134"/>
      <w:bookmarkEnd w:id="315"/>
      <w:bookmarkStart w:id="316" w:name="_Toc184314445"/>
      <w:bookmarkEnd w:id="316"/>
      <w:bookmarkStart w:id="317" w:name="_Toc184312101"/>
      <w:bookmarkEnd w:id="317"/>
      <w:bookmarkStart w:id="318" w:name="_Toc184314482"/>
      <w:bookmarkEnd w:id="318"/>
      <w:bookmarkStart w:id="319" w:name="_Toc184308098"/>
      <w:bookmarkEnd w:id="319"/>
      <w:bookmarkStart w:id="320" w:name="_Toc184314473"/>
      <w:bookmarkEnd w:id="320"/>
      <w:bookmarkStart w:id="321" w:name="_Toc184310304"/>
      <w:bookmarkEnd w:id="321"/>
      <w:bookmarkStart w:id="322" w:name="_Toc184310312"/>
      <w:bookmarkEnd w:id="322"/>
      <w:bookmarkStart w:id="323" w:name="_Toc184310334"/>
      <w:bookmarkEnd w:id="323"/>
      <w:bookmarkStart w:id="324" w:name="_Toc184313265"/>
      <w:bookmarkEnd w:id="324"/>
      <w:bookmarkStart w:id="325" w:name="_Toc184313251"/>
      <w:bookmarkEnd w:id="325"/>
      <w:bookmarkStart w:id="326" w:name="_Toc184310320"/>
      <w:bookmarkEnd w:id="326"/>
      <w:bookmarkStart w:id="327" w:name="_Toc184314418"/>
      <w:bookmarkEnd w:id="327"/>
      <w:bookmarkStart w:id="328" w:name="_Toc184313293"/>
      <w:bookmarkEnd w:id="328"/>
      <w:bookmarkStart w:id="329" w:name="_Toc184308102"/>
      <w:bookmarkEnd w:id="329"/>
      <w:bookmarkStart w:id="330" w:name="_Toc184313261"/>
      <w:bookmarkEnd w:id="330"/>
      <w:bookmarkStart w:id="331" w:name="_Toc184313238"/>
      <w:bookmarkEnd w:id="331"/>
      <w:bookmarkStart w:id="332" w:name="_Toc184312116"/>
      <w:bookmarkEnd w:id="332"/>
      <w:bookmarkStart w:id="333" w:name="_Toc184310319"/>
      <w:bookmarkEnd w:id="333"/>
      <w:bookmarkStart w:id="334" w:name="_Toc184310298"/>
      <w:bookmarkEnd w:id="334"/>
      <w:bookmarkStart w:id="335" w:name="_Toc184308100"/>
      <w:bookmarkEnd w:id="335"/>
      <w:bookmarkStart w:id="336" w:name="_Toc184308076"/>
      <w:bookmarkEnd w:id="336"/>
      <w:bookmarkStart w:id="337" w:name="_Toc184313254"/>
      <w:bookmarkEnd w:id="337"/>
      <w:bookmarkStart w:id="338" w:name="_Toc184313296"/>
      <w:bookmarkEnd w:id="338"/>
      <w:bookmarkStart w:id="339" w:name="_Toc184314435"/>
      <w:bookmarkEnd w:id="339"/>
      <w:bookmarkStart w:id="340" w:name="_Toc184314413"/>
      <w:bookmarkEnd w:id="340"/>
      <w:bookmarkStart w:id="341" w:name="_Toc184310297"/>
      <w:bookmarkEnd w:id="341"/>
      <w:bookmarkStart w:id="342" w:name="_Toc184308043"/>
      <w:bookmarkEnd w:id="342"/>
      <w:bookmarkStart w:id="343" w:name="_Toc184308085"/>
      <w:bookmarkEnd w:id="343"/>
      <w:bookmarkStart w:id="344" w:name="_Toc184310294"/>
      <w:bookmarkEnd w:id="344"/>
      <w:bookmarkStart w:id="345" w:name="_Toc184308048"/>
      <w:bookmarkEnd w:id="345"/>
      <w:bookmarkStart w:id="346" w:name="_Toc184314432"/>
      <w:bookmarkEnd w:id="346"/>
      <w:bookmarkStart w:id="347" w:name="_Toc184310276"/>
      <w:bookmarkEnd w:id="347"/>
      <w:bookmarkStart w:id="348" w:name="_Toc184312090"/>
      <w:bookmarkEnd w:id="348"/>
      <w:bookmarkStart w:id="349" w:name="_Toc184308056"/>
      <w:bookmarkEnd w:id="349"/>
      <w:bookmarkStart w:id="350" w:name="_Toc184308105"/>
      <w:bookmarkEnd w:id="350"/>
      <w:bookmarkStart w:id="351" w:name="_Toc184313264"/>
      <w:bookmarkEnd w:id="351"/>
      <w:bookmarkStart w:id="352" w:name="_Toc184312086"/>
      <w:bookmarkEnd w:id="352"/>
      <w:bookmarkStart w:id="353" w:name="_Toc184312082"/>
      <w:bookmarkEnd w:id="353"/>
      <w:bookmarkStart w:id="354" w:name="_Toc184314456"/>
      <w:bookmarkEnd w:id="354"/>
      <w:bookmarkStart w:id="355" w:name="_Toc184313305"/>
      <w:bookmarkEnd w:id="355"/>
      <w:bookmarkStart w:id="356" w:name="_Toc184312091"/>
      <w:bookmarkEnd w:id="356"/>
      <w:bookmarkStart w:id="357" w:name="_Toc184314474"/>
      <w:bookmarkEnd w:id="357"/>
      <w:bookmarkStart w:id="358" w:name="_Toc184308068"/>
      <w:bookmarkEnd w:id="358"/>
      <w:bookmarkStart w:id="359" w:name="_Toc184308101"/>
      <w:bookmarkEnd w:id="359"/>
      <w:bookmarkStart w:id="360" w:name="_Toc184313271"/>
      <w:bookmarkEnd w:id="360"/>
      <w:bookmarkStart w:id="361" w:name="_Toc184313300"/>
      <w:bookmarkEnd w:id="361"/>
      <w:bookmarkStart w:id="362" w:name="_Toc184314446"/>
      <w:bookmarkEnd w:id="362"/>
      <w:bookmarkStart w:id="363" w:name="_Toc184308040"/>
      <w:bookmarkEnd w:id="363"/>
      <w:bookmarkStart w:id="364" w:name="_Toc184310277"/>
      <w:bookmarkEnd w:id="364"/>
      <w:bookmarkStart w:id="365" w:name="_Toc184314440"/>
      <w:bookmarkEnd w:id="365"/>
      <w:bookmarkStart w:id="366" w:name="_Toc184314471"/>
      <w:bookmarkEnd w:id="366"/>
      <w:bookmarkStart w:id="367" w:name="_Toc184308054"/>
      <w:bookmarkEnd w:id="367"/>
      <w:bookmarkStart w:id="368" w:name="_Toc184312120"/>
      <w:bookmarkEnd w:id="368"/>
      <w:bookmarkStart w:id="369" w:name="_Toc184312102"/>
      <w:bookmarkEnd w:id="369"/>
      <w:bookmarkStart w:id="370" w:name="_Toc184312104"/>
      <w:bookmarkEnd w:id="370"/>
      <w:bookmarkStart w:id="371" w:name="_Toc184314462"/>
      <w:bookmarkEnd w:id="371"/>
      <w:bookmarkStart w:id="372" w:name="_Toc184312105"/>
      <w:bookmarkEnd w:id="372"/>
      <w:bookmarkStart w:id="373" w:name="_Toc184310273"/>
      <w:bookmarkEnd w:id="373"/>
      <w:bookmarkStart w:id="374" w:name="_Toc184308038"/>
      <w:bookmarkEnd w:id="374"/>
      <w:bookmarkStart w:id="375" w:name="_Toc184310344"/>
      <w:bookmarkEnd w:id="375"/>
      <w:bookmarkStart w:id="376" w:name="_Toc184310308"/>
      <w:bookmarkEnd w:id="376"/>
      <w:bookmarkStart w:id="377" w:name="_Toc184313263"/>
      <w:bookmarkEnd w:id="377"/>
      <w:bookmarkStart w:id="378" w:name="_Toc184308066"/>
      <w:bookmarkEnd w:id="378"/>
      <w:bookmarkStart w:id="379" w:name="_Toc184310278"/>
      <w:bookmarkEnd w:id="379"/>
      <w:bookmarkStart w:id="380" w:name="_Toc184310325"/>
      <w:bookmarkEnd w:id="380"/>
      <w:bookmarkStart w:id="381" w:name="_Toc184313288"/>
      <w:bookmarkEnd w:id="381"/>
      <w:bookmarkStart w:id="382" w:name="_Toc184313272"/>
      <w:bookmarkEnd w:id="382"/>
      <w:bookmarkStart w:id="383" w:name="_Toc184313244"/>
      <w:bookmarkEnd w:id="383"/>
      <w:bookmarkStart w:id="384" w:name="_Toc184310293"/>
      <w:bookmarkEnd w:id="384"/>
      <w:bookmarkStart w:id="385" w:name="_Toc184313308"/>
      <w:bookmarkEnd w:id="385"/>
      <w:r>
        <w:rPr>
          <w:rFonts w:hint="eastAsia" w:ascii="宋体" w:hAnsi="宋体" w:cs="宋体"/>
          <w:b/>
          <w:sz w:val="36"/>
          <w:szCs w:val="36"/>
        </w:rPr>
        <w:t>评标办法</w:t>
      </w:r>
    </w:p>
    <w:p w14:paraId="181D6A7A">
      <w:pPr>
        <w:snapToGrid w:val="0"/>
        <w:jc w:val="center"/>
        <w:rPr>
          <w:rFonts w:hint="eastAsia" w:ascii="宋体" w:hAnsi="宋体" w:cs="宋体"/>
          <w:b/>
          <w:sz w:val="32"/>
          <w:szCs w:val="20"/>
          <w:lang w:val="zh-CN"/>
        </w:rPr>
      </w:pPr>
      <w:r>
        <w:rPr>
          <w:rFonts w:hint="eastAsia" w:ascii="宋体" w:hAnsi="宋体" w:cs="宋体"/>
          <w:b/>
          <w:sz w:val="32"/>
          <w:szCs w:val="20"/>
          <w:lang w:val="zh-CN"/>
        </w:rPr>
        <w:t>评标办法前附表</w:t>
      </w:r>
    </w:p>
    <w:p w14:paraId="10B98270">
      <w:pPr>
        <w:snapToGrid w:val="0"/>
        <w:jc w:val="both"/>
        <w:rPr>
          <w:rFonts w:hint="eastAsia" w:ascii="宋体" w:hAnsi="宋体" w:cs="宋体"/>
          <w:b/>
          <w:sz w:val="32"/>
          <w:szCs w:val="20"/>
          <w:lang w:val="zh-CN"/>
        </w:rPr>
      </w:pPr>
    </w:p>
    <w:tbl>
      <w:tblPr>
        <w:tblStyle w:val="65"/>
        <w:tblW w:w="97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74"/>
        <w:gridCol w:w="1056"/>
        <w:gridCol w:w="6909"/>
      </w:tblGrid>
      <w:tr w14:paraId="7DDF94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0" w:hRule="atLeast"/>
          <w:jc w:val="center"/>
        </w:trPr>
        <w:tc>
          <w:tcPr>
            <w:tcW w:w="9739" w:type="dxa"/>
            <w:gridSpan w:val="3"/>
            <w:vAlign w:val="center"/>
          </w:tcPr>
          <w:p w14:paraId="06B7EB9F">
            <w:pPr>
              <w:adjustRightInd/>
              <w:rPr>
                <w:rFonts w:hint="eastAsia" w:ascii="宋体" w:hAnsi="宋体" w:eastAsia="宋体" w:cs="宋体"/>
                <w:b/>
                <w:bCs/>
                <w:sz w:val="24"/>
                <w:szCs w:val="24"/>
              </w:rPr>
            </w:pPr>
            <w:r>
              <w:rPr>
                <w:rFonts w:hint="eastAsia" w:ascii="宋体" w:hAnsi="宋体" w:eastAsia="宋体" w:cs="宋体"/>
                <w:b/>
                <w:bCs/>
                <w:sz w:val="24"/>
                <w:szCs w:val="24"/>
              </w:rPr>
              <w:t>商务技术文件部分（70分）</w:t>
            </w:r>
          </w:p>
        </w:tc>
      </w:tr>
      <w:tr w14:paraId="45CA64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774" w:type="dxa"/>
            <w:vAlign w:val="center"/>
          </w:tcPr>
          <w:p w14:paraId="32855CE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评分项目</w:t>
            </w:r>
          </w:p>
        </w:tc>
        <w:tc>
          <w:tcPr>
            <w:tcW w:w="1056" w:type="dxa"/>
            <w:vAlign w:val="center"/>
          </w:tcPr>
          <w:p w14:paraId="558782E3">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分值</w:t>
            </w:r>
          </w:p>
        </w:tc>
        <w:tc>
          <w:tcPr>
            <w:tcW w:w="6909" w:type="dxa"/>
            <w:vAlign w:val="center"/>
          </w:tcPr>
          <w:p w14:paraId="3B0A84C9">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评分要求及标准</w:t>
            </w:r>
          </w:p>
        </w:tc>
      </w:tr>
      <w:tr w14:paraId="477343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5" w:hRule="atLeast"/>
          <w:jc w:val="center"/>
        </w:trPr>
        <w:tc>
          <w:tcPr>
            <w:tcW w:w="1774" w:type="dxa"/>
            <w:vAlign w:val="center"/>
          </w:tcPr>
          <w:p w14:paraId="0DD9C808">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技术参数</w:t>
            </w:r>
          </w:p>
        </w:tc>
        <w:tc>
          <w:tcPr>
            <w:tcW w:w="1056" w:type="dxa"/>
            <w:vAlign w:val="center"/>
          </w:tcPr>
          <w:p w14:paraId="43B01867">
            <w:pPr>
              <w:adjustRightInd/>
              <w:jc w:val="center"/>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32</w:t>
            </w:r>
          </w:p>
        </w:tc>
        <w:tc>
          <w:tcPr>
            <w:tcW w:w="6909" w:type="dxa"/>
            <w:vAlign w:val="center"/>
          </w:tcPr>
          <w:p w14:paraId="537EBE46">
            <w:pPr>
              <w:adjustRightInd/>
              <w:rPr>
                <w:rFonts w:hint="eastAsia" w:ascii="宋体" w:hAnsi="宋体" w:eastAsia="宋体" w:cs="宋体"/>
                <w:sz w:val="24"/>
                <w:szCs w:val="24"/>
                <w:lang w:val="zh-CN"/>
              </w:rPr>
            </w:pPr>
            <w:r>
              <w:rPr>
                <w:rFonts w:hint="eastAsia" w:ascii="宋体" w:hAnsi="宋体" w:eastAsia="宋体" w:cs="宋体"/>
                <w:sz w:val="24"/>
                <w:szCs w:val="24"/>
                <w:lang w:val="zh-CN"/>
              </w:rPr>
              <w:t>所投产品具体配置表、技术参数及偏离情况：</w:t>
            </w:r>
          </w:p>
          <w:p w14:paraId="0C21C168">
            <w:pPr>
              <w:adjustRightInd/>
              <w:rPr>
                <w:rFonts w:hint="eastAsia" w:ascii="宋体" w:hAnsi="宋体" w:eastAsia="宋体" w:cs="宋体"/>
                <w:sz w:val="24"/>
                <w:szCs w:val="24"/>
                <w:lang w:val="zh-CN"/>
              </w:rPr>
            </w:pPr>
            <w:r>
              <w:rPr>
                <w:rFonts w:hint="eastAsia" w:ascii="宋体" w:hAnsi="宋体" w:eastAsia="宋体" w:cs="宋体"/>
                <w:sz w:val="24"/>
                <w:szCs w:val="24"/>
                <w:lang w:val="zh-CN"/>
              </w:rPr>
              <w:t>符合技术指标参数得</w:t>
            </w:r>
            <w:r>
              <w:rPr>
                <w:rFonts w:hint="eastAsia" w:ascii="宋体" w:hAnsi="宋体" w:eastAsia="宋体" w:cs="宋体"/>
                <w:sz w:val="24"/>
                <w:szCs w:val="24"/>
                <w:lang w:val="en-US" w:eastAsia="zh-CN"/>
              </w:rPr>
              <w:t>32</w:t>
            </w:r>
            <w:r>
              <w:rPr>
                <w:rFonts w:hint="eastAsia" w:ascii="宋体" w:hAnsi="宋体" w:eastAsia="宋体" w:cs="宋体"/>
                <w:sz w:val="24"/>
                <w:szCs w:val="24"/>
                <w:lang w:val="zh-CN"/>
              </w:rPr>
              <w:t>分。</w:t>
            </w:r>
          </w:p>
          <w:p w14:paraId="4191FA83">
            <w:pPr>
              <w:adjustRightInd/>
              <w:rPr>
                <w:rFonts w:hint="eastAsia" w:ascii="宋体" w:hAnsi="宋体" w:eastAsia="宋体" w:cs="宋体"/>
                <w:sz w:val="24"/>
                <w:szCs w:val="24"/>
              </w:rPr>
            </w:pPr>
            <w:r>
              <w:rPr>
                <w:rFonts w:hint="eastAsia" w:ascii="宋体" w:hAnsi="宋体" w:eastAsia="宋体" w:cs="宋体"/>
                <w:sz w:val="24"/>
                <w:szCs w:val="24"/>
                <w:lang w:val="zh-CN"/>
              </w:rPr>
              <w:t>对性能指标及技术参数属负偏离或缺漏项的每</w:t>
            </w:r>
            <w:r>
              <w:rPr>
                <w:rFonts w:hint="eastAsia" w:ascii="宋体" w:hAnsi="宋体" w:eastAsia="宋体" w:cs="宋体"/>
                <w:sz w:val="24"/>
                <w:szCs w:val="24"/>
              </w:rPr>
              <w:t>个产品</w:t>
            </w:r>
            <w:r>
              <w:rPr>
                <w:rFonts w:hint="eastAsia" w:ascii="宋体" w:hAnsi="宋体" w:eastAsia="宋体" w:cs="宋体"/>
                <w:sz w:val="24"/>
                <w:szCs w:val="24"/>
                <w:lang w:val="zh-CN"/>
              </w:rPr>
              <w:t>扣</w:t>
            </w:r>
            <w:r>
              <w:rPr>
                <w:rFonts w:hint="eastAsia" w:ascii="宋体" w:hAnsi="宋体" w:eastAsia="宋体" w:cs="宋体"/>
                <w:sz w:val="24"/>
                <w:szCs w:val="24"/>
                <w:lang w:val="en-US" w:eastAsia="zh-CN"/>
              </w:rPr>
              <w:t>0.5</w:t>
            </w:r>
            <w:r>
              <w:rPr>
                <w:rFonts w:hint="eastAsia" w:ascii="宋体" w:hAnsi="宋体" w:eastAsia="宋体" w:cs="宋体"/>
                <w:sz w:val="24"/>
                <w:szCs w:val="24"/>
                <w:lang w:val="zh-CN"/>
              </w:rPr>
              <w:t>分，</w:t>
            </w:r>
            <w:r>
              <w:rPr>
                <w:rFonts w:hint="eastAsia" w:ascii="宋体" w:hAnsi="宋体" w:eastAsia="宋体" w:cs="宋体"/>
                <w:sz w:val="24"/>
                <w:szCs w:val="24"/>
              </w:rPr>
              <w:t>其中核心产品存在</w:t>
            </w:r>
            <w:r>
              <w:rPr>
                <w:rFonts w:hint="eastAsia" w:ascii="宋体" w:hAnsi="宋体" w:eastAsia="宋体" w:cs="宋体"/>
                <w:sz w:val="24"/>
                <w:szCs w:val="24"/>
                <w:lang w:val="zh-CN"/>
              </w:rPr>
              <w:t>负偏离或缺漏项的每</w:t>
            </w:r>
            <w:r>
              <w:rPr>
                <w:rFonts w:hint="eastAsia" w:ascii="宋体" w:hAnsi="宋体" w:eastAsia="宋体" w:cs="宋体"/>
                <w:sz w:val="24"/>
                <w:szCs w:val="24"/>
              </w:rPr>
              <w:t>个产品</w:t>
            </w:r>
            <w:r>
              <w:rPr>
                <w:rFonts w:hint="eastAsia" w:ascii="宋体" w:hAnsi="宋体" w:eastAsia="宋体" w:cs="宋体"/>
                <w:sz w:val="24"/>
                <w:szCs w:val="24"/>
                <w:lang w:val="zh-CN"/>
              </w:rPr>
              <w:t>扣</w:t>
            </w:r>
            <w:r>
              <w:rPr>
                <w:rFonts w:hint="eastAsia" w:ascii="宋体" w:hAnsi="宋体" w:eastAsia="宋体" w:cs="宋体"/>
                <w:sz w:val="24"/>
                <w:szCs w:val="24"/>
                <w:lang w:val="en-US" w:eastAsia="zh-CN"/>
              </w:rPr>
              <w:t>1</w:t>
            </w:r>
            <w:r>
              <w:rPr>
                <w:rFonts w:hint="eastAsia" w:ascii="宋体" w:hAnsi="宋体" w:eastAsia="宋体" w:cs="宋体"/>
                <w:sz w:val="24"/>
                <w:szCs w:val="24"/>
                <w:lang w:val="zh-CN"/>
              </w:rPr>
              <w:t>分，扣完为止。</w:t>
            </w:r>
          </w:p>
        </w:tc>
      </w:tr>
      <w:tr w14:paraId="4E5FD8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5" w:hRule="atLeast"/>
          <w:jc w:val="center"/>
        </w:trPr>
        <w:tc>
          <w:tcPr>
            <w:tcW w:w="1774" w:type="dxa"/>
            <w:vAlign w:val="center"/>
          </w:tcPr>
          <w:p w14:paraId="13A34AC7">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项目技术方案</w:t>
            </w:r>
          </w:p>
        </w:tc>
        <w:tc>
          <w:tcPr>
            <w:tcW w:w="1056" w:type="dxa"/>
            <w:vAlign w:val="center"/>
          </w:tcPr>
          <w:p w14:paraId="350776B8">
            <w:pPr>
              <w:adjustRightInd/>
              <w:jc w:val="center"/>
              <w:rPr>
                <w:rFonts w:hint="eastAsia" w:ascii="宋体" w:hAnsi="宋体" w:eastAsia="宋体" w:cs="宋体"/>
                <w:sz w:val="24"/>
                <w:szCs w:val="24"/>
                <w:lang w:eastAsia="zh-CN"/>
              </w:rPr>
            </w:pPr>
            <w:r>
              <w:rPr>
                <w:rFonts w:hint="eastAsia" w:ascii="宋体" w:hAnsi="宋体" w:eastAsia="宋体" w:cs="宋体"/>
                <w:sz w:val="24"/>
                <w:szCs w:val="24"/>
                <w:lang w:val="zh-CN"/>
              </w:rPr>
              <w:t>1</w:t>
            </w:r>
            <w:r>
              <w:rPr>
                <w:rFonts w:hint="eastAsia" w:ascii="宋体" w:hAnsi="宋体" w:eastAsia="宋体" w:cs="宋体"/>
                <w:sz w:val="24"/>
                <w:szCs w:val="24"/>
                <w:lang w:val="en-US" w:eastAsia="zh-CN"/>
              </w:rPr>
              <w:t>6</w:t>
            </w:r>
          </w:p>
        </w:tc>
        <w:tc>
          <w:tcPr>
            <w:tcW w:w="6909" w:type="dxa"/>
            <w:vAlign w:val="center"/>
          </w:tcPr>
          <w:p w14:paraId="007893F5">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由于本项目涉及到学校的整体弱电建设，涉及内容较多、现场情况复杂，为了有效顺利推进项目，能够准确了解项目情况，各投标单位须对学校自行进行实地勘察，投标人基于对项目建设目标的理解，分析项目建设的重点与难点，在此基础上提出贴合采购人实际需求的详细优化方案。根据供应商所提供的项目实施方案，综合评判其完整性、合理性、可行性、实用性及与项目需求的匹配度。（要求根据用户实际设计，提供材料和用户实际相符，否则不得分）</w:t>
            </w:r>
          </w:p>
          <w:p w14:paraId="25842D89">
            <w:pPr>
              <w:numPr>
                <w:ilvl w:val="0"/>
                <w:numId w:val="6"/>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提供详细的设计图纸（针对本项目提供各子系统设备平面图、点位图、分布图、系统图、样板教室布线设计图、样板办公室布线设计图等）（0-6分）</w:t>
            </w:r>
          </w:p>
          <w:p w14:paraId="466574E4">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未提供或严重缺失关键图纸</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或</w:t>
            </w:r>
            <w:r>
              <w:rPr>
                <w:rFonts w:ascii="Segoe UI" w:hAnsi="Segoe UI" w:eastAsia="Segoe UI" w:cs="Segoe UI"/>
                <w:i w:val="0"/>
                <w:iCs w:val="0"/>
                <w:caps w:val="0"/>
                <w:spacing w:val="0"/>
                <w:sz w:val="24"/>
                <w:szCs w:val="24"/>
                <w:highlight w:val="none"/>
                <w:shd w:val="clear" w:fill="FFFFFF"/>
              </w:rPr>
              <w:t>完全脱离学校实际需求</w:t>
            </w:r>
            <w:r>
              <w:rPr>
                <w:rFonts w:hint="eastAsia" w:ascii="宋体" w:hAnsi="宋体" w:eastAsia="宋体" w:cs="宋体"/>
                <w:sz w:val="24"/>
                <w:szCs w:val="24"/>
                <w:highlight w:val="none"/>
                <w:lang w:val="zh-CN"/>
              </w:rPr>
              <w:t>：0 分。</w:t>
            </w:r>
          </w:p>
          <w:p w14:paraId="5129B9E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提供部分图纸，但存在较多缺失或错误</w:t>
            </w:r>
            <w:r>
              <w:rPr>
                <w:rFonts w:hint="eastAsia" w:ascii="宋体" w:hAnsi="宋体" w:cs="宋体"/>
                <w:sz w:val="24"/>
                <w:szCs w:val="24"/>
                <w:highlight w:val="none"/>
                <w:lang w:val="zh-CN"/>
              </w:rPr>
              <w:t>，</w:t>
            </w:r>
            <w:r>
              <w:rPr>
                <w:rFonts w:ascii="Segoe UI" w:hAnsi="Segoe UI" w:eastAsia="Segoe UI" w:cs="Segoe UI"/>
                <w:i w:val="0"/>
                <w:iCs w:val="0"/>
                <w:caps w:val="0"/>
                <w:spacing w:val="0"/>
                <w:sz w:val="24"/>
                <w:szCs w:val="24"/>
                <w:highlight w:val="none"/>
                <w:shd w:val="clear" w:fill="FFFFFF"/>
              </w:rPr>
              <w:t>与项目需求匹配度低</w:t>
            </w:r>
            <w:r>
              <w:rPr>
                <w:rFonts w:hint="eastAsia" w:ascii="宋体" w:hAnsi="宋体" w:eastAsia="宋体" w:cs="宋体"/>
                <w:sz w:val="24"/>
                <w:szCs w:val="24"/>
                <w:highlight w:val="none"/>
                <w:lang w:val="zh-CN"/>
              </w:rPr>
              <w:t>：2分。</w:t>
            </w:r>
          </w:p>
          <w:p w14:paraId="0F382AE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提供较完整图纸，但有少量错误</w:t>
            </w:r>
            <w:r>
              <w:rPr>
                <w:rFonts w:hint="eastAsia" w:ascii="宋体" w:hAnsi="宋体" w:cs="宋体"/>
                <w:sz w:val="24"/>
                <w:szCs w:val="24"/>
                <w:highlight w:val="none"/>
                <w:lang w:val="zh-CN"/>
              </w:rPr>
              <w:t>，</w:t>
            </w:r>
            <w:r>
              <w:rPr>
                <w:rFonts w:hint="eastAsia" w:ascii="宋体" w:hAnsi="宋体" w:cs="宋体"/>
                <w:sz w:val="24"/>
                <w:highlight w:val="none"/>
                <w:lang w:val="zh-CN"/>
              </w:rPr>
              <w:t>与实际需求存在部分偏差</w:t>
            </w:r>
            <w:r>
              <w:rPr>
                <w:rFonts w:hint="eastAsia" w:ascii="宋体" w:hAnsi="宋体" w:eastAsia="宋体" w:cs="宋体"/>
                <w:sz w:val="24"/>
                <w:szCs w:val="24"/>
                <w:highlight w:val="none"/>
                <w:lang w:val="zh-CN"/>
              </w:rPr>
              <w:t>：4 分。</w:t>
            </w:r>
          </w:p>
          <w:p w14:paraId="7882BF7C">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提供完整且准确的图纸，基本</w:t>
            </w:r>
            <w:r>
              <w:rPr>
                <w:rFonts w:hint="eastAsia" w:ascii="宋体" w:hAnsi="宋体" w:cs="宋体"/>
                <w:sz w:val="24"/>
                <w:szCs w:val="24"/>
                <w:highlight w:val="none"/>
                <w:lang w:val="en-US" w:eastAsia="zh-CN"/>
              </w:rPr>
              <w:t>匹配</w:t>
            </w:r>
            <w:r>
              <w:rPr>
                <w:rFonts w:hint="eastAsia" w:ascii="宋体" w:hAnsi="宋体" w:eastAsia="宋体" w:cs="宋体"/>
                <w:sz w:val="24"/>
                <w:szCs w:val="24"/>
                <w:highlight w:val="none"/>
                <w:lang w:val="zh-CN"/>
              </w:rPr>
              <w:t>项目需求：5 分。</w:t>
            </w:r>
          </w:p>
          <w:p w14:paraId="7F05FA6F">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提供完整、准确且</w:t>
            </w:r>
            <w:r>
              <w:rPr>
                <w:rFonts w:hint="eastAsia" w:ascii="宋体" w:hAnsi="宋体" w:cs="宋体"/>
                <w:sz w:val="24"/>
                <w:szCs w:val="24"/>
                <w:highlight w:val="none"/>
                <w:lang w:val="en-US" w:eastAsia="zh-CN"/>
              </w:rPr>
              <w:t>和项目匹配</w:t>
            </w:r>
            <w:r>
              <w:rPr>
                <w:rFonts w:hint="eastAsia" w:ascii="宋体" w:hAnsi="宋体" w:eastAsia="宋体" w:cs="宋体"/>
                <w:sz w:val="24"/>
                <w:szCs w:val="24"/>
                <w:highlight w:val="none"/>
                <w:lang w:val="zh-CN"/>
              </w:rPr>
              <w:t>的图纸，完全满足项目需求：6 分。</w:t>
            </w:r>
          </w:p>
          <w:p w14:paraId="1E39A3DD">
            <w:pPr>
              <w:numPr>
                <w:ilvl w:val="0"/>
                <w:numId w:val="6"/>
              </w:numPr>
              <w:adjustRightInd/>
              <w:ind w:left="0" w:leftChars="0"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本项目建设的重点、难点分析，对本次招标清单内的系统设备应用理解成熟度，在此基础上提出贴合采购人实际需求的详细优化方案，及技术解决方案，根据方案的合理性、科学性、全面性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综合评分。（0-</w:t>
            </w:r>
            <w:r>
              <w:rPr>
                <w:rFonts w:hint="eastAsia" w:ascii="宋体" w:hAnsi="宋体" w:eastAsia="宋体" w:cs="宋体"/>
                <w:sz w:val="24"/>
                <w:szCs w:val="24"/>
                <w:highlight w:val="none"/>
                <w:lang w:val="en-US" w:eastAsia="zh-CN"/>
              </w:rPr>
              <w:t>5</w:t>
            </w:r>
            <w:r>
              <w:rPr>
                <w:rFonts w:hint="eastAsia" w:ascii="宋体" w:hAnsi="宋体" w:eastAsia="宋体" w:cs="宋体"/>
                <w:sz w:val="24"/>
                <w:szCs w:val="24"/>
                <w:highlight w:val="none"/>
                <w:lang w:val="zh-CN"/>
              </w:rPr>
              <w:t>分）</w:t>
            </w:r>
          </w:p>
          <w:p w14:paraId="4D709603">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方案不合理、不科学、不全面</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不匹配</w:t>
            </w:r>
            <w:r>
              <w:rPr>
                <w:rFonts w:hint="eastAsia" w:ascii="宋体" w:hAnsi="宋体" w:eastAsia="宋体" w:cs="宋体"/>
                <w:sz w:val="24"/>
                <w:szCs w:val="24"/>
                <w:highlight w:val="none"/>
                <w:lang w:val="zh-CN"/>
              </w:rPr>
              <w:t>：0分。</w:t>
            </w:r>
          </w:p>
          <w:p w14:paraId="5CDE6A45">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一般：2 分。</w:t>
            </w:r>
          </w:p>
          <w:p w14:paraId="5539BD57">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较好：3 分。</w:t>
            </w:r>
          </w:p>
          <w:p w14:paraId="0190A191">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较强：4 分。</w:t>
            </w:r>
          </w:p>
          <w:p w14:paraId="3DFFA63C">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方案合理性、科学性、全面性</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匹配度</w:t>
            </w:r>
            <w:r>
              <w:rPr>
                <w:rFonts w:hint="eastAsia" w:ascii="宋体" w:hAnsi="宋体" w:eastAsia="宋体" w:cs="宋体"/>
                <w:sz w:val="24"/>
                <w:szCs w:val="24"/>
                <w:highlight w:val="none"/>
                <w:lang w:val="zh-CN"/>
              </w:rPr>
              <w:t>优秀：5 分。</w:t>
            </w:r>
          </w:p>
          <w:p w14:paraId="08E2178D">
            <w:pPr>
              <w:numPr>
                <w:ilvl w:val="0"/>
                <w:numId w:val="6"/>
              </w:numPr>
              <w:adjustRightInd/>
              <w:ind w:left="0" w:leftChars="0" w:firstLine="0" w:firstLineChars="0"/>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详细的施工方案：进度安排、人员安排、质量保证等（针对本项目施工方案内容详实、步骤清晰、层次分明）</w:t>
            </w:r>
            <w:r>
              <w:rPr>
                <w:rFonts w:hint="eastAsia" w:ascii="宋体" w:hAnsi="宋体" w:cs="宋体"/>
                <w:sz w:val="24"/>
                <w:szCs w:val="24"/>
                <w:highlight w:val="none"/>
                <w:lang w:val="zh-CN"/>
              </w:rPr>
              <w:t>。</w:t>
            </w:r>
            <w:r>
              <w:rPr>
                <w:rFonts w:hint="eastAsia" w:ascii="宋体" w:hAnsi="宋体" w:eastAsia="宋体" w:cs="宋体"/>
                <w:sz w:val="24"/>
                <w:szCs w:val="24"/>
                <w:highlight w:val="none"/>
                <w:lang w:val="zh-CN"/>
              </w:rPr>
              <w:t>（0-5分）</w:t>
            </w:r>
          </w:p>
          <w:p w14:paraId="1E5397D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内容空洞、步骤混乱、层次不清：0分。</w:t>
            </w:r>
          </w:p>
          <w:p w14:paraId="0FAA997A">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内容较为空洞、步骤不够清晰、层次不够分明：2 分。</w:t>
            </w:r>
          </w:p>
          <w:p w14:paraId="7FF41E65">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内容较详实、步骤较清晰、层次较分明：3 分。</w:t>
            </w:r>
          </w:p>
          <w:p w14:paraId="63272B4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内容详实、步骤清晰、层次分明：4 分。</w:t>
            </w:r>
          </w:p>
          <w:p w14:paraId="3CD6A238">
            <w:pPr>
              <w:numPr>
                <w:ilvl w:val="0"/>
                <w:numId w:val="0"/>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内容非常详实、步骤极为清晰、层次极为分明：5 分。</w:t>
            </w:r>
          </w:p>
        </w:tc>
      </w:tr>
      <w:tr w14:paraId="633574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4" w:hRule="atLeast"/>
          <w:jc w:val="center"/>
        </w:trPr>
        <w:tc>
          <w:tcPr>
            <w:tcW w:w="1774" w:type="dxa"/>
            <w:vAlign w:val="center"/>
          </w:tcPr>
          <w:p w14:paraId="038AD5C8">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实施保障措施</w:t>
            </w:r>
          </w:p>
        </w:tc>
        <w:tc>
          <w:tcPr>
            <w:tcW w:w="1056" w:type="dxa"/>
            <w:vAlign w:val="center"/>
          </w:tcPr>
          <w:p w14:paraId="036ECFBE">
            <w:pPr>
              <w:adjustRightInd/>
              <w:jc w:val="center"/>
              <w:rPr>
                <w:rFonts w:hint="eastAsia" w:ascii="宋体" w:hAnsi="宋体" w:eastAsia="宋体" w:cs="宋体"/>
                <w:sz w:val="24"/>
                <w:szCs w:val="24"/>
              </w:rPr>
            </w:pPr>
            <w:r>
              <w:rPr>
                <w:rFonts w:hint="eastAsia" w:ascii="宋体" w:hAnsi="宋体" w:eastAsia="宋体" w:cs="宋体"/>
                <w:sz w:val="24"/>
                <w:szCs w:val="24"/>
              </w:rPr>
              <w:t>6</w:t>
            </w:r>
          </w:p>
        </w:tc>
        <w:tc>
          <w:tcPr>
            <w:tcW w:w="6909" w:type="dxa"/>
            <w:vAlign w:val="center"/>
          </w:tcPr>
          <w:p w14:paraId="3DC7793D">
            <w:pPr>
              <w:numPr>
                <w:ilvl w:val="0"/>
                <w:numId w:val="7"/>
              </w:num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投标文件中所体现的针对本项目的实施计划是否全面，实施进程保障措施、技术保障措施、安全保障方案、验收方案及措施等。（0-4分）</w:t>
            </w:r>
          </w:p>
          <w:p w14:paraId="3DF5B4FF">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实施计划不全面，多数保障措施缺失：</w:t>
            </w:r>
            <w:r>
              <w:rPr>
                <w:rFonts w:hint="eastAsia" w:ascii="宋体" w:hAnsi="宋体" w:cs="宋体"/>
                <w:sz w:val="24"/>
                <w:szCs w:val="24"/>
                <w:highlight w:val="none"/>
                <w:lang w:val="en-US" w:eastAsia="zh-CN"/>
              </w:rPr>
              <w:t>0</w:t>
            </w:r>
            <w:r>
              <w:rPr>
                <w:rFonts w:hint="eastAsia" w:ascii="宋体" w:hAnsi="宋体" w:eastAsia="宋体" w:cs="宋体"/>
                <w:sz w:val="24"/>
                <w:szCs w:val="24"/>
                <w:highlight w:val="none"/>
                <w:lang w:val="zh-CN"/>
              </w:rPr>
              <w:t>分。</w:t>
            </w:r>
          </w:p>
          <w:p w14:paraId="492D3176">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实施计划较不全面，部分保障措施欠缺：</w:t>
            </w:r>
            <w:r>
              <w:rPr>
                <w:rFonts w:hint="eastAsia" w:ascii="宋体" w:hAnsi="宋体" w:cs="宋体"/>
                <w:sz w:val="24"/>
                <w:szCs w:val="24"/>
                <w:highlight w:val="none"/>
                <w:lang w:val="en-US" w:eastAsia="zh-CN"/>
              </w:rPr>
              <w:t>1</w:t>
            </w:r>
            <w:r>
              <w:rPr>
                <w:rFonts w:hint="eastAsia" w:ascii="宋体" w:hAnsi="宋体" w:eastAsia="宋体" w:cs="宋体"/>
                <w:sz w:val="24"/>
                <w:szCs w:val="24"/>
                <w:highlight w:val="none"/>
                <w:lang w:val="zh-CN"/>
              </w:rPr>
              <w:t>分。</w:t>
            </w:r>
          </w:p>
          <w:p w14:paraId="1CEF575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实施计划基本全面，保障措施基本完善：</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 xml:space="preserve"> 分。</w:t>
            </w:r>
          </w:p>
          <w:p w14:paraId="3F06CEF4">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实施计划较全面，保障措施较完善：</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zh-CN"/>
              </w:rPr>
              <w:t>分。</w:t>
            </w:r>
          </w:p>
          <w:p w14:paraId="3A5FE9C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实施计划非常全面，保障措施完善且详实：4 分。</w:t>
            </w:r>
          </w:p>
          <w:p w14:paraId="04D43845">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本项目是</w:t>
            </w:r>
            <w:r>
              <w:rPr>
                <w:rFonts w:hint="eastAsia" w:ascii="宋体" w:hAnsi="宋体" w:eastAsia="宋体" w:cs="宋体"/>
                <w:sz w:val="24"/>
                <w:szCs w:val="24"/>
                <w:highlight w:val="none"/>
              </w:rPr>
              <w:t>弱电整体建设</w:t>
            </w:r>
            <w:r>
              <w:rPr>
                <w:rFonts w:hint="eastAsia" w:ascii="宋体" w:hAnsi="宋体" w:eastAsia="宋体" w:cs="宋体"/>
                <w:sz w:val="24"/>
                <w:szCs w:val="24"/>
                <w:highlight w:val="none"/>
                <w:lang w:val="zh-CN"/>
              </w:rPr>
              <w:t>项目，施工不得影响学校的正常教学活动，投标人提供具体保障举措和承诺，并承担社会责任、经济责任。（2分）</w:t>
            </w:r>
          </w:p>
        </w:tc>
      </w:tr>
      <w:tr w14:paraId="34D33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4" w:type="dxa"/>
            <w:vAlign w:val="center"/>
          </w:tcPr>
          <w:p w14:paraId="373773D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投标人经验、信誉</w:t>
            </w:r>
          </w:p>
        </w:tc>
        <w:tc>
          <w:tcPr>
            <w:tcW w:w="1056" w:type="dxa"/>
            <w:vAlign w:val="center"/>
          </w:tcPr>
          <w:p w14:paraId="4F234BBD">
            <w:pPr>
              <w:adjustRightInd/>
              <w:jc w:val="center"/>
              <w:rPr>
                <w:rFonts w:hint="eastAsia" w:ascii="宋体" w:hAnsi="宋体" w:eastAsia="宋体" w:cs="宋体"/>
                <w:sz w:val="24"/>
                <w:szCs w:val="24"/>
              </w:rPr>
            </w:pPr>
            <w:r>
              <w:rPr>
                <w:rFonts w:hint="eastAsia" w:ascii="宋体" w:hAnsi="宋体" w:eastAsia="宋体" w:cs="宋体"/>
                <w:sz w:val="24"/>
                <w:szCs w:val="24"/>
              </w:rPr>
              <w:t>3</w:t>
            </w:r>
          </w:p>
        </w:tc>
        <w:tc>
          <w:tcPr>
            <w:tcW w:w="6909" w:type="dxa"/>
            <w:vAlign w:val="center"/>
          </w:tcPr>
          <w:p w14:paraId="0F51824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投标人202</w:t>
            </w:r>
            <w:r>
              <w:rPr>
                <w:rFonts w:hint="eastAsia" w:ascii="宋体" w:hAnsi="宋体" w:eastAsia="宋体" w:cs="宋体"/>
                <w:sz w:val="24"/>
                <w:szCs w:val="24"/>
                <w:highlight w:val="none"/>
                <w:lang w:val="en-US" w:eastAsia="zh-CN"/>
              </w:rPr>
              <w:t>2</w:t>
            </w:r>
            <w:r>
              <w:rPr>
                <w:rFonts w:hint="eastAsia" w:ascii="宋体" w:hAnsi="宋体" w:eastAsia="宋体" w:cs="宋体"/>
                <w:sz w:val="24"/>
                <w:szCs w:val="24"/>
                <w:highlight w:val="none"/>
                <w:lang w:val="zh-CN"/>
              </w:rPr>
              <w:t>年1月1日以来（以签合同时间为准）至今有完成过</w:t>
            </w:r>
            <w:r>
              <w:rPr>
                <w:rFonts w:hint="eastAsia" w:ascii="宋体" w:hAnsi="宋体" w:eastAsia="宋体" w:cs="宋体"/>
                <w:sz w:val="24"/>
                <w:szCs w:val="24"/>
                <w:highlight w:val="none"/>
              </w:rPr>
              <w:t>同类</w:t>
            </w:r>
            <w:r>
              <w:rPr>
                <w:rFonts w:hint="eastAsia" w:ascii="宋体" w:hAnsi="宋体" w:eastAsia="宋体" w:cs="宋体"/>
                <w:sz w:val="24"/>
                <w:szCs w:val="24"/>
                <w:highlight w:val="none"/>
                <w:lang w:val="zh-CN"/>
              </w:rPr>
              <w:t>采购项目业绩的，每提供一个业绩案例得1分，最高得3分。</w:t>
            </w:r>
          </w:p>
          <w:p w14:paraId="06DF296E">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（需同时提供</w:t>
            </w:r>
            <w:r>
              <w:rPr>
                <w:rFonts w:hint="eastAsia" w:ascii="宋体" w:hAnsi="宋体" w:eastAsia="宋体" w:cs="宋体"/>
                <w:sz w:val="24"/>
                <w:szCs w:val="24"/>
                <w:highlight w:val="none"/>
              </w:rPr>
              <w:t>合同和</w:t>
            </w:r>
            <w:r>
              <w:rPr>
                <w:rFonts w:hint="eastAsia" w:ascii="宋体" w:hAnsi="宋体" w:eastAsia="宋体" w:cs="宋体"/>
                <w:sz w:val="24"/>
                <w:szCs w:val="24"/>
                <w:highlight w:val="none"/>
                <w:lang w:val="zh-CN"/>
              </w:rPr>
              <w:t>验收报告</w:t>
            </w:r>
            <w:r>
              <w:rPr>
                <w:rFonts w:hint="eastAsia" w:ascii="宋体" w:hAnsi="宋体" w:eastAsia="宋体" w:cs="宋体"/>
                <w:sz w:val="24"/>
                <w:szCs w:val="24"/>
                <w:highlight w:val="none"/>
              </w:rPr>
              <w:t>扫描件加盖单位公章</w:t>
            </w:r>
            <w:r>
              <w:rPr>
                <w:rFonts w:hint="eastAsia" w:ascii="宋体" w:hAnsi="宋体" w:eastAsia="宋体" w:cs="宋体"/>
                <w:sz w:val="24"/>
                <w:szCs w:val="24"/>
                <w:highlight w:val="none"/>
                <w:lang w:val="zh-CN"/>
              </w:rPr>
              <w:t>，提供不全不得分）</w:t>
            </w:r>
          </w:p>
        </w:tc>
      </w:tr>
      <w:tr w14:paraId="34A149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2" w:hRule="atLeast"/>
          <w:jc w:val="center"/>
        </w:trPr>
        <w:tc>
          <w:tcPr>
            <w:tcW w:w="1774" w:type="dxa"/>
            <w:vAlign w:val="center"/>
          </w:tcPr>
          <w:p w14:paraId="273787AF">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资质证书</w:t>
            </w:r>
          </w:p>
        </w:tc>
        <w:tc>
          <w:tcPr>
            <w:tcW w:w="1056" w:type="dxa"/>
            <w:vAlign w:val="center"/>
          </w:tcPr>
          <w:p w14:paraId="6ADD0D09">
            <w:pPr>
              <w:adjustRightInd/>
              <w:jc w:val="center"/>
              <w:rPr>
                <w:rFonts w:hint="eastAsia" w:ascii="宋体" w:hAnsi="宋体" w:eastAsia="宋体" w:cs="宋体"/>
                <w:sz w:val="24"/>
                <w:szCs w:val="24"/>
                <w:lang w:val="zh-CN"/>
              </w:rPr>
            </w:pPr>
            <w:r>
              <w:rPr>
                <w:rFonts w:hint="eastAsia" w:ascii="宋体" w:hAnsi="宋体" w:eastAsia="宋体" w:cs="宋体"/>
                <w:sz w:val="24"/>
                <w:szCs w:val="24"/>
              </w:rPr>
              <w:t>3</w:t>
            </w:r>
          </w:p>
        </w:tc>
        <w:tc>
          <w:tcPr>
            <w:tcW w:w="6909" w:type="dxa"/>
            <w:vAlign w:val="center"/>
          </w:tcPr>
          <w:p w14:paraId="72CBCAA7">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rPr>
              <w:t>投标人具有有效的</w:t>
            </w:r>
            <w:r>
              <w:rPr>
                <w:rFonts w:hint="eastAsia" w:ascii="宋体" w:hAnsi="宋体" w:eastAsia="宋体" w:cs="宋体"/>
                <w:sz w:val="24"/>
                <w:szCs w:val="24"/>
                <w:highlight w:val="none"/>
                <w:lang w:val="zh-CN"/>
              </w:rPr>
              <w:t>ISO9001质量管理认证、ISO14001环境管理体系认证</w:t>
            </w:r>
            <w:r>
              <w:rPr>
                <w:rFonts w:hint="eastAsia" w:ascii="宋体" w:hAnsi="宋体" w:eastAsia="宋体" w:cs="宋体"/>
                <w:sz w:val="24"/>
                <w:szCs w:val="24"/>
                <w:highlight w:val="none"/>
              </w:rPr>
              <w:t>和</w:t>
            </w:r>
            <w:r>
              <w:rPr>
                <w:rFonts w:hint="eastAsia" w:ascii="宋体" w:hAnsi="宋体" w:eastAsia="宋体" w:cs="宋体"/>
                <w:sz w:val="24"/>
                <w:szCs w:val="24"/>
                <w:highlight w:val="none"/>
                <w:lang w:val="zh-CN"/>
              </w:rPr>
              <w:t>职业健康安全管理认证（OHSAS18001或ISO 45001:2018），</w:t>
            </w:r>
            <w:r>
              <w:rPr>
                <w:rFonts w:hint="eastAsia" w:ascii="宋体" w:hAnsi="宋体" w:eastAsia="宋体" w:cs="宋体"/>
                <w:sz w:val="24"/>
                <w:szCs w:val="24"/>
                <w:highlight w:val="none"/>
              </w:rPr>
              <w:t>每提供一个有效证书得1分，共3分</w:t>
            </w:r>
            <w:r>
              <w:rPr>
                <w:rFonts w:hint="eastAsia" w:ascii="宋体" w:hAnsi="宋体" w:eastAsia="宋体" w:cs="宋体"/>
                <w:sz w:val="24"/>
                <w:szCs w:val="24"/>
                <w:highlight w:val="none"/>
                <w:lang w:val="zh-CN"/>
              </w:rPr>
              <w:t>。</w:t>
            </w:r>
          </w:p>
          <w:p w14:paraId="76AACCD4">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（提供相关</w:t>
            </w:r>
            <w:r>
              <w:rPr>
                <w:rFonts w:hint="eastAsia" w:ascii="宋体" w:hAnsi="宋体" w:eastAsia="宋体" w:cs="宋体"/>
                <w:sz w:val="24"/>
                <w:szCs w:val="24"/>
                <w:highlight w:val="none"/>
              </w:rPr>
              <w:t>证书扫描件</w:t>
            </w:r>
            <w:r>
              <w:rPr>
                <w:rFonts w:hint="eastAsia" w:ascii="宋体" w:hAnsi="宋体" w:eastAsia="宋体" w:cs="宋体"/>
                <w:sz w:val="24"/>
                <w:szCs w:val="24"/>
                <w:highlight w:val="none"/>
                <w:lang w:val="zh-CN"/>
              </w:rPr>
              <w:t>加盖公章，未提供不得分）</w:t>
            </w:r>
          </w:p>
        </w:tc>
      </w:tr>
      <w:tr w14:paraId="57AC29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774" w:type="dxa"/>
            <w:vAlign w:val="center"/>
          </w:tcPr>
          <w:p w14:paraId="3B5FDCBE">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售后保障</w:t>
            </w:r>
          </w:p>
        </w:tc>
        <w:tc>
          <w:tcPr>
            <w:tcW w:w="1056" w:type="dxa"/>
            <w:vAlign w:val="center"/>
          </w:tcPr>
          <w:p w14:paraId="3C85A9F8">
            <w:pPr>
              <w:adjustRightInd/>
              <w:jc w:val="center"/>
              <w:rPr>
                <w:rFonts w:hint="eastAsia" w:ascii="宋体" w:hAnsi="宋体" w:eastAsia="宋体" w:cs="宋体"/>
                <w:sz w:val="24"/>
                <w:szCs w:val="24"/>
              </w:rPr>
            </w:pPr>
            <w:r>
              <w:rPr>
                <w:rFonts w:hint="eastAsia" w:ascii="宋体" w:hAnsi="宋体" w:eastAsia="宋体" w:cs="宋体"/>
                <w:sz w:val="24"/>
                <w:szCs w:val="24"/>
                <w:lang w:val="zh-CN"/>
              </w:rPr>
              <w:t>5</w:t>
            </w:r>
          </w:p>
        </w:tc>
        <w:tc>
          <w:tcPr>
            <w:tcW w:w="6909" w:type="dxa"/>
            <w:vAlign w:val="center"/>
          </w:tcPr>
          <w:p w14:paraId="76BB7D5C">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根据投标人的技术培训方案、售后服务体系（服务标准、响应时间、维护体系、报修方式）、回访体系（提供质量反馈表等证明资料）、售后服务人员技术能力等。（0-5分）</w:t>
            </w:r>
          </w:p>
          <w:p w14:paraId="24110034">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方案不完善，多数关键要素缺失或不合理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服务质量无保障</w:t>
            </w:r>
            <w:r>
              <w:rPr>
                <w:rFonts w:hint="eastAsia" w:ascii="宋体" w:hAnsi="宋体" w:eastAsia="宋体" w:cs="宋体"/>
                <w:sz w:val="24"/>
                <w:szCs w:val="24"/>
                <w:highlight w:val="none"/>
                <w:lang w:val="zh-CN"/>
              </w:rPr>
              <w:t>：0 分。</w:t>
            </w:r>
          </w:p>
          <w:p w14:paraId="34BDA2FF">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方案较不完善，部分关键要素欠缺或不够合理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服务质量较差</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 xml:space="preserve"> 分。</w:t>
            </w:r>
          </w:p>
          <w:p w14:paraId="095F9F4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方案基本完善，关键要素基本具备且较合理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服务质量一般</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lang w:val="zh-CN"/>
              </w:rPr>
              <w:t xml:space="preserve"> 分。</w:t>
            </w:r>
          </w:p>
          <w:p w14:paraId="3C38B711">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方案较完善，关键要素齐全且合理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服务质量较好</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4</w:t>
            </w:r>
            <w:r>
              <w:rPr>
                <w:rFonts w:hint="eastAsia" w:ascii="宋体" w:hAnsi="宋体" w:eastAsia="宋体" w:cs="宋体"/>
                <w:sz w:val="24"/>
                <w:szCs w:val="24"/>
                <w:highlight w:val="none"/>
                <w:lang w:val="zh-CN"/>
              </w:rPr>
              <w:t xml:space="preserve"> 分。</w:t>
            </w:r>
          </w:p>
          <w:p w14:paraId="088182AF">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方案非常完善，关键要素齐全且非常合理</w:t>
            </w:r>
            <w:r>
              <w:rPr>
                <w:rFonts w:hint="eastAsia" w:ascii="宋体" w:hAnsi="宋体" w:cs="宋体"/>
                <w:sz w:val="24"/>
                <w:szCs w:val="24"/>
                <w:highlight w:val="none"/>
                <w:lang w:val="zh-CN"/>
              </w:rPr>
              <w:t>，</w:t>
            </w:r>
            <w:r>
              <w:rPr>
                <w:rFonts w:hint="eastAsia" w:ascii="宋体" w:hAnsi="宋体" w:cs="宋体"/>
                <w:sz w:val="24"/>
                <w:szCs w:val="24"/>
                <w:highlight w:val="none"/>
                <w:lang w:val="en-US" w:eastAsia="zh-CN"/>
              </w:rPr>
              <w:t>服务质量优越</w:t>
            </w:r>
            <w:r>
              <w:rPr>
                <w:rFonts w:hint="eastAsia" w:ascii="宋体" w:hAnsi="宋体" w:eastAsia="宋体" w:cs="宋体"/>
                <w:sz w:val="24"/>
                <w:szCs w:val="24"/>
                <w:highlight w:val="none"/>
                <w:lang w:val="zh-CN"/>
              </w:rPr>
              <w:t>：</w:t>
            </w:r>
            <w:r>
              <w:rPr>
                <w:rFonts w:hint="eastAsia" w:ascii="宋体" w:hAnsi="宋体" w:cs="宋体"/>
                <w:sz w:val="24"/>
                <w:szCs w:val="24"/>
                <w:highlight w:val="none"/>
                <w:lang w:val="en-US" w:eastAsia="zh-CN"/>
              </w:rPr>
              <w:t>5</w:t>
            </w:r>
            <w:r>
              <w:rPr>
                <w:rFonts w:hint="eastAsia" w:ascii="宋体" w:hAnsi="宋体" w:eastAsia="宋体" w:cs="宋体"/>
                <w:sz w:val="24"/>
                <w:szCs w:val="24"/>
                <w:highlight w:val="none"/>
                <w:lang w:val="zh-CN"/>
              </w:rPr>
              <w:t xml:space="preserve"> 分。</w:t>
            </w:r>
          </w:p>
        </w:tc>
      </w:tr>
      <w:tr w14:paraId="7B574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9" w:hRule="atLeast"/>
          <w:jc w:val="center"/>
        </w:trPr>
        <w:tc>
          <w:tcPr>
            <w:tcW w:w="1774" w:type="dxa"/>
            <w:vAlign w:val="center"/>
          </w:tcPr>
          <w:p w14:paraId="50124129">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优惠条件</w:t>
            </w:r>
          </w:p>
        </w:tc>
        <w:tc>
          <w:tcPr>
            <w:tcW w:w="1056" w:type="dxa"/>
            <w:vAlign w:val="center"/>
          </w:tcPr>
          <w:p w14:paraId="4DB90E90">
            <w:pPr>
              <w:adjustRightInd/>
              <w:jc w:val="center"/>
              <w:rPr>
                <w:rFonts w:hint="eastAsia" w:ascii="宋体" w:hAnsi="宋体" w:eastAsia="宋体" w:cs="宋体"/>
                <w:sz w:val="24"/>
                <w:szCs w:val="24"/>
                <w:lang w:val="zh-CN" w:eastAsia="zh-CN"/>
              </w:rPr>
            </w:pPr>
            <w:r>
              <w:rPr>
                <w:rFonts w:hint="eastAsia" w:ascii="宋体" w:hAnsi="宋体" w:eastAsia="宋体" w:cs="宋体"/>
                <w:sz w:val="24"/>
                <w:szCs w:val="24"/>
                <w:lang w:val="en-US" w:eastAsia="zh-CN"/>
              </w:rPr>
              <w:t>2</w:t>
            </w:r>
          </w:p>
        </w:tc>
        <w:tc>
          <w:tcPr>
            <w:tcW w:w="6909" w:type="dxa"/>
            <w:vAlign w:val="center"/>
          </w:tcPr>
          <w:p w14:paraId="72D35F3E">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售后服务物质保障的充分性：根据投标人针对本项目产品可能出现的问题，对产品维护保修制订合理、有效、可操作的预案，所需零配件或整机替换备件准备的充分性，提供具体的技术支持与服务，及其他优惠支持等。（0-</w:t>
            </w:r>
            <w:r>
              <w:rPr>
                <w:rFonts w:hint="eastAsia" w:ascii="宋体" w:hAnsi="宋体" w:cs="宋体"/>
                <w:sz w:val="24"/>
                <w:szCs w:val="24"/>
                <w:highlight w:val="none"/>
                <w:lang w:val="en-US" w:eastAsia="zh-CN"/>
              </w:rPr>
              <w:t>2</w:t>
            </w:r>
            <w:r>
              <w:rPr>
                <w:rFonts w:hint="eastAsia" w:ascii="宋体" w:hAnsi="宋体" w:eastAsia="宋体" w:cs="宋体"/>
                <w:sz w:val="24"/>
                <w:szCs w:val="24"/>
                <w:highlight w:val="none"/>
                <w:lang w:val="zh-CN"/>
              </w:rPr>
              <w:t>分）</w:t>
            </w:r>
          </w:p>
          <w:p w14:paraId="50368203">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预案不合理，零配件或整机替换备件准备不充分：0 分。</w:t>
            </w:r>
          </w:p>
          <w:p w14:paraId="7E1CF2E7">
            <w:pPr>
              <w:adjustRightInd/>
              <w:rPr>
                <w:rFonts w:hint="eastAsia" w:ascii="宋体" w:hAnsi="宋体" w:eastAsia="宋体" w:cs="宋体"/>
                <w:sz w:val="24"/>
                <w:szCs w:val="24"/>
                <w:highlight w:val="none"/>
                <w:lang w:val="zh-CN"/>
              </w:rPr>
            </w:pPr>
            <w:r>
              <w:rPr>
                <w:rFonts w:hint="eastAsia" w:ascii="宋体" w:hAnsi="宋体" w:eastAsia="宋体" w:cs="宋体"/>
                <w:sz w:val="24"/>
                <w:szCs w:val="24"/>
                <w:highlight w:val="none"/>
                <w:lang w:val="zh-CN"/>
              </w:rPr>
              <w:t>预案基本合理，零配件或整机替换备件准备基本充分：1 分。</w:t>
            </w:r>
          </w:p>
          <w:p w14:paraId="3BDC9175">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预案合理、有效、可操作，零配件或整机替换备件准备充分：2 分。</w:t>
            </w:r>
          </w:p>
        </w:tc>
      </w:tr>
      <w:tr w14:paraId="5FA20C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2" w:hRule="atLeast"/>
          <w:jc w:val="center"/>
        </w:trPr>
        <w:tc>
          <w:tcPr>
            <w:tcW w:w="1774" w:type="dxa"/>
            <w:vAlign w:val="center"/>
          </w:tcPr>
          <w:p w14:paraId="20E5091D">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质保期</w:t>
            </w:r>
          </w:p>
        </w:tc>
        <w:tc>
          <w:tcPr>
            <w:tcW w:w="1056" w:type="dxa"/>
            <w:vAlign w:val="center"/>
          </w:tcPr>
          <w:p w14:paraId="4E39DCCB">
            <w:pPr>
              <w:adjustRightInd/>
              <w:jc w:val="center"/>
              <w:rPr>
                <w:rFonts w:hint="eastAsia" w:ascii="宋体" w:hAnsi="宋体" w:eastAsia="宋体" w:cs="宋体"/>
                <w:sz w:val="24"/>
                <w:szCs w:val="24"/>
                <w:lang w:val="zh-CN"/>
              </w:rPr>
            </w:pPr>
            <w:r>
              <w:rPr>
                <w:rFonts w:hint="eastAsia" w:ascii="宋体" w:hAnsi="宋体" w:eastAsia="宋体" w:cs="宋体"/>
                <w:sz w:val="24"/>
                <w:szCs w:val="24"/>
                <w:lang w:val="zh-CN"/>
              </w:rPr>
              <w:t>3</w:t>
            </w:r>
          </w:p>
        </w:tc>
        <w:tc>
          <w:tcPr>
            <w:tcW w:w="6909" w:type="dxa"/>
            <w:vAlign w:val="center"/>
          </w:tcPr>
          <w:p w14:paraId="608A9E76">
            <w:pPr>
              <w:adjustRightInd/>
              <w:rPr>
                <w:rFonts w:hint="eastAsia" w:ascii="宋体" w:hAnsi="宋体" w:eastAsia="宋体" w:cs="宋体"/>
                <w:sz w:val="24"/>
                <w:szCs w:val="24"/>
                <w:highlight w:val="none"/>
              </w:rPr>
            </w:pPr>
            <w:r>
              <w:rPr>
                <w:rFonts w:hint="eastAsia" w:ascii="宋体" w:hAnsi="宋体" w:eastAsia="宋体" w:cs="宋体"/>
                <w:sz w:val="24"/>
                <w:szCs w:val="24"/>
                <w:highlight w:val="none"/>
                <w:lang w:val="zh-CN"/>
              </w:rPr>
              <w:t xml:space="preserve">符合招标文件要求不得分；超过招标文件规定的，每增加1年得1分,最多得3分。 （网络布线系统15年质保期不变）    </w:t>
            </w:r>
          </w:p>
        </w:tc>
      </w:tr>
    </w:tbl>
    <w:p w14:paraId="781692E7">
      <w:pPr>
        <w:rPr>
          <w:lang w:val="zh-CN"/>
        </w:rPr>
      </w:pPr>
    </w:p>
    <w:p w14:paraId="150E8E7F">
      <w:pPr>
        <w:snapToGrid w:val="0"/>
        <w:spacing w:line="360" w:lineRule="auto"/>
        <w:rPr>
          <w:rFonts w:hint="eastAsia" w:ascii="宋体" w:hAnsi="宋体" w:cs="宋体"/>
          <w:b/>
          <w:sz w:val="24"/>
        </w:rPr>
      </w:pPr>
      <w:r>
        <w:rPr>
          <w:rFonts w:hint="eastAsia" w:ascii="宋体" w:hAnsi="宋体" w:cs="宋体"/>
          <w:sz w:val="20"/>
          <w:szCs w:val="20"/>
          <w:shd w:val="clear" w:color="auto" w:fill="FFFFFF"/>
        </w:rPr>
        <w:t>*</w:t>
      </w:r>
      <w:r>
        <w:rPr>
          <w:rFonts w:hint="eastAsia" w:ascii="宋体" w:hAnsi="宋体" w:cs="宋体"/>
          <w:b/>
          <w:sz w:val="24"/>
        </w:rPr>
        <w:t>备注：</w:t>
      </w:r>
      <w:r>
        <w:rPr>
          <w:rFonts w:hint="eastAsia" w:ascii="宋体" w:hAnsi="宋体" w:cs="宋体"/>
          <w:sz w:val="24"/>
        </w:rPr>
        <w:t>投标人编制投标文件（商务技术文件部分）时，建议按此目录（序号和内容）提供评标标准相应的商务技术资料。 </w:t>
      </w:r>
    </w:p>
    <w:tbl>
      <w:tblPr>
        <w:tblStyle w:val="65"/>
        <w:tblW w:w="102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7"/>
        <w:gridCol w:w="1410"/>
        <w:gridCol w:w="7184"/>
        <w:gridCol w:w="840"/>
      </w:tblGrid>
      <w:tr w14:paraId="6887D9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1" w:hRule="atLeast"/>
          <w:jc w:val="center"/>
        </w:trPr>
        <w:tc>
          <w:tcPr>
            <w:tcW w:w="10241" w:type="dxa"/>
            <w:gridSpan w:val="4"/>
            <w:vAlign w:val="center"/>
          </w:tcPr>
          <w:p w14:paraId="6A7D6B3C">
            <w:pPr>
              <w:adjustRightInd/>
              <w:jc w:val="center"/>
              <w:rPr>
                <w:rFonts w:hint="eastAsia" w:ascii="宋体" w:hAnsi="宋体" w:cs="宋体"/>
                <w:sz w:val="24"/>
              </w:rPr>
            </w:pPr>
            <w:r>
              <w:rPr>
                <w:rFonts w:hint="eastAsia" w:ascii="宋体" w:hAnsi="宋体" w:cs="宋体"/>
                <w:b/>
                <w:bCs/>
                <w:sz w:val="24"/>
              </w:rPr>
              <w:t>报价文件部分（30分）</w:t>
            </w:r>
          </w:p>
        </w:tc>
      </w:tr>
      <w:tr w14:paraId="54A94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07" w:type="dxa"/>
            <w:vAlign w:val="center"/>
          </w:tcPr>
          <w:p w14:paraId="3EAF00C0">
            <w:pPr>
              <w:adjustRightInd/>
              <w:jc w:val="center"/>
              <w:rPr>
                <w:rFonts w:hint="eastAsia" w:ascii="宋体" w:hAnsi="宋体" w:cs="宋体"/>
                <w:sz w:val="24"/>
              </w:rPr>
            </w:pPr>
            <w:r>
              <w:rPr>
                <w:rFonts w:hint="eastAsia" w:ascii="宋体" w:hAnsi="宋体" w:cs="宋体"/>
                <w:b/>
                <w:bCs/>
                <w:sz w:val="24"/>
              </w:rPr>
              <w:t>序号</w:t>
            </w:r>
          </w:p>
        </w:tc>
        <w:tc>
          <w:tcPr>
            <w:tcW w:w="1410" w:type="dxa"/>
            <w:vAlign w:val="center"/>
          </w:tcPr>
          <w:p w14:paraId="5ABCA103">
            <w:pPr>
              <w:adjustRightInd/>
              <w:jc w:val="center"/>
              <w:rPr>
                <w:rFonts w:hint="eastAsia" w:ascii="宋体" w:hAnsi="宋体" w:cs="宋体"/>
                <w:sz w:val="24"/>
                <w:lang w:val="zh-CN"/>
              </w:rPr>
            </w:pPr>
            <w:r>
              <w:rPr>
                <w:rFonts w:hint="eastAsia" w:ascii="宋体" w:hAnsi="宋体" w:cs="宋体"/>
                <w:b/>
                <w:bCs/>
                <w:sz w:val="24"/>
              </w:rPr>
              <w:t>评标内容</w:t>
            </w:r>
          </w:p>
        </w:tc>
        <w:tc>
          <w:tcPr>
            <w:tcW w:w="7184" w:type="dxa"/>
            <w:vAlign w:val="center"/>
          </w:tcPr>
          <w:p w14:paraId="1179D313">
            <w:pPr>
              <w:adjustRightInd/>
              <w:jc w:val="center"/>
              <w:rPr>
                <w:rFonts w:hint="eastAsia" w:ascii="宋体" w:hAnsi="宋体" w:cs="宋体"/>
                <w:sz w:val="24"/>
                <w:lang w:val="zh-CN"/>
              </w:rPr>
            </w:pPr>
            <w:r>
              <w:rPr>
                <w:rFonts w:hint="eastAsia" w:ascii="宋体" w:hAnsi="宋体" w:cs="宋体"/>
                <w:b/>
                <w:bCs/>
                <w:sz w:val="24"/>
              </w:rPr>
              <w:t>评标标准</w:t>
            </w:r>
          </w:p>
        </w:tc>
        <w:tc>
          <w:tcPr>
            <w:tcW w:w="840" w:type="dxa"/>
            <w:vAlign w:val="center"/>
          </w:tcPr>
          <w:p w14:paraId="09A3315C">
            <w:pPr>
              <w:adjustRightInd/>
              <w:jc w:val="center"/>
              <w:rPr>
                <w:rFonts w:hint="eastAsia" w:ascii="宋体" w:hAnsi="宋体" w:cs="宋体"/>
                <w:sz w:val="24"/>
              </w:rPr>
            </w:pPr>
            <w:r>
              <w:rPr>
                <w:rFonts w:hint="eastAsia" w:ascii="宋体" w:hAnsi="宋体" w:cs="宋体"/>
                <w:b/>
                <w:bCs/>
                <w:sz w:val="24"/>
              </w:rPr>
              <w:t>权重</w:t>
            </w:r>
          </w:p>
        </w:tc>
      </w:tr>
      <w:tr w14:paraId="41958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6" w:hRule="atLeast"/>
          <w:jc w:val="center"/>
        </w:trPr>
        <w:tc>
          <w:tcPr>
            <w:tcW w:w="807" w:type="dxa"/>
            <w:vAlign w:val="center"/>
          </w:tcPr>
          <w:p w14:paraId="7CD855FC">
            <w:pPr>
              <w:adjustRightInd/>
              <w:jc w:val="center"/>
              <w:rPr>
                <w:rFonts w:hint="eastAsia" w:ascii="宋体" w:hAnsi="宋体" w:cs="宋体"/>
                <w:sz w:val="24"/>
              </w:rPr>
            </w:pPr>
            <w:r>
              <w:rPr>
                <w:rFonts w:hint="eastAsia" w:ascii="宋体" w:hAnsi="宋体" w:cs="宋体"/>
                <w:sz w:val="24"/>
              </w:rPr>
              <w:t>1</w:t>
            </w:r>
          </w:p>
        </w:tc>
        <w:tc>
          <w:tcPr>
            <w:tcW w:w="1410" w:type="dxa"/>
            <w:vAlign w:val="center"/>
          </w:tcPr>
          <w:p w14:paraId="12678F06">
            <w:pPr>
              <w:adjustRightInd/>
              <w:jc w:val="center"/>
              <w:rPr>
                <w:rFonts w:hint="eastAsia" w:ascii="宋体" w:hAnsi="宋体" w:cs="宋体"/>
                <w:sz w:val="24"/>
              </w:rPr>
            </w:pPr>
            <w:r>
              <w:rPr>
                <w:rFonts w:hint="eastAsia" w:ascii="宋体" w:hAnsi="宋体" w:cs="宋体"/>
                <w:sz w:val="24"/>
                <w:lang w:val="zh-CN"/>
              </w:rPr>
              <w:t>报价</w:t>
            </w:r>
          </w:p>
        </w:tc>
        <w:tc>
          <w:tcPr>
            <w:tcW w:w="7184" w:type="dxa"/>
            <w:vAlign w:val="center"/>
          </w:tcPr>
          <w:p w14:paraId="29E69101">
            <w:pPr>
              <w:adjustRightInd/>
              <w:rPr>
                <w:rFonts w:hint="eastAsia" w:ascii="宋体" w:hAnsi="宋体" w:cs="宋体"/>
                <w:sz w:val="24"/>
                <w:lang w:val="zh-CN"/>
              </w:rPr>
            </w:pPr>
            <w:r>
              <w:rPr>
                <w:rFonts w:hint="eastAsia" w:ascii="宋体" w:hAnsi="宋体" w:cs="宋体"/>
                <w:sz w:val="24"/>
                <w:lang w:val="zh-CN"/>
              </w:rPr>
              <w:t>有效投标报价的最低价作为评标基准价，其最低报价为满分；按［投标报价得分=（评标基准价/投标报价）*</w:t>
            </w:r>
            <w:r>
              <w:rPr>
                <w:rFonts w:hint="eastAsia" w:ascii="宋体" w:hAnsi="宋体" w:cs="宋体"/>
                <w:sz w:val="24"/>
              </w:rPr>
              <w:t xml:space="preserve">30 </w:t>
            </w:r>
            <w:r>
              <w:rPr>
                <w:rFonts w:hint="eastAsia" w:ascii="宋体" w:hAnsi="宋体" w:cs="宋体"/>
                <w:sz w:val="24"/>
                <w:lang w:val="zh-CN"/>
              </w:rPr>
              <w:t>］的计算公式计算。</w:t>
            </w:r>
          </w:p>
          <w:p w14:paraId="0D559335">
            <w:pPr>
              <w:adjustRightInd/>
              <w:rPr>
                <w:rFonts w:hint="eastAsia" w:ascii="宋体" w:hAnsi="宋体" w:cs="宋体"/>
                <w:sz w:val="24"/>
                <w:lang w:val="zh-CN"/>
              </w:rPr>
            </w:pPr>
            <w:r>
              <w:rPr>
                <w:rFonts w:hint="eastAsia" w:ascii="宋体" w:hAnsi="宋体" w:cs="宋体"/>
                <w:sz w:val="24"/>
                <w:lang w:val="zh-CN"/>
              </w:rPr>
              <w:t>评标过程中，不得去掉报价中的最高报价和最低报价。</w:t>
            </w:r>
          </w:p>
          <w:p w14:paraId="26FD0271">
            <w:pPr>
              <w:adjustRightInd/>
              <w:rPr>
                <w:rFonts w:hint="eastAsia" w:ascii="宋体" w:hAnsi="宋体" w:cs="宋体"/>
                <w:sz w:val="24"/>
                <w:lang w:val="zh-CN"/>
              </w:rPr>
            </w:pPr>
            <w:r>
              <w:rPr>
                <w:rFonts w:hint="eastAsia" w:ascii="宋体" w:hAnsi="宋体" w:cs="宋体"/>
                <w:sz w:val="24"/>
                <w:lang w:val="zh-CN"/>
              </w:rPr>
              <w:t>因落实政府采购政策需要进行价格调整的，以调整后的价格计算评标基准价和投标报价。</w:t>
            </w:r>
          </w:p>
        </w:tc>
        <w:tc>
          <w:tcPr>
            <w:tcW w:w="840" w:type="dxa"/>
            <w:vAlign w:val="center"/>
          </w:tcPr>
          <w:p w14:paraId="535366A4">
            <w:pPr>
              <w:adjustRightInd/>
              <w:jc w:val="center"/>
              <w:rPr>
                <w:rFonts w:hint="eastAsia" w:ascii="宋体" w:hAnsi="宋体" w:cs="宋体"/>
                <w:sz w:val="24"/>
              </w:rPr>
            </w:pPr>
            <w:r>
              <w:rPr>
                <w:rFonts w:hint="eastAsia" w:ascii="宋体" w:hAnsi="宋体" w:cs="宋体"/>
                <w:sz w:val="24"/>
              </w:rPr>
              <w:t>30分</w:t>
            </w:r>
          </w:p>
        </w:tc>
      </w:tr>
    </w:tbl>
    <w:p w14:paraId="2072B51D">
      <w:pPr>
        <w:snapToGrid w:val="0"/>
        <w:spacing w:line="360" w:lineRule="auto"/>
        <w:rPr>
          <w:rFonts w:hint="eastAsia" w:ascii="宋体" w:hAnsi="宋体" w:cs="宋体"/>
          <w:b/>
          <w:sz w:val="28"/>
          <w:szCs w:val="28"/>
        </w:rPr>
      </w:pPr>
      <w:r>
        <w:rPr>
          <w:rFonts w:hint="eastAsia" w:ascii="宋体" w:hAnsi="宋体" w:cs="宋体"/>
          <w:b/>
          <w:sz w:val="32"/>
        </w:rPr>
        <w:t>一、评标方法</w:t>
      </w:r>
    </w:p>
    <w:p w14:paraId="6B9ACD9C">
      <w:pPr>
        <w:adjustRightInd/>
        <w:spacing w:line="360" w:lineRule="auto"/>
        <w:ind w:firstLine="472" w:firstLineChars="196"/>
        <w:rPr>
          <w:rFonts w:hint="eastAsia" w:ascii="宋体" w:hAnsi="宋体" w:cs="宋体"/>
          <w:kern w:val="0"/>
          <w:sz w:val="24"/>
        </w:rPr>
      </w:pPr>
      <w:r>
        <w:rPr>
          <w:rFonts w:hint="eastAsia" w:ascii="宋体" w:hAnsi="宋体" w:cs="宋体"/>
          <w:b/>
          <w:kern w:val="0"/>
          <w:sz w:val="24"/>
        </w:rPr>
        <w:t>1.本项目采用综合评分法。</w:t>
      </w:r>
      <w:r>
        <w:rPr>
          <w:rFonts w:hint="eastAsia" w:ascii="宋体" w:hAnsi="宋体" w:cs="宋体"/>
          <w:kern w:val="0"/>
          <w:sz w:val="24"/>
        </w:rPr>
        <w:t>综合评分法，是指投标文件满足招标文件全部实质性要求，且按照评审因素的量化指标评审得分最高的投标人为中标候选人的评标方法。</w:t>
      </w:r>
    </w:p>
    <w:p w14:paraId="2CCEBCBB">
      <w:pPr>
        <w:snapToGrid w:val="0"/>
        <w:spacing w:line="360" w:lineRule="auto"/>
        <w:rPr>
          <w:rFonts w:hint="eastAsia" w:ascii="宋体" w:hAnsi="宋体" w:cs="宋体"/>
          <w:b/>
          <w:sz w:val="32"/>
        </w:rPr>
      </w:pPr>
      <w:r>
        <w:rPr>
          <w:rFonts w:hint="eastAsia" w:ascii="宋体" w:hAnsi="宋体" w:cs="宋体"/>
          <w:b/>
          <w:sz w:val="32"/>
        </w:rPr>
        <w:t>二、评标标准</w:t>
      </w:r>
    </w:p>
    <w:p w14:paraId="122B0A82">
      <w:pPr>
        <w:spacing w:line="360" w:lineRule="auto"/>
        <w:ind w:firstLine="472" w:firstLineChars="196"/>
        <w:rPr>
          <w:rFonts w:hint="eastAsia" w:ascii="宋体" w:hAnsi="宋体" w:cs="宋体"/>
          <w:b/>
          <w:sz w:val="24"/>
        </w:rPr>
      </w:pPr>
      <w:r>
        <w:rPr>
          <w:rFonts w:hint="eastAsia" w:ascii="宋体" w:hAnsi="宋体" w:cs="宋体"/>
          <w:b/>
          <w:sz w:val="24"/>
        </w:rPr>
        <w:t>2.评标标准：</w:t>
      </w:r>
      <w:r>
        <w:rPr>
          <w:rFonts w:hint="eastAsia" w:ascii="宋体" w:hAnsi="宋体" w:cs="宋体"/>
          <w:kern w:val="0"/>
          <w:sz w:val="24"/>
        </w:rPr>
        <w:t>见第四部分评标办法。</w:t>
      </w:r>
    </w:p>
    <w:p w14:paraId="183ED606">
      <w:pPr>
        <w:snapToGrid w:val="0"/>
        <w:spacing w:line="360" w:lineRule="auto"/>
        <w:rPr>
          <w:rFonts w:hint="eastAsia" w:ascii="宋体" w:hAnsi="宋体" w:cs="宋体"/>
          <w:b/>
          <w:sz w:val="32"/>
        </w:rPr>
      </w:pPr>
      <w:r>
        <w:rPr>
          <w:rFonts w:hint="eastAsia" w:ascii="宋体" w:hAnsi="宋体" w:cs="宋体"/>
          <w:b/>
          <w:sz w:val="32"/>
        </w:rPr>
        <w:t>三、评标程序</w:t>
      </w:r>
    </w:p>
    <w:p w14:paraId="3DA571E1">
      <w:pPr>
        <w:spacing w:line="360" w:lineRule="auto"/>
        <w:ind w:firstLine="472" w:firstLineChars="196"/>
        <w:rPr>
          <w:rFonts w:hint="eastAsia" w:ascii="宋体" w:hAnsi="宋体" w:cs="宋体"/>
          <w:kern w:val="0"/>
          <w:sz w:val="24"/>
        </w:rPr>
      </w:pPr>
      <w:r>
        <w:rPr>
          <w:rFonts w:hint="eastAsia" w:ascii="宋体" w:hAnsi="宋体" w:cs="宋体"/>
          <w:b/>
          <w:kern w:val="0"/>
          <w:sz w:val="24"/>
        </w:rPr>
        <w:t>3.1符合性审查。</w:t>
      </w:r>
      <w:r>
        <w:rPr>
          <w:rFonts w:hint="eastAsia" w:ascii="宋体" w:hAnsi="宋体" w:cs="宋体"/>
          <w:kern w:val="0"/>
          <w:sz w:val="24"/>
        </w:rPr>
        <w:t>评标委员会应当对符合资格的投标人的投标文件进行符合性审查，以确定其是否满足招标文件的实质性要求。不满足招标文件的实质性要求的，投标无效。</w:t>
      </w:r>
    </w:p>
    <w:p w14:paraId="0F0EAC71">
      <w:pPr>
        <w:spacing w:line="360" w:lineRule="auto"/>
        <w:ind w:firstLine="472" w:firstLineChars="196"/>
        <w:rPr>
          <w:rFonts w:hint="eastAsia" w:ascii="宋体" w:hAnsi="宋体" w:cs="宋体"/>
          <w:kern w:val="0"/>
          <w:sz w:val="24"/>
        </w:rPr>
      </w:pPr>
      <w:r>
        <w:rPr>
          <w:rFonts w:hint="eastAsia" w:ascii="宋体" w:hAnsi="宋体" w:cs="宋体"/>
          <w:b/>
          <w:kern w:val="0"/>
          <w:sz w:val="24"/>
        </w:rPr>
        <w:t>3.2 比较与评价。</w:t>
      </w:r>
      <w:r>
        <w:rPr>
          <w:rFonts w:hint="eastAsia" w:ascii="宋体" w:hAnsi="宋体" w:cs="宋体"/>
          <w:kern w:val="0"/>
          <w:sz w:val="24"/>
        </w:rPr>
        <w:t>评标委员会应当按照招标文件中规定的评标方法和标准，对符合性审查合格的投标文件进行商务和技术评估，综合比较与评价。</w:t>
      </w:r>
    </w:p>
    <w:p w14:paraId="40FA2D83">
      <w:pPr>
        <w:spacing w:line="360" w:lineRule="auto"/>
        <w:ind w:firstLine="472" w:firstLineChars="196"/>
        <w:rPr>
          <w:rFonts w:hint="eastAsia" w:ascii="宋体" w:hAnsi="宋体" w:cs="宋体"/>
          <w:kern w:val="0"/>
          <w:sz w:val="24"/>
        </w:rPr>
      </w:pPr>
      <w:r>
        <w:rPr>
          <w:rFonts w:hint="eastAsia" w:ascii="宋体" w:hAnsi="宋体" w:cs="宋体"/>
          <w:b/>
          <w:kern w:val="0"/>
          <w:sz w:val="24"/>
        </w:rPr>
        <w:t>3.3汇总商务技术得分。</w:t>
      </w:r>
      <w:r>
        <w:rPr>
          <w:rFonts w:hint="eastAsia" w:ascii="宋体" w:hAnsi="宋体" w:cs="宋体"/>
          <w:kern w:val="0"/>
          <w:sz w:val="24"/>
        </w:rPr>
        <w:t>评标委员会各成员应当独立对每个投标人的商务技术文件进行评价，并汇总商务技术得分情况。</w:t>
      </w:r>
    </w:p>
    <w:p w14:paraId="58B0D8D9">
      <w:pPr>
        <w:spacing w:line="360" w:lineRule="auto"/>
        <w:ind w:firstLine="472" w:firstLineChars="196"/>
        <w:rPr>
          <w:rFonts w:hint="eastAsia" w:ascii="宋体" w:hAnsi="宋体" w:cs="宋体"/>
          <w:b/>
          <w:kern w:val="0"/>
          <w:sz w:val="24"/>
        </w:rPr>
      </w:pPr>
      <w:r>
        <w:rPr>
          <w:rFonts w:hint="eastAsia" w:ascii="宋体" w:hAnsi="宋体" w:cs="宋体"/>
          <w:b/>
          <w:kern w:val="0"/>
          <w:sz w:val="24"/>
        </w:rPr>
        <w:t>3.4报价评审。</w:t>
      </w:r>
    </w:p>
    <w:p w14:paraId="137BEA01">
      <w:pPr>
        <w:pStyle w:val="131"/>
        <w:spacing w:before="0"/>
        <w:ind w:firstLine="508" w:firstLineChars="212"/>
        <w:rPr>
          <w:rFonts w:hint="eastAsia" w:ascii="宋体" w:hAnsi="宋体" w:cs="宋体"/>
          <w:kern w:val="0"/>
        </w:rPr>
      </w:pPr>
      <w:r>
        <w:rPr>
          <w:rFonts w:hint="eastAsia" w:ascii="宋体" w:hAnsi="宋体" w:cs="宋体"/>
          <w:kern w:val="0"/>
        </w:rPr>
        <w:t>3.4.1投标文件报价出现前后不一致的，按照下列规定修正：</w:t>
      </w:r>
    </w:p>
    <w:p w14:paraId="13CCF4CB">
      <w:pPr>
        <w:pStyle w:val="131"/>
        <w:spacing w:before="0"/>
        <w:ind w:firstLine="480"/>
        <w:rPr>
          <w:rFonts w:hint="eastAsia" w:ascii="宋体" w:hAnsi="宋体" w:cs="宋体"/>
          <w:kern w:val="0"/>
          <w:szCs w:val="24"/>
        </w:rPr>
      </w:pPr>
      <w:r>
        <w:rPr>
          <w:rFonts w:hint="eastAsia" w:ascii="宋体" w:hAnsi="宋体" w:cs="宋体"/>
          <w:kern w:val="0"/>
          <w:szCs w:val="24"/>
        </w:rPr>
        <w:t>3.4.1.1投标文件中开标一览表(报价表)内容与投标文件中相应内容不一致的，以开标一览表(报价表)为准;</w:t>
      </w:r>
    </w:p>
    <w:p w14:paraId="38D7CDB6">
      <w:pPr>
        <w:pStyle w:val="131"/>
        <w:spacing w:before="0"/>
        <w:ind w:firstLine="480"/>
        <w:rPr>
          <w:rFonts w:hint="eastAsia" w:ascii="宋体" w:hAnsi="宋体" w:cs="宋体"/>
          <w:kern w:val="0"/>
          <w:szCs w:val="24"/>
        </w:rPr>
      </w:pPr>
      <w:r>
        <w:rPr>
          <w:rFonts w:hint="eastAsia" w:ascii="宋体" w:hAnsi="宋体" w:cs="宋体"/>
          <w:kern w:val="0"/>
          <w:szCs w:val="24"/>
        </w:rPr>
        <w:t>3.4.1.2大写金额和小写金额不一致的，以大写金额为准;</w:t>
      </w:r>
    </w:p>
    <w:p w14:paraId="49FBA146">
      <w:pPr>
        <w:pStyle w:val="131"/>
        <w:spacing w:before="0"/>
        <w:ind w:firstLine="480"/>
        <w:rPr>
          <w:rFonts w:hint="eastAsia" w:ascii="宋体" w:hAnsi="宋体" w:cs="宋体"/>
          <w:kern w:val="0"/>
          <w:szCs w:val="24"/>
        </w:rPr>
      </w:pPr>
      <w:r>
        <w:rPr>
          <w:rFonts w:hint="eastAsia" w:ascii="宋体" w:hAnsi="宋体" w:cs="宋体"/>
          <w:kern w:val="0"/>
          <w:szCs w:val="24"/>
        </w:rPr>
        <w:t>3.4.1.3单价金额小数点或者百分比有明显错位的，以开标一览表的总价为准，并修改单价;</w:t>
      </w:r>
    </w:p>
    <w:p w14:paraId="5566D252">
      <w:pPr>
        <w:pStyle w:val="131"/>
        <w:spacing w:before="0"/>
        <w:ind w:firstLine="480"/>
        <w:rPr>
          <w:rFonts w:hint="eastAsia" w:ascii="宋体" w:hAnsi="宋体" w:cs="宋体"/>
          <w:kern w:val="0"/>
          <w:szCs w:val="24"/>
        </w:rPr>
      </w:pPr>
      <w:r>
        <w:rPr>
          <w:rFonts w:hint="eastAsia" w:ascii="宋体" w:hAnsi="宋体" w:cs="宋体"/>
          <w:kern w:val="0"/>
          <w:szCs w:val="24"/>
        </w:rPr>
        <w:t>3.4.1.4总价金额与按单价汇总金额不一致的，以单价金额计算结果为准。</w:t>
      </w:r>
    </w:p>
    <w:p w14:paraId="649F7019">
      <w:pPr>
        <w:pStyle w:val="131"/>
        <w:spacing w:before="0"/>
        <w:ind w:firstLine="480"/>
        <w:rPr>
          <w:rFonts w:hint="eastAsia" w:ascii="宋体" w:hAnsi="宋体" w:cs="宋体"/>
          <w:kern w:val="0"/>
          <w:szCs w:val="24"/>
        </w:rPr>
      </w:pPr>
      <w:r>
        <w:rPr>
          <w:rFonts w:hint="eastAsia" w:ascii="宋体" w:hAnsi="宋体" w:cs="宋体"/>
          <w:kern w:val="0"/>
          <w:szCs w:val="24"/>
        </w:rPr>
        <w:t>3.4.1.5同时出现两种以上不一致的，按照3.4.1规定的顺序修正。修正后的报价按照财政部第87号令 《政府采购货物和服务招标投标管理办法》第五十一条第二款的规定经投标人确认后产生约束力。</w:t>
      </w:r>
    </w:p>
    <w:p w14:paraId="539C66E4">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3.4.2投标文件出现不是唯一的、有选择性投标报价的，投标无效。</w:t>
      </w:r>
    </w:p>
    <w:p w14:paraId="322423AD">
      <w:pPr>
        <w:snapToGrid w:val="0"/>
        <w:spacing w:line="360" w:lineRule="auto"/>
        <w:ind w:firstLine="480" w:firstLineChars="200"/>
        <w:jc w:val="left"/>
        <w:rPr>
          <w:rFonts w:hint="eastAsia" w:ascii="宋体" w:hAnsi="宋体" w:cs="宋体"/>
          <w:kern w:val="0"/>
          <w:sz w:val="24"/>
        </w:rPr>
      </w:pPr>
      <w:r>
        <w:rPr>
          <w:rFonts w:hint="eastAsia" w:ascii="宋体" w:hAnsi="宋体" w:cs="宋体"/>
          <w:kern w:val="0"/>
          <w:sz w:val="24"/>
        </w:rPr>
        <w:t>3.4.3投标报价超过招标文件中规定的预算金额或者最高限价的，投标无效。</w:t>
      </w:r>
    </w:p>
    <w:p w14:paraId="2F797E70">
      <w:pPr>
        <w:pStyle w:val="131"/>
        <w:spacing w:before="0"/>
        <w:ind w:firstLine="480"/>
        <w:rPr>
          <w:rFonts w:hint="eastAsia" w:ascii="宋体" w:hAnsi="宋体" w:cs="宋体"/>
          <w:kern w:val="0"/>
          <w:szCs w:val="24"/>
        </w:rPr>
      </w:pPr>
      <w:r>
        <w:rPr>
          <w:rFonts w:hint="eastAsia" w:ascii="宋体" w:hAnsi="宋体" w:cs="宋体"/>
          <w:kern w:val="0"/>
          <w:szCs w:val="24"/>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62F45950">
      <w:pPr>
        <w:pStyle w:val="131"/>
        <w:spacing w:before="0"/>
        <w:ind w:firstLine="480"/>
        <w:rPr>
          <w:rFonts w:hint="eastAsia" w:ascii="宋体" w:hAnsi="宋体" w:cs="宋体"/>
          <w:kern w:val="0"/>
          <w:szCs w:val="24"/>
        </w:rPr>
      </w:pPr>
      <w:r>
        <w:rPr>
          <w:rFonts w:hint="eastAsia" w:ascii="宋体" w:hAnsi="宋体" w:cs="宋体"/>
          <w:kern w:val="0"/>
          <w:szCs w:val="24"/>
        </w:rPr>
        <w:t>3.4.5对于未预留份额专门面向中小企业的政府采购货物或服务项目，以及预留份额政府采购货物或服务项目中的非预留部分标项，对小型和微型企业的投标报价给予20%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30%以上的，对联合体或者大中型企业的报价给予6%的扣除，用扣除后的价格参加评审。组成联合体或者接受分包的小微企业与联合体内其他企业、分包企业之间存在直接控股、管理关系的，不享受价格扣除优惠政策。</w:t>
      </w:r>
    </w:p>
    <w:p w14:paraId="53134EF8">
      <w:pPr>
        <w:spacing w:line="360" w:lineRule="auto"/>
        <w:ind w:firstLine="482" w:firstLineChars="200"/>
        <w:rPr>
          <w:rFonts w:hint="eastAsia" w:ascii="宋体" w:hAnsi="宋体" w:cs="宋体"/>
          <w:kern w:val="0"/>
          <w:sz w:val="24"/>
        </w:rPr>
      </w:pPr>
      <w:r>
        <w:rPr>
          <w:rFonts w:hint="eastAsia" w:ascii="宋体" w:hAnsi="宋体" w:cs="宋体"/>
          <w:b/>
          <w:kern w:val="0"/>
          <w:sz w:val="24"/>
        </w:rPr>
        <w:t>3.5排序与推荐。</w:t>
      </w:r>
      <w:r>
        <w:rPr>
          <w:rFonts w:hint="eastAsia" w:ascii="宋体" w:hAnsi="宋体" w:cs="宋体"/>
          <w:kern w:val="0"/>
          <w:sz w:val="24"/>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26C95211">
      <w:pPr>
        <w:spacing w:line="360" w:lineRule="auto"/>
        <w:rPr>
          <w:rFonts w:hint="eastAsia" w:ascii="宋体" w:hAnsi="宋体" w:cs="宋体"/>
          <w:b/>
          <w:kern w:val="0"/>
          <w:sz w:val="24"/>
        </w:rPr>
      </w:pPr>
      <w:r>
        <w:rPr>
          <w:rFonts w:hint="eastAsia" w:ascii="宋体" w:hAnsi="宋体" w:cs="宋体"/>
          <w:kern w:val="0"/>
          <w:sz w:val="24"/>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145E2514">
      <w:pPr>
        <w:spacing w:line="360" w:lineRule="auto"/>
        <w:ind w:firstLine="472" w:firstLineChars="196"/>
        <w:rPr>
          <w:rFonts w:hint="eastAsia" w:ascii="宋体" w:hAnsi="宋体" w:cs="宋体"/>
          <w:kern w:val="0"/>
          <w:sz w:val="24"/>
        </w:rPr>
      </w:pPr>
      <w:r>
        <w:rPr>
          <w:rFonts w:hint="eastAsia" w:ascii="宋体" w:hAnsi="宋体" w:cs="宋体"/>
          <w:b/>
          <w:kern w:val="0"/>
          <w:sz w:val="24"/>
        </w:rPr>
        <w:t>3.6编写评标报告。</w:t>
      </w:r>
      <w:r>
        <w:rPr>
          <w:rFonts w:hint="eastAsia" w:ascii="宋体" w:hAnsi="宋体" w:cs="宋体"/>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7AC12E01">
      <w:pPr>
        <w:snapToGrid w:val="0"/>
        <w:spacing w:line="360" w:lineRule="auto"/>
        <w:rPr>
          <w:rFonts w:hint="eastAsia" w:ascii="宋体" w:hAnsi="宋体" w:cs="宋体"/>
          <w:b/>
          <w:sz w:val="32"/>
        </w:rPr>
      </w:pPr>
      <w:r>
        <w:rPr>
          <w:rFonts w:hint="eastAsia" w:ascii="宋体" w:hAnsi="宋体" w:cs="宋体"/>
          <w:b/>
          <w:sz w:val="32"/>
        </w:rPr>
        <w:t>四、评标中的其他事项</w:t>
      </w:r>
    </w:p>
    <w:p w14:paraId="600ECFFA">
      <w:pPr>
        <w:pStyle w:val="131"/>
        <w:spacing w:before="0"/>
        <w:ind w:firstLine="472" w:firstLineChars="196"/>
        <w:rPr>
          <w:rFonts w:hint="eastAsia" w:ascii="宋体" w:hAnsi="宋体" w:cs="宋体"/>
          <w:kern w:val="0"/>
          <w:szCs w:val="24"/>
        </w:rPr>
      </w:pPr>
      <w:r>
        <w:rPr>
          <w:rFonts w:hint="eastAsia" w:ascii="宋体" w:hAnsi="宋体" w:cs="宋体"/>
          <w:b/>
          <w:kern w:val="0"/>
          <w:szCs w:val="24"/>
        </w:rPr>
        <w:t>4.1投标人澄清、说明或者补正。</w:t>
      </w:r>
      <w:r>
        <w:rPr>
          <w:rFonts w:hint="eastAsia" w:ascii="宋体" w:hAnsi="宋体" w:cs="宋体"/>
          <w:kern w:val="0"/>
          <w:szCs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334D8E27">
      <w:pPr>
        <w:pStyle w:val="30"/>
        <w:spacing w:line="360" w:lineRule="auto"/>
        <w:ind w:left="954" w:leftChars="226" w:hanging="479" w:firstLineChars="0"/>
        <w:rPr>
          <w:rFonts w:hint="eastAsia" w:cs="宋体"/>
          <w:szCs w:val="21"/>
        </w:rPr>
      </w:pPr>
      <w:r>
        <w:rPr>
          <w:rFonts w:hint="eastAsia" w:cs="宋体"/>
          <w:b/>
          <w:kern w:val="0"/>
        </w:rPr>
        <w:t>4.2投标无效。</w:t>
      </w:r>
      <w:r>
        <w:rPr>
          <w:rFonts w:hint="eastAsia" w:cs="宋体"/>
          <w:szCs w:val="21"/>
        </w:rPr>
        <w:t>有下列情况之一的，投标无效：</w:t>
      </w:r>
    </w:p>
    <w:p w14:paraId="415329F6">
      <w:pPr>
        <w:spacing w:line="360" w:lineRule="auto"/>
        <w:ind w:firstLine="480" w:firstLineChars="200"/>
        <w:rPr>
          <w:rFonts w:hint="eastAsia" w:ascii="宋体" w:hAnsi="宋体" w:cs="宋体"/>
          <w:kern w:val="0"/>
          <w:sz w:val="24"/>
        </w:rPr>
      </w:pPr>
      <w:r>
        <w:rPr>
          <w:rFonts w:hint="eastAsia" w:ascii="宋体" w:hAnsi="宋体" w:cs="宋体"/>
          <w:kern w:val="0"/>
          <w:sz w:val="24"/>
        </w:rPr>
        <w:t>4.2.1投标人不具备招标文件中规定的资格要求的（投标人未提供有效的资格文件的，视为投标人不具备招标文件中规定的资格要求）；</w:t>
      </w:r>
    </w:p>
    <w:p w14:paraId="2E7D9A42">
      <w:pPr>
        <w:spacing w:line="360" w:lineRule="auto"/>
        <w:ind w:firstLine="480" w:firstLineChars="200"/>
        <w:rPr>
          <w:rFonts w:hint="eastAsia" w:ascii="宋体" w:hAnsi="宋体" w:cs="宋体"/>
          <w:kern w:val="0"/>
          <w:sz w:val="24"/>
        </w:rPr>
      </w:pPr>
      <w:r>
        <w:rPr>
          <w:rFonts w:hint="eastAsia" w:ascii="宋体" w:hAnsi="宋体" w:cs="宋体"/>
          <w:kern w:val="0"/>
          <w:sz w:val="24"/>
        </w:rPr>
        <w:t>4.2.2投标文件未按照招标文件要求签署、盖章的；</w:t>
      </w:r>
    </w:p>
    <w:p w14:paraId="2393B24A">
      <w:pPr>
        <w:spacing w:line="360" w:lineRule="auto"/>
        <w:ind w:firstLine="480" w:firstLineChars="200"/>
        <w:rPr>
          <w:rFonts w:hint="eastAsia" w:ascii="宋体" w:hAnsi="宋体" w:cs="宋体"/>
          <w:kern w:val="0"/>
          <w:sz w:val="24"/>
        </w:rPr>
      </w:pPr>
      <w:r>
        <w:rPr>
          <w:rFonts w:hint="eastAsia" w:ascii="宋体" w:hAnsi="宋体" w:cs="宋体"/>
          <w:kern w:val="0"/>
          <w:sz w:val="24"/>
        </w:rPr>
        <w:t>4.2.3采购人拟采购的产品属于政府强制采购的节能产品品目清单范围的，投标人未按招标文件要求提供国家确定的认证机构出具的、处于有效期之内的节能产品认证证书的；</w:t>
      </w:r>
    </w:p>
    <w:p w14:paraId="742B9254">
      <w:pPr>
        <w:spacing w:line="360" w:lineRule="auto"/>
        <w:ind w:firstLine="480" w:firstLineChars="200"/>
        <w:rPr>
          <w:rFonts w:hint="eastAsia" w:ascii="宋体" w:hAnsi="宋体" w:cs="宋体"/>
          <w:kern w:val="0"/>
          <w:sz w:val="24"/>
        </w:rPr>
      </w:pPr>
      <w:r>
        <w:rPr>
          <w:rFonts w:hint="eastAsia" w:ascii="宋体" w:hAnsi="宋体" w:cs="宋体"/>
          <w:kern w:val="0"/>
          <w:sz w:val="24"/>
        </w:rPr>
        <w:t>4.2.4投标文件含有采购人不能接受的附加条件的；</w:t>
      </w:r>
    </w:p>
    <w:p w14:paraId="46998B5D">
      <w:pPr>
        <w:spacing w:line="360" w:lineRule="auto"/>
        <w:ind w:firstLine="480" w:firstLineChars="200"/>
        <w:rPr>
          <w:rFonts w:hint="eastAsia" w:ascii="宋体" w:hAnsi="宋体" w:cs="宋体"/>
          <w:kern w:val="0"/>
          <w:sz w:val="24"/>
        </w:rPr>
      </w:pPr>
      <w:r>
        <w:rPr>
          <w:rFonts w:hint="eastAsia" w:ascii="宋体" w:hAnsi="宋体" w:cs="宋体"/>
          <w:kern w:val="0"/>
          <w:sz w:val="24"/>
        </w:rPr>
        <w:t>4.2.5投标文件中承诺的投标有效期少于招标文件中载明的投标有效期的；</w:t>
      </w:r>
    </w:p>
    <w:p w14:paraId="0B844987">
      <w:pPr>
        <w:snapToGrid w:val="0"/>
        <w:spacing w:line="360" w:lineRule="auto"/>
        <w:ind w:firstLine="120" w:firstLineChars="50"/>
        <w:jc w:val="left"/>
        <w:rPr>
          <w:rFonts w:hint="eastAsia" w:ascii="宋体" w:hAnsi="宋体" w:cs="宋体"/>
          <w:kern w:val="0"/>
          <w:sz w:val="24"/>
        </w:rPr>
      </w:pPr>
      <w:r>
        <w:rPr>
          <w:rFonts w:hint="eastAsia" w:ascii="宋体" w:hAnsi="宋体" w:cs="宋体"/>
          <w:kern w:val="0"/>
          <w:sz w:val="24"/>
        </w:rPr>
        <w:t xml:space="preserve">   4.2.6投标文件出现不是唯一的、有选择性投标报价的;</w:t>
      </w:r>
    </w:p>
    <w:p w14:paraId="6D05723E">
      <w:pPr>
        <w:spacing w:line="360" w:lineRule="auto"/>
        <w:ind w:firstLine="480" w:firstLineChars="200"/>
        <w:rPr>
          <w:rFonts w:hint="eastAsia" w:ascii="宋体" w:hAnsi="宋体" w:cs="宋体"/>
          <w:kern w:val="0"/>
          <w:sz w:val="24"/>
        </w:rPr>
      </w:pPr>
      <w:r>
        <w:rPr>
          <w:rFonts w:hint="eastAsia" w:ascii="宋体" w:hAnsi="宋体" w:cs="宋体"/>
          <w:kern w:val="0"/>
          <w:sz w:val="24"/>
        </w:rPr>
        <w:t>4.2.7投标报价超过招标文件中规定的预算金额或者最高限价的;</w:t>
      </w:r>
    </w:p>
    <w:p w14:paraId="04FCA931">
      <w:pPr>
        <w:spacing w:line="360" w:lineRule="auto"/>
        <w:ind w:firstLine="480" w:firstLineChars="200"/>
        <w:rPr>
          <w:rFonts w:hint="eastAsia" w:ascii="宋体" w:hAnsi="宋体" w:cs="宋体"/>
          <w:kern w:val="0"/>
          <w:sz w:val="24"/>
        </w:rPr>
      </w:pPr>
      <w:r>
        <w:rPr>
          <w:rFonts w:hint="eastAsia" w:ascii="宋体" w:hAnsi="宋体" w:cs="宋体"/>
          <w:kern w:val="0"/>
          <w:sz w:val="24"/>
        </w:rPr>
        <w:t>4.2.8报价明显低于其他通过符合性审查投标人的报价，有可能影响产品质量或者不能诚信履约的，未能按要求提供书面说明或者提交相关证明材料，不能证明其报价合理性的;</w:t>
      </w:r>
    </w:p>
    <w:p w14:paraId="6BF3693B">
      <w:pPr>
        <w:spacing w:line="360" w:lineRule="auto"/>
        <w:ind w:firstLine="480" w:firstLineChars="200"/>
        <w:rPr>
          <w:rFonts w:hint="eastAsia" w:ascii="宋体" w:hAnsi="宋体" w:cs="宋体"/>
          <w:kern w:val="0"/>
          <w:sz w:val="24"/>
        </w:rPr>
      </w:pPr>
      <w:r>
        <w:rPr>
          <w:rFonts w:hint="eastAsia" w:ascii="宋体" w:hAnsi="宋体" w:cs="宋体"/>
          <w:kern w:val="0"/>
          <w:sz w:val="24"/>
        </w:rPr>
        <w:t>4.2.9投标人对根据修正原则修正后的报价不确认的；</w:t>
      </w:r>
    </w:p>
    <w:p w14:paraId="7418F19E">
      <w:pPr>
        <w:spacing w:line="360" w:lineRule="auto"/>
        <w:ind w:firstLine="480" w:firstLineChars="200"/>
        <w:rPr>
          <w:rFonts w:hint="eastAsia" w:ascii="宋体" w:hAnsi="宋体" w:cs="宋体"/>
          <w:kern w:val="0"/>
          <w:sz w:val="24"/>
        </w:rPr>
      </w:pPr>
      <w:r>
        <w:rPr>
          <w:rFonts w:hint="eastAsia" w:ascii="宋体" w:hAnsi="宋体" w:cs="宋体"/>
          <w:kern w:val="0"/>
          <w:sz w:val="24"/>
        </w:rPr>
        <w:t>4.2.10投标人提供虚假材料投标的；</w:t>
      </w:r>
    </w:p>
    <w:p w14:paraId="7BFA3DE5">
      <w:pPr>
        <w:spacing w:line="360" w:lineRule="auto"/>
        <w:ind w:firstLine="240" w:firstLineChars="100"/>
        <w:rPr>
          <w:rFonts w:hint="eastAsia" w:ascii="宋体" w:hAnsi="宋体" w:cs="宋体"/>
          <w:kern w:val="0"/>
          <w:sz w:val="24"/>
        </w:rPr>
      </w:pPr>
      <w:r>
        <w:rPr>
          <w:rFonts w:hint="eastAsia" w:ascii="宋体" w:hAnsi="宋体" w:cs="宋体"/>
          <w:kern w:val="0"/>
          <w:sz w:val="24"/>
        </w:rPr>
        <w:t xml:space="preserve">  4.2.11投标人有恶意串通、妨碍其他投标人的竞争行为、损害采购人或者其他投标人的合法权益情形的；</w:t>
      </w:r>
    </w:p>
    <w:p w14:paraId="4A257200">
      <w:pPr>
        <w:spacing w:line="360" w:lineRule="auto"/>
        <w:ind w:firstLine="480" w:firstLineChars="200"/>
        <w:rPr>
          <w:rFonts w:hint="eastAsia" w:ascii="宋体" w:hAnsi="宋体" w:cs="宋体"/>
          <w:kern w:val="0"/>
          <w:sz w:val="24"/>
        </w:rPr>
      </w:pPr>
      <w:r>
        <w:rPr>
          <w:rFonts w:hint="eastAsia" w:ascii="宋体" w:hAnsi="宋体" w:cs="宋体"/>
          <w:kern w:val="0"/>
          <w:sz w:val="24"/>
        </w:rPr>
        <w:t>4.2.12投标人仅提交备份投标文件，没有在电子交易平台传输递交投标文件的，投标无效；</w:t>
      </w:r>
    </w:p>
    <w:p w14:paraId="199354ED">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4.2.13 不同供应商存在IP、MAC、设备硬件信息一致的；</w:t>
      </w:r>
    </w:p>
    <w:p w14:paraId="442DC34B">
      <w:pPr>
        <w:pStyle w:val="3"/>
        <w:ind w:left="862" w:leftChars="205"/>
        <w:rPr>
          <w:rFonts w:hint="eastAsia" w:ascii="宋体" w:hAnsi="宋体" w:eastAsia="宋体" w:cs="宋体"/>
          <w:b w:val="0"/>
          <w:bCs w:val="0"/>
          <w:kern w:val="0"/>
          <w:sz w:val="24"/>
          <w:szCs w:val="24"/>
          <w:lang w:val="en-US"/>
        </w:rPr>
      </w:pPr>
      <w:r>
        <w:rPr>
          <w:rFonts w:hint="eastAsia" w:ascii="宋体" w:hAnsi="宋体" w:eastAsia="宋体" w:cs="宋体"/>
          <w:b w:val="0"/>
          <w:bCs w:val="0"/>
          <w:kern w:val="0"/>
          <w:sz w:val="24"/>
          <w:szCs w:val="24"/>
          <w:lang w:val="en-US"/>
        </w:rPr>
        <w:t>4.2.14 投标文件不满足招标文件的其它实质性要求的；</w:t>
      </w:r>
    </w:p>
    <w:p w14:paraId="2AA9DAC1">
      <w:pPr>
        <w:spacing w:line="360" w:lineRule="auto"/>
        <w:ind w:firstLine="480" w:firstLineChars="200"/>
        <w:rPr>
          <w:rFonts w:hint="eastAsia" w:ascii="宋体" w:hAnsi="宋体" w:cs="宋体"/>
          <w:kern w:val="0"/>
          <w:sz w:val="24"/>
        </w:rPr>
      </w:pPr>
      <w:r>
        <w:rPr>
          <w:rFonts w:hint="eastAsia" w:ascii="宋体" w:hAnsi="宋体" w:cs="宋体"/>
          <w:kern w:val="0"/>
          <w:sz w:val="24"/>
        </w:rPr>
        <w:t>4.2.15 法律、法规、规章（适用本市的）及省级以上规范性文件（适用本市的）规定的其他无效情形。</w:t>
      </w:r>
    </w:p>
    <w:p w14:paraId="5139F508">
      <w:pPr>
        <w:pStyle w:val="30"/>
        <w:snapToGrid w:val="0"/>
        <w:spacing w:line="360" w:lineRule="auto"/>
        <w:ind w:firstLine="472" w:firstLineChars="196"/>
        <w:rPr>
          <w:rFonts w:hint="eastAsia" w:cs="宋体"/>
        </w:rPr>
      </w:pPr>
      <w:r>
        <w:rPr>
          <w:rFonts w:hint="eastAsia" w:cs="宋体"/>
          <w:b/>
        </w:rPr>
        <w:t>5.废标。</w:t>
      </w:r>
      <w:r>
        <w:rPr>
          <w:rFonts w:hint="eastAsia" w:cs="宋体"/>
        </w:rPr>
        <w:t>根据《中华人民共和国政府采购法》第三十六条之规定，在采购中，出现下列情形之一的，应予废标：</w:t>
      </w:r>
    </w:p>
    <w:p w14:paraId="377A025B">
      <w:pPr>
        <w:pStyle w:val="30"/>
        <w:snapToGrid w:val="0"/>
        <w:spacing w:line="360" w:lineRule="auto"/>
        <w:rPr>
          <w:rFonts w:hint="eastAsia" w:cs="宋体"/>
        </w:rPr>
      </w:pPr>
      <w:r>
        <w:rPr>
          <w:rFonts w:hint="eastAsia" w:cs="宋体"/>
        </w:rPr>
        <w:t>5.1符合专业条件的供应商或者对招标文件作实质响应的供应商不足3家的；</w:t>
      </w:r>
    </w:p>
    <w:p w14:paraId="5EB93DB7">
      <w:pPr>
        <w:pStyle w:val="30"/>
        <w:snapToGrid w:val="0"/>
        <w:spacing w:line="360" w:lineRule="auto"/>
        <w:rPr>
          <w:rFonts w:hint="eastAsia" w:cs="宋体"/>
        </w:rPr>
      </w:pPr>
      <w:r>
        <w:rPr>
          <w:rFonts w:hint="eastAsia" w:cs="宋体"/>
        </w:rPr>
        <w:t>5.2出现影响采购公正的违法、违规行为的；</w:t>
      </w:r>
    </w:p>
    <w:p w14:paraId="03817B76">
      <w:pPr>
        <w:pStyle w:val="30"/>
        <w:snapToGrid w:val="0"/>
        <w:spacing w:line="360" w:lineRule="auto"/>
        <w:rPr>
          <w:rFonts w:hint="eastAsia" w:cs="宋体"/>
        </w:rPr>
      </w:pPr>
      <w:r>
        <w:rPr>
          <w:rFonts w:hint="eastAsia" w:cs="宋体"/>
        </w:rPr>
        <w:t>5.3投标人的报价均超过了采购预算，采购人不能支付的；</w:t>
      </w:r>
    </w:p>
    <w:p w14:paraId="196A1983">
      <w:pPr>
        <w:pStyle w:val="30"/>
        <w:snapToGrid w:val="0"/>
        <w:spacing w:line="360" w:lineRule="auto"/>
        <w:rPr>
          <w:rFonts w:hint="eastAsia" w:cs="宋体"/>
        </w:rPr>
      </w:pPr>
      <w:r>
        <w:rPr>
          <w:rFonts w:hint="eastAsia" w:cs="宋体"/>
        </w:rPr>
        <w:t>5.4因重大变故，采购任务取消的。</w:t>
      </w:r>
    </w:p>
    <w:p w14:paraId="1661808C">
      <w:pPr>
        <w:pStyle w:val="30"/>
        <w:snapToGrid w:val="0"/>
        <w:spacing w:line="360" w:lineRule="auto"/>
        <w:rPr>
          <w:rFonts w:hint="eastAsia" w:cs="宋体"/>
        </w:rPr>
      </w:pPr>
      <w:r>
        <w:rPr>
          <w:rFonts w:hint="eastAsia" w:cs="宋体"/>
        </w:rPr>
        <w:t>废标后，采购机构应当将废标理由通知所有投标人。</w:t>
      </w:r>
    </w:p>
    <w:p w14:paraId="358D390D">
      <w:pPr>
        <w:pStyle w:val="30"/>
        <w:snapToGrid w:val="0"/>
        <w:spacing w:line="360" w:lineRule="auto"/>
        <w:ind w:firstLine="590" w:firstLineChars="245"/>
        <w:rPr>
          <w:rFonts w:hint="eastAsia" w:cs="宋体"/>
        </w:rPr>
      </w:pPr>
      <w:r>
        <w:rPr>
          <w:rFonts w:hint="eastAsia" w:cs="宋体"/>
          <w:b/>
        </w:rPr>
        <w:t>6.修改招标文件，重新组织采购活动。</w:t>
      </w:r>
      <w:r>
        <w:rPr>
          <w:rFonts w:hint="eastAsia" w:cs="宋体"/>
        </w:rPr>
        <w:t>评标委员会发现招标文件存在歧义、重大缺陷导致评标工作无法进行，或者招标文件内容违反国家有关强制性规定的，将停止评标工作，并与采购人、采购机构沟通并作书面记录。采购人、采购机构确认后，将修改招标文件，重新组织采购活动。</w:t>
      </w:r>
    </w:p>
    <w:p w14:paraId="05D2786D">
      <w:pPr>
        <w:pStyle w:val="30"/>
        <w:snapToGrid w:val="0"/>
        <w:spacing w:line="360" w:lineRule="auto"/>
        <w:ind w:firstLine="590" w:firstLineChars="245"/>
        <w:rPr>
          <w:rFonts w:hint="eastAsia" w:cs="宋体"/>
        </w:rPr>
      </w:pPr>
      <w:r>
        <w:rPr>
          <w:rFonts w:hint="eastAsia" w:cs="宋体"/>
          <w:b/>
          <w:kern w:val="0"/>
        </w:rPr>
        <w:t>7.重新开展采购。</w:t>
      </w:r>
      <w:r>
        <w:rPr>
          <w:rFonts w:hint="eastAsia" w:cs="宋体"/>
        </w:rPr>
        <w:t>有政府采购法第七十一条、第七十二条规定的违法行为之一，影响或者可能影响中标、成交结果的，依照下列规定处理：</w:t>
      </w:r>
    </w:p>
    <w:p w14:paraId="766292C2">
      <w:pPr>
        <w:pStyle w:val="30"/>
        <w:snapToGrid w:val="0"/>
        <w:spacing w:line="360" w:lineRule="auto"/>
        <w:ind w:firstLine="600" w:firstLineChars="250"/>
        <w:rPr>
          <w:rFonts w:hint="eastAsia" w:cs="宋体"/>
        </w:rPr>
      </w:pPr>
      <w:r>
        <w:rPr>
          <w:rFonts w:hint="eastAsia" w:cs="宋体"/>
        </w:rPr>
        <w:t>7.1未确定中标或者中标人的，终止本次政府采购活动，重新开展政府采购活动。</w:t>
      </w:r>
    </w:p>
    <w:p w14:paraId="3EA52047">
      <w:pPr>
        <w:pStyle w:val="30"/>
        <w:snapToGrid w:val="0"/>
        <w:spacing w:line="360" w:lineRule="auto"/>
        <w:ind w:firstLine="600" w:firstLineChars="250"/>
        <w:rPr>
          <w:rFonts w:hint="eastAsia" w:cs="宋体"/>
        </w:rPr>
      </w:pPr>
      <w:r>
        <w:rPr>
          <w:rFonts w:hint="eastAsia" w:cs="宋体"/>
        </w:rPr>
        <w:t>7.2已确定中标或者中标人但尚未签订政府采购合同的，中标或者成交结果无效，从合格的中标或者成交候选人中另行确定中标或者中标人；没有合格的中标或者成交候选人的，重新开展政府采购活动。</w:t>
      </w:r>
    </w:p>
    <w:p w14:paraId="5FD40AC0">
      <w:pPr>
        <w:pStyle w:val="30"/>
        <w:snapToGrid w:val="0"/>
        <w:spacing w:line="360" w:lineRule="auto"/>
        <w:ind w:firstLine="600" w:firstLineChars="250"/>
        <w:rPr>
          <w:rFonts w:hint="eastAsia" w:cs="宋体"/>
        </w:rPr>
      </w:pPr>
      <w:r>
        <w:rPr>
          <w:rFonts w:hint="eastAsia" w:cs="宋体"/>
        </w:rPr>
        <w:t>7.3政府采购合同已签订但尚未履行的，撤销合同，从合格的中标或者成交候选人中另行确定中标或者中标人；没有合格的中标或者成交候选人的，重新开展政府采购活动。</w:t>
      </w:r>
    </w:p>
    <w:p w14:paraId="64AD421D">
      <w:pPr>
        <w:pStyle w:val="30"/>
        <w:snapToGrid w:val="0"/>
        <w:spacing w:line="360" w:lineRule="auto"/>
        <w:rPr>
          <w:rFonts w:hint="eastAsia" w:cs="宋体"/>
        </w:rPr>
      </w:pPr>
      <w:r>
        <w:rPr>
          <w:rFonts w:hint="eastAsia" w:cs="宋体"/>
        </w:rPr>
        <w:t>7.4政府采购合同已经履行，给采购人、供应商造成损失的，由责任人承担赔偿责任。</w:t>
      </w:r>
    </w:p>
    <w:p w14:paraId="65CE2E9F">
      <w:pPr>
        <w:pStyle w:val="30"/>
        <w:snapToGrid w:val="0"/>
        <w:spacing w:line="360" w:lineRule="auto"/>
        <w:rPr>
          <w:rFonts w:hint="eastAsia" w:cs="宋体"/>
        </w:rPr>
      </w:pPr>
      <w:r>
        <w:rPr>
          <w:rFonts w:hint="eastAsia" w:cs="宋体"/>
        </w:rPr>
        <w:t>7.5政府采购当事人有其他违反政府采购法</w:t>
      </w:r>
      <w:r>
        <w:rPr>
          <w:rFonts w:hint="eastAsia" w:cs="宋体"/>
          <w:kern w:val="0"/>
        </w:rPr>
        <w:t>或者政府采购法实施条例等法律法规规定</w:t>
      </w:r>
      <w:r>
        <w:rPr>
          <w:rFonts w:hint="eastAsia" w:cs="宋体"/>
        </w:rPr>
        <w:t>的行为，经改正后仍然影响或者可能影响中标、成交结果或者依法被认定为中标、成交无效的，依照7.1-7.4规定处理。</w:t>
      </w:r>
    </w:p>
    <w:bookmarkEnd w:id="19"/>
    <w:p w14:paraId="038E270B">
      <w:pPr>
        <w:spacing w:line="360" w:lineRule="auto"/>
        <w:jc w:val="center"/>
        <w:outlineLvl w:val="0"/>
        <w:rPr>
          <w:rFonts w:hint="eastAsia" w:ascii="宋体" w:hAnsi="宋体" w:cs="宋体"/>
          <w:b/>
          <w:sz w:val="36"/>
          <w:szCs w:val="36"/>
        </w:rPr>
        <w:sectPr>
          <w:pgSz w:w="11907" w:h="16840"/>
          <w:pgMar w:top="1134" w:right="1134" w:bottom="1134" w:left="1134" w:header="851" w:footer="850" w:gutter="0"/>
          <w:cols w:space="0" w:num="1"/>
        </w:sectPr>
      </w:pPr>
      <w:bookmarkStart w:id="386" w:name="第五部分"/>
      <w:bookmarkStart w:id="387" w:name="_Toc86217003"/>
    </w:p>
    <w:p w14:paraId="6358ACF8">
      <w:pPr>
        <w:spacing w:line="360" w:lineRule="auto"/>
        <w:jc w:val="center"/>
        <w:outlineLvl w:val="0"/>
        <w:rPr>
          <w:rFonts w:hint="eastAsia" w:ascii="宋体" w:hAnsi="宋体" w:cs="宋体"/>
          <w:b/>
          <w:sz w:val="36"/>
          <w:szCs w:val="36"/>
        </w:rPr>
      </w:pPr>
      <w:r>
        <w:rPr>
          <w:rFonts w:hint="eastAsia" w:ascii="宋体" w:hAnsi="宋体" w:cs="宋体"/>
          <w:b/>
          <w:sz w:val="36"/>
          <w:szCs w:val="36"/>
        </w:rPr>
        <w:t>第五部分 拟签订的合同文本</w:t>
      </w:r>
    </w:p>
    <w:p w14:paraId="5BF07F8F">
      <w:pPr>
        <w:spacing w:line="360" w:lineRule="auto"/>
        <w:jc w:val="center"/>
        <w:outlineLvl w:val="0"/>
        <w:rPr>
          <w:rFonts w:hint="eastAsia" w:ascii="宋体" w:hAnsi="宋体" w:cs="宋体"/>
          <w:b/>
          <w:sz w:val="36"/>
          <w:szCs w:val="36"/>
        </w:rPr>
      </w:pPr>
      <w:r>
        <w:rPr>
          <w:rFonts w:hint="eastAsia" w:ascii="宋体" w:hAnsi="宋体" w:cs="宋体"/>
          <w:b/>
          <w:sz w:val="36"/>
          <w:szCs w:val="36"/>
        </w:rPr>
        <w:t>（仅供参考，具体以合同签订为准）</w:t>
      </w:r>
    </w:p>
    <w:p w14:paraId="345A6625">
      <w:pPr>
        <w:spacing w:line="480" w:lineRule="auto"/>
        <w:jc w:val="center"/>
        <w:rPr>
          <w:rFonts w:hint="eastAsia" w:ascii="宋体" w:hAnsi="宋体" w:cs="宋体"/>
          <w:b/>
          <w:sz w:val="28"/>
          <w:szCs w:val="28"/>
        </w:rPr>
      </w:pPr>
    </w:p>
    <w:p w14:paraId="0B0D6114">
      <w:pPr>
        <w:spacing w:line="480" w:lineRule="auto"/>
        <w:jc w:val="center"/>
        <w:rPr>
          <w:rFonts w:hint="eastAsia" w:ascii="宋体" w:hAnsi="宋体" w:cs="宋体"/>
          <w:b/>
          <w:sz w:val="24"/>
        </w:rPr>
      </w:pPr>
    </w:p>
    <w:bookmarkEnd w:id="386"/>
    <w:bookmarkEnd w:id="387"/>
    <w:p w14:paraId="1B51E242">
      <w:pPr>
        <w:spacing w:line="480" w:lineRule="auto"/>
        <w:jc w:val="center"/>
        <w:rPr>
          <w:rFonts w:hint="eastAsia" w:ascii="宋体" w:hAnsi="宋体" w:cs="宋体"/>
          <w:b/>
          <w:sz w:val="36"/>
          <w:szCs w:val="36"/>
        </w:rPr>
      </w:pPr>
      <w:r>
        <w:rPr>
          <w:rFonts w:hint="eastAsia" w:ascii="宋体" w:hAnsi="宋体" w:cs="宋体"/>
          <w:b/>
          <w:sz w:val="36"/>
          <w:szCs w:val="36"/>
        </w:rPr>
        <w:t>政府采购合同参考范本</w:t>
      </w:r>
    </w:p>
    <w:p w14:paraId="2F61B4FA">
      <w:pPr>
        <w:spacing w:line="480" w:lineRule="auto"/>
        <w:jc w:val="center"/>
        <w:rPr>
          <w:rFonts w:hint="eastAsia" w:ascii="宋体" w:hAnsi="宋体" w:cs="宋体"/>
          <w:b/>
          <w:sz w:val="36"/>
          <w:szCs w:val="36"/>
        </w:rPr>
      </w:pPr>
      <w:r>
        <w:rPr>
          <w:rFonts w:hint="eastAsia" w:ascii="宋体" w:hAnsi="宋体" w:cs="宋体"/>
          <w:b/>
          <w:sz w:val="36"/>
          <w:szCs w:val="36"/>
        </w:rPr>
        <w:t>（货物类）</w:t>
      </w:r>
    </w:p>
    <w:p w14:paraId="52689ABC">
      <w:pPr>
        <w:pStyle w:val="702"/>
        <w:rPr>
          <w:rFonts w:hint="eastAsia" w:ascii="宋体" w:hAnsi="宋体" w:cs="宋体"/>
          <w:szCs w:val="24"/>
        </w:rPr>
      </w:pPr>
    </w:p>
    <w:p w14:paraId="1204F5D1">
      <w:pPr>
        <w:pStyle w:val="702"/>
        <w:rPr>
          <w:rFonts w:hint="eastAsia" w:ascii="宋体" w:hAnsi="宋体" w:cs="宋体"/>
          <w:szCs w:val="24"/>
        </w:rPr>
      </w:pPr>
    </w:p>
    <w:p w14:paraId="63570C65">
      <w:pPr>
        <w:pStyle w:val="702"/>
        <w:jc w:val="center"/>
        <w:rPr>
          <w:rFonts w:hint="eastAsia" w:ascii="宋体" w:hAnsi="宋体" w:cs="宋体"/>
          <w:szCs w:val="24"/>
        </w:rPr>
      </w:pPr>
    </w:p>
    <w:p w14:paraId="1D8364BF">
      <w:pPr>
        <w:pStyle w:val="702"/>
        <w:ind w:firstLine="2843" w:firstLineChars="1180"/>
        <w:rPr>
          <w:rFonts w:hint="eastAsia" w:ascii="宋体" w:hAnsi="宋体" w:cs="宋体"/>
          <w:b/>
          <w:szCs w:val="24"/>
        </w:rPr>
      </w:pPr>
      <w:r>
        <w:rPr>
          <w:rFonts w:hint="eastAsia" w:ascii="宋体" w:hAnsi="宋体" w:cs="宋体"/>
          <w:b/>
          <w:szCs w:val="24"/>
        </w:rPr>
        <w:t>第一部分 合同书</w:t>
      </w:r>
    </w:p>
    <w:p w14:paraId="54BCB5FF">
      <w:pPr>
        <w:pStyle w:val="702"/>
        <w:rPr>
          <w:rFonts w:hint="eastAsia" w:ascii="宋体" w:hAnsi="宋体" w:cs="宋体"/>
          <w:szCs w:val="24"/>
        </w:rPr>
      </w:pPr>
    </w:p>
    <w:p w14:paraId="669EE3D5">
      <w:pPr>
        <w:pStyle w:val="702"/>
        <w:rPr>
          <w:rFonts w:hint="eastAsia" w:ascii="宋体" w:hAnsi="宋体" w:cs="宋体"/>
          <w:szCs w:val="24"/>
        </w:rPr>
      </w:pPr>
    </w:p>
    <w:p w14:paraId="7897474E">
      <w:pPr>
        <w:spacing w:before="120" w:line="22" w:lineRule="atLeast"/>
        <w:rPr>
          <w:rFonts w:hint="eastAsia" w:ascii="宋体" w:hAnsi="宋体" w:cs="宋体"/>
          <w:sz w:val="24"/>
        </w:rPr>
      </w:pPr>
    </w:p>
    <w:p w14:paraId="5E976EE0">
      <w:pPr>
        <w:spacing w:before="120" w:line="22" w:lineRule="atLeast"/>
        <w:ind w:left="960"/>
        <w:rPr>
          <w:rFonts w:hint="eastAsia" w:ascii="宋体" w:hAnsi="宋体" w:cs="宋体"/>
          <w:sz w:val="24"/>
        </w:rPr>
      </w:pPr>
      <w:r>
        <w:rPr>
          <w:rFonts w:hint="eastAsia" w:ascii="宋体" w:hAnsi="宋体" w:cs="宋体"/>
          <w:sz w:val="24"/>
        </w:rPr>
        <w:t>项目名称：</w:t>
      </w:r>
      <w:r>
        <w:rPr>
          <w:rFonts w:hint="eastAsia" w:ascii="宋体" w:hAnsi="宋体" w:cs="宋体"/>
          <w:sz w:val="24"/>
          <w:u w:val="single"/>
        </w:rPr>
        <w:t xml:space="preserve">                                   </w:t>
      </w:r>
    </w:p>
    <w:p w14:paraId="728564CF">
      <w:pPr>
        <w:pStyle w:val="599"/>
        <w:spacing w:before="120" w:line="22" w:lineRule="atLeast"/>
        <w:rPr>
          <w:rFonts w:hint="eastAsia" w:ascii="宋体" w:hAnsi="宋体" w:eastAsia="宋体" w:cs="宋体"/>
          <w:szCs w:val="24"/>
        </w:rPr>
      </w:pPr>
    </w:p>
    <w:p w14:paraId="02794673">
      <w:pPr>
        <w:pStyle w:val="599"/>
        <w:spacing w:before="120" w:line="22" w:lineRule="atLeast"/>
        <w:rPr>
          <w:rFonts w:hint="eastAsia" w:ascii="宋体" w:hAnsi="宋体" w:eastAsia="宋体" w:cs="宋体"/>
          <w:szCs w:val="24"/>
        </w:rPr>
      </w:pPr>
    </w:p>
    <w:p w14:paraId="019056F7">
      <w:pPr>
        <w:rPr>
          <w:rFonts w:hint="eastAsia" w:ascii="宋体" w:hAnsi="宋体" w:cs="宋体"/>
          <w:sz w:val="24"/>
        </w:rPr>
      </w:pPr>
    </w:p>
    <w:p w14:paraId="1964E327">
      <w:pPr>
        <w:spacing w:before="120" w:line="22" w:lineRule="atLeast"/>
        <w:ind w:left="960"/>
        <w:rPr>
          <w:rFonts w:hint="eastAsia" w:ascii="宋体" w:hAnsi="宋体" w:cs="宋体"/>
          <w:sz w:val="24"/>
          <w:u w:val="single"/>
        </w:rPr>
      </w:pPr>
      <w:r>
        <w:rPr>
          <w:rFonts w:hint="eastAsia" w:ascii="宋体" w:hAnsi="宋体" w:cs="宋体"/>
          <w:sz w:val="24"/>
        </w:rPr>
        <w:t>甲方：</w:t>
      </w:r>
      <w:r>
        <w:rPr>
          <w:rFonts w:hint="eastAsia" w:ascii="宋体" w:hAnsi="宋体" w:cs="宋体"/>
          <w:sz w:val="24"/>
          <w:u w:val="single"/>
        </w:rPr>
        <w:t xml:space="preserve">                                       </w:t>
      </w:r>
    </w:p>
    <w:p w14:paraId="4E6B1A17">
      <w:pPr>
        <w:spacing w:before="120" w:line="22" w:lineRule="atLeast"/>
        <w:rPr>
          <w:rFonts w:hint="eastAsia" w:ascii="宋体" w:hAnsi="宋体" w:cs="宋体"/>
          <w:sz w:val="24"/>
        </w:rPr>
      </w:pPr>
    </w:p>
    <w:p w14:paraId="7DD4C3A4">
      <w:pPr>
        <w:spacing w:before="120" w:line="22" w:lineRule="atLeast"/>
        <w:ind w:left="960"/>
        <w:rPr>
          <w:rFonts w:hint="eastAsia" w:ascii="宋体" w:hAnsi="宋体" w:cs="宋体"/>
          <w:sz w:val="24"/>
          <w:u w:val="single"/>
        </w:rPr>
      </w:pPr>
      <w:r>
        <w:rPr>
          <w:rFonts w:hint="eastAsia" w:ascii="宋体" w:hAnsi="宋体" w:cs="宋体"/>
          <w:sz w:val="24"/>
        </w:rPr>
        <w:t>乙方：</w:t>
      </w:r>
      <w:r>
        <w:rPr>
          <w:rFonts w:hint="eastAsia" w:ascii="宋体" w:hAnsi="宋体" w:cs="宋体"/>
          <w:sz w:val="24"/>
          <w:u w:val="single"/>
        </w:rPr>
        <w:t xml:space="preserve">                                       </w:t>
      </w:r>
    </w:p>
    <w:p w14:paraId="66627472">
      <w:pPr>
        <w:spacing w:before="120" w:line="22" w:lineRule="atLeast"/>
        <w:rPr>
          <w:rFonts w:hint="eastAsia" w:ascii="宋体" w:hAnsi="宋体" w:cs="宋体"/>
          <w:sz w:val="24"/>
        </w:rPr>
      </w:pPr>
    </w:p>
    <w:p w14:paraId="6A1A1BA5">
      <w:pPr>
        <w:spacing w:before="120" w:line="22" w:lineRule="atLeast"/>
        <w:ind w:firstLine="960" w:firstLineChars="400"/>
        <w:rPr>
          <w:rFonts w:hint="eastAsia" w:ascii="宋体" w:hAnsi="宋体" w:cs="宋体"/>
          <w:sz w:val="24"/>
          <w:u w:val="single"/>
        </w:rPr>
      </w:pPr>
      <w:r>
        <w:rPr>
          <w:rFonts w:hint="eastAsia" w:ascii="宋体" w:hAnsi="宋体" w:cs="宋体"/>
          <w:sz w:val="24"/>
        </w:rPr>
        <w:t>签订地：</w:t>
      </w:r>
      <w:r>
        <w:rPr>
          <w:rFonts w:hint="eastAsia" w:ascii="宋体" w:hAnsi="宋体" w:cs="宋体"/>
          <w:sz w:val="24"/>
          <w:u w:val="single"/>
        </w:rPr>
        <w:t xml:space="preserve">                                     </w:t>
      </w:r>
    </w:p>
    <w:p w14:paraId="06A367CE">
      <w:pPr>
        <w:spacing w:before="120" w:line="22" w:lineRule="atLeast"/>
        <w:rPr>
          <w:rFonts w:hint="eastAsia" w:ascii="宋体" w:hAnsi="宋体" w:cs="宋体"/>
          <w:sz w:val="24"/>
        </w:rPr>
      </w:pPr>
    </w:p>
    <w:p w14:paraId="45D1FBAA">
      <w:pPr>
        <w:spacing w:before="120" w:line="22" w:lineRule="atLeast"/>
        <w:ind w:firstLine="960" w:firstLineChars="400"/>
        <w:rPr>
          <w:rFonts w:hint="eastAsia" w:ascii="宋体" w:hAnsi="宋体" w:cs="宋体"/>
          <w:sz w:val="24"/>
          <w:u w:val="single"/>
        </w:rPr>
      </w:pPr>
      <w:r>
        <w:rPr>
          <w:rFonts w:hint="eastAsia" w:ascii="宋体" w:hAnsi="宋体" w:cs="宋体"/>
          <w:sz w:val="24"/>
        </w:rPr>
        <w:t>签订日期：</w:t>
      </w:r>
      <w:r>
        <w:rPr>
          <w:rFonts w:hint="eastAsia" w:ascii="宋体" w:hAnsi="宋体" w:cs="宋体"/>
          <w:sz w:val="24"/>
          <w:u w:val="single"/>
        </w:rPr>
        <w:t xml:space="preserve">               </w:t>
      </w:r>
      <w:r>
        <w:rPr>
          <w:rFonts w:hint="eastAsia" w:ascii="宋体" w:hAnsi="宋体" w:cs="宋体"/>
          <w:sz w:val="24"/>
        </w:rPr>
        <w:t>年</w:t>
      </w:r>
      <w:r>
        <w:rPr>
          <w:rFonts w:hint="eastAsia" w:ascii="宋体" w:hAnsi="宋体" w:cs="宋体"/>
          <w:sz w:val="24"/>
          <w:u w:val="single"/>
        </w:rPr>
        <w:t xml:space="preserve">       </w:t>
      </w:r>
      <w:r>
        <w:rPr>
          <w:rFonts w:hint="eastAsia" w:ascii="宋体" w:hAnsi="宋体" w:cs="宋体"/>
          <w:sz w:val="24"/>
        </w:rPr>
        <w:t>月</w:t>
      </w:r>
      <w:r>
        <w:rPr>
          <w:rFonts w:hint="eastAsia" w:ascii="宋体" w:hAnsi="宋体" w:cs="宋体"/>
          <w:sz w:val="24"/>
          <w:u w:val="single"/>
        </w:rPr>
        <w:t xml:space="preserve">       </w:t>
      </w:r>
      <w:r>
        <w:rPr>
          <w:rFonts w:hint="eastAsia" w:ascii="宋体" w:hAnsi="宋体" w:cs="宋体"/>
          <w:sz w:val="24"/>
        </w:rPr>
        <w:t>日</w:t>
      </w:r>
    </w:p>
    <w:p w14:paraId="39A3E92E">
      <w:pPr>
        <w:widowControl/>
        <w:jc w:val="left"/>
        <w:rPr>
          <w:rFonts w:hint="eastAsia" w:ascii="宋体" w:hAnsi="宋体" w:cs="宋体"/>
          <w:kern w:val="0"/>
          <w:sz w:val="24"/>
        </w:rPr>
        <w:sectPr>
          <w:pgSz w:w="11907" w:h="16840"/>
          <w:pgMar w:top="1474" w:right="1814" w:bottom="1474" w:left="1814" w:header="851" w:footer="851" w:gutter="0"/>
          <w:cols w:space="720" w:num="1"/>
        </w:sectPr>
      </w:pPr>
    </w:p>
    <w:p w14:paraId="445B6718">
      <w:pPr>
        <w:spacing w:line="560" w:lineRule="exact"/>
        <w:ind w:firstLine="480" w:firstLineChars="200"/>
        <w:rPr>
          <w:rFonts w:hint="eastAsia" w:ascii="宋体" w:hAnsi="宋体" w:cs="宋体"/>
          <w:sz w:val="24"/>
        </w:rPr>
      </w:pPr>
      <w:r>
        <w:rPr>
          <w:rFonts w:hint="eastAsia" w:ascii="宋体" w:hAnsi="宋体" w:cs="宋体"/>
          <w:sz w:val="24"/>
          <w:u w:val="single"/>
          <w:lang w:val="zh-CN"/>
        </w:rPr>
        <w:t xml:space="preserve">        </w:t>
      </w:r>
      <w:r>
        <w:rPr>
          <w:rFonts w:hint="eastAsia" w:ascii="宋体" w:hAnsi="宋体" w:cs="宋体"/>
          <w:sz w:val="24"/>
          <w:lang w:val="zh-CN"/>
        </w:rPr>
        <w:t>年</w:t>
      </w:r>
      <w:r>
        <w:rPr>
          <w:rFonts w:hint="eastAsia" w:ascii="宋体" w:hAnsi="宋体" w:cs="宋体"/>
          <w:sz w:val="24"/>
          <w:u w:val="single"/>
          <w:lang w:val="zh-CN"/>
        </w:rPr>
        <w:t xml:space="preserve">    </w:t>
      </w:r>
      <w:r>
        <w:rPr>
          <w:rFonts w:hint="eastAsia" w:ascii="宋体" w:hAnsi="宋体" w:cs="宋体"/>
          <w:sz w:val="24"/>
          <w:lang w:val="zh-CN"/>
        </w:rPr>
        <w:t>月</w:t>
      </w:r>
      <w:r>
        <w:rPr>
          <w:rFonts w:hint="eastAsia" w:ascii="宋体" w:hAnsi="宋体" w:cs="宋体"/>
          <w:sz w:val="24"/>
          <w:u w:val="single"/>
          <w:lang w:val="zh-CN"/>
        </w:rPr>
        <w:t xml:space="preserve">    </w:t>
      </w:r>
      <w:r>
        <w:rPr>
          <w:rFonts w:hint="eastAsia" w:ascii="宋体" w:hAnsi="宋体" w:cs="宋体"/>
          <w:sz w:val="24"/>
          <w:lang w:val="zh-CN"/>
        </w:rPr>
        <w:t>日</w:t>
      </w:r>
      <w:r>
        <w:rPr>
          <w:rFonts w:hint="eastAsia" w:ascii="宋体" w:hAnsi="宋体" w:cs="宋体"/>
          <w:sz w:val="24"/>
        </w:rPr>
        <w:t>，</w:t>
      </w:r>
      <w:r>
        <w:rPr>
          <w:rFonts w:hint="eastAsia" w:ascii="宋体" w:hAnsi="宋体" w:cs="宋体"/>
          <w:sz w:val="24"/>
          <w:u w:val="single"/>
        </w:rPr>
        <w:t xml:space="preserve">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以</w:t>
      </w:r>
      <w:r>
        <w:rPr>
          <w:rFonts w:hint="eastAsia" w:ascii="宋体" w:hAnsi="宋体" w:cs="宋体"/>
          <w:sz w:val="24"/>
          <w:u w:val="single"/>
        </w:rPr>
        <w:t xml:space="preserve">   （政府采购方式）  </w:t>
      </w:r>
      <w:r>
        <w:rPr>
          <w:rFonts w:hint="eastAsia" w:ascii="宋体" w:hAnsi="宋体" w:cs="宋体"/>
          <w:sz w:val="24"/>
        </w:rPr>
        <w:t>对</w:t>
      </w:r>
      <w:r>
        <w:rPr>
          <w:rFonts w:hint="eastAsia" w:ascii="宋体" w:hAnsi="宋体" w:cs="宋体"/>
          <w:sz w:val="24"/>
          <w:u w:val="single"/>
        </w:rPr>
        <w:t xml:space="preserve">   </w:t>
      </w:r>
      <w:r>
        <w:rPr>
          <w:rFonts w:hint="eastAsia" w:ascii="宋体" w:hAnsi="宋体" w:cs="宋体"/>
          <w:color w:val="0000FF"/>
          <w:sz w:val="24"/>
          <w:u w:val="single"/>
        </w:rPr>
        <w:t xml:space="preserve">（项目名称、编号）  </w:t>
      </w:r>
      <w:r>
        <w:rPr>
          <w:rFonts w:hint="eastAsia" w:ascii="宋体" w:hAnsi="宋体" w:cs="宋体"/>
          <w:sz w:val="24"/>
          <w:u w:val="single"/>
        </w:rPr>
        <w:t xml:space="preserve"> </w:t>
      </w:r>
      <w:r>
        <w:rPr>
          <w:rFonts w:hint="eastAsia" w:ascii="宋体" w:hAnsi="宋体" w:cs="宋体"/>
          <w:sz w:val="24"/>
        </w:rPr>
        <w:t>项目进行了采购。经</w:t>
      </w:r>
      <w:r>
        <w:rPr>
          <w:rFonts w:hint="eastAsia" w:ascii="宋体" w:hAnsi="宋体" w:cs="宋体"/>
          <w:sz w:val="24"/>
          <w:u w:val="single"/>
        </w:rPr>
        <w:t xml:space="preserve">   （相关评定主体名称）   </w:t>
      </w:r>
      <w:r>
        <w:rPr>
          <w:rFonts w:hint="eastAsia" w:ascii="宋体" w:hAnsi="宋体" w:cs="宋体"/>
          <w:sz w:val="24"/>
        </w:rPr>
        <w:t>评定，</w:t>
      </w:r>
      <w:r>
        <w:rPr>
          <w:rFonts w:hint="eastAsia" w:ascii="宋体" w:hAnsi="宋体" w:cs="宋体"/>
          <w:sz w:val="24"/>
          <w:u w:val="single"/>
        </w:rPr>
        <w:t xml:space="preserve">   （中标或者成交供应商名称）</w:t>
      </w:r>
      <w:r>
        <w:rPr>
          <w:rFonts w:hint="eastAsia" w:ascii="宋体" w:hAnsi="宋体" w:cs="宋体"/>
          <w:sz w:val="24"/>
        </w:rPr>
        <w:t>为该项目中标或者成交供应商。现于中标或者成交通知书发出之日起10个工作日内，按照采购文件等确定的事项签订本合同。</w:t>
      </w:r>
    </w:p>
    <w:p w14:paraId="018EC9B5">
      <w:pPr>
        <w:spacing w:line="560" w:lineRule="exact"/>
        <w:ind w:firstLine="480" w:firstLineChars="200"/>
        <w:rPr>
          <w:rFonts w:hint="eastAsia" w:ascii="宋体" w:hAnsi="宋体" w:cs="宋体"/>
          <w:sz w:val="24"/>
        </w:rPr>
      </w:pPr>
      <w:r>
        <w:rPr>
          <w:rFonts w:hint="eastAsia" w:ascii="宋体" w:hAnsi="宋体" w:cs="宋体"/>
          <w:sz w:val="24"/>
          <w:lang w:val="zh-CN"/>
        </w:rPr>
        <w:t>根据《中华人民共和国民法典》《中华人民共和国政府采购法》等相关法律法规之规定，按照平等、自愿、公平、诚实信用和绿色的原则，经</w:t>
      </w:r>
      <w:r>
        <w:rPr>
          <w:rFonts w:hint="eastAsia" w:ascii="宋体" w:hAnsi="宋体" w:cs="宋体"/>
          <w:sz w:val="24"/>
          <w:u w:val="single"/>
        </w:rPr>
        <w:t xml:space="preserve">   （采购人）   </w:t>
      </w:r>
      <w:r>
        <w:rPr>
          <w:rFonts w:hint="eastAsia" w:ascii="宋体" w:hAnsi="宋体" w:cs="宋体"/>
          <w:sz w:val="24"/>
          <w:lang w:val="zh-CN"/>
        </w:rPr>
        <w:t>(以下简称：甲方)和</w:t>
      </w:r>
      <w:r>
        <w:rPr>
          <w:rFonts w:hint="eastAsia" w:ascii="宋体" w:hAnsi="宋体" w:cs="宋体"/>
          <w:sz w:val="24"/>
          <w:u w:val="single"/>
        </w:rPr>
        <w:t xml:space="preserve">   （中标或者成交供应商名称）   </w:t>
      </w:r>
      <w:r>
        <w:rPr>
          <w:rFonts w:hint="eastAsia" w:ascii="宋体" w:hAnsi="宋体" w:cs="宋体"/>
          <w:sz w:val="24"/>
          <w:lang w:val="zh-CN"/>
        </w:rPr>
        <w:t>(以下简称：乙方)协商一致，约定以下合同</w:t>
      </w:r>
      <w:r>
        <w:rPr>
          <w:rFonts w:hint="eastAsia" w:ascii="宋体" w:hAnsi="宋体" w:cs="宋体"/>
          <w:sz w:val="24"/>
        </w:rPr>
        <w:t>条款，以兹共同遵守、全面履行。</w:t>
      </w:r>
    </w:p>
    <w:p w14:paraId="5DDCCAE4">
      <w:pPr>
        <w:spacing w:line="560" w:lineRule="exact"/>
        <w:ind w:firstLine="482" w:firstLineChars="200"/>
        <w:outlineLvl w:val="0"/>
        <w:rPr>
          <w:rFonts w:hint="eastAsia" w:ascii="宋体" w:hAnsi="宋体" w:cs="宋体"/>
          <w:b/>
          <w:sz w:val="24"/>
        </w:rPr>
      </w:pPr>
      <w:bookmarkStart w:id="388" w:name="_Toc2232"/>
      <w:bookmarkStart w:id="389" w:name="_Toc3029"/>
      <w:bookmarkStart w:id="390" w:name="_Toc24059"/>
      <w:r>
        <w:rPr>
          <w:rFonts w:hint="eastAsia" w:ascii="宋体" w:hAnsi="宋体" w:cs="宋体"/>
          <w:b/>
          <w:sz w:val="24"/>
        </w:rPr>
        <w:t>1.1 合同组成部分</w:t>
      </w:r>
      <w:bookmarkEnd w:id="388"/>
      <w:bookmarkEnd w:id="389"/>
      <w:bookmarkEnd w:id="390"/>
    </w:p>
    <w:p w14:paraId="7A607820">
      <w:pPr>
        <w:spacing w:line="560" w:lineRule="exact"/>
        <w:ind w:firstLine="480" w:firstLineChars="200"/>
        <w:rPr>
          <w:rFonts w:hint="eastAsia" w:ascii="宋体" w:hAnsi="宋体" w:cs="宋体"/>
          <w:sz w:val="24"/>
        </w:rPr>
      </w:pPr>
      <w:r>
        <w:rPr>
          <w:rFonts w:hint="eastAsia" w:ascii="宋体" w:hAnsi="宋体" w:cs="宋体"/>
          <w:sz w:val="24"/>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61ED4D1F">
      <w:pPr>
        <w:spacing w:line="560" w:lineRule="exact"/>
        <w:ind w:firstLine="480" w:firstLineChars="200"/>
        <w:rPr>
          <w:rFonts w:hint="eastAsia" w:ascii="宋体" w:hAnsi="宋体" w:cs="宋体"/>
          <w:sz w:val="24"/>
        </w:rPr>
      </w:pPr>
      <w:r>
        <w:rPr>
          <w:rFonts w:hint="eastAsia" w:ascii="宋体" w:hAnsi="宋体" w:cs="宋体"/>
          <w:sz w:val="24"/>
        </w:rPr>
        <w:t>1.1.1 本合同及其补充合同、变更协议；</w:t>
      </w:r>
    </w:p>
    <w:p w14:paraId="67B494DF">
      <w:pPr>
        <w:spacing w:line="560" w:lineRule="exact"/>
        <w:ind w:firstLine="480" w:firstLineChars="200"/>
        <w:rPr>
          <w:rFonts w:hint="eastAsia" w:ascii="宋体" w:hAnsi="宋体" w:cs="宋体"/>
          <w:sz w:val="24"/>
        </w:rPr>
      </w:pPr>
      <w:r>
        <w:rPr>
          <w:rFonts w:hint="eastAsia" w:ascii="宋体" w:hAnsi="宋体" w:cs="宋体"/>
          <w:sz w:val="24"/>
        </w:rPr>
        <w:t>1.1.2 中标或者成交通知书；</w:t>
      </w:r>
    </w:p>
    <w:p w14:paraId="15C01D75">
      <w:pPr>
        <w:spacing w:line="560" w:lineRule="exact"/>
        <w:ind w:firstLine="480" w:firstLineChars="200"/>
        <w:rPr>
          <w:rFonts w:hint="eastAsia" w:ascii="宋体" w:hAnsi="宋体" w:cs="宋体"/>
          <w:sz w:val="24"/>
        </w:rPr>
      </w:pPr>
      <w:r>
        <w:rPr>
          <w:rFonts w:hint="eastAsia" w:ascii="宋体" w:hAnsi="宋体" w:cs="宋体"/>
          <w:sz w:val="24"/>
        </w:rPr>
        <w:t>1.1.3 投标或者响应文件（含澄清或者说明文件）；</w:t>
      </w:r>
    </w:p>
    <w:p w14:paraId="0636E14E">
      <w:pPr>
        <w:spacing w:line="560" w:lineRule="exact"/>
        <w:ind w:firstLine="480" w:firstLineChars="200"/>
        <w:rPr>
          <w:rFonts w:hint="eastAsia" w:ascii="宋体" w:hAnsi="宋体" w:cs="宋体"/>
          <w:sz w:val="24"/>
        </w:rPr>
      </w:pPr>
      <w:r>
        <w:rPr>
          <w:rFonts w:hint="eastAsia" w:ascii="宋体" w:hAnsi="宋体" w:cs="宋体"/>
          <w:sz w:val="24"/>
        </w:rPr>
        <w:t>1.1.4 采购文件（含澄清或者修改文件）；</w:t>
      </w:r>
    </w:p>
    <w:p w14:paraId="026E31F9">
      <w:pPr>
        <w:spacing w:line="560" w:lineRule="exact"/>
        <w:ind w:firstLine="480" w:firstLineChars="200"/>
        <w:rPr>
          <w:rFonts w:hint="eastAsia" w:ascii="宋体" w:hAnsi="宋体" w:cs="宋体"/>
          <w:sz w:val="24"/>
        </w:rPr>
      </w:pPr>
      <w:r>
        <w:rPr>
          <w:rFonts w:hint="eastAsia" w:ascii="宋体" w:hAnsi="宋体" w:cs="宋体"/>
          <w:sz w:val="24"/>
        </w:rPr>
        <w:t>1.1.5 其他相关采购文件。</w:t>
      </w:r>
    </w:p>
    <w:p w14:paraId="587FDF9E">
      <w:pPr>
        <w:spacing w:line="560" w:lineRule="exact"/>
        <w:ind w:firstLine="482" w:firstLineChars="200"/>
        <w:outlineLvl w:val="0"/>
        <w:rPr>
          <w:rFonts w:hint="eastAsia" w:ascii="宋体" w:hAnsi="宋体" w:cs="宋体"/>
          <w:b/>
          <w:sz w:val="24"/>
        </w:rPr>
      </w:pPr>
      <w:bookmarkStart w:id="391" w:name="_Toc21295"/>
      <w:bookmarkStart w:id="392" w:name="_Toc24300"/>
      <w:bookmarkStart w:id="393" w:name="_Toc27126"/>
      <w:r>
        <w:rPr>
          <w:rFonts w:hint="eastAsia" w:ascii="宋体" w:hAnsi="宋体" w:cs="宋体"/>
          <w:b/>
          <w:sz w:val="24"/>
        </w:rPr>
        <w:t>1.2 货物</w:t>
      </w:r>
      <w:bookmarkEnd w:id="391"/>
      <w:bookmarkEnd w:id="392"/>
      <w:bookmarkEnd w:id="393"/>
    </w:p>
    <w:p w14:paraId="3CB29927">
      <w:pPr>
        <w:spacing w:line="560" w:lineRule="exact"/>
        <w:ind w:firstLine="480" w:firstLineChars="200"/>
        <w:rPr>
          <w:rFonts w:hint="eastAsia" w:ascii="宋体" w:hAnsi="宋体" w:cs="宋体"/>
          <w:sz w:val="24"/>
          <w:u w:val="single"/>
        </w:rPr>
      </w:pPr>
      <w:r>
        <w:rPr>
          <w:rFonts w:hint="eastAsia" w:ascii="宋体" w:hAnsi="宋体" w:cs="宋体"/>
          <w:sz w:val="24"/>
        </w:rPr>
        <w:t>1.2.1 货物名称、品牌、规格型号、花色：</w:t>
      </w:r>
      <w:r>
        <w:rPr>
          <w:rFonts w:hint="eastAsia" w:ascii="宋体" w:hAnsi="宋体" w:cs="宋体"/>
          <w:sz w:val="24"/>
          <w:u w:val="single"/>
        </w:rPr>
        <w:t xml:space="preserve">                             </w:t>
      </w:r>
      <w:r>
        <w:rPr>
          <w:rFonts w:hint="eastAsia" w:ascii="宋体" w:hAnsi="宋体" w:cs="宋体"/>
          <w:sz w:val="24"/>
        </w:rPr>
        <w:t>；</w:t>
      </w:r>
    </w:p>
    <w:p w14:paraId="2AAA351A">
      <w:pPr>
        <w:spacing w:line="560" w:lineRule="exact"/>
        <w:ind w:firstLine="480" w:firstLineChars="200"/>
        <w:rPr>
          <w:rFonts w:hint="eastAsia" w:ascii="宋体" w:hAnsi="宋体" w:cs="宋体"/>
          <w:sz w:val="24"/>
          <w:u w:val="single"/>
        </w:rPr>
      </w:pPr>
      <w:r>
        <w:rPr>
          <w:rFonts w:hint="eastAsia" w:ascii="宋体" w:hAnsi="宋体" w:cs="宋体"/>
          <w:sz w:val="24"/>
        </w:rPr>
        <w:t>1.2.2 货物数量：</w:t>
      </w:r>
      <w:r>
        <w:rPr>
          <w:rFonts w:hint="eastAsia" w:ascii="宋体" w:hAnsi="宋体" w:cs="宋体"/>
          <w:sz w:val="24"/>
          <w:u w:val="single"/>
        </w:rPr>
        <w:t xml:space="preserve">                                                </w:t>
      </w:r>
      <w:r>
        <w:rPr>
          <w:rFonts w:hint="eastAsia" w:ascii="宋体" w:hAnsi="宋体" w:cs="宋体"/>
          <w:sz w:val="24"/>
        </w:rPr>
        <w:t>；</w:t>
      </w:r>
    </w:p>
    <w:p w14:paraId="5EC3E84E">
      <w:pPr>
        <w:spacing w:line="560" w:lineRule="exact"/>
        <w:ind w:firstLine="480" w:firstLineChars="200"/>
        <w:rPr>
          <w:rFonts w:hint="eastAsia" w:ascii="宋体" w:hAnsi="宋体" w:cs="宋体"/>
          <w:sz w:val="24"/>
          <w:u w:val="single"/>
        </w:rPr>
      </w:pPr>
      <w:r>
        <w:rPr>
          <w:rFonts w:hint="eastAsia" w:ascii="宋体" w:hAnsi="宋体" w:cs="宋体"/>
          <w:sz w:val="24"/>
        </w:rPr>
        <w:t>1.2.3 货物质量：</w:t>
      </w:r>
      <w:r>
        <w:rPr>
          <w:rFonts w:hint="eastAsia" w:ascii="宋体" w:hAnsi="宋体" w:cs="宋体"/>
          <w:sz w:val="24"/>
          <w:u w:val="single"/>
        </w:rPr>
        <w:t>　　　　　　　　　                      　      ；</w:t>
      </w:r>
    </w:p>
    <w:p w14:paraId="1CB3EB94">
      <w:pPr>
        <w:spacing w:line="560" w:lineRule="exact"/>
        <w:ind w:firstLine="482" w:firstLineChars="200"/>
        <w:outlineLvl w:val="0"/>
        <w:rPr>
          <w:rFonts w:hint="eastAsia" w:ascii="宋体" w:hAnsi="宋体" w:cs="宋体"/>
          <w:b/>
          <w:sz w:val="24"/>
        </w:rPr>
      </w:pPr>
      <w:bookmarkStart w:id="394" w:name="_Toc21551"/>
      <w:bookmarkStart w:id="395" w:name="_Toc21631"/>
      <w:bookmarkStart w:id="396" w:name="_Toc23292"/>
      <w:r>
        <w:rPr>
          <w:rFonts w:hint="eastAsia" w:ascii="宋体" w:hAnsi="宋体" w:cs="宋体"/>
          <w:b/>
          <w:sz w:val="24"/>
        </w:rPr>
        <w:t>1.3 价款</w:t>
      </w:r>
      <w:bookmarkEnd w:id="394"/>
      <w:bookmarkEnd w:id="395"/>
      <w:bookmarkEnd w:id="396"/>
    </w:p>
    <w:p w14:paraId="3D614E2E">
      <w:pPr>
        <w:spacing w:line="560" w:lineRule="exact"/>
        <w:ind w:firstLine="480" w:firstLineChars="200"/>
        <w:rPr>
          <w:rFonts w:hint="eastAsia" w:ascii="宋体" w:hAnsi="宋体" w:cs="宋体"/>
          <w:sz w:val="24"/>
        </w:rPr>
      </w:pPr>
      <w:r>
        <w:rPr>
          <w:rFonts w:hint="eastAsia" w:ascii="宋体" w:hAnsi="宋体" w:cs="宋体"/>
          <w:sz w:val="24"/>
        </w:rPr>
        <w:t>本合同总价（含税）为：￥</w:t>
      </w:r>
      <w:r>
        <w:rPr>
          <w:rFonts w:hint="eastAsia" w:ascii="宋体" w:hAnsi="宋体" w:cs="宋体"/>
          <w:sz w:val="24"/>
          <w:u w:val="single"/>
        </w:rPr>
        <w:t xml:space="preserve">           </w:t>
      </w:r>
      <w:r>
        <w:rPr>
          <w:rFonts w:hint="eastAsia" w:ascii="宋体" w:hAnsi="宋体" w:cs="宋体"/>
          <w:sz w:val="24"/>
        </w:rPr>
        <w:t>元（大写：</w:t>
      </w:r>
      <w:r>
        <w:rPr>
          <w:rFonts w:hint="eastAsia" w:ascii="宋体" w:hAnsi="宋体" w:cs="宋体"/>
          <w:sz w:val="24"/>
          <w:u w:val="single"/>
        </w:rPr>
        <w:t xml:space="preserve">                 </w:t>
      </w:r>
      <w:r>
        <w:rPr>
          <w:rFonts w:hint="eastAsia" w:ascii="宋体" w:hAnsi="宋体" w:cs="宋体"/>
          <w:sz w:val="24"/>
        </w:rPr>
        <w:t>元人民币）。</w:t>
      </w:r>
    </w:p>
    <w:p w14:paraId="59010424">
      <w:pPr>
        <w:spacing w:line="560" w:lineRule="exact"/>
        <w:ind w:firstLine="480" w:firstLineChars="200"/>
        <w:rPr>
          <w:rFonts w:hint="eastAsia" w:ascii="宋体" w:hAnsi="宋体" w:cs="宋体"/>
          <w:sz w:val="24"/>
          <w:u w:val="single"/>
        </w:rPr>
      </w:pPr>
      <w:r>
        <w:rPr>
          <w:rFonts w:hint="eastAsia" w:ascii="宋体" w:hAnsi="宋体" w:cs="宋体"/>
          <w:sz w:val="24"/>
        </w:rPr>
        <w:t>分项价格：</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E0293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1708B338">
            <w:pPr>
              <w:pStyle w:val="320"/>
              <w:spacing w:line="560" w:lineRule="exact"/>
              <w:jc w:val="center"/>
              <w:rPr>
                <w:rFonts w:hint="eastAsia" w:hAnsi="宋体" w:cs="宋体"/>
                <w:sz w:val="24"/>
                <w:szCs w:val="24"/>
              </w:rPr>
            </w:pPr>
            <w:r>
              <w:rPr>
                <w:rFonts w:hint="eastAsia" w:hAnsi="宋体" w:cs="宋体"/>
                <w:sz w:val="24"/>
                <w:szCs w:val="24"/>
              </w:rPr>
              <w:t>序号</w:t>
            </w:r>
          </w:p>
        </w:tc>
        <w:tc>
          <w:tcPr>
            <w:tcW w:w="3402" w:type="dxa"/>
            <w:tcBorders>
              <w:top w:val="single" w:color="auto" w:sz="4" w:space="0"/>
              <w:left w:val="single" w:color="auto" w:sz="4" w:space="0"/>
              <w:bottom w:val="single" w:color="auto" w:sz="4" w:space="0"/>
              <w:right w:val="single" w:color="auto" w:sz="4" w:space="0"/>
            </w:tcBorders>
            <w:vAlign w:val="center"/>
          </w:tcPr>
          <w:p w14:paraId="43D03287">
            <w:pPr>
              <w:pStyle w:val="320"/>
              <w:spacing w:line="560" w:lineRule="exact"/>
              <w:ind w:firstLine="200"/>
              <w:jc w:val="center"/>
              <w:rPr>
                <w:rFonts w:hint="eastAsia" w:hAnsi="宋体" w:cs="宋体"/>
                <w:sz w:val="24"/>
                <w:szCs w:val="24"/>
              </w:rPr>
            </w:pPr>
            <w:r>
              <w:rPr>
                <w:rFonts w:hint="eastAsia" w:hAnsi="宋体" w:cs="宋体"/>
                <w:sz w:val="24"/>
                <w:szCs w:val="24"/>
              </w:rPr>
              <w:t>分项名称</w:t>
            </w:r>
          </w:p>
        </w:tc>
        <w:tc>
          <w:tcPr>
            <w:tcW w:w="2552" w:type="dxa"/>
            <w:tcBorders>
              <w:top w:val="single" w:color="auto" w:sz="4" w:space="0"/>
              <w:left w:val="single" w:color="auto" w:sz="4" w:space="0"/>
              <w:bottom w:val="single" w:color="auto" w:sz="4" w:space="0"/>
              <w:right w:val="single" w:color="auto" w:sz="4" w:space="0"/>
            </w:tcBorders>
            <w:vAlign w:val="center"/>
          </w:tcPr>
          <w:p w14:paraId="252F2DF3">
            <w:pPr>
              <w:pStyle w:val="320"/>
              <w:spacing w:line="560" w:lineRule="exact"/>
              <w:jc w:val="center"/>
              <w:rPr>
                <w:rFonts w:hint="eastAsia" w:hAnsi="宋体" w:cs="宋体"/>
                <w:sz w:val="24"/>
                <w:szCs w:val="24"/>
              </w:rPr>
            </w:pPr>
            <w:r>
              <w:rPr>
                <w:rFonts w:hint="eastAsia" w:hAnsi="宋体" w:cs="宋体"/>
                <w:sz w:val="24"/>
                <w:szCs w:val="24"/>
              </w:rPr>
              <w:t>分项价格</w:t>
            </w:r>
          </w:p>
        </w:tc>
      </w:tr>
      <w:tr w14:paraId="319C1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63CE4B07">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7C213830">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217571D1">
            <w:pPr>
              <w:pStyle w:val="320"/>
              <w:spacing w:line="560" w:lineRule="exact"/>
              <w:ind w:firstLine="200"/>
              <w:jc w:val="center"/>
              <w:rPr>
                <w:rFonts w:hint="eastAsia" w:hAnsi="宋体" w:cs="宋体"/>
                <w:sz w:val="24"/>
                <w:szCs w:val="24"/>
              </w:rPr>
            </w:pPr>
          </w:p>
        </w:tc>
      </w:tr>
      <w:tr w14:paraId="71528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4BA30947">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48A7D537">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9AB7273">
            <w:pPr>
              <w:pStyle w:val="320"/>
              <w:spacing w:line="560" w:lineRule="exact"/>
              <w:ind w:firstLine="200"/>
              <w:jc w:val="center"/>
              <w:rPr>
                <w:rFonts w:hint="eastAsia" w:hAnsi="宋体" w:cs="宋体"/>
                <w:sz w:val="24"/>
                <w:szCs w:val="24"/>
              </w:rPr>
            </w:pPr>
          </w:p>
        </w:tc>
      </w:tr>
      <w:tr w14:paraId="049CD0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6F64B0E">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31AA0678">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2C6EDC7">
            <w:pPr>
              <w:pStyle w:val="320"/>
              <w:spacing w:line="560" w:lineRule="exact"/>
              <w:ind w:firstLine="200"/>
              <w:jc w:val="center"/>
              <w:rPr>
                <w:rFonts w:hint="eastAsia" w:hAnsi="宋体" w:cs="宋体"/>
                <w:sz w:val="24"/>
                <w:szCs w:val="24"/>
              </w:rPr>
            </w:pPr>
          </w:p>
        </w:tc>
      </w:tr>
      <w:tr w14:paraId="3F201E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tcBorders>
              <w:top w:val="single" w:color="auto" w:sz="4" w:space="0"/>
              <w:left w:val="single" w:color="auto" w:sz="4" w:space="0"/>
              <w:bottom w:val="single" w:color="auto" w:sz="4" w:space="0"/>
              <w:right w:val="single" w:color="auto" w:sz="4" w:space="0"/>
            </w:tcBorders>
            <w:vAlign w:val="center"/>
          </w:tcPr>
          <w:p w14:paraId="0EF2A7A1">
            <w:pPr>
              <w:pStyle w:val="320"/>
              <w:spacing w:line="560" w:lineRule="exact"/>
              <w:ind w:firstLine="200"/>
              <w:jc w:val="center"/>
              <w:rPr>
                <w:rFonts w:hint="eastAsia" w:hAnsi="宋体" w:cs="宋体"/>
                <w:sz w:val="24"/>
                <w:szCs w:val="24"/>
              </w:rPr>
            </w:pPr>
          </w:p>
        </w:tc>
        <w:tc>
          <w:tcPr>
            <w:tcW w:w="3402" w:type="dxa"/>
            <w:tcBorders>
              <w:top w:val="single" w:color="auto" w:sz="4" w:space="0"/>
              <w:left w:val="single" w:color="auto" w:sz="4" w:space="0"/>
              <w:bottom w:val="single" w:color="auto" w:sz="4" w:space="0"/>
              <w:right w:val="single" w:color="auto" w:sz="4" w:space="0"/>
            </w:tcBorders>
            <w:vAlign w:val="center"/>
          </w:tcPr>
          <w:p w14:paraId="0E157A2C">
            <w:pPr>
              <w:pStyle w:val="320"/>
              <w:spacing w:line="560" w:lineRule="exact"/>
              <w:ind w:firstLine="200"/>
              <w:jc w:val="center"/>
              <w:rPr>
                <w:rFonts w:hint="eastAsia" w:hAnsi="宋体" w:cs="宋体"/>
                <w:sz w:val="24"/>
                <w:szCs w:val="24"/>
              </w:rPr>
            </w:pPr>
          </w:p>
        </w:tc>
        <w:tc>
          <w:tcPr>
            <w:tcW w:w="2552" w:type="dxa"/>
            <w:tcBorders>
              <w:top w:val="single" w:color="auto" w:sz="4" w:space="0"/>
              <w:left w:val="single" w:color="auto" w:sz="4" w:space="0"/>
              <w:bottom w:val="single" w:color="auto" w:sz="4" w:space="0"/>
              <w:right w:val="single" w:color="auto" w:sz="4" w:space="0"/>
            </w:tcBorders>
            <w:vAlign w:val="center"/>
          </w:tcPr>
          <w:p w14:paraId="68FCA3AD">
            <w:pPr>
              <w:pStyle w:val="320"/>
              <w:spacing w:line="560" w:lineRule="exact"/>
              <w:ind w:firstLine="200"/>
              <w:jc w:val="center"/>
              <w:rPr>
                <w:rFonts w:hint="eastAsia" w:hAnsi="宋体" w:cs="宋体"/>
                <w:sz w:val="24"/>
                <w:szCs w:val="24"/>
              </w:rPr>
            </w:pPr>
          </w:p>
        </w:tc>
      </w:tr>
      <w:tr w14:paraId="19D129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tcBorders>
              <w:top w:val="single" w:color="auto" w:sz="4" w:space="0"/>
              <w:left w:val="single" w:color="auto" w:sz="4" w:space="0"/>
              <w:bottom w:val="single" w:color="auto" w:sz="4" w:space="0"/>
              <w:right w:val="single" w:color="auto" w:sz="4" w:space="0"/>
            </w:tcBorders>
            <w:vAlign w:val="center"/>
          </w:tcPr>
          <w:p w14:paraId="4E4AA172">
            <w:pPr>
              <w:pStyle w:val="320"/>
              <w:spacing w:line="560" w:lineRule="exact"/>
              <w:ind w:firstLine="200"/>
              <w:jc w:val="center"/>
              <w:rPr>
                <w:rFonts w:hint="eastAsia" w:hAnsi="宋体" w:cs="宋体"/>
                <w:sz w:val="24"/>
                <w:szCs w:val="24"/>
              </w:rPr>
            </w:pPr>
            <w:r>
              <w:rPr>
                <w:rFonts w:hint="eastAsia" w:hAnsi="宋体" w:cs="宋体"/>
                <w:sz w:val="24"/>
                <w:szCs w:val="24"/>
              </w:rPr>
              <w:t>总价</w:t>
            </w:r>
          </w:p>
        </w:tc>
        <w:tc>
          <w:tcPr>
            <w:tcW w:w="2552" w:type="dxa"/>
            <w:tcBorders>
              <w:top w:val="single" w:color="auto" w:sz="4" w:space="0"/>
              <w:left w:val="single" w:color="auto" w:sz="4" w:space="0"/>
              <w:bottom w:val="single" w:color="auto" w:sz="4" w:space="0"/>
              <w:right w:val="single" w:color="auto" w:sz="4" w:space="0"/>
            </w:tcBorders>
            <w:vAlign w:val="center"/>
          </w:tcPr>
          <w:p w14:paraId="20207FBD">
            <w:pPr>
              <w:pStyle w:val="320"/>
              <w:spacing w:line="560" w:lineRule="exact"/>
              <w:ind w:firstLine="200"/>
              <w:jc w:val="center"/>
              <w:rPr>
                <w:rFonts w:hint="eastAsia" w:hAnsi="宋体" w:cs="宋体"/>
                <w:sz w:val="24"/>
                <w:szCs w:val="24"/>
              </w:rPr>
            </w:pPr>
          </w:p>
        </w:tc>
      </w:tr>
    </w:tbl>
    <w:p w14:paraId="0838147C">
      <w:pPr>
        <w:pStyle w:val="961"/>
        <w:spacing w:before="0" w:beforeAutospacing="0" w:after="0" w:afterAutospacing="0" w:line="360" w:lineRule="auto"/>
        <w:ind w:firstLine="480"/>
        <w:rPr>
          <w:rFonts w:hint="eastAsia"/>
          <w:b/>
        </w:rPr>
      </w:pPr>
      <w:bookmarkStart w:id="397" w:name="_Toc22618"/>
      <w:bookmarkStart w:id="398" w:name="_Toc1814"/>
      <w:bookmarkStart w:id="399" w:name="_Toc10340"/>
      <w:r>
        <w:rPr>
          <w:rFonts w:hint="eastAsia"/>
          <w:b/>
        </w:rPr>
        <w:t>1.4履约保证金</w:t>
      </w:r>
    </w:p>
    <w:p w14:paraId="6A769596">
      <w:pPr>
        <w:pStyle w:val="961"/>
        <w:spacing w:before="0" w:beforeAutospacing="0" w:after="0" w:afterAutospacing="0" w:line="360" w:lineRule="auto"/>
        <w:ind w:firstLine="480"/>
        <w:rPr>
          <w:rFonts w:hint="eastAsia"/>
        </w:rPr>
      </w:pPr>
      <w:r>
        <w:rPr>
          <w:rFonts w:hint="eastAsia"/>
        </w:rPr>
        <w:t>乙方</w:t>
      </w:r>
      <w:r>
        <w:rPr>
          <w:rFonts w:hint="eastAsia"/>
          <w:u w:val="single"/>
        </w:rPr>
        <w:t xml:space="preserve">     </w:t>
      </w:r>
      <w:r>
        <w:rPr>
          <w:rFonts w:hint="eastAsia"/>
        </w:rPr>
        <w:t>（是</w:t>
      </w:r>
      <w:r>
        <w:rPr>
          <w:rFonts w:hint="eastAsia" w:ascii="仿宋" w:hAnsi="仿宋" w:eastAsia="仿宋" w:cs="仿宋"/>
        </w:rPr>
        <w:t>/</w:t>
      </w:r>
      <w:r>
        <w:rPr>
          <w:rFonts w:hint="eastAsia"/>
        </w:rPr>
        <w:t>否）需要支付履约保证金。若需要支付履约保证金的，则：</w:t>
      </w:r>
    </w:p>
    <w:p w14:paraId="625592B4">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1.4.1履约保证金的比例为合同金额的</w:t>
      </w:r>
      <w:r>
        <w:rPr>
          <w:rFonts w:hint="eastAsia" w:ascii="宋体" w:hAnsi="宋体" w:cs="宋体"/>
          <w:kern w:val="0"/>
          <w:sz w:val="24"/>
          <w:u w:val="single"/>
        </w:rPr>
        <w:t xml:space="preserve">     </w:t>
      </w:r>
      <w:r>
        <w:rPr>
          <w:rFonts w:hint="eastAsia" w:ascii="宋体" w:hAnsi="宋体" w:cs="宋体"/>
          <w:kern w:val="0"/>
          <w:sz w:val="24"/>
        </w:rPr>
        <w:t>%；</w:t>
      </w:r>
    </w:p>
    <w:p w14:paraId="07E9DCDC">
      <w:pPr>
        <w:spacing w:line="560" w:lineRule="exact"/>
        <w:ind w:firstLine="480" w:firstLineChars="200"/>
        <w:outlineLvl w:val="0"/>
        <w:rPr>
          <w:rFonts w:hint="eastAsia" w:ascii="宋体" w:hAnsi="宋体" w:cs="宋体"/>
          <w:kern w:val="0"/>
          <w:sz w:val="24"/>
        </w:rPr>
      </w:pPr>
      <w:r>
        <w:rPr>
          <w:rFonts w:hint="eastAsia" w:ascii="宋体" w:hAnsi="宋体" w:cs="宋体"/>
          <w:kern w:val="0"/>
          <w:sz w:val="24"/>
        </w:rPr>
        <w:t>1.4.2履约保证金支付方式详见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31CA92C1">
      <w:pPr>
        <w:pStyle w:val="3"/>
        <w:tabs>
          <w:tab w:val="left" w:pos="0"/>
          <w:tab w:val="clear" w:pos="432"/>
        </w:tabs>
        <w:spacing w:line="560" w:lineRule="exact"/>
        <w:ind w:left="0" w:firstLine="480" w:firstLineChars="200"/>
        <w:rPr>
          <w:rFonts w:hint="eastAsia" w:eastAsia="宋体"/>
          <w:lang w:val="en-US"/>
        </w:rPr>
      </w:pPr>
      <w:r>
        <w:rPr>
          <w:rFonts w:hint="eastAsia" w:ascii="宋体" w:hAnsi="宋体" w:eastAsia="宋体" w:cs="宋体"/>
          <w:b w:val="0"/>
          <w:bCs w:val="0"/>
          <w:kern w:val="0"/>
          <w:sz w:val="24"/>
          <w:szCs w:val="24"/>
          <w:lang w:val="en-US"/>
        </w:rPr>
        <w:t>1.4.3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436CBDBF">
      <w:pPr>
        <w:spacing w:line="560" w:lineRule="exact"/>
        <w:ind w:firstLine="480" w:firstLineChars="200"/>
        <w:outlineLvl w:val="0"/>
      </w:pPr>
      <w:r>
        <w:rPr>
          <w:rFonts w:hint="eastAsia" w:ascii="宋体" w:hAnsi="宋体" w:cs="宋体"/>
          <w:kern w:val="0"/>
          <w:sz w:val="24"/>
        </w:rPr>
        <w:t>1.4.4 甲方在项目验收结束后及时退还履约保证金。甲方在项目通过验收之日起</w:t>
      </w:r>
      <w:r>
        <w:rPr>
          <w:rFonts w:hint="eastAsia" w:ascii="宋体" w:hAnsi="宋体" w:cs="宋体"/>
          <w:kern w:val="0"/>
          <w:sz w:val="24"/>
          <w:u w:val="single"/>
        </w:rPr>
        <w:t xml:space="preserve">       </w:t>
      </w:r>
      <w:r>
        <w:rPr>
          <w:rFonts w:hint="eastAsia" w:ascii="宋体" w:hAnsi="宋体" w:cs="宋体"/>
          <w:kern w:val="0"/>
          <w:sz w:val="24"/>
        </w:rPr>
        <w:t>个工作日内将履约保证金无息退还乙方，逾期退还的，乙方可要求甲方支付违约金，违约金按每迟延退还一日的应退还而未退还金额的</w:t>
      </w:r>
      <w:r>
        <w:rPr>
          <w:rFonts w:hint="eastAsia" w:ascii="宋体" w:hAnsi="宋体" w:cs="宋体"/>
          <w:kern w:val="0"/>
          <w:sz w:val="24"/>
          <w:u w:val="single"/>
        </w:rPr>
        <w:t xml:space="preserve">  0.05（可根据情况修改）</w:t>
      </w:r>
      <w:r>
        <w:rPr>
          <w:rFonts w:hint="eastAsia" w:ascii="宋体" w:hAnsi="宋体" w:cs="宋体"/>
          <w:sz w:val="24"/>
          <w:u w:val="single"/>
        </w:rPr>
        <w:t xml:space="preserve"> </w:t>
      </w:r>
      <w:r>
        <w:rPr>
          <w:rFonts w:hint="eastAsia" w:ascii="宋体" w:hAnsi="宋体" w:cs="宋体"/>
          <w:kern w:val="0"/>
          <w:sz w:val="24"/>
          <w:u w:val="single"/>
        </w:rPr>
        <w:t xml:space="preserve">  </w:t>
      </w:r>
      <w:r>
        <w:rPr>
          <w:rFonts w:hint="eastAsia" w:ascii="宋体" w:hAnsi="宋体" w:cs="宋体"/>
          <w:kern w:val="0"/>
          <w:sz w:val="24"/>
        </w:rPr>
        <w:t>%计算，最高限额为本合同履约保证金的</w:t>
      </w:r>
      <w:r>
        <w:rPr>
          <w:rFonts w:hint="eastAsia" w:ascii="宋体" w:hAnsi="宋体" w:cs="宋体"/>
          <w:kern w:val="0"/>
          <w:sz w:val="24"/>
          <w:u w:val="single"/>
        </w:rPr>
        <w:t xml:space="preserve">  20  </w:t>
      </w:r>
      <w:r>
        <w:rPr>
          <w:rFonts w:hint="eastAsia" w:ascii="宋体" w:hAnsi="宋体" w:cs="宋体"/>
          <w:kern w:val="0"/>
          <w:sz w:val="24"/>
        </w:rPr>
        <w:t xml:space="preserve"> %。</w:t>
      </w:r>
    </w:p>
    <w:p w14:paraId="3DB814BD">
      <w:pPr>
        <w:spacing w:line="560" w:lineRule="exact"/>
        <w:ind w:firstLine="482" w:firstLineChars="200"/>
        <w:outlineLvl w:val="0"/>
        <w:rPr>
          <w:rFonts w:hint="eastAsia" w:ascii="宋体" w:hAnsi="宋体" w:cs="宋体"/>
          <w:b/>
          <w:sz w:val="24"/>
        </w:rPr>
      </w:pPr>
      <w:r>
        <w:rPr>
          <w:rFonts w:hint="eastAsia" w:ascii="宋体" w:hAnsi="宋体" w:cs="宋体"/>
          <w:b/>
          <w:sz w:val="24"/>
        </w:rPr>
        <w:t>1.5</w:t>
      </w:r>
      <w:bookmarkEnd w:id="397"/>
      <w:bookmarkEnd w:id="398"/>
      <w:bookmarkEnd w:id="399"/>
      <w:r>
        <w:rPr>
          <w:rFonts w:hint="eastAsia" w:ascii="宋体" w:hAnsi="宋体" w:cs="宋体"/>
          <w:b/>
          <w:sz w:val="24"/>
        </w:rPr>
        <w:t>预付款</w:t>
      </w:r>
    </w:p>
    <w:p w14:paraId="5A007405">
      <w:pPr>
        <w:pStyle w:val="961"/>
        <w:spacing w:before="0" w:beforeAutospacing="0" w:after="0" w:afterAutospacing="0" w:line="360" w:lineRule="auto"/>
        <w:ind w:firstLine="480"/>
        <w:rPr>
          <w:rFonts w:hint="eastAsia"/>
        </w:rPr>
      </w:pPr>
      <w:r>
        <w:rPr>
          <w:rFonts w:hint="eastAsia"/>
        </w:rPr>
        <w:t>甲方</w:t>
      </w:r>
      <w:r>
        <w:rPr>
          <w:rFonts w:hint="eastAsia"/>
          <w:u w:val="single"/>
        </w:rPr>
        <w:t xml:space="preserve">     </w:t>
      </w:r>
      <w:r>
        <w:rPr>
          <w:rFonts w:hint="eastAsia"/>
        </w:rPr>
        <w:t>（是</w:t>
      </w:r>
      <w:r>
        <w:rPr>
          <w:rFonts w:hint="eastAsia" w:ascii="仿宋" w:hAnsi="仿宋" w:eastAsia="仿宋" w:cs="仿宋"/>
        </w:rPr>
        <w:t>/</w:t>
      </w:r>
      <w:r>
        <w:rPr>
          <w:rFonts w:hint="eastAsia"/>
        </w:rPr>
        <w:t>否）需要支付预付款。若需要支付预付款的，则：</w:t>
      </w:r>
    </w:p>
    <w:p w14:paraId="5E6FCA18">
      <w:pPr>
        <w:spacing w:line="360" w:lineRule="auto"/>
        <w:ind w:firstLine="480" w:firstLineChars="200"/>
        <w:rPr>
          <w:rFonts w:hint="eastAsia" w:ascii="宋体" w:hAnsi="宋体" w:cs="宋体"/>
          <w:kern w:val="0"/>
          <w:sz w:val="24"/>
        </w:rPr>
      </w:pPr>
      <w:r>
        <w:rPr>
          <w:rFonts w:hint="eastAsia" w:ascii="宋体" w:hAnsi="宋体" w:cs="宋体"/>
          <w:kern w:val="0"/>
          <w:sz w:val="24"/>
        </w:rPr>
        <w:t>1.5.1预付款比例、支付方式、时间详见</w:t>
      </w:r>
      <w:r>
        <w:rPr>
          <w:rFonts w:hint="eastAsia" w:ascii="宋体" w:hAnsi="宋体" w:cs="宋体"/>
          <w:kern w:val="0"/>
          <w:sz w:val="24"/>
          <w:u w:val="single"/>
        </w:rPr>
        <w:t xml:space="preserve">    </w:t>
      </w:r>
      <w:r>
        <w:rPr>
          <w:rFonts w:hint="eastAsia" w:ascii="宋体" w:hAnsi="宋体" w:cs="宋体"/>
          <w:b/>
          <w:i/>
          <w:sz w:val="24"/>
          <w:u w:val="single"/>
        </w:rPr>
        <w:t>合同专用条款</w:t>
      </w:r>
      <w:r>
        <w:rPr>
          <w:rFonts w:hint="eastAsia" w:ascii="宋体" w:hAnsi="宋体" w:cs="宋体"/>
          <w:kern w:val="0"/>
          <w:sz w:val="24"/>
          <w:u w:val="single"/>
        </w:rPr>
        <w:t xml:space="preserve">           </w:t>
      </w:r>
      <w:r>
        <w:rPr>
          <w:rFonts w:hint="eastAsia" w:ascii="宋体" w:hAnsi="宋体" w:cs="宋体"/>
          <w:kern w:val="0"/>
          <w:sz w:val="24"/>
        </w:rPr>
        <w:t>；</w:t>
      </w:r>
    </w:p>
    <w:p w14:paraId="01A8D23D">
      <w:pPr>
        <w:pStyle w:val="961"/>
        <w:spacing w:before="0" w:beforeAutospacing="0" w:after="0" w:afterAutospacing="0" w:line="360" w:lineRule="auto"/>
        <w:ind w:firstLine="480"/>
        <w:rPr>
          <w:rFonts w:hint="eastAsia"/>
        </w:rPr>
      </w:pPr>
      <w:r>
        <w:rPr>
          <w:rFonts w:hint="eastAsia"/>
        </w:rPr>
        <w:t>1.5.2预付款的扣回方式详见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49627A1">
      <w:pPr>
        <w:pStyle w:val="961"/>
        <w:spacing w:before="0" w:beforeAutospacing="0" w:after="0" w:afterAutospacing="0" w:line="360" w:lineRule="auto"/>
        <w:ind w:firstLine="480"/>
        <w:rPr>
          <w:rFonts w:hint="eastAsia"/>
          <w:u w:val="single"/>
        </w:rPr>
      </w:pPr>
      <w:r>
        <w:rPr>
          <w:rFonts w:hint="eastAsia"/>
        </w:rPr>
        <w:t>1.5.3预付款的担保措施详见</w:t>
      </w:r>
      <w:r>
        <w:rPr>
          <w:rFonts w:hint="eastAsia"/>
          <w:u w:val="single"/>
        </w:rPr>
        <w:t xml:space="preserve">    </w:t>
      </w:r>
      <w:r>
        <w:rPr>
          <w:rFonts w:hint="eastAsia"/>
          <w:b/>
          <w:i/>
          <w:u w:val="single"/>
        </w:rPr>
        <w:t>合同专用条款</w:t>
      </w:r>
      <w:r>
        <w:rPr>
          <w:rFonts w:hint="eastAsia"/>
          <w:u w:val="single"/>
        </w:rPr>
        <w:t xml:space="preserve">          </w:t>
      </w:r>
      <w:r>
        <w:rPr>
          <w:rFonts w:hint="eastAsia"/>
        </w:rPr>
        <w:t>。</w:t>
      </w:r>
    </w:p>
    <w:p w14:paraId="4F7B318B">
      <w:pPr>
        <w:pStyle w:val="961"/>
        <w:spacing w:before="0" w:beforeAutospacing="0" w:after="0" w:afterAutospacing="0" w:line="360" w:lineRule="auto"/>
        <w:ind w:firstLine="480"/>
        <w:rPr>
          <w:rFonts w:hint="eastAsia"/>
          <w:b/>
          <w:bCs/>
        </w:rPr>
      </w:pPr>
      <w:r>
        <w:rPr>
          <w:rFonts w:hint="eastAsia"/>
          <w:b/>
          <w:bCs/>
        </w:rPr>
        <w:t>1.6资金支付</w:t>
      </w:r>
    </w:p>
    <w:p w14:paraId="44286F92">
      <w:pPr>
        <w:pStyle w:val="961"/>
        <w:spacing w:before="0" w:beforeAutospacing="0" w:after="0" w:afterAutospacing="0" w:line="360" w:lineRule="auto"/>
        <w:ind w:firstLine="480"/>
        <w:rPr>
          <w:rFonts w:hint="eastAsia"/>
        </w:rPr>
      </w:pPr>
      <w:r>
        <w:rPr>
          <w:rFonts w:hint="eastAsia"/>
        </w:rPr>
        <w:t>1.6.1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E4D1837">
      <w:pPr>
        <w:spacing w:line="560" w:lineRule="exact"/>
        <w:ind w:firstLine="480" w:firstLineChars="200"/>
        <w:outlineLvl w:val="0"/>
        <w:rPr>
          <w:rFonts w:hint="eastAsia" w:ascii="宋体" w:hAnsi="宋体" w:cs="宋体"/>
          <w:sz w:val="24"/>
        </w:rPr>
      </w:pPr>
      <w:r>
        <w:rPr>
          <w:rFonts w:hint="eastAsia" w:ascii="宋体" w:hAnsi="宋体" w:cs="宋体"/>
          <w:sz w:val="24"/>
        </w:rPr>
        <w:t>1.6.2资金支付的方式、时间和条件详见</w:t>
      </w:r>
      <w:r>
        <w:rPr>
          <w:rFonts w:hint="eastAsia" w:ascii="宋体" w:hAnsi="宋体" w:cs="宋体"/>
          <w:b/>
          <w:i/>
          <w:sz w:val="24"/>
          <w:u w:val="single"/>
        </w:rPr>
        <w:t>合同专用条款</w:t>
      </w:r>
      <w:r>
        <w:rPr>
          <w:rFonts w:hint="eastAsia" w:ascii="宋体" w:hAnsi="宋体" w:cs="宋体"/>
          <w:sz w:val="24"/>
        </w:rPr>
        <w:t>。</w:t>
      </w:r>
    </w:p>
    <w:p w14:paraId="4EA6F090">
      <w:pPr>
        <w:spacing w:line="560" w:lineRule="exact"/>
        <w:ind w:firstLine="482" w:firstLineChars="200"/>
        <w:outlineLvl w:val="0"/>
        <w:rPr>
          <w:rFonts w:hint="eastAsia" w:ascii="宋体" w:hAnsi="宋体" w:cs="宋体"/>
          <w:b/>
          <w:sz w:val="24"/>
        </w:rPr>
      </w:pPr>
      <w:bookmarkStart w:id="400" w:name="_Toc19304"/>
      <w:bookmarkStart w:id="401" w:name="_Toc2846"/>
      <w:bookmarkStart w:id="402" w:name="_Toc32071"/>
      <w:r>
        <w:rPr>
          <w:rFonts w:hint="eastAsia" w:ascii="宋体" w:hAnsi="宋体" w:cs="宋体"/>
          <w:b/>
          <w:sz w:val="24"/>
        </w:rPr>
        <w:t>1.7货物交付期限、地点和方式</w:t>
      </w:r>
      <w:bookmarkEnd w:id="400"/>
      <w:bookmarkEnd w:id="401"/>
      <w:bookmarkEnd w:id="402"/>
    </w:p>
    <w:p w14:paraId="7567A471">
      <w:pPr>
        <w:spacing w:line="560" w:lineRule="exact"/>
        <w:ind w:firstLine="480" w:firstLineChars="200"/>
        <w:rPr>
          <w:rFonts w:hint="eastAsia" w:ascii="宋体" w:hAnsi="宋体" w:cs="宋体"/>
          <w:sz w:val="24"/>
          <w:u w:val="single"/>
        </w:rPr>
      </w:pPr>
      <w:r>
        <w:rPr>
          <w:rFonts w:hint="eastAsia" w:ascii="宋体" w:hAnsi="宋体" w:cs="宋体"/>
          <w:sz w:val="24"/>
        </w:rPr>
        <w:t>1.7.1 交付期限：详见</w:t>
      </w:r>
      <w:r>
        <w:rPr>
          <w:rFonts w:hint="eastAsia" w:ascii="宋体" w:hAnsi="宋体" w:cs="宋体"/>
          <w:b/>
          <w:i/>
          <w:sz w:val="24"/>
          <w:u w:val="single"/>
        </w:rPr>
        <w:t>合同专用条款</w:t>
      </w:r>
      <w:r>
        <w:rPr>
          <w:rFonts w:hint="eastAsia" w:ascii="宋体" w:hAnsi="宋体" w:cs="宋体"/>
          <w:sz w:val="24"/>
        </w:rPr>
        <w:t>；</w:t>
      </w:r>
    </w:p>
    <w:p w14:paraId="241C84FA">
      <w:pPr>
        <w:spacing w:line="560" w:lineRule="exact"/>
        <w:ind w:firstLine="480" w:firstLineChars="200"/>
        <w:rPr>
          <w:rFonts w:hint="eastAsia" w:ascii="宋体" w:hAnsi="宋体" w:cs="宋体"/>
          <w:sz w:val="24"/>
        </w:rPr>
      </w:pPr>
      <w:r>
        <w:rPr>
          <w:rFonts w:hint="eastAsia" w:ascii="宋体" w:hAnsi="宋体" w:cs="宋体"/>
          <w:sz w:val="24"/>
        </w:rPr>
        <w:t>1.7.2 交付地点：</w:t>
      </w:r>
      <w:r>
        <w:rPr>
          <w:rFonts w:hint="eastAsia" w:ascii="宋体" w:hAnsi="宋体" w:cs="宋体"/>
          <w:b/>
          <w:i/>
          <w:sz w:val="24"/>
          <w:u w:val="single"/>
        </w:rPr>
        <w:t>合同专用条款</w:t>
      </w:r>
      <w:r>
        <w:rPr>
          <w:rFonts w:hint="eastAsia" w:ascii="宋体" w:hAnsi="宋体" w:cs="宋体"/>
          <w:sz w:val="24"/>
        </w:rPr>
        <w:t>；</w:t>
      </w:r>
    </w:p>
    <w:p w14:paraId="75264375">
      <w:pPr>
        <w:spacing w:line="560" w:lineRule="exact"/>
        <w:ind w:firstLine="480" w:firstLineChars="200"/>
        <w:rPr>
          <w:rFonts w:hint="eastAsia" w:ascii="宋体" w:hAnsi="宋体" w:cs="宋体"/>
          <w:sz w:val="24"/>
        </w:rPr>
      </w:pPr>
      <w:r>
        <w:rPr>
          <w:rFonts w:hint="eastAsia" w:ascii="宋体" w:hAnsi="宋体" w:cs="宋体"/>
          <w:sz w:val="24"/>
        </w:rPr>
        <w:t>1.7.3 交付方式：</w:t>
      </w:r>
      <w:r>
        <w:rPr>
          <w:rFonts w:hint="eastAsia" w:ascii="宋体" w:hAnsi="宋体" w:cs="宋体"/>
          <w:b/>
          <w:i/>
          <w:sz w:val="24"/>
          <w:u w:val="single"/>
        </w:rPr>
        <w:t>合同专用条款</w:t>
      </w:r>
      <w:r>
        <w:rPr>
          <w:rFonts w:hint="eastAsia" w:ascii="宋体" w:hAnsi="宋体" w:cs="宋体"/>
          <w:sz w:val="24"/>
        </w:rPr>
        <w:t>。</w:t>
      </w:r>
    </w:p>
    <w:p w14:paraId="57F6DB22">
      <w:pPr>
        <w:spacing w:line="560" w:lineRule="exact"/>
        <w:ind w:firstLine="482" w:firstLineChars="200"/>
        <w:outlineLvl w:val="0"/>
        <w:rPr>
          <w:rFonts w:hint="eastAsia" w:ascii="宋体" w:hAnsi="宋体" w:cs="宋体"/>
          <w:b/>
          <w:sz w:val="24"/>
        </w:rPr>
      </w:pPr>
      <w:bookmarkStart w:id="403" w:name="_Toc19554"/>
      <w:bookmarkStart w:id="404" w:name="_Toc21423"/>
      <w:bookmarkStart w:id="405" w:name="_Toc27250"/>
      <w:r>
        <w:rPr>
          <w:rFonts w:hint="eastAsia" w:ascii="宋体" w:hAnsi="宋体" w:cs="宋体"/>
          <w:b/>
          <w:sz w:val="24"/>
        </w:rPr>
        <w:t>1.8违约责任</w:t>
      </w:r>
      <w:bookmarkEnd w:id="403"/>
      <w:bookmarkEnd w:id="404"/>
      <w:bookmarkEnd w:id="405"/>
    </w:p>
    <w:p w14:paraId="34419C77">
      <w:pPr>
        <w:spacing w:line="560" w:lineRule="exact"/>
        <w:ind w:firstLine="480" w:firstLineChars="200"/>
        <w:rPr>
          <w:rFonts w:hint="eastAsia" w:ascii="宋体" w:hAnsi="宋体" w:cs="宋体"/>
          <w:sz w:val="24"/>
        </w:rPr>
      </w:pPr>
      <w:r>
        <w:rPr>
          <w:rFonts w:hint="eastAsia" w:ascii="宋体" w:hAnsi="宋体" w:cs="宋体"/>
          <w:sz w:val="24"/>
        </w:rPr>
        <w:t>1.8.1 除不可抗力外，如果乙方没有按照本合同约定的期限、地点和方式交付货物，那么甲方可要求乙方支付违约金，违约金按每迟延交付货物一日的应交付而未交付货物价格的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%；迟延交付货物的违约金计算数额达到前述最高限额之日起，甲方有权在要求乙方支付违约金的同时，书面通知乙方解除本合同；</w:t>
      </w:r>
    </w:p>
    <w:p w14:paraId="541C5766">
      <w:pPr>
        <w:spacing w:line="560" w:lineRule="exact"/>
        <w:ind w:firstLine="480" w:firstLineChars="200"/>
        <w:rPr>
          <w:rFonts w:hint="eastAsia" w:ascii="宋体" w:hAnsi="宋体" w:cs="宋体"/>
          <w:sz w:val="24"/>
        </w:rPr>
      </w:pPr>
      <w:r>
        <w:rPr>
          <w:rFonts w:hint="eastAsia" w:ascii="宋体" w:hAnsi="宋体" w:cs="宋体"/>
          <w:sz w:val="24"/>
        </w:rPr>
        <w:t>1.8.2 除不可抗力外，如果甲方没有按照本合同约定的付款方式付款，那么乙方可要求甲方支付违约金，违约金按每迟延付款一日的应付而未付款的</w:t>
      </w:r>
      <w:r>
        <w:rPr>
          <w:rFonts w:hint="eastAsia" w:ascii="宋体" w:hAnsi="宋体" w:cs="宋体"/>
          <w:sz w:val="24"/>
          <w:u w:val="single"/>
        </w:rPr>
        <w:t xml:space="preserve"> 0.05</w:t>
      </w:r>
      <w:r>
        <w:rPr>
          <w:rFonts w:hint="eastAsia" w:ascii="宋体" w:hAnsi="宋体" w:cs="宋体"/>
          <w:kern w:val="0"/>
          <w:sz w:val="24"/>
          <w:u w:val="single"/>
        </w:rPr>
        <w:t>（可根据情况修改）</w:t>
      </w:r>
      <w:r>
        <w:rPr>
          <w:rFonts w:hint="eastAsia" w:ascii="宋体" w:hAnsi="宋体" w:cs="宋体"/>
          <w:sz w:val="24"/>
          <w:u w:val="single"/>
        </w:rPr>
        <w:t xml:space="preserve">      </w:t>
      </w:r>
      <w:r>
        <w:rPr>
          <w:rFonts w:hint="eastAsia" w:ascii="宋体" w:hAnsi="宋体" w:cs="宋体"/>
          <w:sz w:val="24"/>
        </w:rPr>
        <w:t>%计算，最高限额为本合同总价的</w:t>
      </w:r>
      <w:r>
        <w:rPr>
          <w:rFonts w:hint="eastAsia" w:ascii="宋体" w:hAnsi="宋体" w:cs="宋体"/>
          <w:sz w:val="24"/>
          <w:u w:val="single"/>
        </w:rPr>
        <w:t xml:space="preserve">   20   </w:t>
      </w:r>
      <w:r>
        <w:rPr>
          <w:rFonts w:hint="eastAsia" w:ascii="宋体" w:hAnsi="宋体" w:cs="宋体"/>
          <w:sz w:val="24"/>
        </w:rPr>
        <w:t>%；迟延付款的违约金计算数额达到前述最高限额之日起，乙方有权在要求甲方支付违约金的同时，书面通知甲方解除本合同；</w:t>
      </w:r>
    </w:p>
    <w:p w14:paraId="5E51B98C">
      <w:pPr>
        <w:spacing w:line="560" w:lineRule="exact"/>
        <w:ind w:firstLine="480" w:firstLineChars="200"/>
        <w:rPr>
          <w:rFonts w:hint="eastAsia" w:ascii="宋体" w:hAnsi="宋体" w:cs="宋体"/>
          <w:sz w:val="24"/>
        </w:rPr>
      </w:pPr>
      <w:r>
        <w:rPr>
          <w:rFonts w:hint="eastAsia" w:ascii="宋体" w:hAnsi="宋体" w:cs="宋体"/>
          <w:sz w:val="24"/>
        </w:rPr>
        <w:t>1.8.3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影响对方当事人在合同签订、履行过程中的行为）或者欺诈行为（即：以谎报事实或者隐瞒真相的方法来影响对方当事人在合同签订、履行过程中的行为）的，对方当事人可以书面通知违约方解除本合同；</w:t>
      </w:r>
    </w:p>
    <w:p w14:paraId="0048135E">
      <w:pPr>
        <w:spacing w:line="560" w:lineRule="exact"/>
        <w:ind w:firstLine="480" w:firstLineChars="200"/>
        <w:rPr>
          <w:rFonts w:hint="eastAsia" w:ascii="宋体" w:hAnsi="宋体" w:cs="宋体"/>
          <w:sz w:val="24"/>
        </w:rPr>
      </w:pPr>
      <w:r>
        <w:rPr>
          <w:rFonts w:hint="eastAsia" w:ascii="宋体" w:hAnsi="宋体" w:cs="宋体"/>
          <w:sz w:val="24"/>
        </w:rPr>
        <w:t>1.8.4 除前述约定外，任何一方未能履行本合同约定的义务，对方当事人均有权要求继续履行、采取补救措施或者赔偿损失等，且对方当事人行使的任何权利救济方式均不视为其放弃了其他法定或者约定的权利救济方式；</w:t>
      </w:r>
    </w:p>
    <w:p w14:paraId="681BB904">
      <w:pPr>
        <w:spacing w:line="560" w:lineRule="exact"/>
        <w:ind w:firstLine="480" w:firstLineChars="200"/>
        <w:rPr>
          <w:rFonts w:hint="eastAsia" w:ascii="宋体" w:hAnsi="宋体" w:cs="宋体"/>
          <w:sz w:val="24"/>
        </w:rPr>
      </w:pPr>
      <w:r>
        <w:rPr>
          <w:rFonts w:hint="eastAsia" w:ascii="宋体" w:hAnsi="宋体" w:cs="宋体"/>
          <w:sz w:val="24"/>
        </w:rPr>
        <w:t>1.8.5如果出现政府采购监督管理部门在处理投诉事项期间，书面通知甲方暂停采购活动的情形，或者询问或质疑事项可能影响中标或者成交结果的，导致甲方中止履行合同的情形，均不视为甲方违约。</w:t>
      </w:r>
    </w:p>
    <w:p w14:paraId="0A95AD51">
      <w:pPr>
        <w:spacing w:line="560" w:lineRule="exact"/>
        <w:ind w:left="-420" w:leftChars="-200" w:right="-420" w:rightChars="-200" w:firstLine="960" w:firstLineChars="400"/>
        <w:rPr>
          <w:rFonts w:hint="eastAsia" w:ascii="宋体" w:hAnsi="宋体" w:cs="宋体"/>
        </w:rPr>
      </w:pPr>
      <w:r>
        <w:rPr>
          <w:rFonts w:hint="eastAsia" w:ascii="宋体" w:hAnsi="宋体" w:cs="宋体"/>
          <w:sz w:val="24"/>
        </w:rPr>
        <w:t>1.8.6违约责任</w:t>
      </w:r>
      <w:r>
        <w:rPr>
          <w:rFonts w:hint="eastAsia" w:ascii="宋体" w:hAnsi="宋体" w:cs="宋体"/>
          <w:b/>
          <w:i/>
          <w:sz w:val="24"/>
          <w:u w:val="single"/>
        </w:rPr>
        <w:t>合同专用条款</w:t>
      </w:r>
      <w:r>
        <w:rPr>
          <w:rFonts w:hint="eastAsia" w:ascii="宋体" w:hAnsi="宋体" w:cs="宋体"/>
          <w:sz w:val="24"/>
        </w:rPr>
        <w:t>另有约定的，从其约定。</w:t>
      </w:r>
    </w:p>
    <w:p w14:paraId="2B26BCA4">
      <w:pPr>
        <w:spacing w:line="560" w:lineRule="exact"/>
        <w:ind w:firstLine="482" w:firstLineChars="200"/>
        <w:outlineLvl w:val="0"/>
        <w:rPr>
          <w:rFonts w:hint="eastAsia" w:ascii="宋体" w:hAnsi="宋体" w:cs="宋体"/>
          <w:b/>
          <w:sz w:val="24"/>
        </w:rPr>
      </w:pPr>
      <w:bookmarkStart w:id="406" w:name="_Toc15583"/>
      <w:bookmarkStart w:id="407" w:name="_Toc16021"/>
      <w:bookmarkStart w:id="408" w:name="_Toc28375"/>
      <w:r>
        <w:rPr>
          <w:rFonts w:hint="eastAsia" w:ascii="宋体" w:hAnsi="宋体" w:cs="宋体"/>
          <w:b/>
          <w:sz w:val="24"/>
        </w:rPr>
        <w:t>1.9合同争议的解决</w:t>
      </w:r>
      <w:bookmarkEnd w:id="406"/>
      <w:bookmarkEnd w:id="407"/>
      <w:bookmarkEnd w:id="408"/>
    </w:p>
    <w:p w14:paraId="081FAC9C">
      <w:pPr>
        <w:spacing w:line="560" w:lineRule="exact"/>
        <w:ind w:left="-61" w:leftChars="-29" w:right="-420" w:rightChars="-200" w:firstLine="240" w:firstLineChars="100"/>
        <w:rPr>
          <w:rFonts w:hint="eastAsia" w:ascii="宋体" w:hAnsi="宋体" w:cs="宋体"/>
          <w:sz w:val="24"/>
        </w:rPr>
      </w:pPr>
      <w:r>
        <w:rPr>
          <w:rFonts w:hint="eastAsia" w:ascii="宋体" w:hAnsi="宋体" w:cs="宋体"/>
          <w:sz w:val="24"/>
        </w:rPr>
        <w:t xml:space="preserve">  本合同履行过程中发生的任何争议，双方当事人均可通过和解或者调解解决；不愿和解、调解或者和解、调解不成的，可以选择以下第</w:t>
      </w:r>
      <w:r>
        <w:rPr>
          <w:rFonts w:hint="eastAsia" w:ascii="宋体" w:hAnsi="宋体" w:cs="宋体"/>
          <w:b/>
          <w:i/>
          <w:sz w:val="24"/>
          <w:u w:val="single"/>
        </w:rPr>
        <w:t xml:space="preserve">      </w:t>
      </w:r>
      <w:r>
        <w:rPr>
          <w:rFonts w:hint="eastAsia" w:ascii="宋体" w:hAnsi="宋体" w:cs="宋体"/>
          <w:sz w:val="24"/>
        </w:rPr>
        <w:t>条款规定的方式解决：</w:t>
      </w:r>
    </w:p>
    <w:p w14:paraId="422D85A8">
      <w:pPr>
        <w:spacing w:line="560" w:lineRule="exact"/>
        <w:ind w:left="-420" w:leftChars="-200" w:right="-420" w:rightChars="-200" w:firstLine="840" w:firstLineChars="350"/>
        <w:rPr>
          <w:rFonts w:hint="eastAsia" w:ascii="宋体" w:hAnsi="宋体" w:cs="宋体"/>
          <w:sz w:val="24"/>
        </w:rPr>
      </w:pPr>
      <w:r>
        <w:rPr>
          <w:rFonts w:hint="eastAsia" w:ascii="宋体" w:hAnsi="宋体" w:cs="宋体"/>
          <w:sz w:val="24"/>
        </w:rPr>
        <w:t>1.9.1 将争议提交</w:t>
      </w:r>
      <w:r>
        <w:rPr>
          <w:rFonts w:hint="eastAsia" w:ascii="宋体" w:hAnsi="宋体" w:cs="宋体"/>
          <w:b/>
          <w:i/>
          <w:sz w:val="24"/>
          <w:u w:val="single"/>
        </w:rPr>
        <w:t>合同专用条款</w:t>
      </w:r>
      <w:r>
        <w:rPr>
          <w:rFonts w:hint="eastAsia" w:ascii="宋体" w:hAnsi="宋体" w:cs="宋体"/>
          <w:sz w:val="24"/>
        </w:rPr>
        <w:t>仲裁委员会依申请仲裁时其现行有效的仲裁规则裁决；</w:t>
      </w:r>
    </w:p>
    <w:p w14:paraId="676D6594">
      <w:pPr>
        <w:spacing w:line="560" w:lineRule="exact"/>
        <w:ind w:left="-420" w:leftChars="-200" w:right="-420" w:rightChars="-200" w:firstLine="840" w:firstLineChars="350"/>
        <w:rPr>
          <w:rFonts w:hint="eastAsia" w:ascii="宋体" w:hAnsi="宋体" w:cs="宋体"/>
          <w:sz w:val="24"/>
        </w:rPr>
      </w:pPr>
      <w:r>
        <w:rPr>
          <w:rFonts w:hint="eastAsia" w:ascii="宋体" w:hAnsi="宋体" w:cs="宋体"/>
          <w:sz w:val="24"/>
        </w:rPr>
        <w:t>1.9.2 向</w:t>
      </w:r>
      <w:r>
        <w:rPr>
          <w:rFonts w:hint="eastAsia" w:ascii="宋体" w:hAnsi="宋体" w:cs="宋体"/>
          <w:b/>
          <w:i/>
          <w:sz w:val="24"/>
          <w:u w:val="single"/>
        </w:rPr>
        <w:t>合同专用条款</w:t>
      </w:r>
      <w:r>
        <w:rPr>
          <w:rFonts w:hint="eastAsia" w:ascii="宋体" w:hAnsi="宋体" w:cs="宋体"/>
          <w:sz w:val="24"/>
        </w:rPr>
        <w:t>人民法院起诉。</w:t>
      </w:r>
    </w:p>
    <w:p w14:paraId="6ADEE004">
      <w:pPr>
        <w:spacing w:line="560" w:lineRule="exact"/>
        <w:ind w:firstLine="482" w:firstLineChars="200"/>
        <w:outlineLvl w:val="0"/>
        <w:rPr>
          <w:rFonts w:hint="eastAsia" w:ascii="宋体" w:hAnsi="宋体" w:cs="宋体"/>
          <w:b/>
          <w:sz w:val="24"/>
        </w:rPr>
      </w:pPr>
      <w:bookmarkStart w:id="409" w:name="_Toc11173"/>
      <w:bookmarkStart w:id="410" w:name="_Toc7245"/>
      <w:bookmarkStart w:id="411" w:name="_Toc15322"/>
      <w:r>
        <w:rPr>
          <w:rFonts w:hint="eastAsia" w:ascii="宋体" w:hAnsi="宋体" w:cs="宋体"/>
          <w:b/>
          <w:sz w:val="24"/>
        </w:rPr>
        <w:t>2.0 合同生效</w:t>
      </w:r>
      <w:bookmarkEnd w:id="409"/>
      <w:bookmarkEnd w:id="410"/>
      <w:bookmarkEnd w:id="411"/>
    </w:p>
    <w:p w14:paraId="0344DFF6">
      <w:pPr>
        <w:spacing w:line="560" w:lineRule="exact"/>
        <w:ind w:firstLine="480" w:firstLineChars="200"/>
        <w:rPr>
          <w:rFonts w:hint="eastAsia" w:ascii="宋体" w:hAnsi="宋体" w:cs="宋体"/>
          <w:b/>
          <w:sz w:val="24"/>
        </w:rPr>
      </w:pPr>
      <w:r>
        <w:rPr>
          <w:rFonts w:hint="eastAsia" w:ascii="宋体" w:hAnsi="宋体" w:cs="宋体"/>
          <w:sz w:val="24"/>
        </w:rPr>
        <w:t>本合同自双方当事人盖章签字时生效。</w:t>
      </w:r>
    </w:p>
    <w:p w14:paraId="04508011">
      <w:pPr>
        <w:autoSpaceDE w:val="0"/>
        <w:autoSpaceDN w:val="0"/>
        <w:spacing w:line="560" w:lineRule="exact"/>
        <w:rPr>
          <w:rFonts w:hint="eastAsia" w:ascii="宋体" w:hAnsi="宋体" w:cs="宋体"/>
          <w:sz w:val="24"/>
          <w:lang w:val="zh-CN"/>
        </w:rPr>
      </w:pPr>
    </w:p>
    <w:p w14:paraId="1F4DB94A">
      <w:pPr>
        <w:autoSpaceDE w:val="0"/>
        <w:autoSpaceDN w:val="0"/>
        <w:spacing w:line="560" w:lineRule="exact"/>
        <w:rPr>
          <w:rFonts w:hint="eastAsia" w:ascii="宋体" w:hAnsi="宋体" w:cs="宋体"/>
          <w:sz w:val="24"/>
          <w:lang w:val="zh-CN"/>
        </w:rPr>
      </w:pPr>
      <w:r>
        <w:rPr>
          <w:rFonts w:hint="eastAsia" w:ascii="宋体" w:hAnsi="宋体" w:cs="宋体"/>
          <w:b/>
          <w:sz w:val="24"/>
          <w:lang w:val="zh-CN"/>
        </w:rPr>
        <w:t>甲方</w:t>
      </w:r>
      <w:r>
        <w:rPr>
          <w:rFonts w:hint="eastAsia" w:ascii="宋体" w:hAnsi="宋体" w:cs="宋体"/>
          <w:sz w:val="24"/>
          <w:lang w:val="zh-CN"/>
        </w:rPr>
        <w:t xml:space="preserve">：                             </w:t>
      </w:r>
      <w:r>
        <w:rPr>
          <w:rFonts w:hint="eastAsia" w:ascii="宋体" w:hAnsi="宋体" w:cs="宋体"/>
          <w:b/>
          <w:sz w:val="24"/>
          <w:lang w:val="zh-CN"/>
        </w:rPr>
        <w:t xml:space="preserve">      乙方</w:t>
      </w:r>
      <w:r>
        <w:rPr>
          <w:rFonts w:hint="eastAsia" w:ascii="宋体" w:hAnsi="宋体" w:cs="宋体"/>
          <w:sz w:val="24"/>
          <w:lang w:val="zh-CN"/>
        </w:rPr>
        <w:t>：</w:t>
      </w:r>
    </w:p>
    <w:p w14:paraId="03C9FD55">
      <w:pPr>
        <w:autoSpaceDE w:val="0"/>
        <w:autoSpaceDN w:val="0"/>
        <w:spacing w:line="560" w:lineRule="exact"/>
        <w:rPr>
          <w:rFonts w:hint="eastAsia" w:ascii="宋体" w:hAnsi="宋体" w:cs="宋体"/>
          <w:sz w:val="24"/>
          <w:lang w:val="zh-CN"/>
        </w:rPr>
      </w:pPr>
      <w:r>
        <w:rPr>
          <w:rFonts w:hint="eastAsia" w:ascii="宋体" w:hAnsi="宋体" w:cs="宋体"/>
          <w:sz w:val="24"/>
          <w:lang w:val="zh-CN"/>
        </w:rPr>
        <w:t>统一社会信用代码：                        统一社会信用代码或身份证号码：</w:t>
      </w:r>
    </w:p>
    <w:p w14:paraId="7708459C">
      <w:pPr>
        <w:autoSpaceDE w:val="0"/>
        <w:autoSpaceDN w:val="0"/>
        <w:spacing w:line="560" w:lineRule="exact"/>
        <w:rPr>
          <w:rFonts w:hint="eastAsia" w:ascii="宋体" w:hAnsi="宋体" w:cs="宋体"/>
          <w:sz w:val="24"/>
          <w:lang w:val="zh-CN"/>
        </w:rPr>
      </w:pPr>
    </w:p>
    <w:p w14:paraId="13635BD0">
      <w:pPr>
        <w:autoSpaceDE w:val="0"/>
        <w:autoSpaceDN w:val="0"/>
        <w:spacing w:line="560" w:lineRule="exact"/>
        <w:rPr>
          <w:rFonts w:hint="eastAsia" w:ascii="宋体" w:hAnsi="宋体" w:cs="宋体"/>
          <w:sz w:val="24"/>
          <w:lang w:val="zh-CN"/>
        </w:rPr>
      </w:pPr>
      <w:r>
        <w:rPr>
          <w:rFonts w:hint="eastAsia" w:ascii="宋体" w:hAnsi="宋体" w:cs="宋体"/>
          <w:sz w:val="24"/>
          <w:lang w:val="zh-CN"/>
        </w:rPr>
        <w:t>住所：                                   住所：</w:t>
      </w:r>
    </w:p>
    <w:p w14:paraId="65C5E63E">
      <w:pPr>
        <w:autoSpaceDE w:val="0"/>
        <w:autoSpaceDN w:val="0"/>
        <w:spacing w:line="560" w:lineRule="exact"/>
        <w:rPr>
          <w:rFonts w:hint="eastAsia" w:ascii="宋体" w:hAnsi="宋体" w:cs="宋体"/>
          <w:sz w:val="24"/>
          <w:lang w:val="zh-CN"/>
        </w:rPr>
      </w:pPr>
      <w:r>
        <w:rPr>
          <w:rFonts w:hint="eastAsia" w:ascii="宋体" w:hAnsi="宋体" w:cs="宋体"/>
          <w:sz w:val="24"/>
          <w:lang w:val="zh-CN"/>
        </w:rPr>
        <w:t>法定代表人或                             法定代表人</w:t>
      </w:r>
    </w:p>
    <w:p w14:paraId="741ED4C0">
      <w:pPr>
        <w:autoSpaceDE w:val="0"/>
        <w:autoSpaceDN w:val="0"/>
        <w:spacing w:line="560" w:lineRule="exact"/>
        <w:rPr>
          <w:rFonts w:hint="eastAsia" w:ascii="宋体" w:hAnsi="宋体" w:cs="宋体"/>
          <w:sz w:val="24"/>
          <w:lang w:val="zh-CN"/>
        </w:rPr>
      </w:pPr>
      <w:r>
        <w:rPr>
          <w:rFonts w:hint="eastAsia" w:ascii="宋体" w:hAnsi="宋体" w:cs="宋体"/>
          <w:sz w:val="24"/>
          <w:lang w:val="zh-CN"/>
        </w:rPr>
        <w:t xml:space="preserve">授权代表（签字）：                        或授权代表（签字）: </w:t>
      </w:r>
    </w:p>
    <w:p w14:paraId="5DD4D018">
      <w:pPr>
        <w:autoSpaceDE w:val="0"/>
        <w:autoSpaceDN w:val="0"/>
        <w:spacing w:line="560" w:lineRule="exact"/>
        <w:rPr>
          <w:rFonts w:hint="eastAsia" w:ascii="宋体" w:hAnsi="宋体" w:cs="宋体"/>
          <w:sz w:val="24"/>
          <w:lang w:val="zh-CN"/>
        </w:rPr>
      </w:pPr>
      <w:r>
        <w:rPr>
          <w:rFonts w:hint="eastAsia" w:ascii="宋体" w:hAnsi="宋体" w:cs="宋体"/>
          <w:sz w:val="24"/>
          <w:lang w:val="zh-CN"/>
        </w:rPr>
        <w:t>联系人：                                 联系人：</w:t>
      </w:r>
    </w:p>
    <w:p w14:paraId="48401CC8">
      <w:pPr>
        <w:autoSpaceDE w:val="0"/>
        <w:autoSpaceDN w:val="0"/>
        <w:spacing w:line="560" w:lineRule="exact"/>
        <w:rPr>
          <w:rFonts w:hint="eastAsia" w:ascii="宋体" w:hAnsi="宋体" w:cs="宋体"/>
          <w:sz w:val="24"/>
          <w:lang w:val="zh-CN"/>
        </w:rPr>
      </w:pPr>
      <w:r>
        <w:rPr>
          <w:rFonts w:hint="eastAsia" w:ascii="宋体" w:hAnsi="宋体" w:cs="宋体"/>
          <w:sz w:val="24"/>
          <w:lang w:val="zh-CN"/>
        </w:rPr>
        <w:t>约定送达地址：                           约定送达地址：</w:t>
      </w:r>
    </w:p>
    <w:p w14:paraId="5E9D0C5B">
      <w:pPr>
        <w:autoSpaceDE w:val="0"/>
        <w:autoSpaceDN w:val="0"/>
        <w:spacing w:line="560" w:lineRule="exact"/>
        <w:rPr>
          <w:rFonts w:hint="eastAsia" w:ascii="宋体" w:hAnsi="宋体" w:cs="宋体"/>
          <w:sz w:val="24"/>
          <w:lang w:val="zh-CN"/>
        </w:rPr>
      </w:pPr>
      <w:r>
        <w:rPr>
          <w:rFonts w:hint="eastAsia" w:ascii="宋体" w:hAnsi="宋体" w:cs="宋体"/>
          <w:sz w:val="24"/>
          <w:lang w:val="zh-CN"/>
        </w:rPr>
        <w:t>邮政编码：                               邮政编码：</w:t>
      </w:r>
    </w:p>
    <w:p w14:paraId="49EFE7E2">
      <w:pPr>
        <w:autoSpaceDE w:val="0"/>
        <w:autoSpaceDN w:val="0"/>
        <w:spacing w:line="560" w:lineRule="exact"/>
        <w:rPr>
          <w:rFonts w:hint="eastAsia" w:ascii="宋体" w:hAnsi="宋体" w:cs="宋体"/>
          <w:sz w:val="24"/>
          <w:lang w:val="zh-CN"/>
        </w:rPr>
      </w:pPr>
      <w:r>
        <w:rPr>
          <w:rFonts w:hint="eastAsia" w:ascii="宋体" w:hAnsi="宋体" w:cs="宋体"/>
          <w:sz w:val="24"/>
          <w:lang w:val="zh-CN"/>
        </w:rPr>
        <w:t xml:space="preserve">电话:                                    电话: </w:t>
      </w:r>
    </w:p>
    <w:p w14:paraId="139FA75D">
      <w:pPr>
        <w:autoSpaceDE w:val="0"/>
        <w:autoSpaceDN w:val="0"/>
        <w:spacing w:line="560" w:lineRule="exact"/>
        <w:rPr>
          <w:rFonts w:hint="eastAsia" w:ascii="宋体" w:hAnsi="宋体" w:cs="宋体"/>
          <w:sz w:val="24"/>
          <w:lang w:val="zh-CN"/>
        </w:rPr>
      </w:pPr>
      <w:r>
        <w:rPr>
          <w:rFonts w:hint="eastAsia" w:ascii="宋体" w:hAnsi="宋体" w:cs="宋体"/>
          <w:sz w:val="24"/>
          <w:lang w:val="zh-CN"/>
        </w:rPr>
        <w:t>传真:                                    传真:</w:t>
      </w:r>
    </w:p>
    <w:p w14:paraId="6EE46197">
      <w:pPr>
        <w:autoSpaceDE w:val="0"/>
        <w:autoSpaceDN w:val="0"/>
        <w:spacing w:line="560" w:lineRule="exact"/>
        <w:rPr>
          <w:rFonts w:hint="eastAsia" w:ascii="宋体" w:hAnsi="宋体" w:cs="宋体"/>
          <w:sz w:val="24"/>
        </w:rPr>
      </w:pPr>
      <w:r>
        <w:rPr>
          <w:rFonts w:hint="eastAsia" w:ascii="宋体" w:hAnsi="宋体" w:cs="宋体"/>
          <w:sz w:val="24"/>
          <w:lang w:val="zh-CN"/>
        </w:rPr>
        <w:t>电子邮箱：                               电子邮箱：</w:t>
      </w:r>
    </w:p>
    <w:p w14:paraId="4A80D0A5">
      <w:pPr>
        <w:autoSpaceDE w:val="0"/>
        <w:autoSpaceDN w:val="0"/>
        <w:spacing w:line="560" w:lineRule="exact"/>
        <w:rPr>
          <w:rFonts w:hint="eastAsia" w:ascii="宋体" w:hAnsi="宋体" w:cs="宋体"/>
          <w:sz w:val="24"/>
        </w:rPr>
      </w:pPr>
      <w:r>
        <w:rPr>
          <w:rFonts w:hint="eastAsia" w:ascii="宋体" w:hAnsi="宋体" w:cs="宋体"/>
          <w:sz w:val="24"/>
        </w:rPr>
        <w:t xml:space="preserve">开户银行：                               开户银行： </w:t>
      </w:r>
    </w:p>
    <w:p w14:paraId="4AD12E45">
      <w:pPr>
        <w:autoSpaceDE w:val="0"/>
        <w:autoSpaceDN w:val="0"/>
        <w:spacing w:line="560" w:lineRule="exact"/>
        <w:rPr>
          <w:rFonts w:hint="eastAsia" w:ascii="宋体" w:hAnsi="宋体" w:cs="宋体"/>
          <w:sz w:val="24"/>
        </w:rPr>
      </w:pPr>
      <w:r>
        <w:rPr>
          <w:rFonts w:hint="eastAsia" w:ascii="宋体" w:hAnsi="宋体" w:cs="宋体"/>
          <w:sz w:val="24"/>
        </w:rPr>
        <w:t xml:space="preserve">开户名称：                               开户名称： </w:t>
      </w:r>
    </w:p>
    <w:p w14:paraId="55E8EF39">
      <w:pPr>
        <w:autoSpaceDE w:val="0"/>
        <w:autoSpaceDN w:val="0"/>
        <w:spacing w:line="560" w:lineRule="exact"/>
        <w:rPr>
          <w:rFonts w:hint="eastAsia" w:ascii="宋体" w:hAnsi="宋体" w:cs="宋体"/>
          <w:sz w:val="24"/>
        </w:rPr>
      </w:pPr>
      <w:r>
        <w:rPr>
          <w:rFonts w:hint="eastAsia" w:ascii="宋体" w:hAnsi="宋体" w:cs="宋体"/>
          <w:sz w:val="24"/>
        </w:rPr>
        <w:t>开户账号：</w:t>
      </w:r>
      <w:r>
        <w:rPr>
          <w:rFonts w:hint="eastAsia" w:ascii="宋体" w:hAnsi="宋体" w:cs="宋体"/>
          <w:sz w:val="24"/>
          <w:lang w:val="zh-CN"/>
        </w:rPr>
        <w:t xml:space="preserve">                               </w:t>
      </w:r>
      <w:r>
        <w:rPr>
          <w:rFonts w:hint="eastAsia" w:ascii="宋体" w:hAnsi="宋体" w:cs="宋体"/>
          <w:sz w:val="24"/>
        </w:rPr>
        <w:t>开户账号：</w:t>
      </w:r>
    </w:p>
    <w:p w14:paraId="642E3599">
      <w:pPr>
        <w:pStyle w:val="3"/>
        <w:ind w:left="0" w:firstLine="0"/>
        <w:rPr>
          <w:rFonts w:hint="eastAsia" w:ascii="宋体" w:hAnsi="宋体" w:cs="宋体"/>
          <w:sz w:val="24"/>
        </w:rPr>
      </w:pPr>
    </w:p>
    <w:p w14:paraId="5BCB0AE4">
      <w:pPr>
        <w:rPr>
          <w:rFonts w:hint="eastAsia" w:ascii="宋体" w:hAnsi="宋体" w:cs="宋体"/>
          <w:sz w:val="24"/>
        </w:rPr>
      </w:pPr>
    </w:p>
    <w:p w14:paraId="176DC4A4">
      <w:pPr>
        <w:pStyle w:val="3"/>
        <w:rPr>
          <w:rFonts w:hint="eastAsia" w:ascii="宋体" w:hAnsi="宋体" w:cs="宋体"/>
          <w:sz w:val="24"/>
        </w:rPr>
      </w:pPr>
    </w:p>
    <w:p w14:paraId="691D8C0F">
      <w:pPr>
        <w:rPr>
          <w:rFonts w:hint="eastAsia" w:ascii="宋体" w:hAnsi="宋体" w:cs="宋体"/>
          <w:sz w:val="24"/>
        </w:rPr>
      </w:pPr>
    </w:p>
    <w:p w14:paraId="2D931C67">
      <w:pPr>
        <w:pStyle w:val="702"/>
        <w:spacing w:line="560" w:lineRule="exact"/>
        <w:ind w:firstLine="482"/>
        <w:jc w:val="center"/>
        <w:rPr>
          <w:rFonts w:hint="eastAsia" w:ascii="宋体" w:hAnsi="宋体" w:cs="宋体"/>
          <w:b/>
          <w:szCs w:val="24"/>
        </w:rPr>
      </w:pPr>
      <w:r>
        <w:rPr>
          <w:rFonts w:hint="eastAsia" w:ascii="宋体" w:hAnsi="宋体" w:cs="宋体"/>
          <w:b/>
          <w:szCs w:val="24"/>
        </w:rPr>
        <w:t>第二部分 合同一般条款</w:t>
      </w:r>
    </w:p>
    <w:p w14:paraId="7FB5660B">
      <w:pPr>
        <w:spacing w:line="560" w:lineRule="exact"/>
        <w:ind w:firstLine="482" w:firstLineChars="200"/>
        <w:outlineLvl w:val="0"/>
        <w:rPr>
          <w:rFonts w:hint="eastAsia" w:ascii="宋体" w:hAnsi="宋体" w:cs="宋体"/>
          <w:b/>
          <w:sz w:val="24"/>
        </w:rPr>
      </w:pPr>
      <w:bookmarkStart w:id="412" w:name="_Toc487900349"/>
      <w:bookmarkStart w:id="413" w:name="_Toc259093669"/>
      <w:bookmarkStart w:id="414" w:name="_Ref467379225"/>
      <w:bookmarkStart w:id="415" w:name="_Ref467379205"/>
      <w:bookmarkStart w:id="416" w:name="_Ref467378463"/>
      <w:bookmarkStart w:id="417" w:name="_Toc16917"/>
      <w:bookmarkStart w:id="418" w:name="_Ref467379214"/>
      <w:bookmarkStart w:id="419" w:name="_Ref467378404"/>
      <w:bookmarkStart w:id="420" w:name="_Toc19614"/>
      <w:bookmarkStart w:id="421" w:name="_Ref467378499"/>
      <w:bookmarkStart w:id="422" w:name="_Ref467379094"/>
      <w:bookmarkStart w:id="423" w:name="_Ref467379101"/>
      <w:bookmarkStart w:id="424" w:name="_Toc28763"/>
      <w:bookmarkStart w:id="425" w:name="_Ref467379195"/>
      <w:bookmarkStart w:id="426" w:name="_Ref467379109"/>
      <w:bookmarkStart w:id="427" w:name="_Toc279701240"/>
      <w:r>
        <w:rPr>
          <w:rFonts w:hint="eastAsia" w:ascii="宋体" w:hAnsi="宋体" w:cs="宋体"/>
          <w:b/>
          <w:sz w:val="24"/>
        </w:rPr>
        <w:t>2.1 定义</w:t>
      </w:r>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p>
    <w:p w14:paraId="6D18B0E6">
      <w:pPr>
        <w:spacing w:line="560" w:lineRule="exact"/>
        <w:ind w:firstLine="480" w:firstLineChars="200"/>
        <w:rPr>
          <w:rFonts w:hint="eastAsia" w:ascii="宋体" w:hAnsi="宋体" w:cs="宋体"/>
          <w:sz w:val="24"/>
        </w:rPr>
      </w:pPr>
      <w:r>
        <w:rPr>
          <w:rFonts w:hint="eastAsia" w:ascii="宋体" w:hAnsi="宋体" w:cs="宋体"/>
          <w:sz w:val="24"/>
        </w:rPr>
        <w:t>本合同中的下列词语应按以下内容进行解释：</w:t>
      </w:r>
    </w:p>
    <w:p w14:paraId="67475FF6">
      <w:pPr>
        <w:spacing w:line="560" w:lineRule="exact"/>
        <w:ind w:firstLine="480" w:firstLineChars="200"/>
        <w:rPr>
          <w:rFonts w:hint="eastAsia" w:ascii="宋体" w:hAnsi="宋体" w:cs="宋体"/>
          <w:sz w:val="24"/>
        </w:rPr>
      </w:pPr>
      <w:r>
        <w:rPr>
          <w:rFonts w:hint="eastAsia" w:ascii="宋体" w:hAnsi="宋体" w:cs="宋体"/>
          <w:sz w:val="24"/>
        </w:rPr>
        <w:t>2.1.1 “合同”系指采购人和中标或成交供应商签订的载明双方当事人所达成的协议，并包括所有的附件、附录和构成合同的其他文件。</w:t>
      </w:r>
    </w:p>
    <w:p w14:paraId="38395CAD">
      <w:pPr>
        <w:spacing w:line="560" w:lineRule="exact"/>
        <w:ind w:firstLine="480" w:firstLineChars="200"/>
        <w:rPr>
          <w:rFonts w:hint="eastAsia" w:ascii="宋体" w:hAnsi="宋体" w:cs="宋体"/>
          <w:sz w:val="24"/>
        </w:rPr>
      </w:pPr>
      <w:r>
        <w:rPr>
          <w:rFonts w:hint="eastAsia" w:ascii="宋体" w:hAnsi="宋体" w:cs="宋体"/>
          <w:sz w:val="24"/>
        </w:rPr>
        <w:t>2.1.2 “合同价”系指根据合同约定，中标或成交供应商在完全履行合同义务后，采购人应支付给中标或成交供应商的价格。</w:t>
      </w:r>
    </w:p>
    <w:p w14:paraId="0BA51970">
      <w:pPr>
        <w:spacing w:line="560" w:lineRule="exact"/>
        <w:ind w:firstLine="480" w:firstLineChars="200"/>
        <w:rPr>
          <w:rFonts w:hint="eastAsia" w:ascii="宋体" w:hAnsi="宋体" w:cs="宋体"/>
          <w:sz w:val="24"/>
        </w:rPr>
      </w:pPr>
      <w:r>
        <w:rPr>
          <w:rFonts w:hint="eastAsia" w:ascii="宋体" w:hAnsi="宋体" w:cs="宋体"/>
          <w:sz w:val="24"/>
        </w:rPr>
        <w:t>2.1.3 “货物”系指中标或成交供应商根据合同约定应向采购人交付的一切各种形态和种类的物品，包括原材料、燃料、设备、机械、仪表、备件、计算机软件、产品等，并包括工具、手册等其他相关资料。</w:t>
      </w:r>
    </w:p>
    <w:p w14:paraId="57CDA731">
      <w:pPr>
        <w:spacing w:line="560" w:lineRule="exact"/>
        <w:ind w:firstLine="480" w:firstLineChars="200"/>
        <w:rPr>
          <w:rFonts w:hint="eastAsia" w:ascii="宋体" w:hAnsi="宋体" w:cs="宋体"/>
          <w:sz w:val="24"/>
        </w:rPr>
      </w:pPr>
      <w:bookmarkStart w:id="428" w:name="_Ref467378840"/>
      <w:r>
        <w:rPr>
          <w:rFonts w:hint="eastAsia" w:ascii="宋体" w:hAnsi="宋体" w:cs="宋体"/>
          <w:sz w:val="24"/>
        </w:rPr>
        <w:t>2.1.4 “甲方”系指与中标或成交供应商签署合同的采购人</w:t>
      </w:r>
      <w:bookmarkEnd w:id="428"/>
      <w:r>
        <w:rPr>
          <w:rFonts w:hint="eastAsia" w:ascii="宋体" w:hAnsi="宋体" w:cs="宋体"/>
          <w:sz w:val="24"/>
        </w:rPr>
        <w:t>；采购人委托采购代理机构代表其与乙方签订合同的，采购人的授权委托书作为合同附件。</w:t>
      </w:r>
    </w:p>
    <w:p w14:paraId="0793E3E9">
      <w:pPr>
        <w:spacing w:line="560" w:lineRule="exact"/>
        <w:ind w:firstLine="480" w:firstLineChars="200"/>
        <w:rPr>
          <w:rFonts w:hint="eastAsia" w:ascii="宋体" w:hAnsi="宋体" w:cs="宋体"/>
          <w:sz w:val="24"/>
        </w:rPr>
      </w:pPr>
      <w:bookmarkStart w:id="429" w:name="_Ref467379400"/>
      <w:r>
        <w:rPr>
          <w:rFonts w:hint="eastAsia" w:ascii="宋体" w:hAnsi="宋体" w:cs="宋体"/>
          <w:sz w:val="24"/>
        </w:rPr>
        <w:t>2.1.5 “乙方”系指根据合同约定交付货物的中标或成交供应商</w:t>
      </w:r>
      <w:bookmarkEnd w:id="429"/>
      <w:r>
        <w:rPr>
          <w:rFonts w:hint="eastAsia" w:ascii="宋体" w:hAnsi="宋体" w:cs="宋体"/>
          <w:sz w:val="24"/>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4F9B24B4">
      <w:pPr>
        <w:spacing w:line="560" w:lineRule="exact"/>
        <w:ind w:firstLine="480" w:firstLineChars="200"/>
        <w:rPr>
          <w:rFonts w:hint="eastAsia" w:ascii="宋体" w:hAnsi="宋体" w:cs="宋体"/>
          <w:sz w:val="24"/>
        </w:rPr>
      </w:pPr>
      <w:bookmarkStart w:id="430" w:name="_Ref467379436"/>
      <w:r>
        <w:rPr>
          <w:rFonts w:hint="eastAsia" w:ascii="宋体" w:hAnsi="宋体" w:cs="宋体"/>
          <w:sz w:val="24"/>
        </w:rPr>
        <w:t>2.1.6 “现场”系指合同约定货物将要运至或者安装的地点。</w:t>
      </w:r>
      <w:bookmarkEnd w:id="430"/>
    </w:p>
    <w:p w14:paraId="0DDBFD0A">
      <w:pPr>
        <w:spacing w:line="560" w:lineRule="exact"/>
        <w:ind w:firstLine="482" w:firstLineChars="200"/>
        <w:outlineLvl w:val="0"/>
        <w:rPr>
          <w:rFonts w:hint="eastAsia" w:ascii="宋体" w:hAnsi="宋体" w:cs="宋体"/>
          <w:b/>
          <w:sz w:val="24"/>
        </w:rPr>
      </w:pPr>
      <w:bookmarkStart w:id="431" w:name="_Toc32504"/>
      <w:bookmarkStart w:id="432" w:name="_Toc27635"/>
      <w:bookmarkStart w:id="433" w:name="_Toc259093670"/>
      <w:bookmarkStart w:id="434" w:name="_Toc487900350"/>
      <w:bookmarkStart w:id="435" w:name="_Toc13336"/>
      <w:bookmarkStart w:id="436" w:name="_Toc279701241"/>
      <w:r>
        <w:rPr>
          <w:rFonts w:hint="eastAsia" w:ascii="宋体" w:hAnsi="宋体" w:cs="宋体"/>
          <w:b/>
          <w:sz w:val="24"/>
        </w:rPr>
        <w:t>2.2 技术规范</w:t>
      </w:r>
      <w:bookmarkEnd w:id="431"/>
      <w:bookmarkEnd w:id="432"/>
      <w:bookmarkEnd w:id="433"/>
      <w:bookmarkEnd w:id="434"/>
      <w:bookmarkEnd w:id="435"/>
      <w:bookmarkEnd w:id="436"/>
    </w:p>
    <w:p w14:paraId="4B870E79">
      <w:pPr>
        <w:spacing w:line="560" w:lineRule="exact"/>
        <w:ind w:firstLine="480" w:firstLineChars="200"/>
        <w:rPr>
          <w:rFonts w:hint="eastAsia" w:ascii="宋体" w:hAnsi="宋体" w:cs="宋体"/>
          <w:sz w:val="24"/>
        </w:rPr>
      </w:pPr>
      <w:r>
        <w:rPr>
          <w:rFonts w:hint="eastAsia" w:ascii="宋体" w:hAnsi="宋体" w:cs="宋体"/>
          <w:sz w:val="24"/>
        </w:rPr>
        <w:t>货物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17430762">
      <w:pPr>
        <w:spacing w:line="560" w:lineRule="exact"/>
        <w:ind w:firstLine="482" w:firstLineChars="200"/>
        <w:outlineLvl w:val="0"/>
        <w:rPr>
          <w:rFonts w:hint="eastAsia" w:ascii="宋体" w:hAnsi="宋体" w:cs="宋体"/>
          <w:b/>
          <w:sz w:val="24"/>
        </w:rPr>
      </w:pPr>
      <w:bookmarkStart w:id="437" w:name="_Toc31634"/>
      <w:bookmarkStart w:id="438" w:name="_Toc487900351"/>
      <w:bookmarkStart w:id="439" w:name="_Toc9829"/>
      <w:bookmarkStart w:id="440" w:name="_Toc259093671"/>
      <w:bookmarkStart w:id="441" w:name="_Toc27853"/>
      <w:bookmarkStart w:id="442" w:name="_Toc279701242"/>
      <w:r>
        <w:rPr>
          <w:rFonts w:hint="eastAsia" w:ascii="宋体" w:hAnsi="宋体" w:cs="宋体"/>
          <w:b/>
          <w:sz w:val="24"/>
        </w:rPr>
        <w:t>2.3 知识产权</w:t>
      </w:r>
      <w:bookmarkEnd w:id="437"/>
      <w:bookmarkEnd w:id="438"/>
      <w:bookmarkEnd w:id="439"/>
      <w:bookmarkEnd w:id="440"/>
      <w:bookmarkEnd w:id="441"/>
      <w:bookmarkEnd w:id="442"/>
    </w:p>
    <w:p w14:paraId="017F02C3">
      <w:pPr>
        <w:spacing w:line="560" w:lineRule="exact"/>
        <w:ind w:firstLine="480" w:firstLineChars="200"/>
        <w:rPr>
          <w:rFonts w:hint="eastAsia" w:ascii="宋体" w:hAnsi="宋体" w:cs="宋体"/>
          <w:sz w:val="24"/>
        </w:rPr>
      </w:pPr>
      <w:r>
        <w:rPr>
          <w:rFonts w:hint="eastAsia" w:ascii="宋体" w:hAnsi="宋体" w:cs="宋体"/>
          <w:sz w:val="24"/>
        </w:rPr>
        <w:t>2.3.1 乙方应保证甲方在使用该货物或其任何一部分时不受任何第三方提出的侵犯其著作权、商标权、专利权等知识产权方面的起诉；如果任何第三方提出侵权指控，那么乙方须与该第三方交涉并承担由此发生的一切责任、费用和赔偿，</w:t>
      </w:r>
      <w:r>
        <w:rPr>
          <w:rFonts w:hint="eastAsia" w:ascii="宋体" w:hAnsi="宋体"/>
          <w:sz w:val="24"/>
        </w:rPr>
        <w:t>乙方还应及时澄清相关信息，使甲方声誉免受损害，甲方保留追责的权利。</w:t>
      </w:r>
    </w:p>
    <w:p w14:paraId="0099A33F">
      <w:pPr>
        <w:spacing w:line="560" w:lineRule="exact"/>
        <w:ind w:firstLine="480" w:firstLineChars="200"/>
        <w:rPr>
          <w:rFonts w:hint="eastAsia" w:ascii="宋体" w:hAnsi="宋体" w:cs="宋体"/>
          <w:sz w:val="24"/>
        </w:rPr>
      </w:pPr>
      <w:r>
        <w:rPr>
          <w:rFonts w:hint="eastAsia" w:ascii="宋体" w:hAnsi="宋体" w:cs="宋体"/>
          <w:sz w:val="24"/>
        </w:rPr>
        <w:t>2.3.2具有知识产权的计算机软件等货物的知识产权归属，详见</w:t>
      </w:r>
      <w:r>
        <w:rPr>
          <w:rFonts w:hint="eastAsia" w:ascii="宋体" w:hAnsi="宋体" w:cs="宋体"/>
          <w:b/>
          <w:i/>
          <w:sz w:val="24"/>
          <w:u w:val="single"/>
        </w:rPr>
        <w:t>合同专用条款</w:t>
      </w:r>
      <w:r>
        <w:rPr>
          <w:rFonts w:hint="eastAsia" w:ascii="宋体" w:hAnsi="宋体" w:cs="宋体"/>
          <w:sz w:val="24"/>
        </w:rPr>
        <w:t>。</w:t>
      </w:r>
    </w:p>
    <w:p w14:paraId="21186867">
      <w:pPr>
        <w:spacing w:line="560" w:lineRule="exact"/>
        <w:ind w:firstLine="482" w:firstLineChars="200"/>
        <w:outlineLvl w:val="0"/>
        <w:rPr>
          <w:rFonts w:hint="eastAsia" w:ascii="宋体" w:hAnsi="宋体" w:cs="宋体"/>
          <w:b/>
          <w:sz w:val="24"/>
        </w:rPr>
      </w:pPr>
      <w:bookmarkStart w:id="443" w:name="_Toc11932"/>
      <w:bookmarkStart w:id="444" w:name="_Toc4194"/>
      <w:bookmarkStart w:id="445" w:name="_Toc29149"/>
      <w:r>
        <w:rPr>
          <w:rFonts w:hint="eastAsia" w:ascii="宋体" w:hAnsi="宋体" w:cs="宋体"/>
          <w:b/>
          <w:sz w:val="24"/>
        </w:rPr>
        <w:t>2.4 包装和装运</w:t>
      </w:r>
      <w:bookmarkEnd w:id="443"/>
      <w:bookmarkEnd w:id="444"/>
      <w:bookmarkEnd w:id="445"/>
    </w:p>
    <w:p w14:paraId="406A0574">
      <w:pPr>
        <w:spacing w:line="560" w:lineRule="exact"/>
        <w:ind w:firstLine="480" w:firstLineChars="200"/>
        <w:rPr>
          <w:rFonts w:hint="eastAsia" w:ascii="宋体" w:hAnsi="宋体" w:cs="宋体"/>
          <w:sz w:val="24"/>
        </w:rPr>
      </w:pPr>
      <w:r>
        <w:rPr>
          <w:rFonts w:hint="eastAsia" w:ascii="宋体" w:hAnsi="宋体" w:cs="宋体"/>
          <w:sz w:val="24"/>
        </w:rPr>
        <w:t>2.4.1除</w:t>
      </w:r>
      <w:r>
        <w:rPr>
          <w:rFonts w:hint="eastAsia" w:ascii="宋体" w:hAnsi="宋体" w:cs="宋体"/>
          <w:b/>
          <w:i/>
          <w:sz w:val="24"/>
          <w:u w:val="single"/>
        </w:rPr>
        <w:t>合同专用条款</w:t>
      </w:r>
      <w:r>
        <w:rPr>
          <w:rFonts w:hint="eastAsia" w:ascii="宋体" w:hAnsi="宋体" w:cs="宋体"/>
          <w:sz w:val="24"/>
        </w:rPr>
        <w:t>另有约定外,乙方交付的全部货物,均应采用本行业通用的方式进行包装，没有通用方式的，应当采取足以保护货物的包装方式，且该包装应符合国家有关包装的法律、法规的规定。如有必要，包装应适用于远距离运输、防潮、防震、防锈和防粗暴装卸，确保货物安全无损地运抵现场。由于包装不善所引起的货物锈蚀、损坏和损失等一切风险均由乙方承担。</w:t>
      </w:r>
    </w:p>
    <w:p w14:paraId="3E601004">
      <w:pPr>
        <w:spacing w:line="560" w:lineRule="exact"/>
        <w:ind w:firstLine="480" w:firstLineChars="200"/>
        <w:rPr>
          <w:rFonts w:hint="eastAsia" w:ascii="宋体" w:hAnsi="宋体" w:cs="宋体"/>
          <w:sz w:val="24"/>
        </w:rPr>
      </w:pPr>
      <w:r>
        <w:rPr>
          <w:rFonts w:hint="eastAsia" w:ascii="宋体" w:hAnsi="宋体" w:cs="宋体"/>
          <w:sz w:val="24"/>
        </w:rPr>
        <w:t xml:space="preserve">2.4.2乙方提供产品及相关快递服务的具体包装要求应符合《商品包装政府采购需求标准（试行）》《快递包装政府采购需求标准（试行）》，并作为履约验收的内容，必要时甲方可以要求乙方在履约验收环节出具检测报告。 </w:t>
      </w:r>
    </w:p>
    <w:p w14:paraId="06533596">
      <w:pPr>
        <w:spacing w:line="560" w:lineRule="exact"/>
        <w:ind w:firstLine="480" w:firstLineChars="200"/>
        <w:rPr>
          <w:rFonts w:hint="eastAsia" w:ascii="宋体" w:hAnsi="宋体" w:cs="宋体"/>
          <w:sz w:val="24"/>
        </w:rPr>
      </w:pPr>
      <w:r>
        <w:rPr>
          <w:rFonts w:hint="eastAsia" w:ascii="宋体" w:hAnsi="宋体" w:cs="宋体"/>
          <w:sz w:val="24"/>
        </w:rPr>
        <w:t>2.4.3 装运货物的要求和通知，详见</w:t>
      </w:r>
      <w:r>
        <w:rPr>
          <w:rFonts w:hint="eastAsia" w:ascii="宋体" w:hAnsi="宋体" w:cs="宋体"/>
          <w:b/>
          <w:i/>
          <w:sz w:val="24"/>
          <w:u w:val="single"/>
        </w:rPr>
        <w:t>合同专用条款</w:t>
      </w:r>
      <w:r>
        <w:rPr>
          <w:rFonts w:hint="eastAsia" w:ascii="宋体" w:hAnsi="宋体" w:cs="宋体"/>
          <w:sz w:val="24"/>
        </w:rPr>
        <w:t>。</w:t>
      </w:r>
    </w:p>
    <w:p w14:paraId="413B5D96">
      <w:pPr>
        <w:spacing w:line="560" w:lineRule="exact"/>
        <w:ind w:firstLine="482" w:firstLineChars="200"/>
        <w:outlineLvl w:val="0"/>
        <w:rPr>
          <w:rFonts w:hint="eastAsia" w:ascii="宋体" w:hAnsi="宋体" w:cs="宋体"/>
          <w:b/>
          <w:sz w:val="24"/>
        </w:rPr>
      </w:pPr>
      <w:bookmarkStart w:id="446" w:name="_Toc487900354"/>
      <w:bookmarkStart w:id="447" w:name="_Ref467378541"/>
      <w:bookmarkStart w:id="448" w:name="_Toc279701245"/>
      <w:bookmarkStart w:id="449" w:name="_Ref467379536"/>
      <w:bookmarkStart w:id="450" w:name="_Toc259093674"/>
      <w:bookmarkStart w:id="451" w:name="_Ref467379527"/>
      <w:bookmarkStart w:id="452" w:name="_Ref467378591"/>
      <w:bookmarkStart w:id="453" w:name="_Ref467379542"/>
      <w:bookmarkStart w:id="454" w:name="_Toc26182"/>
      <w:bookmarkStart w:id="455" w:name="_Toc30272"/>
      <w:bookmarkStart w:id="456" w:name="_Toc19074"/>
      <w:r>
        <w:rPr>
          <w:rFonts w:hint="eastAsia" w:ascii="宋体" w:hAnsi="宋体" w:cs="宋体"/>
          <w:b/>
          <w:sz w:val="24"/>
        </w:rPr>
        <w:t>2.</w:t>
      </w:r>
      <w:bookmarkEnd w:id="446"/>
      <w:bookmarkEnd w:id="447"/>
      <w:bookmarkEnd w:id="448"/>
      <w:bookmarkEnd w:id="449"/>
      <w:bookmarkEnd w:id="450"/>
      <w:bookmarkEnd w:id="451"/>
      <w:bookmarkEnd w:id="452"/>
      <w:bookmarkEnd w:id="453"/>
      <w:r>
        <w:rPr>
          <w:rFonts w:hint="eastAsia" w:ascii="宋体" w:hAnsi="宋体" w:cs="宋体"/>
          <w:b/>
          <w:sz w:val="24"/>
        </w:rPr>
        <w:t>5 履约检查和问题反馈</w:t>
      </w:r>
      <w:bookmarkEnd w:id="454"/>
      <w:bookmarkEnd w:id="455"/>
      <w:bookmarkEnd w:id="456"/>
    </w:p>
    <w:p w14:paraId="1D820FC6">
      <w:pPr>
        <w:spacing w:line="560" w:lineRule="exact"/>
        <w:ind w:firstLine="480" w:firstLineChars="200"/>
        <w:rPr>
          <w:rFonts w:hint="eastAsia" w:ascii="宋体" w:hAnsi="宋体" w:cs="宋体"/>
          <w:sz w:val="24"/>
        </w:rPr>
      </w:pPr>
      <w:bookmarkStart w:id="457" w:name="_Ref467379657"/>
      <w:r>
        <w:rPr>
          <w:rFonts w:hint="eastAsia" w:ascii="宋体" w:hAnsi="宋体" w:cs="宋体"/>
          <w:sz w:val="24"/>
        </w:rPr>
        <w:t>2.5.1</w:t>
      </w:r>
      <w:bookmarkEnd w:id="457"/>
      <w:bookmarkStart w:id="458" w:name="_Toc186431854"/>
      <w:bookmarkStart w:id="459" w:name="_Toc279701247"/>
      <w:bookmarkStart w:id="460" w:name="_Ref467379793"/>
      <w:bookmarkStart w:id="461" w:name="_Ref467379807"/>
      <w:bookmarkStart w:id="462" w:name="_Toc487900357"/>
      <w:bookmarkStart w:id="463" w:name="_Toc259093676"/>
      <w:r>
        <w:rPr>
          <w:rFonts w:hint="eastAsia" w:ascii="宋体" w:hAnsi="宋体" w:cs="宋体"/>
          <w:sz w:val="24"/>
        </w:rPr>
        <w:t>甲方有权在其认为必要时，对乙方是否能够按照合同约定交付货物进行履约检查，以确保乙方所交付的货物能够依约满足甲方之项目需求，但不得因履约检查妨碍乙方的正常工作，乙方应予积极配合；</w:t>
      </w:r>
    </w:p>
    <w:p w14:paraId="21A3CEF6">
      <w:pPr>
        <w:spacing w:line="560" w:lineRule="exact"/>
        <w:ind w:firstLine="480" w:firstLineChars="200"/>
        <w:rPr>
          <w:rFonts w:hint="eastAsia" w:ascii="宋体" w:hAnsi="宋体" w:cs="宋体"/>
          <w:sz w:val="24"/>
        </w:rPr>
      </w:pPr>
      <w:r>
        <w:rPr>
          <w:rFonts w:hint="eastAsia" w:ascii="宋体" w:hAnsi="宋体" w:cs="宋体"/>
          <w:sz w:val="24"/>
        </w:rPr>
        <w:t>2.5.2 合同履行期间，甲方有权将履行过程中出现的问题反馈给乙方，双方当事人应以书面形式约定需要完善和改进的内容</w:t>
      </w:r>
      <w:bookmarkEnd w:id="458"/>
      <w:bookmarkStart w:id="464" w:name="_Toc186431855"/>
      <w:r>
        <w:rPr>
          <w:rFonts w:hint="eastAsia" w:ascii="宋体" w:hAnsi="宋体" w:cs="宋体"/>
          <w:sz w:val="24"/>
        </w:rPr>
        <w:t>。</w:t>
      </w:r>
    </w:p>
    <w:bookmarkEnd w:id="459"/>
    <w:bookmarkEnd w:id="460"/>
    <w:bookmarkEnd w:id="461"/>
    <w:bookmarkEnd w:id="462"/>
    <w:bookmarkEnd w:id="463"/>
    <w:bookmarkEnd w:id="464"/>
    <w:p w14:paraId="24477767">
      <w:pPr>
        <w:spacing w:line="560" w:lineRule="exact"/>
        <w:ind w:firstLine="482" w:firstLineChars="200"/>
        <w:outlineLvl w:val="0"/>
        <w:rPr>
          <w:rFonts w:hint="eastAsia" w:ascii="宋体" w:hAnsi="宋体" w:cs="宋体"/>
          <w:b/>
          <w:sz w:val="24"/>
        </w:rPr>
      </w:pPr>
      <w:bookmarkStart w:id="465" w:name="_Ref467379863"/>
      <w:bookmarkStart w:id="466" w:name="_Ref467379923"/>
      <w:bookmarkStart w:id="467" w:name="_Toc259093677"/>
      <w:bookmarkStart w:id="468" w:name="_Toc487900358"/>
      <w:bookmarkStart w:id="469" w:name="_Toc279701248"/>
      <w:bookmarkStart w:id="470" w:name="_Ref467379852"/>
      <w:bookmarkStart w:id="471" w:name="_Toc16110"/>
      <w:bookmarkStart w:id="472" w:name="_Toc774"/>
      <w:bookmarkStart w:id="473" w:name="_Toc3225"/>
      <w:r>
        <w:rPr>
          <w:rFonts w:hint="eastAsia" w:ascii="宋体" w:hAnsi="宋体" w:cs="宋体"/>
          <w:b/>
          <w:sz w:val="24"/>
        </w:rPr>
        <w:t>2.6 技术资料</w:t>
      </w:r>
      <w:bookmarkEnd w:id="465"/>
      <w:bookmarkEnd w:id="466"/>
      <w:bookmarkEnd w:id="467"/>
      <w:bookmarkEnd w:id="468"/>
      <w:bookmarkEnd w:id="469"/>
      <w:bookmarkEnd w:id="470"/>
      <w:r>
        <w:rPr>
          <w:rFonts w:hint="eastAsia" w:ascii="宋体" w:hAnsi="宋体" w:cs="宋体"/>
          <w:b/>
          <w:sz w:val="24"/>
        </w:rPr>
        <w:t>和保密义务</w:t>
      </w:r>
      <w:bookmarkEnd w:id="471"/>
      <w:bookmarkEnd w:id="472"/>
      <w:bookmarkEnd w:id="473"/>
    </w:p>
    <w:p w14:paraId="64BC818F">
      <w:pPr>
        <w:spacing w:line="560" w:lineRule="exact"/>
        <w:ind w:firstLine="480" w:firstLineChars="200"/>
        <w:rPr>
          <w:rFonts w:hint="eastAsia" w:ascii="宋体" w:hAnsi="宋体" w:cs="宋体"/>
          <w:sz w:val="24"/>
        </w:rPr>
      </w:pPr>
      <w:r>
        <w:rPr>
          <w:rFonts w:hint="eastAsia" w:ascii="宋体" w:hAnsi="宋体" w:cs="宋体"/>
          <w:sz w:val="24"/>
        </w:rPr>
        <w:t>2.6.1 乙方有权依据合同约定和项目需要，向甲方了解有关情况，调阅有关资料等，甲方应予积极配合；</w:t>
      </w:r>
    </w:p>
    <w:p w14:paraId="2EC32E4E">
      <w:pPr>
        <w:spacing w:line="560" w:lineRule="exact"/>
        <w:ind w:firstLine="480" w:firstLineChars="200"/>
        <w:rPr>
          <w:rFonts w:hint="eastAsia" w:ascii="宋体" w:hAnsi="宋体" w:cs="宋体"/>
          <w:sz w:val="24"/>
        </w:rPr>
      </w:pPr>
      <w:r>
        <w:rPr>
          <w:rFonts w:hint="eastAsia" w:ascii="宋体" w:hAnsi="宋体" w:cs="宋体"/>
          <w:sz w:val="24"/>
        </w:rPr>
        <w:t>2.6.2 乙方有义务妥善保管和保护由甲方提供的前款信息和资料等；</w:t>
      </w:r>
    </w:p>
    <w:p w14:paraId="10D43AA2">
      <w:pPr>
        <w:spacing w:line="560" w:lineRule="exact"/>
        <w:ind w:firstLine="480" w:firstLineChars="200"/>
        <w:rPr>
          <w:rFonts w:hint="eastAsia" w:ascii="宋体" w:hAnsi="宋体" w:cs="宋体"/>
          <w:sz w:val="24"/>
        </w:rPr>
      </w:pPr>
      <w:r>
        <w:rPr>
          <w:rFonts w:hint="eastAsia" w:ascii="宋体" w:hAnsi="宋体" w:cs="宋体"/>
          <w:sz w:val="24"/>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8DA1997">
      <w:pPr>
        <w:spacing w:line="560" w:lineRule="exact"/>
        <w:ind w:firstLine="482" w:firstLineChars="200"/>
        <w:outlineLvl w:val="0"/>
        <w:rPr>
          <w:rFonts w:hint="eastAsia" w:ascii="宋体" w:hAnsi="宋体" w:cs="宋体"/>
          <w:b/>
          <w:sz w:val="24"/>
        </w:rPr>
      </w:pPr>
      <w:bookmarkStart w:id="474" w:name="_Toc7860"/>
      <w:r>
        <w:rPr>
          <w:rFonts w:hint="eastAsia" w:ascii="宋体" w:hAnsi="宋体" w:cs="宋体"/>
          <w:b/>
          <w:sz w:val="24"/>
        </w:rPr>
        <w:t>2.7 质量保证</w:t>
      </w:r>
      <w:bookmarkEnd w:id="474"/>
    </w:p>
    <w:p w14:paraId="22148D4D">
      <w:pPr>
        <w:spacing w:line="560" w:lineRule="exact"/>
        <w:ind w:firstLine="480" w:firstLineChars="200"/>
        <w:rPr>
          <w:rFonts w:hint="eastAsia" w:ascii="宋体" w:hAnsi="宋体" w:cs="宋体"/>
          <w:sz w:val="24"/>
        </w:rPr>
      </w:pPr>
      <w:r>
        <w:rPr>
          <w:rFonts w:hint="eastAsia" w:ascii="宋体" w:hAnsi="宋体" w:cs="宋体"/>
          <w:sz w:val="24"/>
        </w:rPr>
        <w:t>2.7.1 乙方应建立和完善履行合同的内部质量保证体系，并提供相关内部规章制度给甲方，以便甲方进行监督检查；</w:t>
      </w:r>
    </w:p>
    <w:p w14:paraId="097D757A">
      <w:pPr>
        <w:spacing w:line="560" w:lineRule="exact"/>
        <w:ind w:firstLine="480" w:firstLineChars="200"/>
        <w:rPr>
          <w:rFonts w:hint="eastAsia" w:ascii="宋体" w:hAnsi="宋体" w:cs="宋体"/>
          <w:sz w:val="24"/>
        </w:rPr>
      </w:pPr>
      <w:r>
        <w:rPr>
          <w:rFonts w:hint="eastAsia" w:ascii="宋体" w:hAnsi="宋体" w:cs="宋体"/>
          <w:sz w:val="24"/>
        </w:rPr>
        <w:t>2.7.2 乙方应保证履行合同的人员数量和素质、软件和硬件设备的配置、场地、环境和设施等满足全面履行合同的要求，并应接受甲方的监督检查。</w:t>
      </w:r>
    </w:p>
    <w:p w14:paraId="2D108D22">
      <w:pPr>
        <w:spacing w:line="560" w:lineRule="exact"/>
        <w:ind w:firstLine="482" w:firstLineChars="200"/>
        <w:outlineLvl w:val="0"/>
        <w:rPr>
          <w:rFonts w:hint="eastAsia" w:ascii="宋体" w:hAnsi="宋体" w:cs="宋体"/>
          <w:b/>
          <w:sz w:val="24"/>
        </w:rPr>
      </w:pPr>
      <w:bookmarkStart w:id="475" w:name="_Toc17244"/>
      <w:bookmarkStart w:id="476" w:name="_Toc259093681"/>
      <w:bookmarkStart w:id="477" w:name="_Toc487900362"/>
      <w:bookmarkStart w:id="478" w:name="_Toc279701252"/>
      <w:r>
        <w:rPr>
          <w:rFonts w:hint="eastAsia" w:ascii="宋体" w:hAnsi="宋体" w:cs="宋体"/>
          <w:b/>
          <w:sz w:val="24"/>
        </w:rPr>
        <w:t>2.8 货物的风险负担</w:t>
      </w:r>
      <w:bookmarkEnd w:id="475"/>
    </w:p>
    <w:p w14:paraId="6F031396">
      <w:pPr>
        <w:spacing w:line="560" w:lineRule="exact"/>
        <w:ind w:firstLine="480" w:firstLineChars="200"/>
        <w:rPr>
          <w:rFonts w:hint="eastAsia" w:ascii="宋体" w:hAnsi="宋体" w:cs="宋体"/>
          <w:b/>
          <w:sz w:val="24"/>
        </w:rPr>
      </w:pPr>
      <w:r>
        <w:rPr>
          <w:rFonts w:hint="eastAsia" w:ascii="宋体" w:hAnsi="宋体" w:cs="宋体"/>
          <w:sz w:val="24"/>
        </w:rPr>
        <w:t>货物或者在途货物或者交付给第一承运人后的货物毁损、灭失的风险负担详见</w:t>
      </w:r>
      <w:r>
        <w:rPr>
          <w:rFonts w:hint="eastAsia" w:ascii="宋体" w:hAnsi="宋体" w:cs="宋体"/>
          <w:b/>
          <w:i/>
          <w:sz w:val="24"/>
          <w:u w:val="single"/>
        </w:rPr>
        <w:t>合同专用条款</w:t>
      </w:r>
      <w:r>
        <w:rPr>
          <w:rFonts w:hint="eastAsia" w:ascii="宋体" w:hAnsi="宋体" w:cs="宋体"/>
          <w:sz w:val="24"/>
        </w:rPr>
        <w:t>。</w:t>
      </w:r>
    </w:p>
    <w:p w14:paraId="64135135">
      <w:pPr>
        <w:spacing w:line="560" w:lineRule="exact"/>
        <w:ind w:firstLine="482" w:firstLineChars="200"/>
        <w:outlineLvl w:val="0"/>
        <w:rPr>
          <w:rFonts w:hint="eastAsia" w:ascii="宋体" w:hAnsi="宋体" w:cs="宋体"/>
          <w:b/>
          <w:sz w:val="24"/>
        </w:rPr>
      </w:pPr>
      <w:bookmarkStart w:id="479" w:name="_Toc14055"/>
      <w:r>
        <w:rPr>
          <w:rFonts w:hint="eastAsia" w:ascii="宋体" w:hAnsi="宋体" w:cs="宋体"/>
          <w:b/>
          <w:sz w:val="24"/>
        </w:rPr>
        <w:t>2.9 延迟交货</w:t>
      </w:r>
      <w:bookmarkEnd w:id="476"/>
      <w:bookmarkEnd w:id="477"/>
      <w:bookmarkEnd w:id="478"/>
      <w:bookmarkEnd w:id="479"/>
    </w:p>
    <w:p w14:paraId="541F57DD">
      <w:pPr>
        <w:spacing w:line="560" w:lineRule="exact"/>
        <w:ind w:firstLine="480" w:firstLineChars="200"/>
        <w:rPr>
          <w:rFonts w:hint="eastAsia" w:ascii="宋体" w:hAnsi="宋体" w:cs="宋体"/>
          <w:sz w:val="24"/>
        </w:rPr>
      </w:pPr>
      <w:r>
        <w:rPr>
          <w:rFonts w:hint="eastAsia" w:ascii="宋体" w:hAnsi="宋体"/>
          <w:sz w:val="24"/>
        </w:rPr>
        <w:t>甲乙双方签订合同后，乙方应按照合同约定履行合同义务，除不可抗力外，乙方不得延迟交货。</w:t>
      </w:r>
      <w:r>
        <w:rPr>
          <w:rFonts w:hint="eastAsia" w:ascii="宋体" w:hAnsi="宋体" w:cs="宋体"/>
          <w:sz w:val="24"/>
        </w:rPr>
        <w:t>在合同履行过程中，如果因不可抗力，乙方遇到不能按时交付货物的情况，应及时以书面形式将不能按时交付货物的理由、预期延误时间通知甲方；甲方收到乙方通知后，认为其理由正当的，可以书面形式酌情同意乙方可以延长交货的具体时间。</w:t>
      </w:r>
    </w:p>
    <w:p w14:paraId="517A8B8E">
      <w:pPr>
        <w:spacing w:line="560" w:lineRule="exact"/>
        <w:ind w:firstLine="482" w:firstLineChars="200"/>
        <w:outlineLvl w:val="0"/>
        <w:rPr>
          <w:rFonts w:hint="eastAsia" w:ascii="宋体" w:hAnsi="宋体" w:cs="宋体"/>
          <w:b/>
          <w:sz w:val="24"/>
        </w:rPr>
      </w:pPr>
      <w:bookmarkStart w:id="480" w:name="_Toc7502"/>
      <w:bookmarkStart w:id="481" w:name="_Toc259093683"/>
      <w:bookmarkStart w:id="482" w:name="_Ref467378121"/>
      <w:bookmarkStart w:id="483" w:name="_Toc487900364"/>
      <w:bookmarkStart w:id="484" w:name="_Toc279701254"/>
      <w:r>
        <w:rPr>
          <w:rFonts w:hint="eastAsia" w:ascii="宋体" w:hAnsi="宋体" w:cs="宋体"/>
          <w:b/>
          <w:sz w:val="24"/>
        </w:rPr>
        <w:t>2.10 合同变更</w:t>
      </w:r>
      <w:bookmarkEnd w:id="480"/>
    </w:p>
    <w:p w14:paraId="6548B15B">
      <w:pPr>
        <w:spacing w:line="560" w:lineRule="exact"/>
        <w:ind w:firstLine="480" w:firstLineChars="200"/>
        <w:rPr>
          <w:rFonts w:hint="eastAsia" w:ascii="宋体" w:hAnsi="宋体" w:cs="宋体"/>
          <w:sz w:val="24"/>
        </w:rPr>
      </w:pPr>
      <w:r>
        <w:rPr>
          <w:rFonts w:hint="eastAsia" w:ascii="宋体" w:hAnsi="宋体" w:cs="宋体"/>
          <w:sz w:val="24"/>
        </w:rPr>
        <w:t>合同继续履行将损害国家利益和社会公共利益的，双方当事人应当以书面形式变更合同。有过错的一方应当承担赔偿责任，双方当事人都有过错的，各自承担相应的责任。</w:t>
      </w:r>
      <w:bookmarkStart w:id="485" w:name="_Toc487900369"/>
      <w:bookmarkStart w:id="486" w:name="_Toc259093688"/>
      <w:bookmarkStart w:id="487" w:name="_Toc279701259"/>
    </w:p>
    <w:p w14:paraId="30C8EA0B">
      <w:pPr>
        <w:spacing w:line="560" w:lineRule="exact"/>
        <w:ind w:firstLine="482" w:firstLineChars="200"/>
        <w:outlineLvl w:val="0"/>
        <w:rPr>
          <w:rFonts w:hint="eastAsia" w:ascii="宋体" w:hAnsi="宋体" w:cs="宋体"/>
          <w:b/>
          <w:sz w:val="24"/>
        </w:rPr>
      </w:pPr>
      <w:bookmarkStart w:id="488" w:name="_Toc10366"/>
      <w:bookmarkStart w:id="489" w:name="_Toc15237"/>
      <w:bookmarkStart w:id="490" w:name="_Toc22955"/>
      <w:r>
        <w:rPr>
          <w:rFonts w:hint="eastAsia" w:ascii="宋体" w:hAnsi="宋体" w:cs="宋体"/>
          <w:b/>
          <w:sz w:val="24"/>
        </w:rPr>
        <w:t>2.11 合同转让</w:t>
      </w:r>
      <w:bookmarkEnd w:id="485"/>
      <w:bookmarkEnd w:id="486"/>
      <w:bookmarkEnd w:id="487"/>
      <w:r>
        <w:rPr>
          <w:rFonts w:hint="eastAsia" w:ascii="宋体" w:hAnsi="宋体" w:cs="宋体"/>
          <w:b/>
          <w:sz w:val="24"/>
        </w:rPr>
        <w:t>和分包</w:t>
      </w:r>
      <w:bookmarkEnd w:id="488"/>
      <w:bookmarkEnd w:id="489"/>
      <w:bookmarkEnd w:id="490"/>
    </w:p>
    <w:p w14:paraId="26C776BF">
      <w:pPr>
        <w:spacing w:line="560" w:lineRule="exact"/>
        <w:ind w:firstLine="480" w:firstLineChars="200"/>
        <w:rPr>
          <w:rFonts w:hint="eastAsia" w:ascii="宋体" w:hAnsi="宋体" w:cs="宋体"/>
          <w:sz w:val="24"/>
        </w:rPr>
      </w:pPr>
      <w:r>
        <w:rPr>
          <w:rFonts w:hint="eastAsia" w:ascii="宋体" w:hAnsi="宋体" w:cs="宋体"/>
          <w:sz w:val="24"/>
        </w:rPr>
        <w:t>2.11.1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4D23538E">
      <w:pPr>
        <w:spacing w:line="560" w:lineRule="exact"/>
        <w:ind w:firstLine="480" w:firstLineChars="200"/>
        <w:rPr>
          <w:rFonts w:hint="eastAsia" w:ascii="宋体" w:hAnsi="宋体" w:cs="宋体"/>
          <w:sz w:val="24"/>
        </w:rPr>
      </w:pPr>
      <w:r>
        <w:rPr>
          <w:rFonts w:hint="eastAsia" w:ascii="宋体" w:hAnsi="宋体" w:cs="宋体"/>
          <w:sz w:val="24"/>
        </w:rPr>
        <w:t>2.11.2乙方采取分包方式履行合同的，甲方可直接向分包供应商支付款项。</w:t>
      </w:r>
    </w:p>
    <w:p w14:paraId="5F494414">
      <w:pPr>
        <w:spacing w:line="560" w:lineRule="exact"/>
        <w:ind w:firstLine="482" w:firstLineChars="200"/>
        <w:outlineLvl w:val="0"/>
        <w:rPr>
          <w:rFonts w:hint="eastAsia" w:ascii="宋体" w:hAnsi="宋体" w:cs="宋体"/>
          <w:b/>
          <w:sz w:val="24"/>
        </w:rPr>
      </w:pPr>
      <w:bookmarkStart w:id="491" w:name="_Toc13566"/>
      <w:bookmarkStart w:id="492" w:name="_Toc14066"/>
      <w:bookmarkStart w:id="493" w:name="_Toc16508"/>
      <w:r>
        <w:rPr>
          <w:rFonts w:hint="eastAsia" w:ascii="宋体" w:hAnsi="宋体" w:cs="宋体"/>
          <w:b/>
          <w:sz w:val="24"/>
        </w:rPr>
        <w:t>2.12 不可抗力</w:t>
      </w:r>
      <w:bookmarkEnd w:id="491"/>
      <w:bookmarkEnd w:id="492"/>
      <w:bookmarkEnd w:id="493"/>
    </w:p>
    <w:p w14:paraId="18C596C6">
      <w:pPr>
        <w:spacing w:line="560" w:lineRule="exact"/>
        <w:ind w:firstLine="480" w:firstLineChars="200"/>
        <w:rPr>
          <w:rFonts w:hint="eastAsia" w:ascii="宋体" w:hAnsi="宋体" w:cs="宋体"/>
          <w:sz w:val="24"/>
        </w:rPr>
      </w:pPr>
      <w:r>
        <w:rPr>
          <w:rFonts w:hint="eastAsia" w:ascii="宋体" w:hAnsi="宋体" w:cs="宋体"/>
          <w:sz w:val="24"/>
        </w:rPr>
        <w:t>2.12.1如果任何一方遭遇法律规定的不可抗力，致使合同履行受阻时，履行合同的期限应予延长，延长的期限应相当于不可抗力所影响的时间；</w:t>
      </w:r>
    </w:p>
    <w:p w14:paraId="6F35E5CB">
      <w:pPr>
        <w:spacing w:line="560" w:lineRule="exact"/>
        <w:ind w:firstLine="480" w:firstLineChars="200"/>
        <w:rPr>
          <w:rFonts w:hint="eastAsia" w:ascii="宋体" w:hAnsi="宋体" w:cs="宋体"/>
          <w:sz w:val="24"/>
        </w:rPr>
      </w:pPr>
      <w:r>
        <w:rPr>
          <w:rFonts w:hint="eastAsia" w:ascii="宋体" w:hAnsi="宋体" w:cs="宋体"/>
          <w:sz w:val="24"/>
        </w:rPr>
        <w:t>2.12.2 因不可抗力致使不能实现合同目的的，当事人可以解除合同；</w:t>
      </w:r>
    </w:p>
    <w:p w14:paraId="01BDA1F9">
      <w:pPr>
        <w:spacing w:line="560" w:lineRule="exact"/>
        <w:ind w:firstLine="480" w:firstLineChars="200"/>
        <w:rPr>
          <w:rFonts w:hint="eastAsia" w:ascii="宋体" w:hAnsi="宋体" w:cs="宋体"/>
          <w:sz w:val="24"/>
        </w:rPr>
      </w:pPr>
      <w:r>
        <w:rPr>
          <w:rFonts w:hint="eastAsia" w:ascii="宋体" w:hAnsi="宋体" w:cs="宋体"/>
          <w:sz w:val="24"/>
        </w:rPr>
        <w:t>2.12.3 因不可抗力致使合同有变更必要的，双方当事人应在</w:t>
      </w:r>
      <w:r>
        <w:rPr>
          <w:rFonts w:hint="eastAsia" w:ascii="宋体" w:hAnsi="宋体" w:cs="宋体"/>
          <w:b/>
          <w:i/>
          <w:sz w:val="24"/>
          <w:u w:val="single"/>
        </w:rPr>
        <w:t>合同专用条款</w:t>
      </w:r>
      <w:r>
        <w:rPr>
          <w:rFonts w:hint="eastAsia" w:ascii="宋体" w:hAnsi="宋体" w:cs="宋体"/>
          <w:sz w:val="24"/>
        </w:rPr>
        <w:t>约定时间内以书面形式变更合同；</w:t>
      </w:r>
    </w:p>
    <w:p w14:paraId="62FB7F6F">
      <w:pPr>
        <w:spacing w:line="560" w:lineRule="exact"/>
        <w:ind w:firstLine="480" w:firstLineChars="200"/>
        <w:rPr>
          <w:rFonts w:hint="eastAsia" w:ascii="宋体" w:hAnsi="宋体" w:cs="宋体"/>
          <w:sz w:val="24"/>
        </w:rPr>
      </w:pPr>
      <w:r>
        <w:rPr>
          <w:rFonts w:hint="eastAsia" w:ascii="宋体" w:hAnsi="宋体" w:cs="宋体"/>
          <w:sz w:val="24"/>
        </w:rPr>
        <w:t>2.12.4受不可抗力影响的一方在不可抗力发生后，应在</w:t>
      </w:r>
      <w:r>
        <w:rPr>
          <w:rFonts w:hint="eastAsia" w:ascii="宋体" w:hAnsi="宋体" w:cs="宋体"/>
          <w:b/>
          <w:i/>
          <w:sz w:val="24"/>
          <w:u w:val="single"/>
        </w:rPr>
        <w:t>合同专用条款</w:t>
      </w:r>
      <w:r>
        <w:rPr>
          <w:rFonts w:hint="eastAsia" w:ascii="宋体" w:hAnsi="宋体" w:cs="宋体"/>
          <w:sz w:val="24"/>
        </w:rPr>
        <w:t>约定时间内以书面形式通知对方当事人，并在</w:t>
      </w:r>
      <w:r>
        <w:rPr>
          <w:rFonts w:hint="eastAsia" w:ascii="宋体" w:hAnsi="宋体" w:cs="宋体"/>
          <w:b/>
          <w:i/>
          <w:sz w:val="24"/>
          <w:u w:val="single"/>
        </w:rPr>
        <w:t>合同专用条款</w:t>
      </w:r>
      <w:r>
        <w:rPr>
          <w:rFonts w:hint="eastAsia" w:ascii="宋体" w:hAnsi="宋体" w:cs="宋体"/>
          <w:sz w:val="24"/>
        </w:rPr>
        <w:t>约定时间内，将有关部门出具的证明文件送达对方当事人。</w:t>
      </w:r>
    </w:p>
    <w:p w14:paraId="6554A515">
      <w:pPr>
        <w:spacing w:line="560" w:lineRule="exact"/>
        <w:ind w:firstLine="482" w:firstLineChars="200"/>
        <w:outlineLvl w:val="0"/>
        <w:rPr>
          <w:rFonts w:hint="eastAsia" w:ascii="宋体" w:hAnsi="宋体" w:cs="宋体"/>
          <w:b/>
          <w:sz w:val="24"/>
        </w:rPr>
      </w:pPr>
      <w:bookmarkStart w:id="494" w:name="_Toc6969"/>
      <w:bookmarkStart w:id="495" w:name="_Toc279701255"/>
      <w:bookmarkStart w:id="496" w:name="_Toc689"/>
      <w:bookmarkStart w:id="497" w:name="_Toc30676"/>
      <w:bookmarkStart w:id="498" w:name="_Toc259093684"/>
      <w:bookmarkStart w:id="499" w:name="_Toc487900365"/>
      <w:r>
        <w:rPr>
          <w:rFonts w:hint="eastAsia" w:ascii="宋体" w:hAnsi="宋体" w:cs="宋体"/>
          <w:b/>
          <w:sz w:val="24"/>
        </w:rPr>
        <w:t>2.13 税费</w:t>
      </w:r>
      <w:bookmarkEnd w:id="494"/>
      <w:bookmarkEnd w:id="495"/>
      <w:bookmarkEnd w:id="496"/>
      <w:bookmarkEnd w:id="497"/>
      <w:bookmarkEnd w:id="498"/>
      <w:bookmarkEnd w:id="499"/>
    </w:p>
    <w:p w14:paraId="7B4E0CB6">
      <w:pPr>
        <w:spacing w:line="560" w:lineRule="exact"/>
        <w:ind w:firstLine="480" w:firstLineChars="200"/>
        <w:rPr>
          <w:rFonts w:hint="eastAsia" w:ascii="宋体" w:hAnsi="宋体" w:cs="宋体"/>
          <w:sz w:val="24"/>
        </w:rPr>
      </w:pPr>
      <w:r>
        <w:rPr>
          <w:rFonts w:hint="eastAsia" w:ascii="宋体" w:hAnsi="宋体" w:cs="宋体"/>
          <w:sz w:val="24"/>
        </w:rPr>
        <w:t>与合同有关的一切税费，均按照中华人民共和国法律的相关规定。</w:t>
      </w:r>
    </w:p>
    <w:p w14:paraId="7C4AAC82">
      <w:pPr>
        <w:spacing w:line="560" w:lineRule="exact"/>
        <w:ind w:firstLine="482" w:firstLineChars="200"/>
        <w:outlineLvl w:val="0"/>
        <w:rPr>
          <w:rFonts w:hint="eastAsia" w:ascii="宋体" w:hAnsi="宋体" w:cs="宋体"/>
          <w:b/>
          <w:sz w:val="24"/>
        </w:rPr>
      </w:pPr>
      <w:bookmarkStart w:id="500" w:name="_Toc7102"/>
      <w:bookmarkStart w:id="501" w:name="_Toc259093687"/>
      <w:bookmarkStart w:id="502" w:name="_Toc487900368"/>
      <w:bookmarkStart w:id="503" w:name="_Toc16959"/>
      <w:bookmarkStart w:id="504" w:name="_Toc8298"/>
      <w:bookmarkStart w:id="505" w:name="_Toc279701258"/>
      <w:r>
        <w:rPr>
          <w:rFonts w:hint="eastAsia" w:ascii="宋体" w:hAnsi="宋体" w:cs="宋体"/>
          <w:b/>
          <w:sz w:val="24"/>
        </w:rPr>
        <w:t>2.14乙方破产</w:t>
      </w:r>
      <w:bookmarkEnd w:id="500"/>
      <w:bookmarkEnd w:id="501"/>
      <w:bookmarkEnd w:id="502"/>
      <w:bookmarkEnd w:id="503"/>
      <w:bookmarkEnd w:id="504"/>
      <w:bookmarkEnd w:id="505"/>
    </w:p>
    <w:p w14:paraId="57C8E3F2">
      <w:pPr>
        <w:spacing w:line="560" w:lineRule="exact"/>
        <w:ind w:firstLine="480" w:firstLineChars="200"/>
        <w:rPr>
          <w:rFonts w:hint="eastAsia" w:ascii="宋体" w:hAnsi="宋体" w:cs="宋体"/>
          <w:sz w:val="24"/>
        </w:rPr>
      </w:pPr>
      <w:r>
        <w:rPr>
          <w:rFonts w:hint="eastAsia" w:ascii="宋体" w:hAnsi="宋体" w:cs="宋体"/>
          <w:sz w:val="24"/>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50DDAA55">
      <w:pPr>
        <w:spacing w:line="560" w:lineRule="exact"/>
        <w:ind w:firstLine="482" w:firstLineChars="200"/>
        <w:outlineLvl w:val="0"/>
        <w:rPr>
          <w:rFonts w:hint="eastAsia" w:ascii="宋体" w:hAnsi="宋体" w:cs="宋体"/>
          <w:b/>
          <w:sz w:val="24"/>
        </w:rPr>
      </w:pPr>
      <w:bookmarkStart w:id="506" w:name="_Toc6134"/>
      <w:bookmarkStart w:id="507" w:name="_Toc29333"/>
      <w:bookmarkStart w:id="508" w:name="_Toc15387"/>
      <w:r>
        <w:rPr>
          <w:rFonts w:hint="eastAsia" w:ascii="宋体" w:hAnsi="宋体" w:cs="宋体"/>
          <w:b/>
          <w:sz w:val="24"/>
        </w:rPr>
        <w:t>2.15 合同中止、终止</w:t>
      </w:r>
      <w:bookmarkEnd w:id="506"/>
      <w:bookmarkEnd w:id="507"/>
      <w:bookmarkEnd w:id="508"/>
    </w:p>
    <w:p w14:paraId="62DC5C8A">
      <w:pPr>
        <w:spacing w:line="560" w:lineRule="exact"/>
        <w:ind w:firstLine="480" w:firstLineChars="200"/>
        <w:rPr>
          <w:rFonts w:hint="eastAsia" w:ascii="宋体" w:hAnsi="宋体" w:cs="宋体"/>
          <w:sz w:val="24"/>
        </w:rPr>
      </w:pPr>
      <w:r>
        <w:rPr>
          <w:rFonts w:hint="eastAsia" w:ascii="宋体" w:hAnsi="宋体" w:cs="宋体"/>
          <w:sz w:val="24"/>
        </w:rPr>
        <w:t>2.15.1 双方当事人不得擅自中止或者终止合同；</w:t>
      </w:r>
    </w:p>
    <w:p w14:paraId="3AD6F5EC">
      <w:pPr>
        <w:spacing w:line="560" w:lineRule="exact"/>
        <w:ind w:firstLine="480" w:firstLineChars="200"/>
        <w:rPr>
          <w:rFonts w:hint="eastAsia" w:ascii="宋体" w:hAnsi="宋体" w:cs="宋体"/>
          <w:sz w:val="24"/>
        </w:rPr>
      </w:pPr>
      <w:r>
        <w:rPr>
          <w:rFonts w:hint="eastAsia" w:ascii="宋体" w:hAnsi="宋体" w:cs="宋体"/>
          <w:sz w:val="24"/>
        </w:rPr>
        <w:t>2.15.2合同继续履行将损害国家利益和社会公共利益的，双方当事人应当中止或者终止合同。有过错的一方应当承担赔偿责任，双方当事人都有过错的，各自承担相应的责任。</w:t>
      </w:r>
    </w:p>
    <w:p w14:paraId="63A525C4">
      <w:pPr>
        <w:spacing w:line="560" w:lineRule="exact"/>
        <w:ind w:firstLine="482" w:firstLineChars="200"/>
        <w:outlineLvl w:val="0"/>
        <w:rPr>
          <w:rFonts w:hint="eastAsia" w:ascii="宋体" w:hAnsi="宋体" w:cs="宋体"/>
          <w:b/>
          <w:sz w:val="24"/>
        </w:rPr>
      </w:pPr>
      <w:bookmarkStart w:id="509" w:name="_Toc6596"/>
      <w:bookmarkStart w:id="510" w:name="_Toc14563"/>
      <w:bookmarkStart w:id="511" w:name="_Toc1125"/>
      <w:r>
        <w:rPr>
          <w:rFonts w:hint="eastAsia" w:ascii="宋体" w:hAnsi="宋体" w:cs="宋体"/>
          <w:b/>
          <w:sz w:val="24"/>
        </w:rPr>
        <w:t>2.16检验和验收</w:t>
      </w:r>
      <w:bookmarkEnd w:id="509"/>
      <w:bookmarkEnd w:id="510"/>
      <w:bookmarkEnd w:id="511"/>
    </w:p>
    <w:p w14:paraId="51A6B189">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2.16.1货物交付前，乙方应对货物的质量、数量等方面进行详细、全面的检验，并向甲方出具证明货物符合合同约定的文件；货物交付时，甲方在</w:t>
      </w:r>
      <w:r>
        <w:rPr>
          <w:rFonts w:hint="eastAsia" w:ascii="宋体" w:hAnsi="宋体" w:cs="宋体"/>
          <w:b/>
          <w:i/>
          <w:sz w:val="24"/>
          <w:u w:val="single"/>
        </w:rPr>
        <w:t>合同专用条款</w:t>
      </w:r>
      <w:r>
        <w:rPr>
          <w:rFonts w:hint="eastAsia" w:ascii="宋体" w:hAnsi="宋体" w:cs="宋体"/>
          <w:sz w:val="24"/>
        </w:rPr>
        <w:t>约定时间内组织验收，并可依法邀请相关方参加，验收应出具验收书。</w:t>
      </w:r>
    </w:p>
    <w:p w14:paraId="02F5ACBD">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2.16.2合同期满或者履行完毕后，甲方有权组织（包括依法邀请国家认可的质量检测机构参加）对乙方履约的验收，即：按照合同约定的技术、服务、安全标准，组织对每一项技术、服务、安全标准的履约情况的验收，并出具验收书。</w:t>
      </w:r>
    </w:p>
    <w:p w14:paraId="25F08B94">
      <w:pPr>
        <w:tabs>
          <w:tab w:val="left" w:pos="360"/>
          <w:tab w:val="left" w:pos="540"/>
          <w:tab w:val="left" w:pos="1080"/>
        </w:tabs>
        <w:spacing w:line="560" w:lineRule="exact"/>
        <w:ind w:firstLine="480" w:firstLineChars="200"/>
        <w:rPr>
          <w:rFonts w:hint="eastAsia" w:ascii="宋体" w:hAnsi="宋体" w:cs="宋体"/>
          <w:sz w:val="24"/>
        </w:rPr>
      </w:pPr>
      <w:r>
        <w:rPr>
          <w:rFonts w:hint="eastAsia" w:ascii="宋体" w:hAnsi="宋体" w:cs="宋体"/>
          <w:sz w:val="24"/>
        </w:rPr>
        <w:t>2.16.3 检验和验收标准、程序等具体内容以及前述验收书的效力详见</w:t>
      </w:r>
      <w:r>
        <w:rPr>
          <w:rFonts w:hint="eastAsia" w:ascii="宋体" w:hAnsi="宋体" w:cs="宋体"/>
          <w:b/>
          <w:i/>
          <w:sz w:val="24"/>
          <w:u w:val="single"/>
        </w:rPr>
        <w:t>合同专用条款</w:t>
      </w:r>
      <w:r>
        <w:rPr>
          <w:rFonts w:hint="eastAsia" w:ascii="宋体" w:hAnsi="宋体" w:cs="宋体"/>
          <w:i/>
          <w:sz w:val="24"/>
        </w:rPr>
        <w:t>。</w:t>
      </w:r>
    </w:p>
    <w:bookmarkEnd w:id="481"/>
    <w:bookmarkEnd w:id="482"/>
    <w:bookmarkEnd w:id="483"/>
    <w:bookmarkEnd w:id="484"/>
    <w:p w14:paraId="18277A19">
      <w:pPr>
        <w:spacing w:line="560" w:lineRule="exact"/>
        <w:ind w:firstLine="482" w:firstLineChars="200"/>
        <w:outlineLvl w:val="0"/>
        <w:rPr>
          <w:rFonts w:hint="eastAsia" w:ascii="宋体" w:hAnsi="宋体" w:cs="宋体"/>
          <w:b/>
          <w:sz w:val="24"/>
        </w:rPr>
      </w:pPr>
      <w:bookmarkStart w:id="512" w:name="_Toc487900371"/>
      <w:bookmarkStart w:id="513" w:name="_Toc279701261"/>
      <w:bookmarkStart w:id="514" w:name="_Toc259093690"/>
      <w:bookmarkStart w:id="515" w:name="_Toc11284"/>
      <w:bookmarkStart w:id="516" w:name="_Toc25182"/>
      <w:bookmarkStart w:id="517" w:name="_Toc19604"/>
      <w:r>
        <w:rPr>
          <w:rFonts w:hint="eastAsia" w:ascii="宋体" w:hAnsi="宋体" w:cs="宋体"/>
          <w:b/>
          <w:sz w:val="24"/>
        </w:rPr>
        <w:t>2.17 通知</w:t>
      </w:r>
      <w:bookmarkEnd w:id="512"/>
      <w:bookmarkEnd w:id="513"/>
      <w:bookmarkEnd w:id="514"/>
      <w:r>
        <w:rPr>
          <w:rFonts w:hint="eastAsia" w:ascii="宋体" w:hAnsi="宋体" w:cs="宋体"/>
          <w:b/>
          <w:sz w:val="24"/>
        </w:rPr>
        <w:t>和送达</w:t>
      </w:r>
      <w:bookmarkEnd w:id="515"/>
      <w:bookmarkEnd w:id="516"/>
      <w:bookmarkEnd w:id="517"/>
    </w:p>
    <w:p w14:paraId="3D83C695">
      <w:pPr>
        <w:spacing w:line="560" w:lineRule="exact"/>
        <w:ind w:firstLine="480" w:firstLineChars="200"/>
        <w:rPr>
          <w:rFonts w:hint="eastAsia" w:ascii="宋体" w:hAnsi="宋体" w:cs="宋体"/>
          <w:sz w:val="24"/>
        </w:rPr>
      </w:pPr>
      <w:bookmarkStart w:id="518" w:name="_Toc3135"/>
      <w:bookmarkStart w:id="519" w:name="_Toc6698"/>
      <w:bookmarkStart w:id="520" w:name="_Toc259093691"/>
      <w:bookmarkStart w:id="521" w:name="_Toc487900372"/>
      <w:bookmarkStart w:id="522" w:name="_Toc279701262"/>
      <w:r>
        <w:rPr>
          <w:rFonts w:hint="eastAsia" w:ascii="宋体" w:hAnsi="宋体" w:cs="宋体"/>
          <w:sz w:val="24"/>
        </w:rPr>
        <w:t xml:space="preserve">2.17.1任何一方因履行合同而以合同第一部分尾部所列明的传真或电子邮件 </w:t>
      </w:r>
      <w:r>
        <w:rPr>
          <w:rFonts w:hint="eastAsia" w:ascii="宋体" w:hAnsi="宋体" w:cs="宋体"/>
          <w:sz w:val="24"/>
          <w:u w:val="single"/>
        </w:rPr>
        <w:t xml:space="preserve">       </w:t>
      </w:r>
      <w:r>
        <w:rPr>
          <w:rFonts w:hint="eastAsia" w:ascii="宋体" w:hAnsi="宋体" w:cs="宋体"/>
          <w:sz w:val="24"/>
        </w:rPr>
        <w:t>发出的所有通知、文件、材料，均视为已向对方当事人送达；任何一方变更上述送达方式或者地址的，应于</w:t>
      </w:r>
      <w:r>
        <w:rPr>
          <w:rFonts w:hint="eastAsia" w:ascii="宋体" w:hAnsi="宋体" w:cs="宋体"/>
          <w:sz w:val="24"/>
          <w:u w:val="single"/>
        </w:rPr>
        <w:t>3</w:t>
      </w:r>
      <w:r>
        <w:rPr>
          <w:rFonts w:hint="eastAsia" w:ascii="宋体" w:hAnsi="宋体" w:cs="宋体"/>
          <w:sz w:val="24"/>
        </w:rPr>
        <w:t>个工作日内书面通知对方当事人，在对方当事人收到有关变更通知之前，变更前的约定送达方式或者地址仍视为有效。</w:t>
      </w:r>
      <w:bookmarkEnd w:id="518"/>
      <w:bookmarkEnd w:id="519"/>
    </w:p>
    <w:p w14:paraId="03661022">
      <w:pPr>
        <w:spacing w:line="560" w:lineRule="exact"/>
        <w:ind w:firstLine="480" w:firstLineChars="200"/>
        <w:rPr>
          <w:rFonts w:hint="eastAsia" w:ascii="宋体" w:hAnsi="宋体" w:cs="宋体"/>
          <w:sz w:val="24"/>
        </w:rPr>
      </w:pPr>
      <w:bookmarkStart w:id="523" w:name="_Toc23294"/>
      <w:bookmarkStart w:id="524" w:name="_Toc23128"/>
      <w:r>
        <w:rPr>
          <w:rFonts w:hint="eastAsia" w:ascii="宋体" w:hAnsi="宋体" w:cs="宋体"/>
          <w:sz w:val="24"/>
        </w:rPr>
        <w:t>2.17.2以当面交付方式送达的，交付之时视为送达；以电子邮件方式送达的，发出电子邮件之时视为送达；以传真方式送达的，发出传真之时视为送达；以邮寄方式送达的，邮件挂号寄出或者交邮之日之次日视为送达。</w:t>
      </w:r>
      <w:bookmarkEnd w:id="523"/>
      <w:bookmarkEnd w:id="524"/>
    </w:p>
    <w:p w14:paraId="7D859F32">
      <w:pPr>
        <w:spacing w:line="560" w:lineRule="exact"/>
        <w:ind w:firstLine="482" w:firstLineChars="200"/>
        <w:outlineLvl w:val="0"/>
        <w:rPr>
          <w:rFonts w:hint="eastAsia" w:ascii="宋体" w:hAnsi="宋体" w:cs="宋体"/>
          <w:b/>
          <w:sz w:val="24"/>
        </w:rPr>
      </w:pPr>
      <w:bookmarkStart w:id="525" w:name="_Toc18540"/>
      <w:bookmarkStart w:id="526" w:name="_Toc4355"/>
      <w:bookmarkStart w:id="527" w:name="_Toc30599"/>
      <w:r>
        <w:rPr>
          <w:rFonts w:hint="eastAsia" w:ascii="宋体" w:hAnsi="宋体" w:cs="宋体"/>
          <w:b/>
          <w:sz w:val="24"/>
        </w:rPr>
        <w:t>2.18 计量单位</w:t>
      </w:r>
      <w:bookmarkEnd w:id="520"/>
      <w:bookmarkEnd w:id="521"/>
      <w:bookmarkEnd w:id="522"/>
      <w:bookmarkEnd w:id="525"/>
      <w:bookmarkEnd w:id="526"/>
      <w:bookmarkEnd w:id="527"/>
    </w:p>
    <w:p w14:paraId="0A393FDF">
      <w:pPr>
        <w:spacing w:line="560" w:lineRule="exact"/>
        <w:ind w:firstLine="480" w:firstLineChars="200"/>
        <w:rPr>
          <w:rFonts w:hint="eastAsia" w:ascii="宋体" w:hAnsi="宋体" w:cs="宋体"/>
          <w:sz w:val="24"/>
        </w:rPr>
      </w:pPr>
      <w:r>
        <w:rPr>
          <w:rFonts w:hint="eastAsia" w:ascii="宋体" w:hAnsi="宋体" w:cs="宋体"/>
          <w:sz w:val="24"/>
        </w:rPr>
        <w:t>除技术规范中另有规定外,合同的计量单位均使用国家法定计量单位。</w:t>
      </w:r>
    </w:p>
    <w:p w14:paraId="5154077B">
      <w:pPr>
        <w:spacing w:line="560" w:lineRule="exact"/>
        <w:ind w:firstLine="482" w:firstLineChars="200"/>
        <w:outlineLvl w:val="0"/>
        <w:rPr>
          <w:rFonts w:hint="eastAsia" w:ascii="宋体" w:hAnsi="宋体" w:cs="宋体"/>
          <w:b/>
          <w:sz w:val="24"/>
        </w:rPr>
      </w:pPr>
      <w:bookmarkStart w:id="528" w:name="_Toc18567"/>
      <w:bookmarkStart w:id="529" w:name="_Toc10330"/>
      <w:bookmarkStart w:id="530" w:name="_Toc12773"/>
      <w:bookmarkStart w:id="531" w:name="_Toc279701263"/>
      <w:bookmarkStart w:id="532" w:name="_Toc487900373"/>
      <w:bookmarkStart w:id="533" w:name="_Toc259093692"/>
      <w:r>
        <w:rPr>
          <w:rFonts w:hint="eastAsia" w:ascii="宋体" w:hAnsi="宋体" w:cs="宋体"/>
          <w:b/>
          <w:sz w:val="24"/>
        </w:rPr>
        <w:t>2.19 合同使用的文字和适用的法律</w:t>
      </w:r>
      <w:bookmarkEnd w:id="528"/>
      <w:bookmarkEnd w:id="529"/>
      <w:bookmarkEnd w:id="530"/>
      <w:bookmarkEnd w:id="531"/>
      <w:bookmarkEnd w:id="532"/>
      <w:bookmarkEnd w:id="533"/>
    </w:p>
    <w:p w14:paraId="1FAFDFBD">
      <w:pPr>
        <w:spacing w:line="560" w:lineRule="exact"/>
        <w:ind w:firstLine="480" w:firstLineChars="200"/>
        <w:rPr>
          <w:rFonts w:hint="eastAsia" w:ascii="宋体" w:hAnsi="宋体" w:cs="宋体"/>
          <w:sz w:val="24"/>
        </w:rPr>
      </w:pPr>
      <w:r>
        <w:rPr>
          <w:rFonts w:hint="eastAsia" w:ascii="宋体" w:hAnsi="宋体" w:cs="宋体"/>
          <w:sz w:val="24"/>
        </w:rPr>
        <w:t>2.19.1 合同使用汉语书就、变更和解释；</w:t>
      </w:r>
    </w:p>
    <w:p w14:paraId="39271846">
      <w:pPr>
        <w:spacing w:line="560" w:lineRule="exact"/>
        <w:ind w:firstLine="480" w:firstLineChars="200"/>
        <w:rPr>
          <w:rFonts w:hint="eastAsia" w:ascii="宋体" w:hAnsi="宋体" w:cs="宋体"/>
          <w:sz w:val="24"/>
        </w:rPr>
      </w:pPr>
      <w:r>
        <w:rPr>
          <w:rFonts w:hint="eastAsia" w:ascii="宋体" w:hAnsi="宋体" w:cs="宋体"/>
          <w:sz w:val="24"/>
        </w:rPr>
        <w:t>2.19.2 合同适用中华人民共和国法律。</w:t>
      </w:r>
    </w:p>
    <w:p w14:paraId="2BDAFB44">
      <w:pPr>
        <w:spacing w:line="560" w:lineRule="exact"/>
        <w:ind w:firstLine="482" w:firstLineChars="200"/>
        <w:outlineLvl w:val="0"/>
        <w:rPr>
          <w:rFonts w:hint="eastAsia" w:ascii="宋体" w:hAnsi="宋体" w:cs="宋体"/>
          <w:b/>
          <w:sz w:val="24"/>
        </w:rPr>
      </w:pPr>
      <w:bookmarkStart w:id="534" w:name="_Toc19890"/>
      <w:bookmarkStart w:id="535" w:name="_Toc6885"/>
      <w:bookmarkStart w:id="536" w:name="_Toc14001"/>
      <w:r>
        <w:rPr>
          <w:rFonts w:hint="eastAsia" w:ascii="宋体" w:hAnsi="宋体" w:cs="宋体"/>
          <w:b/>
          <w:sz w:val="24"/>
        </w:rPr>
        <w:t>2.20 合同份数</w:t>
      </w:r>
      <w:bookmarkEnd w:id="534"/>
      <w:bookmarkEnd w:id="535"/>
      <w:bookmarkEnd w:id="536"/>
    </w:p>
    <w:p w14:paraId="0AE61E46">
      <w:pPr>
        <w:spacing w:line="560" w:lineRule="exact"/>
        <w:ind w:firstLine="480" w:firstLineChars="200"/>
        <w:rPr>
          <w:rFonts w:hint="eastAsia" w:ascii="宋体" w:hAnsi="宋体" w:cs="宋体"/>
          <w:sz w:val="24"/>
        </w:rPr>
      </w:pPr>
      <w:r>
        <w:rPr>
          <w:rFonts w:hint="eastAsia" w:ascii="宋体" w:hAnsi="宋体" w:cs="宋体"/>
          <w:sz w:val="24"/>
        </w:rPr>
        <w:t>合同份数按</w:t>
      </w:r>
      <w:r>
        <w:rPr>
          <w:rFonts w:hint="eastAsia" w:ascii="宋体" w:hAnsi="宋体" w:cs="宋体"/>
          <w:b/>
          <w:i/>
          <w:sz w:val="24"/>
          <w:u w:val="single"/>
        </w:rPr>
        <w:t>合同专用条款</w:t>
      </w:r>
      <w:r>
        <w:rPr>
          <w:rFonts w:hint="eastAsia" w:ascii="宋体" w:hAnsi="宋体" w:cs="宋体"/>
          <w:sz w:val="24"/>
        </w:rPr>
        <w:t>规定，每份均具有同等法律效力。</w:t>
      </w:r>
    </w:p>
    <w:p w14:paraId="39240A3E">
      <w:pPr>
        <w:adjustRightInd/>
        <w:spacing w:line="360" w:lineRule="auto"/>
        <w:ind w:firstLine="2513" w:firstLineChars="1197"/>
        <w:outlineLvl w:val="0"/>
        <w:rPr>
          <w:rFonts w:hint="eastAsia" w:ascii="宋体" w:hAnsi="宋体" w:cs="宋体"/>
          <w:b/>
        </w:rPr>
      </w:pPr>
      <w:r>
        <w:rPr>
          <w:rFonts w:hint="eastAsia" w:ascii="宋体" w:hAnsi="宋体" w:cs="宋体"/>
          <w:kern w:val="0"/>
        </w:rPr>
        <w:br w:type="page"/>
      </w:r>
      <w:r>
        <w:rPr>
          <w:rFonts w:hint="eastAsia" w:ascii="宋体" w:hAnsi="宋体" w:cs="宋体"/>
          <w:b/>
          <w:sz w:val="32"/>
          <w:szCs w:val="20"/>
        </w:rPr>
        <w:t xml:space="preserve"> 第三部分  合同专用条款</w:t>
      </w:r>
    </w:p>
    <w:p w14:paraId="36A9C9CF">
      <w:pPr>
        <w:spacing w:line="560" w:lineRule="exact"/>
        <w:ind w:left="-420" w:leftChars="-200" w:right="-420" w:rightChars="-200" w:firstLine="480" w:firstLineChars="200"/>
        <w:rPr>
          <w:rFonts w:hint="eastAsia" w:ascii="宋体" w:hAnsi="宋体" w:cs="宋体"/>
        </w:rPr>
      </w:pPr>
      <w:r>
        <w:rPr>
          <w:rFonts w:hint="eastAsia" w:ascii="宋体" w:hAnsi="宋体" w:cs="宋体"/>
          <w:sz w:val="24"/>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5"/>
        <w:tblW w:w="5000" w:type="pct"/>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autofit"/>
        <w:tblCellMar>
          <w:top w:w="0" w:type="dxa"/>
          <w:left w:w="28" w:type="dxa"/>
          <w:bottom w:w="0" w:type="dxa"/>
          <w:right w:w="28" w:type="dxa"/>
        </w:tblCellMar>
      </w:tblPr>
      <w:tblGrid>
        <w:gridCol w:w="849"/>
        <w:gridCol w:w="8277"/>
      </w:tblGrid>
      <w:tr w14:paraId="7CD42CB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465" w:type="pct"/>
            <w:tcBorders>
              <w:left w:val="single" w:color="auto" w:sz="4" w:space="0"/>
            </w:tcBorders>
            <w:vAlign w:val="center"/>
          </w:tcPr>
          <w:p w14:paraId="2AAFE982">
            <w:pPr>
              <w:spacing w:line="360" w:lineRule="auto"/>
              <w:jc w:val="center"/>
              <w:rPr>
                <w:rFonts w:hint="eastAsia" w:ascii="宋体" w:hAnsi="宋体" w:cs="宋体"/>
                <w:b/>
                <w:sz w:val="24"/>
              </w:rPr>
            </w:pPr>
            <w:r>
              <w:rPr>
                <w:rFonts w:hint="eastAsia" w:ascii="宋体" w:hAnsi="宋体" w:cs="宋体"/>
                <w:b/>
                <w:sz w:val="24"/>
              </w:rPr>
              <w:t>条款号</w:t>
            </w:r>
          </w:p>
        </w:tc>
        <w:tc>
          <w:tcPr>
            <w:tcW w:w="4534" w:type="pct"/>
            <w:vAlign w:val="center"/>
          </w:tcPr>
          <w:p w14:paraId="399DFBDD">
            <w:pPr>
              <w:spacing w:line="360" w:lineRule="auto"/>
              <w:jc w:val="center"/>
              <w:rPr>
                <w:rFonts w:hint="eastAsia" w:ascii="宋体" w:hAnsi="宋体" w:cs="宋体"/>
                <w:b/>
                <w:sz w:val="24"/>
              </w:rPr>
            </w:pPr>
            <w:r>
              <w:rPr>
                <w:rFonts w:hint="eastAsia" w:ascii="宋体" w:hAnsi="宋体" w:cs="宋体"/>
                <w:b/>
                <w:sz w:val="24"/>
              </w:rPr>
              <w:t>约定内容</w:t>
            </w:r>
          </w:p>
        </w:tc>
      </w:tr>
      <w:tr w14:paraId="3BA15E6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2C55E98">
            <w:pPr>
              <w:spacing w:line="360" w:lineRule="auto"/>
              <w:rPr>
                <w:rFonts w:hint="eastAsia" w:ascii="宋体" w:hAnsi="宋体" w:cs="宋体"/>
                <w:sz w:val="24"/>
              </w:rPr>
            </w:pPr>
            <w:r>
              <w:rPr>
                <w:rFonts w:hint="eastAsia" w:ascii="宋体" w:hAnsi="宋体" w:cs="宋体"/>
                <w:sz w:val="24"/>
              </w:rPr>
              <w:t>1.4.2</w:t>
            </w:r>
          </w:p>
        </w:tc>
        <w:tc>
          <w:tcPr>
            <w:tcW w:w="4534" w:type="pct"/>
            <w:vAlign w:val="center"/>
          </w:tcPr>
          <w:p w14:paraId="18CAEAE0">
            <w:pPr>
              <w:spacing w:line="360" w:lineRule="auto"/>
              <w:rPr>
                <w:rFonts w:hint="eastAsia" w:ascii="宋体" w:hAnsi="宋体" w:cs="宋体"/>
                <w:sz w:val="24"/>
              </w:rPr>
            </w:pPr>
          </w:p>
        </w:tc>
      </w:tr>
      <w:tr w14:paraId="28F64D8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8AE8242">
            <w:pPr>
              <w:spacing w:line="360" w:lineRule="auto"/>
              <w:rPr>
                <w:rFonts w:hint="eastAsia" w:ascii="宋体" w:hAnsi="宋体" w:cs="宋体"/>
                <w:sz w:val="24"/>
              </w:rPr>
            </w:pPr>
            <w:r>
              <w:rPr>
                <w:rFonts w:hint="eastAsia" w:ascii="宋体" w:hAnsi="宋体" w:cs="宋体"/>
                <w:sz w:val="24"/>
              </w:rPr>
              <w:t>1.5.1</w:t>
            </w:r>
          </w:p>
        </w:tc>
        <w:tc>
          <w:tcPr>
            <w:tcW w:w="4534" w:type="pct"/>
            <w:vAlign w:val="center"/>
          </w:tcPr>
          <w:p w14:paraId="19C801B5">
            <w:pPr>
              <w:spacing w:line="360" w:lineRule="auto"/>
              <w:rPr>
                <w:rFonts w:hint="eastAsia" w:ascii="宋体" w:hAnsi="宋体" w:cs="宋体"/>
                <w:sz w:val="24"/>
              </w:rPr>
            </w:pPr>
          </w:p>
        </w:tc>
      </w:tr>
      <w:tr w14:paraId="06D9C40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09068B">
            <w:pPr>
              <w:spacing w:line="360" w:lineRule="auto"/>
              <w:rPr>
                <w:rFonts w:hint="eastAsia" w:ascii="宋体" w:hAnsi="宋体" w:cs="宋体"/>
                <w:sz w:val="24"/>
              </w:rPr>
            </w:pPr>
            <w:r>
              <w:rPr>
                <w:rFonts w:hint="eastAsia" w:ascii="宋体" w:hAnsi="宋体" w:cs="宋体"/>
                <w:sz w:val="24"/>
              </w:rPr>
              <w:t xml:space="preserve">1.5.2 </w:t>
            </w:r>
          </w:p>
        </w:tc>
        <w:tc>
          <w:tcPr>
            <w:tcW w:w="4534" w:type="pct"/>
            <w:vAlign w:val="center"/>
          </w:tcPr>
          <w:p w14:paraId="514CB572">
            <w:pPr>
              <w:spacing w:line="360" w:lineRule="auto"/>
              <w:rPr>
                <w:rFonts w:hint="eastAsia" w:ascii="宋体" w:hAnsi="宋体" w:cs="宋体"/>
                <w:sz w:val="24"/>
              </w:rPr>
            </w:pPr>
          </w:p>
        </w:tc>
      </w:tr>
      <w:tr w14:paraId="42662A7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B425D24">
            <w:pPr>
              <w:spacing w:line="360" w:lineRule="auto"/>
              <w:rPr>
                <w:rFonts w:hint="eastAsia" w:ascii="宋体" w:hAnsi="宋体" w:cs="宋体"/>
                <w:sz w:val="24"/>
              </w:rPr>
            </w:pPr>
            <w:r>
              <w:rPr>
                <w:rFonts w:hint="eastAsia" w:ascii="宋体" w:hAnsi="宋体" w:cs="宋体"/>
                <w:sz w:val="24"/>
              </w:rPr>
              <w:t>1.5.3</w:t>
            </w:r>
          </w:p>
        </w:tc>
        <w:tc>
          <w:tcPr>
            <w:tcW w:w="4534" w:type="pct"/>
            <w:vAlign w:val="center"/>
          </w:tcPr>
          <w:p w14:paraId="6BFC200B">
            <w:pPr>
              <w:spacing w:line="360" w:lineRule="auto"/>
              <w:rPr>
                <w:rFonts w:hint="eastAsia" w:ascii="宋体" w:hAnsi="宋体" w:cs="宋体"/>
                <w:sz w:val="24"/>
              </w:rPr>
            </w:pPr>
          </w:p>
        </w:tc>
      </w:tr>
      <w:tr w14:paraId="7307F17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6478541F">
            <w:pPr>
              <w:spacing w:line="360" w:lineRule="auto"/>
              <w:rPr>
                <w:rFonts w:hint="eastAsia" w:ascii="宋体" w:hAnsi="宋体" w:cs="宋体"/>
                <w:sz w:val="24"/>
              </w:rPr>
            </w:pPr>
            <w:r>
              <w:rPr>
                <w:rFonts w:hint="eastAsia" w:ascii="宋体" w:hAnsi="宋体" w:cs="宋体"/>
                <w:sz w:val="24"/>
              </w:rPr>
              <w:t>1.6.2</w:t>
            </w:r>
          </w:p>
        </w:tc>
        <w:tc>
          <w:tcPr>
            <w:tcW w:w="4534" w:type="pct"/>
            <w:vAlign w:val="center"/>
          </w:tcPr>
          <w:p w14:paraId="7740263D">
            <w:pPr>
              <w:spacing w:line="360" w:lineRule="auto"/>
              <w:rPr>
                <w:rFonts w:hint="eastAsia" w:ascii="宋体" w:hAnsi="宋体" w:cs="宋体"/>
                <w:sz w:val="24"/>
              </w:rPr>
            </w:pPr>
          </w:p>
        </w:tc>
      </w:tr>
      <w:tr w14:paraId="300A26B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2C72D16">
            <w:pPr>
              <w:spacing w:line="360" w:lineRule="auto"/>
              <w:rPr>
                <w:rFonts w:hint="eastAsia" w:ascii="宋体" w:hAnsi="宋体" w:cs="宋体"/>
                <w:sz w:val="24"/>
              </w:rPr>
            </w:pPr>
            <w:r>
              <w:rPr>
                <w:rFonts w:hint="eastAsia" w:ascii="宋体" w:hAnsi="宋体" w:cs="宋体"/>
                <w:sz w:val="24"/>
              </w:rPr>
              <w:t>1.7.1</w:t>
            </w:r>
          </w:p>
        </w:tc>
        <w:tc>
          <w:tcPr>
            <w:tcW w:w="4534" w:type="pct"/>
            <w:vAlign w:val="center"/>
          </w:tcPr>
          <w:p w14:paraId="7E196A26">
            <w:pPr>
              <w:spacing w:line="360" w:lineRule="auto"/>
              <w:rPr>
                <w:rFonts w:hint="eastAsia" w:ascii="宋体" w:hAnsi="宋体" w:cs="宋体"/>
                <w:sz w:val="24"/>
              </w:rPr>
            </w:pPr>
          </w:p>
        </w:tc>
      </w:tr>
      <w:tr w14:paraId="49712F8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07D3971">
            <w:pPr>
              <w:spacing w:line="360" w:lineRule="auto"/>
              <w:rPr>
                <w:rFonts w:hint="eastAsia" w:ascii="宋体" w:hAnsi="宋体" w:cs="宋体"/>
                <w:sz w:val="24"/>
              </w:rPr>
            </w:pPr>
            <w:r>
              <w:rPr>
                <w:rFonts w:hint="eastAsia" w:ascii="宋体" w:hAnsi="宋体" w:cs="宋体"/>
                <w:sz w:val="24"/>
              </w:rPr>
              <w:t>1.7.2</w:t>
            </w:r>
          </w:p>
        </w:tc>
        <w:tc>
          <w:tcPr>
            <w:tcW w:w="4534" w:type="pct"/>
            <w:vAlign w:val="center"/>
          </w:tcPr>
          <w:p w14:paraId="2F11658A">
            <w:pPr>
              <w:spacing w:line="360" w:lineRule="auto"/>
              <w:rPr>
                <w:rFonts w:hint="eastAsia" w:ascii="宋体" w:hAnsi="宋体" w:cs="宋体"/>
                <w:sz w:val="24"/>
              </w:rPr>
            </w:pPr>
          </w:p>
        </w:tc>
      </w:tr>
      <w:tr w14:paraId="3B9166E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6394A6D">
            <w:pPr>
              <w:spacing w:line="360" w:lineRule="auto"/>
              <w:rPr>
                <w:rFonts w:hint="eastAsia" w:ascii="宋体" w:hAnsi="宋体" w:cs="宋体"/>
                <w:sz w:val="24"/>
              </w:rPr>
            </w:pPr>
            <w:r>
              <w:rPr>
                <w:rFonts w:hint="eastAsia" w:ascii="宋体" w:hAnsi="宋体" w:cs="宋体"/>
                <w:sz w:val="24"/>
              </w:rPr>
              <w:t>1.7.3</w:t>
            </w:r>
          </w:p>
        </w:tc>
        <w:tc>
          <w:tcPr>
            <w:tcW w:w="4534" w:type="pct"/>
            <w:vAlign w:val="center"/>
          </w:tcPr>
          <w:p w14:paraId="2EE8FF28">
            <w:pPr>
              <w:spacing w:line="360" w:lineRule="auto"/>
              <w:rPr>
                <w:rFonts w:hint="eastAsia" w:ascii="宋体" w:hAnsi="宋体" w:cs="宋体"/>
                <w:sz w:val="24"/>
              </w:rPr>
            </w:pPr>
          </w:p>
        </w:tc>
      </w:tr>
      <w:tr w14:paraId="4752551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5426007D">
            <w:pPr>
              <w:spacing w:line="360" w:lineRule="auto"/>
              <w:rPr>
                <w:rFonts w:hint="eastAsia" w:ascii="宋体" w:hAnsi="宋体" w:cs="宋体"/>
                <w:sz w:val="24"/>
              </w:rPr>
            </w:pPr>
            <w:r>
              <w:rPr>
                <w:rFonts w:hint="eastAsia" w:ascii="宋体" w:hAnsi="宋体" w:cs="宋体"/>
                <w:sz w:val="24"/>
              </w:rPr>
              <w:t>1.8.6</w:t>
            </w:r>
          </w:p>
        </w:tc>
        <w:tc>
          <w:tcPr>
            <w:tcW w:w="4534" w:type="pct"/>
            <w:vAlign w:val="center"/>
          </w:tcPr>
          <w:p w14:paraId="50EDA150">
            <w:pPr>
              <w:spacing w:line="360" w:lineRule="auto"/>
              <w:rPr>
                <w:rFonts w:hint="eastAsia" w:ascii="宋体" w:hAnsi="宋体" w:cs="宋体"/>
                <w:sz w:val="24"/>
              </w:rPr>
            </w:pPr>
          </w:p>
        </w:tc>
      </w:tr>
      <w:tr w14:paraId="3C7F5A5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C979485">
            <w:pPr>
              <w:spacing w:line="360" w:lineRule="auto"/>
              <w:rPr>
                <w:rFonts w:hint="eastAsia" w:ascii="宋体" w:hAnsi="宋体" w:cs="宋体"/>
                <w:sz w:val="24"/>
              </w:rPr>
            </w:pPr>
            <w:r>
              <w:rPr>
                <w:rFonts w:hint="eastAsia" w:ascii="宋体" w:hAnsi="宋体" w:cs="宋体"/>
                <w:sz w:val="24"/>
              </w:rPr>
              <w:t>1.9</w:t>
            </w:r>
          </w:p>
        </w:tc>
        <w:tc>
          <w:tcPr>
            <w:tcW w:w="4534" w:type="pct"/>
            <w:vAlign w:val="center"/>
          </w:tcPr>
          <w:p w14:paraId="1E29967F">
            <w:pPr>
              <w:spacing w:line="360" w:lineRule="auto"/>
              <w:rPr>
                <w:rFonts w:hint="eastAsia" w:ascii="宋体" w:hAnsi="宋体" w:cs="宋体"/>
                <w:sz w:val="24"/>
              </w:rPr>
            </w:pPr>
          </w:p>
        </w:tc>
      </w:tr>
      <w:tr w14:paraId="6357EC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7CBA3530">
            <w:pPr>
              <w:spacing w:line="360" w:lineRule="auto"/>
              <w:rPr>
                <w:rFonts w:hint="eastAsia" w:ascii="宋体" w:hAnsi="宋体" w:cs="宋体"/>
                <w:sz w:val="24"/>
              </w:rPr>
            </w:pPr>
            <w:r>
              <w:rPr>
                <w:rFonts w:hint="eastAsia" w:ascii="宋体" w:hAnsi="宋体" w:cs="宋体"/>
                <w:sz w:val="24"/>
              </w:rPr>
              <w:t>2.3.2</w:t>
            </w:r>
          </w:p>
        </w:tc>
        <w:tc>
          <w:tcPr>
            <w:tcW w:w="4534" w:type="pct"/>
            <w:vAlign w:val="center"/>
          </w:tcPr>
          <w:p w14:paraId="0E97745E">
            <w:pPr>
              <w:spacing w:line="360" w:lineRule="auto"/>
              <w:ind w:left="-420" w:leftChars="-200" w:right="-420" w:rightChars="-200" w:firstLine="480" w:firstLineChars="200"/>
              <w:rPr>
                <w:rFonts w:hint="eastAsia" w:ascii="宋体" w:hAnsi="宋体" w:cs="宋体"/>
                <w:sz w:val="24"/>
              </w:rPr>
            </w:pPr>
          </w:p>
        </w:tc>
      </w:tr>
      <w:tr w14:paraId="1EA4DC7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F15E6DE">
            <w:pPr>
              <w:spacing w:line="360" w:lineRule="auto"/>
              <w:rPr>
                <w:rFonts w:hint="eastAsia" w:ascii="宋体" w:hAnsi="宋体" w:cs="宋体"/>
                <w:sz w:val="24"/>
              </w:rPr>
            </w:pPr>
            <w:r>
              <w:rPr>
                <w:rFonts w:hint="eastAsia" w:ascii="宋体" w:hAnsi="宋体" w:cs="宋体"/>
                <w:sz w:val="24"/>
              </w:rPr>
              <w:t>2.4.1</w:t>
            </w:r>
          </w:p>
        </w:tc>
        <w:tc>
          <w:tcPr>
            <w:tcW w:w="4534" w:type="pct"/>
            <w:vAlign w:val="center"/>
          </w:tcPr>
          <w:p w14:paraId="4646A140">
            <w:pPr>
              <w:spacing w:line="360" w:lineRule="auto"/>
              <w:ind w:left="-420" w:leftChars="-200" w:right="-420" w:rightChars="-200" w:firstLine="480" w:firstLineChars="200"/>
              <w:rPr>
                <w:rFonts w:hint="eastAsia" w:ascii="宋体" w:hAnsi="宋体" w:cs="宋体"/>
                <w:sz w:val="24"/>
              </w:rPr>
            </w:pPr>
          </w:p>
        </w:tc>
      </w:tr>
      <w:tr w14:paraId="134F3A6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35AB386B">
            <w:pPr>
              <w:spacing w:line="360" w:lineRule="auto"/>
              <w:rPr>
                <w:rFonts w:hint="eastAsia" w:ascii="宋体" w:hAnsi="宋体" w:cs="宋体"/>
                <w:sz w:val="24"/>
              </w:rPr>
            </w:pPr>
            <w:r>
              <w:rPr>
                <w:rFonts w:hint="eastAsia" w:ascii="宋体" w:hAnsi="宋体" w:cs="宋体"/>
                <w:sz w:val="24"/>
              </w:rPr>
              <w:t>2.4.3</w:t>
            </w:r>
          </w:p>
        </w:tc>
        <w:tc>
          <w:tcPr>
            <w:tcW w:w="4534" w:type="pct"/>
            <w:vAlign w:val="center"/>
          </w:tcPr>
          <w:p w14:paraId="04A043A1">
            <w:pPr>
              <w:spacing w:line="360" w:lineRule="auto"/>
              <w:rPr>
                <w:rFonts w:hint="eastAsia" w:ascii="宋体" w:hAnsi="宋体" w:cs="宋体"/>
                <w:sz w:val="24"/>
              </w:rPr>
            </w:pPr>
          </w:p>
        </w:tc>
      </w:tr>
      <w:tr w14:paraId="3547943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tcPr>
          <w:p w14:paraId="61803CC2">
            <w:pPr>
              <w:spacing w:line="360" w:lineRule="auto"/>
              <w:rPr>
                <w:rFonts w:hint="eastAsia" w:ascii="宋体" w:hAnsi="宋体" w:cs="宋体"/>
                <w:sz w:val="24"/>
              </w:rPr>
            </w:pPr>
            <w:r>
              <w:rPr>
                <w:rFonts w:hint="eastAsia" w:ascii="宋体" w:hAnsi="宋体" w:cs="宋体"/>
                <w:sz w:val="24"/>
              </w:rPr>
              <w:t xml:space="preserve">2.8 </w:t>
            </w:r>
          </w:p>
        </w:tc>
        <w:tc>
          <w:tcPr>
            <w:tcW w:w="4534" w:type="pct"/>
          </w:tcPr>
          <w:p w14:paraId="0FA7D94A">
            <w:pPr>
              <w:spacing w:line="360" w:lineRule="auto"/>
              <w:rPr>
                <w:rFonts w:hint="eastAsia" w:ascii="宋体" w:hAnsi="宋体" w:cs="宋体"/>
                <w:sz w:val="24"/>
              </w:rPr>
            </w:pPr>
          </w:p>
        </w:tc>
      </w:tr>
      <w:tr w14:paraId="127C8A3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160D115E">
            <w:pPr>
              <w:spacing w:line="360" w:lineRule="auto"/>
              <w:rPr>
                <w:rFonts w:hint="eastAsia" w:ascii="宋体" w:hAnsi="宋体" w:cs="宋体"/>
                <w:sz w:val="24"/>
              </w:rPr>
            </w:pPr>
            <w:r>
              <w:rPr>
                <w:rFonts w:hint="eastAsia" w:ascii="宋体" w:hAnsi="宋体" w:cs="宋体"/>
                <w:sz w:val="24"/>
              </w:rPr>
              <w:t>2.12.3</w:t>
            </w:r>
          </w:p>
        </w:tc>
        <w:tc>
          <w:tcPr>
            <w:tcW w:w="4534" w:type="pct"/>
            <w:vAlign w:val="center"/>
          </w:tcPr>
          <w:p w14:paraId="0E5FF667">
            <w:pPr>
              <w:spacing w:line="360" w:lineRule="auto"/>
              <w:rPr>
                <w:rFonts w:hint="eastAsia" w:ascii="宋体" w:hAnsi="宋体" w:cs="宋体"/>
                <w:sz w:val="24"/>
              </w:rPr>
            </w:pPr>
          </w:p>
        </w:tc>
      </w:tr>
      <w:tr w14:paraId="0904813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4ECE12D4">
            <w:pPr>
              <w:spacing w:line="360" w:lineRule="auto"/>
              <w:rPr>
                <w:rFonts w:hint="eastAsia" w:ascii="宋体" w:hAnsi="宋体" w:cs="宋体"/>
                <w:sz w:val="24"/>
              </w:rPr>
            </w:pPr>
            <w:r>
              <w:rPr>
                <w:rFonts w:hint="eastAsia" w:ascii="宋体" w:hAnsi="宋体" w:cs="宋体"/>
                <w:sz w:val="24"/>
              </w:rPr>
              <w:t>2.12.4</w:t>
            </w:r>
          </w:p>
        </w:tc>
        <w:tc>
          <w:tcPr>
            <w:tcW w:w="4534" w:type="pct"/>
            <w:vAlign w:val="center"/>
          </w:tcPr>
          <w:p w14:paraId="52B51C1E">
            <w:pPr>
              <w:spacing w:line="360" w:lineRule="auto"/>
              <w:rPr>
                <w:rFonts w:hint="eastAsia" w:ascii="宋体" w:hAnsi="宋体" w:cs="宋体"/>
                <w:sz w:val="24"/>
              </w:rPr>
            </w:pPr>
          </w:p>
        </w:tc>
      </w:tr>
      <w:tr w14:paraId="33BBC1C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465" w:type="pct"/>
            <w:tcBorders>
              <w:left w:val="single" w:color="auto" w:sz="4" w:space="0"/>
            </w:tcBorders>
            <w:vAlign w:val="center"/>
          </w:tcPr>
          <w:p w14:paraId="0CDDFE6A">
            <w:pPr>
              <w:spacing w:line="360" w:lineRule="auto"/>
              <w:rPr>
                <w:rFonts w:hint="eastAsia" w:ascii="宋体" w:hAnsi="宋体" w:cs="宋体"/>
                <w:sz w:val="24"/>
              </w:rPr>
            </w:pPr>
            <w:r>
              <w:rPr>
                <w:rFonts w:hint="eastAsia" w:ascii="宋体" w:hAnsi="宋体" w:cs="宋体"/>
                <w:sz w:val="24"/>
              </w:rPr>
              <w:t>2.16.1</w:t>
            </w:r>
          </w:p>
        </w:tc>
        <w:tc>
          <w:tcPr>
            <w:tcW w:w="4534" w:type="pct"/>
            <w:vAlign w:val="center"/>
          </w:tcPr>
          <w:p w14:paraId="3B75DD68">
            <w:pPr>
              <w:spacing w:line="360" w:lineRule="auto"/>
              <w:rPr>
                <w:rFonts w:hint="eastAsia" w:ascii="宋体" w:hAnsi="宋体" w:cs="宋体"/>
                <w:sz w:val="24"/>
              </w:rPr>
            </w:pPr>
          </w:p>
        </w:tc>
      </w:tr>
      <w:tr w14:paraId="327F477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465" w:type="pct"/>
            <w:tcBorders>
              <w:left w:val="single" w:color="auto" w:sz="4" w:space="0"/>
            </w:tcBorders>
            <w:vAlign w:val="center"/>
          </w:tcPr>
          <w:p w14:paraId="45052DA8">
            <w:pPr>
              <w:spacing w:line="360" w:lineRule="auto"/>
              <w:rPr>
                <w:rFonts w:hint="eastAsia" w:ascii="宋体" w:hAnsi="宋体" w:cs="宋体"/>
                <w:sz w:val="24"/>
              </w:rPr>
            </w:pPr>
            <w:r>
              <w:rPr>
                <w:rFonts w:hint="eastAsia" w:ascii="宋体" w:hAnsi="宋体" w:cs="宋体"/>
                <w:sz w:val="24"/>
              </w:rPr>
              <w:t>2.16.3</w:t>
            </w:r>
          </w:p>
        </w:tc>
        <w:tc>
          <w:tcPr>
            <w:tcW w:w="4534" w:type="pct"/>
            <w:vAlign w:val="center"/>
          </w:tcPr>
          <w:p w14:paraId="72B55B5F">
            <w:pPr>
              <w:spacing w:line="360" w:lineRule="auto"/>
              <w:rPr>
                <w:rFonts w:hint="eastAsia" w:ascii="宋体" w:hAnsi="宋体" w:cs="宋体"/>
                <w:sz w:val="24"/>
              </w:rPr>
            </w:pPr>
          </w:p>
        </w:tc>
      </w:tr>
      <w:tr w14:paraId="6234A6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465" w:type="pct"/>
            <w:tcBorders>
              <w:left w:val="single" w:color="auto" w:sz="4" w:space="0"/>
            </w:tcBorders>
            <w:vAlign w:val="center"/>
          </w:tcPr>
          <w:p w14:paraId="57E4A4AC">
            <w:pPr>
              <w:spacing w:line="360" w:lineRule="auto"/>
              <w:ind w:left="-420" w:leftChars="-200" w:right="-420" w:rightChars="-200" w:firstLine="480" w:firstLineChars="200"/>
              <w:outlineLvl w:val="0"/>
              <w:rPr>
                <w:rFonts w:hint="eastAsia" w:ascii="宋体" w:hAnsi="宋体" w:cs="宋体"/>
                <w:sz w:val="24"/>
              </w:rPr>
            </w:pPr>
            <w:r>
              <w:rPr>
                <w:rFonts w:hint="eastAsia" w:ascii="宋体" w:hAnsi="宋体" w:cs="宋体"/>
                <w:sz w:val="24"/>
              </w:rPr>
              <w:t xml:space="preserve">2.20 </w:t>
            </w:r>
          </w:p>
        </w:tc>
        <w:tc>
          <w:tcPr>
            <w:tcW w:w="4534" w:type="pct"/>
            <w:vAlign w:val="center"/>
          </w:tcPr>
          <w:p w14:paraId="798E4687">
            <w:pPr>
              <w:spacing w:line="360" w:lineRule="auto"/>
              <w:rPr>
                <w:rFonts w:hint="eastAsia" w:ascii="宋体" w:hAnsi="宋体" w:cs="宋体"/>
                <w:sz w:val="24"/>
              </w:rPr>
            </w:pPr>
          </w:p>
        </w:tc>
      </w:tr>
    </w:tbl>
    <w:p w14:paraId="18E06C8D">
      <w:pPr>
        <w:spacing w:line="360" w:lineRule="auto"/>
        <w:ind w:left="-420" w:leftChars="-200" w:right="-420" w:rightChars="-200" w:firstLine="480" w:firstLineChars="200"/>
        <w:rPr>
          <w:rFonts w:hint="eastAsia" w:ascii="宋体" w:hAnsi="宋体" w:cs="宋体"/>
          <w:sz w:val="24"/>
        </w:rPr>
      </w:pPr>
    </w:p>
    <w:p w14:paraId="74B11A5C">
      <w:pPr>
        <w:spacing w:line="360" w:lineRule="auto"/>
        <w:ind w:left="-420" w:leftChars="-200" w:right="-420" w:rightChars="-200"/>
        <w:rPr>
          <w:rFonts w:hint="eastAsia" w:ascii="宋体" w:hAnsi="宋体" w:cs="宋体"/>
          <w:sz w:val="24"/>
        </w:rPr>
      </w:pPr>
    </w:p>
    <w:p w14:paraId="494D4404">
      <w:pPr>
        <w:spacing w:line="360" w:lineRule="auto"/>
        <w:jc w:val="center"/>
        <w:outlineLvl w:val="0"/>
        <w:rPr>
          <w:rFonts w:hint="eastAsia" w:ascii="宋体" w:hAnsi="宋体" w:cs="宋体"/>
          <w:b/>
          <w:sz w:val="36"/>
          <w:szCs w:val="20"/>
        </w:rPr>
      </w:pPr>
    </w:p>
    <w:p w14:paraId="34372C63">
      <w:pPr>
        <w:spacing w:line="360" w:lineRule="auto"/>
        <w:jc w:val="center"/>
        <w:outlineLvl w:val="0"/>
        <w:rPr>
          <w:rFonts w:hint="eastAsia" w:ascii="宋体" w:hAnsi="宋体" w:cs="宋体"/>
          <w:b/>
          <w:sz w:val="36"/>
          <w:szCs w:val="20"/>
        </w:rPr>
      </w:pPr>
      <w:r>
        <w:rPr>
          <w:rFonts w:hint="eastAsia" w:ascii="宋体" w:hAnsi="宋体" w:cs="宋体"/>
          <w:b/>
          <w:sz w:val="36"/>
          <w:szCs w:val="20"/>
        </w:rPr>
        <w:t>第六部分 应提交的有关格式范例</w:t>
      </w:r>
    </w:p>
    <w:p w14:paraId="43AEB120">
      <w:pPr>
        <w:spacing w:line="360" w:lineRule="auto"/>
        <w:jc w:val="center"/>
        <w:outlineLvl w:val="0"/>
        <w:rPr>
          <w:rFonts w:hint="eastAsia" w:ascii="宋体" w:hAnsi="宋体" w:cs="宋体"/>
          <w:b/>
          <w:kern w:val="0"/>
          <w:sz w:val="36"/>
          <w:szCs w:val="36"/>
        </w:rPr>
      </w:pPr>
    </w:p>
    <w:p w14:paraId="1FCDE654">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资格文件部分</w:t>
      </w:r>
    </w:p>
    <w:p w14:paraId="3909E5DB">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4BC3C505">
      <w:pPr>
        <w:spacing w:line="360" w:lineRule="auto"/>
        <w:jc w:val="center"/>
        <w:outlineLvl w:val="0"/>
        <w:rPr>
          <w:rFonts w:hint="eastAsia" w:ascii="宋体" w:hAnsi="宋体" w:cs="宋体"/>
          <w:b/>
          <w:kern w:val="0"/>
          <w:sz w:val="36"/>
          <w:szCs w:val="36"/>
        </w:rPr>
      </w:pPr>
    </w:p>
    <w:p w14:paraId="306A2F14">
      <w:pPr>
        <w:snapToGrid w:val="0"/>
        <w:spacing w:line="360" w:lineRule="auto"/>
        <w:rPr>
          <w:rFonts w:hint="eastAsia" w:ascii="宋体" w:hAnsi="宋体" w:cs="宋体"/>
          <w:sz w:val="24"/>
        </w:rPr>
      </w:pPr>
      <w:r>
        <w:rPr>
          <w:rFonts w:hint="eastAsia" w:ascii="宋体" w:hAnsi="宋体" w:cs="宋体"/>
          <w:sz w:val="24"/>
        </w:rPr>
        <w:t>（1）提供有效的营业执照(或事业法人登记证或其他工商等登记证明材料)……（页码）</w:t>
      </w:r>
    </w:p>
    <w:p w14:paraId="749CD912">
      <w:pPr>
        <w:snapToGrid w:val="0"/>
        <w:spacing w:line="360" w:lineRule="auto"/>
        <w:rPr>
          <w:rFonts w:hint="eastAsia" w:ascii="宋体" w:hAnsi="宋体" w:cs="宋体"/>
        </w:rPr>
      </w:pPr>
      <w:r>
        <w:rPr>
          <w:rFonts w:hint="eastAsia" w:ascii="宋体" w:hAnsi="宋体" w:cs="宋体"/>
          <w:sz w:val="24"/>
        </w:rPr>
        <w:t>（2）符合参加政府采购活动应当具备的一般条件的承诺函……………………（页码）</w:t>
      </w:r>
    </w:p>
    <w:p w14:paraId="40407A54">
      <w:pPr>
        <w:snapToGrid w:val="0"/>
        <w:spacing w:line="360" w:lineRule="auto"/>
        <w:rPr>
          <w:rFonts w:hint="eastAsia" w:ascii="宋体" w:hAnsi="宋体" w:cs="宋体"/>
          <w:sz w:val="24"/>
        </w:rPr>
      </w:pPr>
      <w:r>
        <w:rPr>
          <w:rFonts w:hint="eastAsia" w:ascii="宋体" w:hAnsi="宋体" w:cs="宋体"/>
          <w:sz w:val="24"/>
        </w:rPr>
        <w:t>（3）落实政府采购政策需满足的资格要求；（如有)………………………………（页码）</w:t>
      </w:r>
    </w:p>
    <w:p w14:paraId="04A1CCD9">
      <w:pPr>
        <w:snapToGrid w:val="0"/>
        <w:spacing w:line="360" w:lineRule="auto"/>
        <w:rPr>
          <w:rFonts w:hint="eastAsia" w:ascii="宋体" w:hAnsi="宋体" w:cs="宋体"/>
          <w:sz w:val="24"/>
        </w:rPr>
      </w:pPr>
      <w:r>
        <w:rPr>
          <w:rFonts w:hint="eastAsia" w:ascii="宋体" w:hAnsi="宋体" w:cs="宋体"/>
          <w:sz w:val="24"/>
        </w:rPr>
        <w:t>（4）本项目的特定资格要求。（如有）…………………………………………（页码）</w:t>
      </w:r>
    </w:p>
    <w:p w14:paraId="4E3C5CA0">
      <w:pPr>
        <w:snapToGrid w:val="0"/>
        <w:spacing w:line="360" w:lineRule="auto"/>
        <w:ind w:right="480"/>
        <w:jc w:val="center"/>
        <w:rPr>
          <w:rFonts w:hint="eastAsia" w:ascii="宋体" w:hAnsi="宋体" w:cs="宋体"/>
          <w:b/>
          <w:kern w:val="0"/>
          <w:sz w:val="32"/>
          <w:szCs w:val="32"/>
        </w:rPr>
      </w:pPr>
    </w:p>
    <w:p w14:paraId="7CBA3E03">
      <w:pPr>
        <w:snapToGrid w:val="0"/>
        <w:spacing w:line="360" w:lineRule="auto"/>
        <w:ind w:right="480"/>
        <w:jc w:val="center"/>
        <w:rPr>
          <w:rFonts w:hint="eastAsia" w:ascii="宋体" w:hAnsi="宋体" w:cs="宋体"/>
          <w:b/>
          <w:kern w:val="0"/>
          <w:sz w:val="32"/>
          <w:szCs w:val="32"/>
        </w:rPr>
      </w:pPr>
    </w:p>
    <w:p w14:paraId="0FE9FBC5">
      <w:pPr>
        <w:snapToGrid w:val="0"/>
        <w:spacing w:line="360" w:lineRule="auto"/>
        <w:ind w:right="480"/>
        <w:jc w:val="center"/>
        <w:rPr>
          <w:rFonts w:hint="eastAsia" w:ascii="宋体" w:hAnsi="宋体" w:cs="宋体"/>
          <w:b/>
          <w:kern w:val="0"/>
          <w:sz w:val="32"/>
          <w:szCs w:val="32"/>
        </w:rPr>
      </w:pPr>
    </w:p>
    <w:p w14:paraId="1E6C5FA7">
      <w:pPr>
        <w:snapToGrid w:val="0"/>
        <w:spacing w:line="360" w:lineRule="auto"/>
        <w:ind w:right="480"/>
        <w:jc w:val="center"/>
        <w:rPr>
          <w:rFonts w:hint="eastAsia" w:ascii="宋体" w:hAnsi="宋体" w:cs="宋体"/>
          <w:b/>
          <w:kern w:val="0"/>
          <w:sz w:val="32"/>
          <w:szCs w:val="32"/>
        </w:rPr>
      </w:pPr>
    </w:p>
    <w:p w14:paraId="3E9E4E27">
      <w:pPr>
        <w:snapToGrid w:val="0"/>
        <w:spacing w:line="360" w:lineRule="auto"/>
        <w:ind w:right="480"/>
        <w:jc w:val="center"/>
        <w:rPr>
          <w:rFonts w:hint="eastAsia" w:ascii="宋体" w:hAnsi="宋体" w:cs="宋体"/>
          <w:b/>
          <w:kern w:val="0"/>
          <w:sz w:val="32"/>
          <w:szCs w:val="32"/>
        </w:rPr>
      </w:pPr>
    </w:p>
    <w:p w14:paraId="5A2908C1">
      <w:pPr>
        <w:snapToGrid w:val="0"/>
        <w:spacing w:line="360" w:lineRule="auto"/>
        <w:ind w:right="480"/>
        <w:jc w:val="center"/>
        <w:rPr>
          <w:rFonts w:hint="eastAsia" w:ascii="宋体" w:hAnsi="宋体" w:cs="宋体"/>
          <w:b/>
          <w:kern w:val="0"/>
          <w:sz w:val="32"/>
          <w:szCs w:val="32"/>
        </w:rPr>
      </w:pPr>
    </w:p>
    <w:p w14:paraId="7341C51A">
      <w:pPr>
        <w:snapToGrid w:val="0"/>
        <w:spacing w:line="360" w:lineRule="auto"/>
        <w:ind w:right="480"/>
        <w:jc w:val="center"/>
        <w:rPr>
          <w:rFonts w:hint="eastAsia" w:ascii="宋体" w:hAnsi="宋体" w:cs="宋体"/>
          <w:b/>
          <w:kern w:val="0"/>
          <w:sz w:val="32"/>
          <w:szCs w:val="32"/>
        </w:rPr>
      </w:pPr>
    </w:p>
    <w:p w14:paraId="3D33735A">
      <w:pPr>
        <w:snapToGrid w:val="0"/>
        <w:spacing w:line="360" w:lineRule="auto"/>
        <w:ind w:right="480"/>
        <w:jc w:val="center"/>
        <w:rPr>
          <w:rFonts w:hint="eastAsia" w:ascii="宋体" w:hAnsi="宋体" w:cs="宋体"/>
          <w:b/>
          <w:kern w:val="0"/>
          <w:sz w:val="32"/>
          <w:szCs w:val="32"/>
        </w:rPr>
      </w:pPr>
    </w:p>
    <w:p w14:paraId="79DD15BD">
      <w:pPr>
        <w:snapToGrid w:val="0"/>
        <w:spacing w:line="360" w:lineRule="auto"/>
        <w:ind w:right="480"/>
        <w:jc w:val="center"/>
        <w:rPr>
          <w:rFonts w:hint="eastAsia" w:ascii="宋体" w:hAnsi="宋体" w:cs="宋体"/>
          <w:b/>
          <w:kern w:val="0"/>
          <w:sz w:val="32"/>
          <w:szCs w:val="32"/>
        </w:rPr>
      </w:pPr>
    </w:p>
    <w:p w14:paraId="3197EFE4">
      <w:pPr>
        <w:snapToGrid w:val="0"/>
        <w:spacing w:line="360" w:lineRule="auto"/>
        <w:ind w:right="480"/>
        <w:jc w:val="center"/>
        <w:rPr>
          <w:rFonts w:hint="eastAsia" w:ascii="宋体" w:hAnsi="宋体" w:cs="宋体"/>
          <w:b/>
          <w:kern w:val="0"/>
          <w:sz w:val="32"/>
          <w:szCs w:val="32"/>
        </w:rPr>
      </w:pPr>
    </w:p>
    <w:p w14:paraId="2CDADDF6">
      <w:pPr>
        <w:snapToGrid w:val="0"/>
        <w:spacing w:line="360" w:lineRule="auto"/>
        <w:ind w:right="480"/>
        <w:jc w:val="center"/>
        <w:rPr>
          <w:rFonts w:hint="eastAsia" w:ascii="宋体" w:hAnsi="宋体" w:cs="宋体"/>
          <w:b/>
          <w:kern w:val="0"/>
          <w:sz w:val="32"/>
          <w:szCs w:val="32"/>
        </w:rPr>
      </w:pPr>
    </w:p>
    <w:p w14:paraId="638201ED">
      <w:pPr>
        <w:snapToGrid w:val="0"/>
        <w:spacing w:line="360" w:lineRule="auto"/>
        <w:ind w:right="480"/>
        <w:jc w:val="center"/>
        <w:rPr>
          <w:rFonts w:hint="eastAsia" w:ascii="宋体" w:hAnsi="宋体" w:cs="宋体"/>
          <w:b/>
          <w:kern w:val="0"/>
          <w:sz w:val="32"/>
          <w:szCs w:val="32"/>
        </w:rPr>
      </w:pPr>
    </w:p>
    <w:p w14:paraId="0D90DFF4">
      <w:pPr>
        <w:snapToGrid w:val="0"/>
        <w:spacing w:line="360" w:lineRule="auto"/>
        <w:ind w:right="480"/>
        <w:jc w:val="center"/>
        <w:rPr>
          <w:rFonts w:hint="eastAsia" w:ascii="宋体" w:hAnsi="宋体" w:cs="宋体"/>
          <w:b/>
          <w:kern w:val="0"/>
          <w:sz w:val="32"/>
          <w:szCs w:val="32"/>
        </w:rPr>
      </w:pPr>
    </w:p>
    <w:p w14:paraId="09EC5AFA">
      <w:pPr>
        <w:snapToGrid w:val="0"/>
        <w:spacing w:line="360" w:lineRule="auto"/>
        <w:ind w:right="480"/>
        <w:jc w:val="center"/>
        <w:rPr>
          <w:rFonts w:hint="eastAsia" w:ascii="宋体" w:hAnsi="宋体" w:cs="宋体"/>
          <w:b/>
          <w:kern w:val="0"/>
          <w:sz w:val="32"/>
          <w:szCs w:val="32"/>
        </w:rPr>
      </w:pPr>
    </w:p>
    <w:p w14:paraId="4B6AD94C">
      <w:pPr>
        <w:snapToGrid w:val="0"/>
        <w:spacing w:line="360" w:lineRule="auto"/>
        <w:ind w:right="480"/>
        <w:rPr>
          <w:rFonts w:hint="eastAsia" w:ascii="宋体" w:hAnsi="宋体" w:cs="宋体"/>
          <w:b/>
          <w:kern w:val="0"/>
          <w:sz w:val="32"/>
          <w:szCs w:val="32"/>
        </w:rPr>
      </w:pPr>
      <w:r>
        <w:rPr>
          <w:rFonts w:hint="eastAsia" w:ascii="宋体" w:hAnsi="宋体" w:cs="宋体"/>
          <w:b/>
          <w:kern w:val="0"/>
          <w:sz w:val="32"/>
          <w:szCs w:val="32"/>
        </w:rPr>
        <w:t>一、 符合参加政府采购活动应当具备的一般条件的承诺函</w:t>
      </w:r>
    </w:p>
    <w:p w14:paraId="5D1F2674">
      <w:pPr>
        <w:snapToGrid w:val="0"/>
        <w:spacing w:line="360" w:lineRule="auto"/>
        <w:rPr>
          <w:rFonts w:hint="eastAsia" w:ascii="宋体" w:hAnsi="宋体" w:cs="宋体"/>
          <w:sz w:val="24"/>
        </w:rPr>
      </w:pPr>
      <w:r>
        <w:rPr>
          <w:rFonts w:hint="eastAsia" w:ascii="宋体" w:hAnsi="宋体" w:cs="宋体"/>
          <w:sz w:val="24"/>
        </w:rPr>
        <w:t>（采购人）、（采购代理机构）：</w:t>
      </w:r>
    </w:p>
    <w:p w14:paraId="0F1314EC">
      <w:pPr>
        <w:snapToGrid w:val="0"/>
        <w:spacing w:line="360" w:lineRule="auto"/>
        <w:ind w:firstLine="480" w:firstLineChars="200"/>
        <w:rPr>
          <w:rFonts w:hint="eastAsia" w:ascii="宋体" w:hAnsi="宋体" w:cs="宋体"/>
          <w:sz w:val="24"/>
        </w:rPr>
      </w:pPr>
      <w:r>
        <w:rPr>
          <w:rFonts w:hint="eastAsia" w:ascii="宋体" w:hAnsi="宋体" w:cs="宋体"/>
          <w:sz w:val="24"/>
        </w:rPr>
        <w:t>我方参与（项目名称）【招标编号：（采购编号）】政府采购活动，郑重承诺：</w:t>
      </w:r>
    </w:p>
    <w:p w14:paraId="6A1660F9">
      <w:pPr>
        <w:snapToGrid w:val="0"/>
        <w:spacing w:line="360" w:lineRule="auto"/>
        <w:ind w:firstLine="360" w:firstLineChars="150"/>
        <w:rPr>
          <w:rFonts w:hint="eastAsia" w:ascii="宋体" w:hAnsi="宋体" w:cs="宋体"/>
          <w:sz w:val="24"/>
        </w:rPr>
      </w:pPr>
      <w:r>
        <w:rPr>
          <w:rFonts w:hint="eastAsia" w:ascii="宋体" w:hAnsi="宋体" w:cs="宋体"/>
          <w:sz w:val="24"/>
        </w:rPr>
        <w:t>（一）具备《中华人民共和国政府采购法》第二十二条第一款规定的条件：</w:t>
      </w:r>
    </w:p>
    <w:p w14:paraId="779315FB">
      <w:pPr>
        <w:snapToGrid w:val="0"/>
        <w:spacing w:line="360" w:lineRule="auto"/>
        <w:ind w:firstLine="480" w:firstLineChars="200"/>
        <w:rPr>
          <w:rFonts w:hint="eastAsia" w:ascii="宋体" w:hAnsi="宋体" w:cs="宋体"/>
          <w:sz w:val="24"/>
        </w:rPr>
      </w:pPr>
      <w:r>
        <w:rPr>
          <w:rFonts w:hint="eastAsia" w:ascii="宋体" w:hAnsi="宋体" w:cs="宋体"/>
          <w:sz w:val="24"/>
        </w:rPr>
        <w:t>1、具有独立承担民事责任的能力；</w:t>
      </w:r>
    </w:p>
    <w:p w14:paraId="60BF431B">
      <w:pPr>
        <w:snapToGrid w:val="0"/>
        <w:spacing w:line="360" w:lineRule="auto"/>
        <w:ind w:firstLine="480" w:firstLineChars="200"/>
        <w:rPr>
          <w:rFonts w:hint="eastAsia" w:ascii="宋体" w:hAnsi="宋体" w:cs="宋体"/>
          <w:sz w:val="24"/>
        </w:rPr>
      </w:pPr>
      <w:r>
        <w:rPr>
          <w:rFonts w:hint="eastAsia" w:ascii="宋体" w:hAnsi="宋体" w:cs="宋体"/>
          <w:sz w:val="24"/>
        </w:rPr>
        <w:t xml:space="preserve">2、具有良好的商业信誉和健全的财务会计制度； </w:t>
      </w:r>
    </w:p>
    <w:p w14:paraId="247E45A4">
      <w:pPr>
        <w:snapToGrid w:val="0"/>
        <w:spacing w:line="360" w:lineRule="auto"/>
        <w:ind w:firstLine="480" w:firstLineChars="200"/>
        <w:rPr>
          <w:rFonts w:hint="eastAsia" w:ascii="宋体" w:hAnsi="宋体" w:cs="宋体"/>
          <w:sz w:val="24"/>
        </w:rPr>
      </w:pPr>
      <w:r>
        <w:rPr>
          <w:rFonts w:hint="eastAsia" w:ascii="宋体" w:hAnsi="宋体" w:cs="宋体"/>
          <w:sz w:val="24"/>
        </w:rPr>
        <w:t>3、具有履行合同所必需的设备和专业技术能力；</w:t>
      </w:r>
    </w:p>
    <w:p w14:paraId="1B426E76">
      <w:pPr>
        <w:snapToGrid w:val="0"/>
        <w:spacing w:line="360" w:lineRule="auto"/>
        <w:ind w:firstLine="480" w:firstLineChars="200"/>
        <w:rPr>
          <w:rFonts w:hint="eastAsia" w:ascii="宋体" w:hAnsi="宋体" w:cs="宋体"/>
          <w:sz w:val="24"/>
        </w:rPr>
      </w:pPr>
      <w:r>
        <w:rPr>
          <w:rFonts w:hint="eastAsia" w:ascii="宋体" w:hAnsi="宋体" w:cs="宋体"/>
          <w:sz w:val="24"/>
        </w:rPr>
        <w:t>4、有依法缴纳税收和社会保障资金的良好记录；</w:t>
      </w:r>
    </w:p>
    <w:p w14:paraId="5E945C16">
      <w:pPr>
        <w:snapToGrid w:val="0"/>
        <w:spacing w:line="360" w:lineRule="auto"/>
        <w:ind w:firstLine="480" w:firstLineChars="200"/>
        <w:rPr>
          <w:rFonts w:hint="eastAsia" w:ascii="宋体" w:hAnsi="宋体" w:cs="宋体"/>
          <w:sz w:val="24"/>
        </w:rPr>
      </w:pPr>
      <w:r>
        <w:rPr>
          <w:rFonts w:hint="eastAsia" w:ascii="宋体" w:hAnsi="宋体" w:cs="宋体"/>
          <w:sz w:val="24"/>
        </w:rPr>
        <w:t>5、参加政府采购活动前三年内，在经营活动中没有重大违法记录；</w:t>
      </w:r>
    </w:p>
    <w:p w14:paraId="7C9DB32C">
      <w:pPr>
        <w:snapToGrid w:val="0"/>
        <w:spacing w:line="360" w:lineRule="auto"/>
        <w:ind w:firstLine="480" w:firstLineChars="200"/>
        <w:rPr>
          <w:rFonts w:hint="eastAsia" w:ascii="宋体" w:hAnsi="宋体" w:cs="宋体"/>
          <w:sz w:val="24"/>
        </w:rPr>
      </w:pPr>
      <w:r>
        <w:rPr>
          <w:rFonts w:hint="eastAsia" w:ascii="宋体" w:hAnsi="宋体" w:cs="宋体"/>
          <w:sz w:val="24"/>
        </w:rPr>
        <w:t>6、具有法律、行政法规规定的其他条件。</w:t>
      </w:r>
    </w:p>
    <w:p w14:paraId="48EF9080">
      <w:pPr>
        <w:snapToGrid w:val="0"/>
        <w:spacing w:line="360" w:lineRule="auto"/>
        <w:ind w:firstLine="480" w:firstLineChars="200"/>
        <w:rPr>
          <w:rFonts w:hint="eastAsia" w:ascii="宋体" w:hAnsi="宋体" w:cs="宋体"/>
          <w:sz w:val="24"/>
        </w:rPr>
      </w:pPr>
      <w:r>
        <w:rPr>
          <w:rFonts w:hint="eastAsia" w:ascii="宋体" w:hAnsi="宋体" w:cs="宋体"/>
          <w:sz w:val="24"/>
        </w:rPr>
        <w:t>（二）未被信用中国（www.creditchina.gov.cn)、中国政府采购网（www.ccgp.gov.cn）列入失信被执行人、重大税收违法案件当事人名单、政府采购严重违法失信行为记录名单。</w:t>
      </w:r>
    </w:p>
    <w:p w14:paraId="29875F89">
      <w:pPr>
        <w:snapToGrid w:val="0"/>
        <w:spacing w:line="360" w:lineRule="auto"/>
        <w:ind w:firstLine="480" w:firstLineChars="200"/>
        <w:rPr>
          <w:rFonts w:hint="eastAsia" w:ascii="宋体" w:hAnsi="宋体" w:cs="宋体"/>
          <w:sz w:val="24"/>
        </w:rPr>
      </w:pPr>
      <w:r>
        <w:rPr>
          <w:rFonts w:hint="eastAsia" w:ascii="宋体" w:hAnsi="宋体" w:cs="宋体"/>
          <w:sz w:val="24"/>
        </w:rPr>
        <w:t>（三）不存在以下情况：</w:t>
      </w:r>
    </w:p>
    <w:p w14:paraId="4968C6DD">
      <w:pPr>
        <w:snapToGrid w:val="0"/>
        <w:spacing w:line="360" w:lineRule="auto"/>
        <w:ind w:firstLine="480" w:firstLineChars="200"/>
        <w:rPr>
          <w:rFonts w:hint="eastAsia" w:ascii="宋体" w:hAnsi="宋体" w:cs="宋体"/>
          <w:sz w:val="24"/>
        </w:rPr>
      </w:pPr>
      <w:r>
        <w:rPr>
          <w:rFonts w:hint="eastAsia" w:ascii="宋体" w:hAnsi="宋体" w:cs="宋体"/>
          <w:sz w:val="24"/>
        </w:rPr>
        <w:t>1、单位负责人为同一人或者存在直接控股、管理关系的不同供应商参加同一合同项下的政府采购活动的；</w:t>
      </w:r>
    </w:p>
    <w:p w14:paraId="53A1D9AF">
      <w:pPr>
        <w:snapToGrid w:val="0"/>
        <w:spacing w:line="360" w:lineRule="auto"/>
        <w:ind w:firstLine="480" w:firstLineChars="200"/>
        <w:rPr>
          <w:rFonts w:hint="eastAsia" w:ascii="宋体" w:hAnsi="宋体" w:cs="宋体"/>
          <w:sz w:val="24"/>
        </w:rPr>
      </w:pPr>
      <w:r>
        <w:rPr>
          <w:rFonts w:hint="eastAsia" w:ascii="宋体" w:hAnsi="宋体" w:cs="宋体"/>
          <w:sz w:val="24"/>
        </w:rPr>
        <w:t>2、为采购项目提供整体设计、规范编制或者项目管理、监理、检测等服务后再参加该采购项目的其他采购活动的。</w:t>
      </w:r>
    </w:p>
    <w:p w14:paraId="032900C5">
      <w:pPr>
        <w:snapToGrid w:val="0"/>
        <w:spacing w:line="360" w:lineRule="auto"/>
        <w:ind w:firstLine="5520" w:firstLineChars="2300"/>
        <w:rPr>
          <w:rFonts w:hint="eastAsia" w:ascii="宋体" w:hAnsi="宋体" w:cs="宋体"/>
          <w:kern w:val="0"/>
          <w:sz w:val="24"/>
        </w:rPr>
      </w:pPr>
      <w:r>
        <w:rPr>
          <w:rFonts w:hint="eastAsia" w:ascii="宋体" w:hAnsi="宋体" w:cs="宋体"/>
          <w:kern w:val="0"/>
          <w:sz w:val="24"/>
          <w:lang w:val="zh-CN"/>
        </w:rPr>
        <w:t>投标人名称(电子签名)：</w:t>
      </w:r>
    </w:p>
    <w:p w14:paraId="570F3226">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w:t>
      </w:r>
      <w:r>
        <w:rPr>
          <w:rFonts w:hint="eastAsia" w:ascii="宋体" w:hAnsi="宋体" w:cs="宋体"/>
          <w:kern w:val="0"/>
          <w:sz w:val="24"/>
        </w:rPr>
        <w:t xml:space="preserve">                      </w:t>
      </w:r>
      <w:r>
        <w:rPr>
          <w:rFonts w:hint="eastAsia" w:ascii="宋体" w:hAnsi="宋体" w:cs="宋体"/>
          <w:kern w:val="0"/>
          <w:sz w:val="24"/>
          <w:lang w:val="zh-CN"/>
        </w:rPr>
        <w:t>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5E9617D5">
      <w:pPr>
        <w:snapToGrid w:val="0"/>
        <w:spacing w:line="360" w:lineRule="auto"/>
        <w:ind w:right="480"/>
        <w:jc w:val="center"/>
        <w:rPr>
          <w:rFonts w:hint="eastAsia" w:ascii="宋体" w:hAnsi="宋体" w:cs="宋体"/>
          <w:b/>
          <w:kern w:val="0"/>
          <w:sz w:val="32"/>
          <w:szCs w:val="32"/>
        </w:rPr>
        <w:sectPr>
          <w:headerReference r:id="rId10" w:type="first"/>
          <w:footerReference r:id="rId12" w:type="first"/>
          <w:headerReference r:id="rId9" w:type="default"/>
          <w:footerReference r:id="rId11" w:type="default"/>
          <w:pgSz w:w="11906" w:h="16838"/>
          <w:pgMar w:top="1440" w:right="1418" w:bottom="1440" w:left="1418" w:header="851" w:footer="992" w:gutter="0"/>
          <w:cols w:space="0" w:num="1"/>
          <w:titlePg/>
          <w:docGrid w:linePitch="312" w:charSpace="0"/>
        </w:sectPr>
      </w:pPr>
    </w:p>
    <w:p w14:paraId="12CC7E93">
      <w:pPr>
        <w:snapToGrid w:val="0"/>
        <w:spacing w:line="360" w:lineRule="auto"/>
        <w:ind w:right="480"/>
        <w:jc w:val="center"/>
        <w:rPr>
          <w:rFonts w:hint="eastAsia" w:ascii="宋体" w:hAnsi="宋体" w:cs="宋体"/>
          <w:b/>
          <w:kern w:val="0"/>
          <w:sz w:val="32"/>
          <w:szCs w:val="32"/>
        </w:rPr>
      </w:pPr>
      <w:r>
        <w:rPr>
          <w:rFonts w:hint="eastAsia" w:ascii="宋体" w:hAnsi="宋体" w:cs="宋体"/>
          <w:b/>
          <w:kern w:val="0"/>
          <w:sz w:val="32"/>
          <w:szCs w:val="32"/>
        </w:rPr>
        <w:t>二、落实政府采购政策需满足的资格要求</w:t>
      </w:r>
    </w:p>
    <w:p w14:paraId="4A209675">
      <w:pPr>
        <w:spacing w:line="360" w:lineRule="auto"/>
        <w:rPr>
          <w:rFonts w:hint="eastAsia" w:ascii="宋体" w:hAnsi="宋体" w:cs="宋体"/>
          <w:sz w:val="24"/>
        </w:rPr>
      </w:pPr>
      <w:r>
        <w:rPr>
          <w:rFonts w:hint="eastAsia" w:ascii="宋体" w:hAnsi="宋体" w:cs="宋体"/>
          <w:sz w:val="24"/>
        </w:rPr>
        <w:t>（根据招标公告落实政府采购政策需满足的资格要求选择提供相应的材料；未要求的，无需提供）</w:t>
      </w:r>
    </w:p>
    <w:p w14:paraId="5F38E42A">
      <w:pPr>
        <w:snapToGrid w:val="0"/>
        <w:spacing w:before="50" w:after="50" w:line="360" w:lineRule="auto"/>
        <w:ind w:firstLine="472" w:firstLineChars="196"/>
        <w:jc w:val="left"/>
        <w:rPr>
          <w:rFonts w:hint="eastAsia" w:ascii="宋体" w:hAnsi="宋体" w:cs="宋体"/>
          <w:sz w:val="24"/>
        </w:rPr>
      </w:pPr>
      <w:r>
        <w:rPr>
          <w:rFonts w:hint="eastAsia" w:ascii="宋体" w:hAnsi="宋体" w:cs="宋体"/>
          <w:b/>
          <w:sz w:val="24"/>
        </w:rPr>
        <w:t>A</w:t>
      </w:r>
      <w:r>
        <w:rPr>
          <w:rFonts w:hint="eastAsia" w:ascii="宋体" w:hAnsi="宋体" w:cs="宋体"/>
          <w:sz w:val="24"/>
        </w:rPr>
        <w:t xml:space="preserve">.专门面向中小企业，货物全部由符合政策要求的中小企业（或小微企业）制造或者服务全部由符合政策要求的中小企业（或小微企业）承接的，提供相应的中小企业声明函（附件5）。 </w:t>
      </w:r>
    </w:p>
    <w:p w14:paraId="2495FB0C">
      <w:pPr>
        <w:widowControl/>
        <w:spacing w:line="360" w:lineRule="auto"/>
        <w:ind w:firstLine="480"/>
        <w:jc w:val="left"/>
        <w:rPr>
          <w:rFonts w:hint="eastAsia" w:ascii="宋体" w:hAnsi="宋体" w:cs="宋体"/>
          <w:sz w:val="24"/>
        </w:rPr>
      </w:pPr>
    </w:p>
    <w:p w14:paraId="28CCC265">
      <w:pPr>
        <w:widowControl/>
        <w:spacing w:line="360" w:lineRule="auto"/>
        <w:ind w:firstLine="472" w:firstLineChars="196"/>
        <w:jc w:val="left"/>
        <w:rPr>
          <w:rFonts w:hint="eastAsia" w:ascii="宋体" w:hAnsi="宋体" w:cs="宋体"/>
          <w:sz w:val="24"/>
        </w:rPr>
      </w:pPr>
      <w:r>
        <w:rPr>
          <w:rFonts w:hint="eastAsia" w:ascii="宋体" w:hAnsi="宋体" w:cs="宋体"/>
          <w:b/>
          <w:sz w:val="24"/>
        </w:rPr>
        <w:t>B.</w:t>
      </w:r>
      <w:r>
        <w:rPr>
          <w:rFonts w:hint="eastAsia" w:ascii="宋体" w:hAnsi="宋体" w:cs="宋体"/>
          <w:sz w:val="24"/>
        </w:rPr>
        <w:t>要求以联合体形式参加的，提供联合协议和中小企业声明函（附件5），联合协议中中小企业合同金额应当达到招标公告载明的比例；如果供应商本身提供所有标的均由中小企业制造或承接的，视同符合了资格条件，无需再与其他中小企业组成联合体参加政府采购活动，无需提供联合协议。</w:t>
      </w:r>
    </w:p>
    <w:p w14:paraId="524A57A9">
      <w:pPr>
        <w:snapToGrid w:val="0"/>
        <w:spacing w:before="50" w:after="50" w:line="360" w:lineRule="auto"/>
        <w:jc w:val="center"/>
        <w:rPr>
          <w:rFonts w:hint="eastAsia" w:ascii="宋体" w:hAnsi="宋体" w:cs="宋体"/>
          <w:b/>
          <w:sz w:val="24"/>
        </w:rPr>
      </w:pPr>
    </w:p>
    <w:p w14:paraId="0911C65D">
      <w:pPr>
        <w:widowControl/>
        <w:spacing w:line="360" w:lineRule="auto"/>
        <w:ind w:left="150"/>
        <w:jc w:val="center"/>
        <w:rPr>
          <w:rFonts w:hint="eastAsia" w:ascii="宋体" w:hAnsi="宋体" w:cs="宋体"/>
          <w:b/>
          <w:kern w:val="0"/>
          <w:sz w:val="32"/>
          <w:szCs w:val="32"/>
        </w:rPr>
      </w:pPr>
    </w:p>
    <w:p w14:paraId="09F39AB5">
      <w:pPr>
        <w:widowControl/>
        <w:spacing w:line="360" w:lineRule="auto"/>
        <w:rPr>
          <w:rFonts w:hint="eastAsia" w:ascii="宋体" w:hAnsi="宋体" w:cs="宋体"/>
          <w:b/>
          <w:kern w:val="0"/>
          <w:sz w:val="32"/>
          <w:szCs w:val="32"/>
        </w:rPr>
      </w:pPr>
    </w:p>
    <w:p w14:paraId="6182B8B7">
      <w:pPr>
        <w:widowControl/>
        <w:spacing w:line="360" w:lineRule="auto"/>
        <w:jc w:val="center"/>
        <w:rPr>
          <w:rFonts w:hint="eastAsia" w:ascii="宋体" w:hAnsi="宋体" w:cs="宋体"/>
          <w:b/>
          <w:kern w:val="0"/>
          <w:sz w:val="32"/>
          <w:szCs w:val="32"/>
        </w:rPr>
      </w:pPr>
      <w:r>
        <w:rPr>
          <w:rFonts w:hint="eastAsia" w:ascii="宋体" w:hAnsi="宋体" w:cs="宋体"/>
          <w:b/>
          <w:kern w:val="0"/>
          <w:sz w:val="32"/>
          <w:szCs w:val="32"/>
        </w:rPr>
        <w:t>三、本项目的特定资格要求</w:t>
      </w:r>
    </w:p>
    <w:p w14:paraId="6EF52FB3">
      <w:pPr>
        <w:spacing w:line="360" w:lineRule="auto"/>
        <w:jc w:val="center"/>
        <w:rPr>
          <w:rFonts w:hint="eastAsia" w:ascii="宋体" w:hAnsi="宋体" w:cs="宋体"/>
          <w:sz w:val="24"/>
        </w:rPr>
      </w:pPr>
      <w:r>
        <w:rPr>
          <w:rFonts w:hint="eastAsia" w:ascii="宋体" w:hAnsi="宋体" w:cs="宋体"/>
          <w:sz w:val="24"/>
        </w:rPr>
        <w:t>（根据招标公告本项目的特定资格要求提供相应的材料；未要求的，无需提供）</w:t>
      </w:r>
    </w:p>
    <w:p w14:paraId="3423EC11">
      <w:pPr>
        <w:spacing w:line="360" w:lineRule="auto"/>
        <w:ind w:right="420"/>
        <w:jc w:val="center"/>
        <w:rPr>
          <w:rFonts w:hint="eastAsia" w:ascii="宋体" w:hAnsi="宋体" w:cs="宋体"/>
          <w:b/>
          <w:kern w:val="0"/>
          <w:sz w:val="36"/>
          <w:szCs w:val="36"/>
        </w:rPr>
        <w:sectPr>
          <w:pgSz w:w="11906" w:h="16838"/>
          <w:pgMar w:top="1440" w:right="1418" w:bottom="1440" w:left="1418" w:header="851" w:footer="992" w:gutter="0"/>
          <w:cols w:space="0" w:num="1"/>
          <w:titlePg/>
          <w:docGrid w:linePitch="312" w:charSpace="0"/>
        </w:sectPr>
      </w:pPr>
    </w:p>
    <w:p w14:paraId="14A9DC0B">
      <w:pPr>
        <w:spacing w:line="360" w:lineRule="auto"/>
        <w:ind w:right="420"/>
        <w:jc w:val="center"/>
        <w:rPr>
          <w:rFonts w:hint="eastAsia" w:ascii="宋体" w:hAnsi="宋体" w:cs="宋体"/>
          <w:b/>
          <w:kern w:val="0"/>
          <w:sz w:val="36"/>
          <w:szCs w:val="36"/>
        </w:rPr>
      </w:pPr>
      <w:r>
        <w:rPr>
          <w:rFonts w:hint="eastAsia" w:ascii="宋体" w:hAnsi="宋体" w:cs="宋体"/>
          <w:b/>
          <w:kern w:val="0"/>
          <w:sz w:val="36"/>
          <w:szCs w:val="36"/>
        </w:rPr>
        <w:t>商务技术文件部分</w:t>
      </w:r>
    </w:p>
    <w:p w14:paraId="536B51FC">
      <w:pPr>
        <w:spacing w:line="360" w:lineRule="auto"/>
        <w:jc w:val="center"/>
        <w:outlineLvl w:val="0"/>
        <w:rPr>
          <w:rFonts w:hint="eastAsia" w:ascii="宋体" w:hAnsi="宋体" w:cs="宋体"/>
          <w:b/>
          <w:kern w:val="0"/>
          <w:sz w:val="24"/>
        </w:rPr>
      </w:pPr>
    </w:p>
    <w:p w14:paraId="57350F08">
      <w:pPr>
        <w:spacing w:line="360" w:lineRule="auto"/>
        <w:jc w:val="center"/>
        <w:outlineLvl w:val="0"/>
        <w:rPr>
          <w:rFonts w:hint="eastAsia" w:ascii="宋体" w:hAnsi="宋体" w:cs="宋体"/>
          <w:b/>
          <w:kern w:val="0"/>
          <w:sz w:val="28"/>
          <w:szCs w:val="28"/>
        </w:rPr>
      </w:pPr>
      <w:r>
        <w:rPr>
          <w:rFonts w:hint="eastAsia" w:ascii="宋体" w:hAnsi="宋体" w:cs="宋体"/>
          <w:b/>
          <w:kern w:val="0"/>
          <w:sz w:val="28"/>
          <w:szCs w:val="28"/>
        </w:rPr>
        <w:t>目录</w:t>
      </w:r>
    </w:p>
    <w:p w14:paraId="298E819F">
      <w:pPr>
        <w:snapToGrid w:val="0"/>
        <w:spacing w:line="360" w:lineRule="auto"/>
        <w:ind w:left="479" w:leftChars="228"/>
        <w:rPr>
          <w:rFonts w:hint="eastAsia" w:ascii="宋体" w:hAnsi="宋体" w:cs="宋体"/>
        </w:rPr>
      </w:pPr>
      <w:r>
        <w:rPr>
          <w:rFonts w:hint="eastAsia" w:ascii="宋体" w:hAnsi="宋体" w:cs="宋体"/>
          <w:sz w:val="24"/>
        </w:rPr>
        <w:t>（1）投标函</w:t>
      </w:r>
      <w:r>
        <w:rPr>
          <w:rFonts w:hint="eastAsia" w:ascii="宋体" w:hAnsi="宋体" w:cs="宋体"/>
        </w:rPr>
        <w:t>…………………………………………………………………………………（页码）</w:t>
      </w:r>
      <w:r>
        <w:rPr>
          <w:rFonts w:hint="eastAsia" w:ascii="宋体" w:hAnsi="宋体" w:cs="宋体"/>
          <w:sz w:val="24"/>
        </w:rPr>
        <w:t>（2）授权委托书或法定代表人（单位负责人、自然人本人）身份证明</w:t>
      </w:r>
      <w:r>
        <w:rPr>
          <w:rFonts w:hint="eastAsia" w:ascii="宋体" w:hAnsi="宋体" w:cs="宋体"/>
        </w:rPr>
        <w:t>………（页码）</w:t>
      </w:r>
    </w:p>
    <w:p w14:paraId="5B0F70D3">
      <w:pPr>
        <w:snapToGrid w:val="0"/>
        <w:spacing w:line="360" w:lineRule="auto"/>
        <w:ind w:firstLine="480" w:firstLineChars="200"/>
        <w:rPr>
          <w:rFonts w:hint="eastAsia" w:ascii="宋体" w:hAnsi="宋体" w:cs="宋体"/>
        </w:rPr>
      </w:pPr>
      <w:r>
        <w:rPr>
          <w:rFonts w:hint="eastAsia" w:ascii="宋体" w:hAnsi="宋体" w:cs="宋体"/>
          <w:sz w:val="24"/>
        </w:rPr>
        <w:t>（3）符合性审查资料</w:t>
      </w:r>
      <w:r>
        <w:rPr>
          <w:rFonts w:hint="eastAsia" w:ascii="宋体" w:hAnsi="宋体" w:cs="宋体"/>
        </w:rPr>
        <w:t>………………………………………………………………………（页码）</w:t>
      </w:r>
    </w:p>
    <w:p w14:paraId="7A68341A">
      <w:pPr>
        <w:snapToGrid w:val="0"/>
        <w:spacing w:line="360" w:lineRule="auto"/>
        <w:ind w:left="479" w:leftChars="228"/>
        <w:rPr>
          <w:rFonts w:hint="eastAsia" w:ascii="宋体" w:hAnsi="宋体" w:cs="宋体"/>
        </w:rPr>
      </w:pPr>
      <w:r>
        <w:rPr>
          <w:rFonts w:hint="eastAsia" w:ascii="宋体" w:hAnsi="宋体" w:cs="宋体"/>
          <w:sz w:val="24"/>
        </w:rPr>
        <w:t>（4）评标标准相应的商务技术资料</w:t>
      </w:r>
      <w:r>
        <w:rPr>
          <w:rFonts w:hint="eastAsia" w:ascii="宋体" w:hAnsi="宋体" w:cs="宋体"/>
        </w:rPr>
        <w:t>……………………………………………………（页码）</w:t>
      </w:r>
    </w:p>
    <w:p w14:paraId="0AA3C767">
      <w:pPr>
        <w:snapToGrid w:val="0"/>
        <w:spacing w:line="360" w:lineRule="auto"/>
        <w:ind w:left="479" w:leftChars="228"/>
        <w:rPr>
          <w:rFonts w:hint="eastAsia" w:ascii="宋体" w:hAnsi="宋体" w:cs="宋体"/>
        </w:rPr>
      </w:pPr>
      <w:r>
        <w:rPr>
          <w:rFonts w:hint="eastAsia" w:ascii="宋体" w:hAnsi="宋体" w:cs="宋体"/>
          <w:sz w:val="24"/>
        </w:rPr>
        <w:t>（5）投标标的清单</w:t>
      </w:r>
      <w:r>
        <w:rPr>
          <w:rFonts w:hint="eastAsia" w:ascii="宋体" w:hAnsi="宋体" w:cs="宋体"/>
        </w:rPr>
        <w:t>…………………………………………………………………………（页码）</w:t>
      </w:r>
      <w:r>
        <w:rPr>
          <w:rFonts w:hint="eastAsia" w:ascii="宋体" w:hAnsi="宋体" w:cs="宋体"/>
          <w:sz w:val="24"/>
        </w:rPr>
        <w:t>（6）商务技术偏离表</w:t>
      </w:r>
      <w:r>
        <w:rPr>
          <w:rFonts w:hint="eastAsia" w:ascii="宋体" w:hAnsi="宋体" w:cs="宋体"/>
        </w:rPr>
        <w:t>………………………………………………………………………（页码）</w:t>
      </w:r>
    </w:p>
    <w:p w14:paraId="48257AEE">
      <w:pPr>
        <w:snapToGrid w:val="0"/>
        <w:spacing w:line="360" w:lineRule="auto"/>
        <w:ind w:left="479" w:leftChars="228"/>
        <w:rPr>
          <w:rFonts w:hint="eastAsia" w:ascii="宋体" w:hAnsi="宋体" w:cs="宋体"/>
        </w:rPr>
      </w:pP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r>
        <w:rPr>
          <w:rFonts w:hint="eastAsia" w:ascii="宋体" w:hAnsi="宋体" w:cs="宋体"/>
        </w:rPr>
        <w:t>…………………………………………………（页码）</w:t>
      </w:r>
    </w:p>
    <w:p w14:paraId="60E9E55C">
      <w:pPr>
        <w:snapToGrid w:val="0"/>
        <w:spacing w:line="360" w:lineRule="auto"/>
        <w:jc w:val="center"/>
        <w:outlineLvl w:val="0"/>
        <w:rPr>
          <w:rFonts w:hint="eastAsia" w:ascii="宋体" w:hAnsi="宋体" w:cs="宋体"/>
          <w:b/>
          <w:kern w:val="0"/>
          <w:sz w:val="32"/>
          <w:szCs w:val="32"/>
        </w:rPr>
      </w:pPr>
    </w:p>
    <w:p w14:paraId="0810DFA7">
      <w:pPr>
        <w:snapToGrid w:val="0"/>
        <w:spacing w:line="360" w:lineRule="auto"/>
        <w:jc w:val="center"/>
        <w:outlineLvl w:val="0"/>
        <w:rPr>
          <w:rFonts w:hint="eastAsia" w:ascii="宋体" w:hAnsi="宋体" w:cs="宋体"/>
          <w:b/>
          <w:kern w:val="0"/>
          <w:sz w:val="32"/>
          <w:szCs w:val="32"/>
        </w:rPr>
      </w:pPr>
    </w:p>
    <w:p w14:paraId="0A60CC5C">
      <w:pPr>
        <w:snapToGrid w:val="0"/>
        <w:spacing w:line="360" w:lineRule="auto"/>
        <w:jc w:val="center"/>
        <w:outlineLvl w:val="0"/>
        <w:rPr>
          <w:rFonts w:hint="eastAsia" w:ascii="宋体" w:hAnsi="宋体" w:cs="宋体"/>
          <w:b/>
          <w:kern w:val="0"/>
          <w:sz w:val="32"/>
          <w:szCs w:val="32"/>
        </w:rPr>
      </w:pPr>
    </w:p>
    <w:p w14:paraId="3E8C8BDC">
      <w:pPr>
        <w:snapToGrid w:val="0"/>
        <w:spacing w:line="360" w:lineRule="auto"/>
        <w:jc w:val="center"/>
        <w:outlineLvl w:val="0"/>
        <w:rPr>
          <w:rFonts w:hint="eastAsia" w:ascii="宋体" w:hAnsi="宋体" w:cs="宋体"/>
          <w:b/>
          <w:kern w:val="0"/>
          <w:sz w:val="32"/>
          <w:szCs w:val="32"/>
        </w:rPr>
      </w:pPr>
    </w:p>
    <w:p w14:paraId="30DE57BB">
      <w:pPr>
        <w:snapToGrid w:val="0"/>
        <w:spacing w:line="360" w:lineRule="auto"/>
        <w:jc w:val="center"/>
        <w:outlineLvl w:val="0"/>
        <w:rPr>
          <w:rFonts w:hint="eastAsia" w:ascii="宋体" w:hAnsi="宋体" w:cs="宋体"/>
          <w:b/>
          <w:kern w:val="0"/>
          <w:sz w:val="32"/>
          <w:szCs w:val="32"/>
        </w:rPr>
      </w:pPr>
    </w:p>
    <w:p w14:paraId="5CD86E7C">
      <w:pPr>
        <w:snapToGrid w:val="0"/>
        <w:spacing w:line="360" w:lineRule="auto"/>
        <w:jc w:val="center"/>
        <w:outlineLvl w:val="0"/>
        <w:rPr>
          <w:rFonts w:hint="eastAsia" w:ascii="宋体" w:hAnsi="宋体" w:cs="宋体"/>
          <w:b/>
          <w:kern w:val="0"/>
          <w:sz w:val="32"/>
          <w:szCs w:val="32"/>
        </w:rPr>
      </w:pPr>
    </w:p>
    <w:p w14:paraId="761364CF">
      <w:pPr>
        <w:snapToGrid w:val="0"/>
        <w:spacing w:line="360" w:lineRule="auto"/>
        <w:jc w:val="center"/>
        <w:outlineLvl w:val="0"/>
        <w:rPr>
          <w:rFonts w:hint="eastAsia" w:ascii="宋体" w:hAnsi="宋体" w:cs="宋体"/>
          <w:b/>
          <w:kern w:val="0"/>
          <w:sz w:val="32"/>
          <w:szCs w:val="32"/>
        </w:rPr>
      </w:pPr>
    </w:p>
    <w:p w14:paraId="610F4A44">
      <w:pPr>
        <w:snapToGrid w:val="0"/>
        <w:spacing w:line="360" w:lineRule="auto"/>
        <w:jc w:val="center"/>
        <w:outlineLvl w:val="0"/>
        <w:rPr>
          <w:rFonts w:hint="eastAsia" w:ascii="宋体" w:hAnsi="宋体" w:cs="宋体"/>
          <w:b/>
          <w:kern w:val="0"/>
          <w:sz w:val="32"/>
          <w:szCs w:val="32"/>
        </w:rPr>
      </w:pPr>
    </w:p>
    <w:p w14:paraId="22A0F04A">
      <w:pPr>
        <w:snapToGrid w:val="0"/>
        <w:spacing w:line="360" w:lineRule="auto"/>
        <w:jc w:val="center"/>
        <w:outlineLvl w:val="0"/>
        <w:rPr>
          <w:rFonts w:hint="eastAsia" w:ascii="宋体" w:hAnsi="宋体" w:cs="宋体"/>
          <w:b/>
          <w:kern w:val="0"/>
          <w:sz w:val="32"/>
          <w:szCs w:val="32"/>
        </w:rPr>
      </w:pPr>
    </w:p>
    <w:p w14:paraId="132F1BB4">
      <w:pPr>
        <w:snapToGrid w:val="0"/>
        <w:spacing w:line="360" w:lineRule="auto"/>
        <w:jc w:val="center"/>
        <w:outlineLvl w:val="0"/>
        <w:rPr>
          <w:rFonts w:hint="eastAsia" w:ascii="宋体" w:hAnsi="宋体" w:cs="宋体"/>
          <w:b/>
          <w:kern w:val="0"/>
          <w:sz w:val="32"/>
          <w:szCs w:val="32"/>
        </w:rPr>
      </w:pPr>
    </w:p>
    <w:p w14:paraId="1146938C">
      <w:pPr>
        <w:snapToGrid w:val="0"/>
        <w:spacing w:line="360" w:lineRule="auto"/>
        <w:jc w:val="center"/>
        <w:outlineLvl w:val="0"/>
        <w:rPr>
          <w:rFonts w:hint="eastAsia" w:ascii="宋体" w:hAnsi="宋体" w:cs="宋体"/>
          <w:b/>
          <w:kern w:val="0"/>
          <w:sz w:val="32"/>
          <w:szCs w:val="32"/>
        </w:rPr>
      </w:pPr>
    </w:p>
    <w:p w14:paraId="5B971C74">
      <w:pPr>
        <w:snapToGrid w:val="0"/>
        <w:spacing w:line="360" w:lineRule="auto"/>
        <w:jc w:val="center"/>
        <w:outlineLvl w:val="0"/>
        <w:rPr>
          <w:rFonts w:hint="eastAsia" w:ascii="宋体" w:hAnsi="宋体" w:cs="宋体"/>
          <w:b/>
          <w:kern w:val="0"/>
          <w:sz w:val="32"/>
          <w:szCs w:val="32"/>
        </w:rPr>
      </w:pPr>
    </w:p>
    <w:p w14:paraId="4F2B69A1">
      <w:pPr>
        <w:snapToGrid w:val="0"/>
        <w:spacing w:line="360" w:lineRule="auto"/>
        <w:jc w:val="center"/>
        <w:outlineLvl w:val="0"/>
        <w:rPr>
          <w:rFonts w:hint="eastAsia" w:ascii="宋体" w:hAnsi="宋体" w:cs="宋体"/>
          <w:b/>
          <w:kern w:val="0"/>
          <w:sz w:val="32"/>
          <w:szCs w:val="32"/>
        </w:rPr>
      </w:pPr>
    </w:p>
    <w:p w14:paraId="4F801702">
      <w:pPr>
        <w:snapToGrid w:val="0"/>
        <w:spacing w:line="360" w:lineRule="auto"/>
        <w:jc w:val="center"/>
        <w:outlineLvl w:val="0"/>
        <w:rPr>
          <w:rFonts w:hint="eastAsia" w:ascii="宋体" w:hAnsi="宋体" w:cs="宋体"/>
          <w:b/>
          <w:kern w:val="0"/>
          <w:sz w:val="32"/>
          <w:szCs w:val="32"/>
        </w:rPr>
      </w:pPr>
    </w:p>
    <w:p w14:paraId="7FFF998A">
      <w:pPr>
        <w:snapToGrid w:val="0"/>
        <w:spacing w:line="360" w:lineRule="auto"/>
        <w:jc w:val="center"/>
        <w:outlineLvl w:val="0"/>
        <w:rPr>
          <w:rFonts w:hint="eastAsia" w:ascii="宋体" w:hAnsi="宋体" w:cs="宋体"/>
          <w:b/>
          <w:sz w:val="32"/>
          <w:szCs w:val="32"/>
        </w:rPr>
      </w:pPr>
      <w:r>
        <w:rPr>
          <w:rFonts w:hint="eastAsia" w:ascii="宋体" w:hAnsi="宋体" w:cs="宋体"/>
          <w:b/>
          <w:kern w:val="0"/>
          <w:sz w:val="32"/>
          <w:szCs w:val="32"/>
        </w:rPr>
        <w:t>一、投标</w:t>
      </w:r>
      <w:r>
        <w:rPr>
          <w:rFonts w:hint="eastAsia" w:ascii="宋体" w:hAnsi="宋体" w:cs="宋体"/>
          <w:b/>
          <w:sz w:val="32"/>
          <w:szCs w:val="32"/>
        </w:rPr>
        <w:t>函</w:t>
      </w:r>
    </w:p>
    <w:p w14:paraId="0BB23FF8">
      <w:pPr>
        <w:snapToGrid w:val="0"/>
        <w:spacing w:line="360" w:lineRule="auto"/>
        <w:rPr>
          <w:rFonts w:hint="eastAsia" w:ascii="宋体" w:hAnsi="宋体" w:cs="宋体"/>
          <w:sz w:val="24"/>
        </w:rPr>
      </w:pPr>
      <w:r>
        <w:rPr>
          <w:rFonts w:hint="eastAsia" w:ascii="宋体" w:hAnsi="宋体" w:cs="宋体"/>
          <w:sz w:val="24"/>
        </w:rPr>
        <w:t>（采购人）、（采购代理机构）：</w:t>
      </w:r>
    </w:p>
    <w:p w14:paraId="504CB1E2">
      <w:pPr>
        <w:snapToGrid w:val="0"/>
        <w:spacing w:line="360" w:lineRule="auto"/>
        <w:ind w:firstLine="480" w:firstLineChars="200"/>
        <w:rPr>
          <w:rFonts w:hint="eastAsia" w:ascii="宋体" w:hAnsi="宋体" w:cs="宋体"/>
          <w:sz w:val="24"/>
        </w:rPr>
      </w:pPr>
      <w:r>
        <w:rPr>
          <w:rFonts w:hint="eastAsia" w:ascii="宋体" w:hAnsi="宋体" w:cs="宋体"/>
          <w:sz w:val="24"/>
        </w:rPr>
        <w:t>我方参加你方组织的（项目名称）【招标编号：（采购编号）】招标的有关活动，并对此项目进行投标。为此：</w:t>
      </w:r>
    </w:p>
    <w:p w14:paraId="29510C0F">
      <w:pPr>
        <w:snapToGrid w:val="0"/>
        <w:spacing w:line="360" w:lineRule="auto"/>
        <w:ind w:firstLine="480" w:firstLineChars="200"/>
        <w:rPr>
          <w:rFonts w:hint="eastAsia" w:ascii="宋体" w:hAnsi="宋体" w:cs="宋体"/>
          <w:sz w:val="24"/>
        </w:rPr>
      </w:pPr>
      <w:r>
        <w:rPr>
          <w:rFonts w:hint="eastAsia" w:ascii="宋体" w:hAnsi="宋体" w:cs="宋体"/>
          <w:sz w:val="24"/>
        </w:rPr>
        <w:t>1、我方承诺投标有效期从提交投标文件的截止之日起</w:t>
      </w:r>
      <w:r>
        <w:rPr>
          <w:rFonts w:hint="eastAsia" w:ascii="宋体" w:hAnsi="宋体" w:cs="宋体"/>
          <w:sz w:val="24"/>
          <w:u w:val="single"/>
        </w:rPr>
        <w:t xml:space="preserve"> 90 </w:t>
      </w:r>
      <w:r>
        <w:rPr>
          <w:rFonts w:hint="eastAsia" w:ascii="宋体" w:hAnsi="宋体" w:cs="宋体"/>
          <w:sz w:val="24"/>
        </w:rPr>
        <w:t>天（不少于90天）</w:t>
      </w:r>
      <w:r>
        <w:rPr>
          <w:rFonts w:hint="eastAsia" w:ascii="宋体" w:hAnsi="宋体" w:cs="宋体"/>
        </w:rPr>
        <w:t>，</w:t>
      </w:r>
      <w:r>
        <w:rPr>
          <w:rFonts w:hint="eastAsia" w:ascii="宋体" w:hAnsi="宋体" w:cs="宋体"/>
          <w:sz w:val="24"/>
        </w:rPr>
        <w:t>本投标文件在投标有效期满之前均具有约束力。</w:t>
      </w:r>
    </w:p>
    <w:p w14:paraId="254876F0">
      <w:pPr>
        <w:snapToGrid w:val="0"/>
        <w:spacing w:line="360" w:lineRule="auto"/>
        <w:ind w:firstLine="480" w:firstLineChars="200"/>
        <w:rPr>
          <w:rFonts w:hint="eastAsia" w:ascii="宋体" w:hAnsi="宋体" w:cs="宋体"/>
          <w:sz w:val="24"/>
        </w:rPr>
      </w:pPr>
      <w:r>
        <w:rPr>
          <w:rFonts w:hint="eastAsia" w:ascii="宋体" w:hAnsi="宋体" w:cs="宋体"/>
          <w:sz w:val="24"/>
        </w:rPr>
        <w:t>2、我方的投标文件包括以下内容：</w:t>
      </w:r>
    </w:p>
    <w:p w14:paraId="6807A6B5">
      <w:pPr>
        <w:snapToGrid w:val="0"/>
        <w:ind w:left="210" w:leftChars="100" w:firstLine="480" w:firstLineChars="200"/>
        <w:rPr>
          <w:rFonts w:hint="eastAsia" w:ascii="宋体" w:hAnsi="宋体" w:cs="宋体"/>
          <w:sz w:val="24"/>
        </w:rPr>
      </w:pPr>
      <w:r>
        <w:rPr>
          <w:rFonts w:hint="eastAsia" w:ascii="宋体" w:hAnsi="宋体" w:cs="宋体"/>
          <w:sz w:val="24"/>
        </w:rPr>
        <w:t>2.1资格文件：</w:t>
      </w:r>
    </w:p>
    <w:p w14:paraId="08935F93">
      <w:pPr>
        <w:snapToGrid w:val="0"/>
        <w:ind w:left="420" w:leftChars="200" w:firstLine="480" w:firstLineChars="200"/>
        <w:rPr>
          <w:rFonts w:hint="eastAsia" w:ascii="宋体" w:hAnsi="宋体" w:cs="宋体"/>
          <w:sz w:val="24"/>
        </w:rPr>
      </w:pPr>
      <w:r>
        <w:rPr>
          <w:rFonts w:hint="eastAsia" w:ascii="宋体" w:hAnsi="宋体" w:cs="宋体"/>
          <w:sz w:val="24"/>
        </w:rPr>
        <w:t>2.1.1承诺函；</w:t>
      </w:r>
    </w:p>
    <w:p w14:paraId="18C63A82">
      <w:pPr>
        <w:snapToGrid w:val="0"/>
        <w:ind w:left="420" w:leftChars="200" w:firstLine="480" w:firstLineChars="200"/>
        <w:rPr>
          <w:rFonts w:hint="eastAsia" w:ascii="宋体" w:hAnsi="宋体" w:cs="宋体"/>
          <w:sz w:val="24"/>
        </w:rPr>
      </w:pPr>
      <w:r>
        <w:rPr>
          <w:rFonts w:hint="eastAsia" w:ascii="宋体" w:hAnsi="宋体" w:cs="宋体"/>
          <w:sz w:val="24"/>
        </w:rPr>
        <w:t>2.1.2联合协议</w:t>
      </w:r>
      <w:bookmarkStart w:id="537" w:name="_Hlk101257010"/>
      <w:r>
        <w:rPr>
          <w:rFonts w:hint="eastAsia" w:ascii="宋体" w:hAnsi="宋体" w:cs="宋体"/>
          <w:sz w:val="24"/>
        </w:rPr>
        <w:t>；（如果有)</w:t>
      </w:r>
      <w:bookmarkEnd w:id="537"/>
    </w:p>
    <w:p w14:paraId="07BF583C">
      <w:pPr>
        <w:snapToGrid w:val="0"/>
        <w:ind w:left="420" w:leftChars="200" w:firstLine="480" w:firstLineChars="200"/>
        <w:rPr>
          <w:rFonts w:hint="eastAsia" w:ascii="宋体" w:hAnsi="宋体" w:cs="宋体"/>
          <w:sz w:val="24"/>
        </w:rPr>
      </w:pPr>
      <w:r>
        <w:rPr>
          <w:rFonts w:hint="eastAsia" w:ascii="宋体" w:hAnsi="宋体" w:cs="宋体"/>
          <w:sz w:val="24"/>
        </w:rPr>
        <w:t>2.1.3落实政府采购政策需满足的资格要求；</w:t>
      </w:r>
    </w:p>
    <w:p w14:paraId="52A8A274">
      <w:pPr>
        <w:snapToGrid w:val="0"/>
        <w:ind w:left="420" w:leftChars="200" w:firstLine="480" w:firstLineChars="200"/>
        <w:rPr>
          <w:rFonts w:hint="eastAsia" w:ascii="宋体" w:hAnsi="宋体" w:cs="宋体"/>
          <w:sz w:val="24"/>
        </w:rPr>
      </w:pPr>
      <w:r>
        <w:rPr>
          <w:rFonts w:hint="eastAsia" w:ascii="宋体" w:hAnsi="宋体" w:cs="宋体"/>
          <w:sz w:val="24"/>
        </w:rPr>
        <w:t>2.1.4本项目的特定资格要求。</w:t>
      </w:r>
    </w:p>
    <w:p w14:paraId="2A6D1FDF">
      <w:pPr>
        <w:snapToGrid w:val="0"/>
        <w:ind w:left="210" w:leftChars="1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 xml:space="preserve"> </w:t>
      </w:r>
      <w:r>
        <w:rPr>
          <w:rFonts w:hint="eastAsia" w:ascii="宋体" w:hAnsi="宋体" w:cs="宋体"/>
          <w:sz w:val="24"/>
        </w:rPr>
        <w:t>商务技术</w:t>
      </w:r>
      <w:r>
        <w:rPr>
          <w:rFonts w:hint="eastAsia" w:ascii="宋体" w:hAnsi="宋体" w:cs="宋体"/>
          <w:sz w:val="24"/>
          <w:lang w:val="zh-CN"/>
        </w:rPr>
        <w:t>文件：</w:t>
      </w:r>
    </w:p>
    <w:p w14:paraId="376C7EC9">
      <w:pPr>
        <w:snapToGrid w:val="0"/>
        <w:ind w:left="420" w:leftChars="200" w:firstLine="480" w:firstLineChars="200"/>
        <w:rPr>
          <w:rFonts w:hint="eastAsia" w:ascii="宋体" w:hAnsi="宋体" w:cs="宋体"/>
          <w:sz w:val="24"/>
        </w:rPr>
      </w:pPr>
      <w:r>
        <w:rPr>
          <w:rFonts w:hint="eastAsia" w:ascii="宋体" w:hAnsi="宋体" w:cs="宋体"/>
          <w:sz w:val="24"/>
        </w:rPr>
        <w:t>2.2.1投标函；</w:t>
      </w:r>
      <w:r>
        <w:rPr>
          <w:rFonts w:hint="eastAsia" w:ascii="宋体" w:hAnsi="宋体" w:cs="宋体"/>
          <w:sz w:val="24"/>
          <w:lang w:val="zh-CN"/>
        </w:rPr>
        <w:t xml:space="preserve"> </w:t>
      </w:r>
    </w:p>
    <w:p w14:paraId="5848B784">
      <w:pPr>
        <w:snapToGrid w:val="0"/>
        <w:ind w:left="420" w:leftChars="200" w:firstLine="480" w:firstLineChars="200"/>
        <w:rPr>
          <w:rFonts w:hint="eastAsia" w:ascii="宋体" w:hAnsi="宋体" w:cs="宋体"/>
          <w:sz w:val="24"/>
        </w:rPr>
      </w:pPr>
      <w:r>
        <w:rPr>
          <w:rFonts w:hint="eastAsia" w:ascii="宋体" w:hAnsi="宋体" w:cs="宋体"/>
          <w:sz w:val="24"/>
        </w:rPr>
        <w:t>2.2.2授权委托书或法定代表人（单位负责人）身份证明；</w:t>
      </w:r>
    </w:p>
    <w:p w14:paraId="78B51C44">
      <w:pPr>
        <w:snapToGrid w:val="0"/>
        <w:ind w:left="420" w:leftChars="200" w:firstLine="480" w:firstLineChars="200"/>
        <w:rPr>
          <w:rFonts w:hint="eastAsia" w:ascii="宋体" w:hAnsi="宋体" w:cs="宋体"/>
          <w:sz w:val="24"/>
        </w:rPr>
      </w:pPr>
      <w:r>
        <w:rPr>
          <w:rFonts w:hint="eastAsia" w:ascii="宋体" w:hAnsi="宋体" w:cs="宋体"/>
          <w:sz w:val="24"/>
        </w:rPr>
        <w:t>2.2.3符合性审查资料；</w:t>
      </w:r>
    </w:p>
    <w:p w14:paraId="570A4A52">
      <w:pPr>
        <w:snapToGrid w:val="0"/>
        <w:ind w:left="420" w:leftChars="200" w:firstLine="480" w:firstLineChars="200"/>
        <w:rPr>
          <w:rFonts w:hint="eastAsia" w:ascii="宋体" w:hAnsi="宋体" w:cs="宋体"/>
          <w:sz w:val="24"/>
        </w:rPr>
      </w:pPr>
      <w:r>
        <w:rPr>
          <w:rFonts w:hint="eastAsia" w:ascii="宋体" w:hAnsi="宋体" w:cs="宋体"/>
          <w:sz w:val="24"/>
        </w:rPr>
        <w:t>2.2.4评标标准相应的商务技术资料；</w:t>
      </w:r>
    </w:p>
    <w:p w14:paraId="40D2221A">
      <w:pPr>
        <w:snapToGrid w:val="0"/>
        <w:ind w:left="420" w:leftChars="200" w:firstLine="480" w:firstLineChars="200"/>
        <w:rPr>
          <w:rFonts w:hint="eastAsia" w:ascii="宋体" w:hAnsi="宋体" w:cs="宋体"/>
          <w:sz w:val="24"/>
        </w:rPr>
      </w:pPr>
      <w:r>
        <w:rPr>
          <w:rFonts w:hint="eastAsia" w:ascii="宋体" w:hAnsi="宋体" w:cs="宋体"/>
          <w:sz w:val="24"/>
        </w:rPr>
        <w:t>2.2.5投标标的清单；</w:t>
      </w:r>
    </w:p>
    <w:p w14:paraId="58731204">
      <w:pPr>
        <w:snapToGrid w:val="0"/>
        <w:ind w:left="420" w:leftChars="200" w:firstLine="480" w:firstLineChars="200"/>
        <w:rPr>
          <w:rFonts w:hint="eastAsia" w:ascii="宋体" w:hAnsi="宋体" w:cs="宋体"/>
          <w:sz w:val="24"/>
        </w:rPr>
      </w:pPr>
      <w:r>
        <w:rPr>
          <w:rFonts w:hint="eastAsia" w:ascii="宋体" w:hAnsi="宋体" w:cs="宋体"/>
          <w:sz w:val="24"/>
        </w:rPr>
        <w:t>2.2.6商务技术偏离表；</w:t>
      </w:r>
    </w:p>
    <w:p w14:paraId="518703BC">
      <w:pPr>
        <w:snapToGrid w:val="0"/>
        <w:ind w:left="420" w:leftChars="200" w:firstLine="480" w:firstLineChars="200"/>
        <w:rPr>
          <w:rFonts w:hint="eastAsia" w:ascii="宋体" w:hAnsi="宋体" w:cs="宋体"/>
          <w:sz w:val="24"/>
          <w:lang w:val="zh-CN"/>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7</w:t>
      </w:r>
      <w:r>
        <w:rPr>
          <w:rFonts w:hint="eastAsia" w:ascii="宋体" w:hAnsi="宋体" w:cs="宋体"/>
          <w:sz w:val="24"/>
          <w:lang w:val="zh-CN"/>
        </w:rPr>
        <w:t>政府采购供应商廉洁自律承诺书；</w:t>
      </w:r>
    </w:p>
    <w:p w14:paraId="43A72CCC">
      <w:pPr>
        <w:snapToGrid w:val="0"/>
        <w:ind w:left="210" w:leftChars="100" w:firstLine="480" w:firstLineChars="200"/>
        <w:rPr>
          <w:rFonts w:hint="eastAsia" w:ascii="宋体" w:hAnsi="宋体" w:cs="宋体"/>
          <w:sz w:val="24"/>
        </w:rPr>
      </w:pPr>
      <w:r>
        <w:rPr>
          <w:rFonts w:hint="eastAsia" w:ascii="宋体" w:hAnsi="宋体" w:cs="宋体"/>
          <w:sz w:val="24"/>
        </w:rPr>
        <w:t>2</w:t>
      </w:r>
      <w:r>
        <w:rPr>
          <w:rFonts w:hint="eastAsia" w:ascii="宋体" w:hAnsi="宋体" w:cs="宋体"/>
          <w:sz w:val="24"/>
          <w:lang w:val="zh-CN"/>
        </w:rPr>
        <w:t>.</w:t>
      </w:r>
      <w:r>
        <w:rPr>
          <w:rFonts w:hint="eastAsia" w:ascii="宋体" w:hAnsi="宋体" w:cs="宋体"/>
          <w:sz w:val="24"/>
        </w:rPr>
        <w:t>3报价文件</w:t>
      </w:r>
    </w:p>
    <w:p w14:paraId="7F6E5E5B">
      <w:pPr>
        <w:snapToGrid w:val="0"/>
        <w:ind w:left="420" w:leftChars="200" w:firstLine="480" w:firstLineChars="200"/>
        <w:rPr>
          <w:rFonts w:hint="eastAsia" w:ascii="宋体" w:hAnsi="宋体" w:cs="宋体"/>
          <w:sz w:val="24"/>
        </w:rPr>
      </w:pPr>
      <w:r>
        <w:rPr>
          <w:rFonts w:hint="eastAsia" w:ascii="宋体" w:hAnsi="宋体" w:cs="宋体"/>
          <w:sz w:val="24"/>
        </w:rPr>
        <w:t>2.3.1开标一览表（报价表）；</w:t>
      </w:r>
    </w:p>
    <w:p w14:paraId="4826B781">
      <w:pPr>
        <w:snapToGrid w:val="0"/>
        <w:ind w:left="420" w:leftChars="200" w:firstLine="480" w:firstLineChars="200"/>
        <w:rPr>
          <w:rFonts w:hint="eastAsia" w:ascii="宋体" w:hAnsi="宋体" w:cs="宋体"/>
          <w:sz w:val="24"/>
        </w:rPr>
      </w:pPr>
      <w:r>
        <w:rPr>
          <w:rFonts w:hint="eastAsia" w:ascii="宋体" w:hAnsi="宋体" w:cs="宋体"/>
          <w:sz w:val="24"/>
        </w:rPr>
        <w:t>2.3.2中小企业声明函（如果有）。</w:t>
      </w:r>
    </w:p>
    <w:p w14:paraId="105A9FD1">
      <w:pPr>
        <w:snapToGrid w:val="0"/>
        <w:spacing w:line="360" w:lineRule="auto"/>
        <w:ind w:firstLine="480" w:firstLineChars="200"/>
        <w:rPr>
          <w:rFonts w:hint="eastAsia" w:ascii="宋体" w:hAnsi="宋体" w:cs="宋体"/>
          <w:sz w:val="24"/>
        </w:rPr>
      </w:pPr>
      <w:r>
        <w:rPr>
          <w:rFonts w:hint="eastAsia" w:ascii="宋体" w:hAnsi="宋体" w:cs="宋体"/>
          <w:sz w:val="24"/>
        </w:rPr>
        <w:t>3、我方承诺除商务技术偏离表列出的偏离外，我方响应招标文件的全部要求。</w:t>
      </w:r>
    </w:p>
    <w:p w14:paraId="7FB1C121">
      <w:pPr>
        <w:snapToGrid w:val="0"/>
        <w:spacing w:line="360" w:lineRule="auto"/>
        <w:ind w:firstLine="480" w:firstLineChars="200"/>
        <w:rPr>
          <w:rFonts w:hint="eastAsia" w:ascii="宋体" w:hAnsi="宋体" w:cs="宋体"/>
          <w:sz w:val="24"/>
        </w:rPr>
      </w:pPr>
      <w:r>
        <w:rPr>
          <w:rFonts w:hint="eastAsia" w:ascii="宋体" w:hAnsi="宋体" w:cs="宋体"/>
          <w:sz w:val="24"/>
        </w:rPr>
        <w:t>4、如我方中标，我方承诺：</w:t>
      </w:r>
    </w:p>
    <w:p w14:paraId="614B15A2">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4.1在收到中标通知书后，在中标通知书规定的期限内与你方签订合同； </w:t>
      </w:r>
    </w:p>
    <w:p w14:paraId="1889D16E">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4.2在签订合同时不向你方提出附加条件； </w:t>
      </w:r>
    </w:p>
    <w:p w14:paraId="7A3419D0">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4.3按照招标文件要求提交履约保证金； </w:t>
      </w:r>
    </w:p>
    <w:p w14:paraId="3BCF2AE3">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 xml:space="preserve">4.4在合同约定的期限内完成合同规定的全部义务。 </w:t>
      </w:r>
    </w:p>
    <w:p w14:paraId="15AD16B7">
      <w:pPr>
        <w:snapToGrid w:val="0"/>
        <w:spacing w:line="360" w:lineRule="auto"/>
        <w:ind w:left="210" w:leftChars="100" w:firstLine="480" w:firstLineChars="200"/>
        <w:rPr>
          <w:rFonts w:hint="eastAsia" w:ascii="宋体" w:hAnsi="宋体" w:cs="宋体"/>
          <w:sz w:val="24"/>
        </w:rPr>
      </w:pPr>
      <w:r>
        <w:rPr>
          <w:rFonts w:hint="eastAsia" w:ascii="宋体" w:hAnsi="宋体" w:cs="宋体"/>
          <w:sz w:val="24"/>
        </w:rPr>
        <w:t>5、其他补充说明:</w:t>
      </w:r>
      <w:r>
        <w:rPr>
          <w:rFonts w:hint="eastAsia" w:ascii="宋体" w:hAnsi="宋体" w:cs="宋体"/>
          <w:sz w:val="24"/>
          <w:u w:val="single"/>
        </w:rPr>
        <w:t xml:space="preserve">                                        </w:t>
      </w:r>
      <w:r>
        <w:rPr>
          <w:rFonts w:hint="eastAsia" w:ascii="宋体" w:hAnsi="宋体" w:cs="宋体"/>
          <w:sz w:val="24"/>
        </w:rPr>
        <w:t>。</w:t>
      </w:r>
    </w:p>
    <w:p w14:paraId="2C4D3290">
      <w:pPr>
        <w:spacing w:line="360" w:lineRule="auto"/>
        <w:ind w:firstLine="3600" w:firstLineChars="1500"/>
        <w:rPr>
          <w:rFonts w:hint="eastAsia" w:ascii="宋体" w:hAnsi="宋体" w:cs="宋体"/>
          <w:sz w:val="24"/>
        </w:rPr>
      </w:pPr>
      <w:r>
        <w:rPr>
          <w:rFonts w:hint="eastAsia" w:ascii="宋体" w:hAnsi="宋体" w:cs="宋体"/>
          <w:sz w:val="24"/>
        </w:rPr>
        <w:t xml:space="preserve">投标人名称（电子签名）：                          </w:t>
      </w:r>
    </w:p>
    <w:p w14:paraId="28998E1D">
      <w:pPr>
        <w:spacing w:line="360" w:lineRule="auto"/>
        <w:jc w:val="center"/>
        <w:rPr>
          <w:rFonts w:hint="eastAsia" w:ascii="宋体" w:hAnsi="宋体" w:cs="宋体"/>
          <w:sz w:val="24"/>
        </w:rPr>
      </w:pPr>
      <w:r>
        <w:rPr>
          <w:rFonts w:hint="eastAsia" w:ascii="宋体" w:hAnsi="宋体" w:cs="宋体"/>
          <w:sz w:val="24"/>
        </w:rPr>
        <w:t xml:space="preserve">     日期：  年   月   日</w:t>
      </w:r>
    </w:p>
    <w:p w14:paraId="25EDB32C">
      <w:pPr>
        <w:jc w:val="center"/>
        <w:rPr>
          <w:rFonts w:hint="eastAsia" w:ascii="宋体" w:hAnsi="宋体" w:cs="宋体"/>
          <w:b/>
          <w:kern w:val="0"/>
          <w:sz w:val="32"/>
          <w:szCs w:val="32"/>
          <w:lang w:val="zh-CN"/>
        </w:rPr>
      </w:pPr>
    </w:p>
    <w:p w14:paraId="2AFF6126">
      <w:pPr>
        <w:jc w:val="center"/>
        <w:rPr>
          <w:rFonts w:hint="eastAsia" w:ascii="宋体" w:hAnsi="宋体" w:cs="宋体"/>
          <w:b/>
          <w:kern w:val="0"/>
          <w:sz w:val="32"/>
          <w:szCs w:val="32"/>
          <w:lang w:val="zh-CN"/>
        </w:rPr>
      </w:pPr>
    </w:p>
    <w:p w14:paraId="223EB131">
      <w:pPr>
        <w:jc w:val="center"/>
        <w:rPr>
          <w:rFonts w:hint="eastAsia" w:ascii="宋体" w:hAnsi="宋体" w:cs="宋体"/>
          <w:b/>
          <w:kern w:val="0"/>
          <w:sz w:val="32"/>
          <w:szCs w:val="32"/>
          <w:lang w:val="zh-CN"/>
        </w:rPr>
      </w:pPr>
    </w:p>
    <w:p w14:paraId="5A207C17">
      <w:pPr>
        <w:jc w:val="center"/>
        <w:rPr>
          <w:rFonts w:hint="eastAsia" w:ascii="宋体" w:hAnsi="宋体" w:cs="宋体"/>
          <w:b/>
          <w:kern w:val="0"/>
          <w:sz w:val="32"/>
          <w:szCs w:val="32"/>
          <w:lang w:val="zh-CN"/>
        </w:rPr>
      </w:pPr>
      <w:r>
        <w:rPr>
          <w:rFonts w:hint="eastAsia" w:ascii="宋体" w:hAnsi="宋体" w:cs="宋体"/>
          <w:b/>
          <w:kern w:val="0"/>
          <w:sz w:val="32"/>
          <w:szCs w:val="32"/>
          <w:lang w:val="zh-CN"/>
        </w:rPr>
        <w:t>二、授权委托书或法定代表人（单位负责人、自然人本人）身份证明</w:t>
      </w:r>
    </w:p>
    <w:p w14:paraId="2B456FA6">
      <w:pPr>
        <w:snapToGrid w:val="0"/>
        <w:spacing w:line="360" w:lineRule="auto"/>
        <w:rPr>
          <w:rFonts w:hint="eastAsia" w:ascii="宋体" w:hAnsi="宋体" w:cs="宋体"/>
          <w:sz w:val="24"/>
        </w:rPr>
      </w:pPr>
    </w:p>
    <w:p w14:paraId="21D8FF5C">
      <w:pPr>
        <w:snapToGrid w:val="0"/>
        <w:spacing w:line="360" w:lineRule="auto"/>
        <w:jc w:val="center"/>
        <w:rPr>
          <w:rFonts w:hint="eastAsia" w:ascii="宋体" w:hAnsi="宋体" w:cs="宋体"/>
        </w:rPr>
      </w:pPr>
      <w:r>
        <w:rPr>
          <w:rFonts w:hint="eastAsia" w:ascii="宋体" w:hAnsi="宋体" w:cs="宋体"/>
          <w:b/>
          <w:kern w:val="0"/>
          <w:sz w:val="32"/>
          <w:szCs w:val="32"/>
          <w:lang w:val="zh-CN"/>
        </w:rPr>
        <w:t>授权委托书</w:t>
      </w:r>
    </w:p>
    <w:p w14:paraId="1CC92DE9">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6CF3140A">
      <w:pPr>
        <w:snapToGrid w:val="0"/>
        <w:spacing w:line="360" w:lineRule="auto"/>
        <w:ind w:firstLine="576"/>
        <w:rPr>
          <w:rFonts w:hint="eastAsia" w:ascii="宋体" w:hAnsi="宋体" w:cs="宋体"/>
          <w:kern w:val="0"/>
          <w:sz w:val="24"/>
        </w:rPr>
      </w:pPr>
      <w:r>
        <w:rPr>
          <w:rFonts w:hint="eastAsia" w:ascii="宋体" w:hAnsi="宋体" w:cs="宋体"/>
          <w:kern w:val="0"/>
          <w:sz w:val="24"/>
        </w:rPr>
        <w:t>现</w:t>
      </w:r>
      <w:r>
        <w:rPr>
          <w:rFonts w:hint="eastAsia" w:ascii="宋体" w:hAnsi="宋体" w:cs="宋体"/>
          <w:kern w:val="0"/>
          <w:sz w:val="24"/>
          <w:lang w:val="zh-CN"/>
        </w:rPr>
        <w:t>委托（姓名）为我方代理人（身份证号码：，手机：），以我方名义处理</w:t>
      </w:r>
      <w:r>
        <w:rPr>
          <w:rFonts w:hint="eastAsia" w:ascii="宋体" w:hAnsi="宋体" w:cs="宋体"/>
          <w:sz w:val="24"/>
        </w:rPr>
        <w:t>（项目名称）【招标编号：（采购编号）】</w:t>
      </w:r>
      <w:r>
        <w:rPr>
          <w:rFonts w:hint="eastAsia" w:ascii="宋体" w:hAnsi="宋体" w:cs="宋体"/>
          <w:kern w:val="0"/>
          <w:sz w:val="24"/>
          <w:lang w:val="zh-CN"/>
        </w:rPr>
        <w:t>政府采购投标的一切事项，其法律后果由我方承担。</w:t>
      </w:r>
    </w:p>
    <w:p w14:paraId="4454C004">
      <w:pPr>
        <w:snapToGrid w:val="0"/>
        <w:spacing w:line="360" w:lineRule="auto"/>
        <w:rPr>
          <w:rFonts w:hint="eastAsia" w:ascii="宋体" w:hAnsi="宋体" w:cs="宋体"/>
          <w:kern w:val="0"/>
          <w:sz w:val="24"/>
        </w:rPr>
      </w:pPr>
      <w:r>
        <w:rPr>
          <w:rFonts w:hint="eastAsia" w:ascii="宋体" w:hAnsi="宋体" w:cs="宋体"/>
          <w:kern w:val="0"/>
          <w:sz w:val="24"/>
          <w:lang w:val="zh-CN"/>
        </w:rPr>
        <w:t>委托期限</w:t>
      </w:r>
      <w:r>
        <w:rPr>
          <w:rFonts w:hint="eastAsia" w:ascii="宋体" w:hAnsi="宋体" w:cs="宋体"/>
          <w:kern w:val="0"/>
          <w:sz w:val="24"/>
        </w:rPr>
        <w:t>：</w:t>
      </w:r>
      <w:r>
        <w:rPr>
          <w:rFonts w:hint="eastAsia" w:ascii="宋体" w:hAnsi="宋体" w:cs="宋体"/>
          <w:kern w:val="0"/>
          <w:sz w:val="24"/>
          <w:lang w:val="zh-CN"/>
        </w:rPr>
        <w:t>自年月日起至年月日止。</w:t>
      </w:r>
    </w:p>
    <w:p w14:paraId="02572104">
      <w:pPr>
        <w:snapToGrid w:val="0"/>
        <w:spacing w:line="360" w:lineRule="auto"/>
        <w:rPr>
          <w:rFonts w:hint="eastAsia" w:ascii="宋体" w:hAnsi="宋体" w:cs="宋体"/>
          <w:kern w:val="0"/>
          <w:sz w:val="24"/>
        </w:rPr>
      </w:pPr>
      <w:r>
        <w:rPr>
          <w:rFonts w:hint="eastAsia" w:ascii="宋体" w:hAnsi="宋体" w:cs="宋体"/>
          <w:kern w:val="0"/>
          <w:sz w:val="24"/>
          <w:lang w:val="zh-CN"/>
        </w:rPr>
        <w:t>特此告知。</w:t>
      </w:r>
    </w:p>
    <w:p w14:paraId="639A3579">
      <w:pPr>
        <w:snapToGrid w:val="0"/>
        <w:spacing w:line="360" w:lineRule="auto"/>
        <w:rPr>
          <w:rFonts w:hint="eastAsia" w:ascii="宋体" w:hAnsi="宋体" w:cs="宋体"/>
          <w:kern w:val="0"/>
          <w:sz w:val="24"/>
        </w:rPr>
      </w:pPr>
      <w:r>
        <w:rPr>
          <w:rFonts w:hint="eastAsia" w:ascii="宋体" w:hAnsi="宋体" w:cs="宋体"/>
          <w:kern w:val="0"/>
          <w:sz w:val="24"/>
          <w:lang w:val="zh-CN"/>
        </w:rPr>
        <w:t xml:space="preserve">                                                 投标人名称(电子签名)：</w:t>
      </w:r>
    </w:p>
    <w:p w14:paraId="2E024471">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签发日期：  年  月   日</w:t>
      </w:r>
    </w:p>
    <w:p w14:paraId="28087998">
      <w:pPr>
        <w:snapToGrid w:val="0"/>
        <w:spacing w:line="360" w:lineRule="auto"/>
        <w:rPr>
          <w:rFonts w:hint="eastAsia" w:ascii="宋体" w:hAnsi="宋体" w:cs="宋体"/>
          <w:kern w:val="0"/>
          <w:sz w:val="24"/>
          <w:lang w:val="zh-CN"/>
        </w:rPr>
      </w:pPr>
    </w:p>
    <w:p w14:paraId="682D8E30">
      <w:pPr>
        <w:autoSpaceDE w:val="0"/>
        <w:autoSpaceDN w:val="0"/>
        <w:spacing w:line="360" w:lineRule="auto"/>
        <w:jc w:val="center"/>
        <w:rPr>
          <w:rFonts w:hint="eastAsia" w:ascii="宋体" w:hAnsi="宋体" w:cs="宋体"/>
          <w:b/>
          <w:sz w:val="24"/>
        </w:rPr>
      </w:pPr>
      <w:r>
        <w:rPr>
          <w:rFonts w:hint="eastAsia" w:ascii="宋体" w:hAnsi="宋体" w:cs="宋体"/>
          <w:b/>
          <w:kern w:val="0"/>
          <w:sz w:val="32"/>
          <w:szCs w:val="32"/>
          <w:lang w:val="zh-CN"/>
        </w:rPr>
        <w:t>法定代表人、单位负责人或自然人本人</w:t>
      </w:r>
      <w:r>
        <w:rPr>
          <w:rFonts w:hint="eastAsia" w:ascii="宋体" w:hAnsi="宋体" w:cs="宋体"/>
          <w:b/>
          <w:sz w:val="30"/>
          <w:szCs w:val="30"/>
        </w:rPr>
        <w:t>的身份证明（适用于法定代表人、单位负责人或者自然人本人代表投标人参加投标）</w:t>
      </w:r>
    </w:p>
    <w:p w14:paraId="36B4BCB3">
      <w:pPr>
        <w:pStyle w:val="149"/>
        <w:spacing w:line="360" w:lineRule="auto"/>
        <w:rPr>
          <w:rFonts w:hint="eastAsia" w:hAnsi="宋体" w:cs="宋体"/>
          <w:bCs/>
          <w:sz w:val="24"/>
        </w:rPr>
      </w:pPr>
      <w:r>
        <w:rPr>
          <w:rFonts w:hint="eastAsia" w:hAnsi="宋体" w:cs="宋体"/>
          <w:bCs/>
          <w:sz w:val="24"/>
        </w:rPr>
        <w:t>身份证件扫描件：</w:t>
      </w:r>
    </w:p>
    <w:tbl>
      <w:tblPr>
        <w:tblStyle w:val="65"/>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7E5384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4EB80322">
            <w:pPr>
              <w:pStyle w:val="149"/>
              <w:adjustRightInd w:val="0"/>
              <w:spacing w:line="360" w:lineRule="auto"/>
              <w:rPr>
                <w:rFonts w:hint="eastAsia" w:hAnsi="宋体" w:cs="宋体"/>
                <w:bCs/>
                <w:sz w:val="24"/>
              </w:rPr>
            </w:pPr>
            <w:r>
              <w:rPr>
                <w:rFonts w:hint="eastAsia" w:hAnsi="宋体" w:cs="宋体"/>
                <w:bCs/>
                <w:sz w:val="24"/>
              </w:rPr>
              <w:t>正面：                                 反面：</w:t>
            </w:r>
          </w:p>
          <w:p w14:paraId="045CFC9B">
            <w:pPr>
              <w:pStyle w:val="149"/>
              <w:adjustRightInd w:val="0"/>
              <w:spacing w:line="360" w:lineRule="auto"/>
              <w:rPr>
                <w:rFonts w:hint="eastAsia" w:hAnsi="宋体" w:cs="宋体"/>
                <w:bCs/>
                <w:sz w:val="24"/>
              </w:rPr>
            </w:pPr>
          </w:p>
        </w:tc>
      </w:tr>
    </w:tbl>
    <w:p w14:paraId="650373B7">
      <w:pPr>
        <w:snapToGrid w:val="0"/>
        <w:spacing w:line="360" w:lineRule="auto"/>
        <w:ind w:firstLine="576"/>
        <w:jc w:val="center"/>
        <w:rPr>
          <w:rFonts w:hint="eastAsia" w:ascii="宋体" w:hAnsi="宋体" w:cs="宋体"/>
          <w:kern w:val="0"/>
          <w:sz w:val="24"/>
          <w:lang w:val="zh-CN"/>
        </w:rPr>
      </w:pPr>
    </w:p>
    <w:p w14:paraId="507B0F91">
      <w:pPr>
        <w:snapToGrid w:val="0"/>
        <w:spacing w:line="360" w:lineRule="auto"/>
        <w:ind w:firstLine="576"/>
        <w:jc w:val="center"/>
        <w:rPr>
          <w:rFonts w:hint="eastAsia" w:ascii="宋体" w:hAnsi="宋体" w:cs="宋体"/>
          <w:kern w:val="0"/>
          <w:sz w:val="24"/>
          <w:lang w:val="zh-CN"/>
        </w:rPr>
      </w:pPr>
      <w:r>
        <w:rPr>
          <w:rFonts w:hint="eastAsia" w:ascii="宋体" w:hAnsi="宋体" w:cs="宋体"/>
          <w:kern w:val="0"/>
          <w:sz w:val="24"/>
          <w:lang w:val="zh-CN"/>
        </w:rPr>
        <w:t xml:space="preserve">                  投标人名称(电子签名)：                              </w:t>
      </w:r>
    </w:p>
    <w:p w14:paraId="1C111095">
      <w:pPr>
        <w:spacing w:line="360" w:lineRule="auto"/>
        <w:jc w:val="center"/>
        <w:rPr>
          <w:rFonts w:hint="eastAsia" w:ascii="宋体" w:hAnsi="宋体" w:cs="宋体"/>
          <w:kern w:val="0"/>
          <w:sz w:val="24"/>
          <w:lang w:val="zh-CN"/>
        </w:rPr>
      </w:pPr>
      <w:r>
        <w:rPr>
          <w:rFonts w:hint="eastAsia" w:ascii="宋体" w:hAnsi="宋体" w:cs="宋体"/>
          <w:kern w:val="0"/>
          <w:sz w:val="24"/>
          <w:lang w:val="zh-CN"/>
        </w:rPr>
        <w:t xml:space="preserve">                   日期：  年  月  日</w:t>
      </w:r>
    </w:p>
    <w:p w14:paraId="55B5F4FA">
      <w:pPr>
        <w:jc w:val="center"/>
        <w:rPr>
          <w:rFonts w:hint="eastAsia" w:ascii="宋体" w:hAnsi="宋体" w:cs="宋体"/>
          <w:b/>
          <w:kern w:val="0"/>
          <w:sz w:val="32"/>
          <w:szCs w:val="32"/>
        </w:rPr>
      </w:pPr>
      <w:r>
        <w:rPr>
          <w:rFonts w:hint="eastAsia" w:ascii="宋体" w:hAnsi="宋体" w:cs="宋体"/>
          <w:b/>
          <w:kern w:val="0"/>
          <w:sz w:val="32"/>
          <w:szCs w:val="32"/>
        </w:rPr>
        <w:t>三、符合性审查资料</w:t>
      </w:r>
    </w:p>
    <w:p w14:paraId="4083F449">
      <w:pPr>
        <w:jc w:val="center"/>
        <w:rPr>
          <w:rFonts w:hint="eastAsia" w:ascii="宋体" w:hAnsi="宋体" w:cs="宋体"/>
          <w:b/>
          <w:kern w:val="0"/>
          <w:sz w:val="32"/>
          <w:szCs w:val="32"/>
        </w:rPr>
      </w:pPr>
    </w:p>
    <w:tbl>
      <w:tblPr>
        <w:tblStyle w:val="65"/>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FE47B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213F69B7">
            <w:pPr>
              <w:snapToGrid w:val="0"/>
              <w:spacing w:line="240" w:lineRule="atLeast"/>
              <w:jc w:val="center"/>
              <w:rPr>
                <w:rFonts w:hint="eastAsia" w:ascii="宋体" w:hAnsi="宋体" w:cs="宋体"/>
                <w:b/>
                <w:sz w:val="24"/>
              </w:rPr>
            </w:pPr>
            <w:r>
              <w:rPr>
                <w:rFonts w:hint="eastAsia" w:ascii="宋体" w:hAnsi="宋体" w:cs="宋体"/>
                <w:b/>
                <w:sz w:val="24"/>
              </w:rPr>
              <w:t>序号</w:t>
            </w:r>
          </w:p>
        </w:tc>
        <w:tc>
          <w:tcPr>
            <w:tcW w:w="4991" w:type="dxa"/>
            <w:vAlign w:val="center"/>
          </w:tcPr>
          <w:p w14:paraId="18C7591D">
            <w:pPr>
              <w:snapToGrid w:val="0"/>
              <w:spacing w:line="240" w:lineRule="atLeast"/>
              <w:jc w:val="center"/>
              <w:rPr>
                <w:rFonts w:hint="eastAsia" w:ascii="宋体" w:hAnsi="宋体" w:cs="宋体"/>
                <w:b/>
                <w:sz w:val="24"/>
              </w:rPr>
            </w:pPr>
            <w:r>
              <w:rPr>
                <w:rFonts w:hint="eastAsia" w:ascii="宋体" w:hAnsi="宋体" w:cs="宋体"/>
                <w:b/>
                <w:sz w:val="24"/>
              </w:rPr>
              <w:t>实质性要求</w:t>
            </w:r>
          </w:p>
        </w:tc>
        <w:tc>
          <w:tcPr>
            <w:tcW w:w="2551" w:type="dxa"/>
            <w:vAlign w:val="center"/>
          </w:tcPr>
          <w:p w14:paraId="32B279E3">
            <w:pPr>
              <w:snapToGrid w:val="0"/>
              <w:spacing w:line="240" w:lineRule="atLeast"/>
              <w:jc w:val="center"/>
              <w:rPr>
                <w:rFonts w:hint="eastAsia" w:ascii="宋体" w:hAnsi="宋体" w:cs="宋体"/>
                <w:b/>
                <w:sz w:val="24"/>
              </w:rPr>
            </w:pPr>
            <w:r>
              <w:rPr>
                <w:rFonts w:hint="eastAsia" w:ascii="宋体" w:hAnsi="宋体" w:cs="宋体"/>
                <w:b/>
                <w:sz w:val="24"/>
              </w:rPr>
              <w:t>需要提供的符合性审查资料</w:t>
            </w:r>
          </w:p>
        </w:tc>
        <w:tc>
          <w:tcPr>
            <w:tcW w:w="1418" w:type="dxa"/>
            <w:vAlign w:val="center"/>
          </w:tcPr>
          <w:p w14:paraId="03FAD6D4">
            <w:pPr>
              <w:snapToGrid w:val="0"/>
              <w:spacing w:line="240" w:lineRule="atLeast"/>
              <w:jc w:val="center"/>
              <w:rPr>
                <w:rFonts w:hint="eastAsia" w:ascii="宋体" w:hAnsi="宋体" w:cs="宋体"/>
                <w:b/>
                <w:sz w:val="24"/>
              </w:rPr>
            </w:pPr>
            <w:r>
              <w:rPr>
                <w:rFonts w:hint="eastAsia" w:ascii="宋体" w:hAnsi="宋体" w:cs="宋体"/>
                <w:b/>
                <w:sz w:val="24"/>
              </w:rPr>
              <w:t>投标文件中的</w:t>
            </w:r>
          </w:p>
          <w:p w14:paraId="491042EE">
            <w:pPr>
              <w:snapToGrid w:val="0"/>
              <w:spacing w:line="240" w:lineRule="atLeast"/>
              <w:jc w:val="center"/>
              <w:rPr>
                <w:rFonts w:hint="eastAsia" w:ascii="宋体" w:hAnsi="宋体" w:cs="宋体"/>
                <w:b/>
                <w:sz w:val="24"/>
              </w:rPr>
            </w:pPr>
            <w:r>
              <w:rPr>
                <w:rFonts w:hint="eastAsia" w:ascii="宋体" w:hAnsi="宋体" w:cs="宋体"/>
                <w:b/>
                <w:sz w:val="24"/>
              </w:rPr>
              <w:t>页码位置</w:t>
            </w:r>
          </w:p>
        </w:tc>
      </w:tr>
      <w:tr w14:paraId="0F425C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B7505A7">
            <w:pPr>
              <w:jc w:val="center"/>
              <w:rPr>
                <w:rFonts w:hint="eastAsia" w:ascii="宋体" w:hAnsi="宋体" w:cs="宋体"/>
                <w:sz w:val="24"/>
              </w:rPr>
            </w:pPr>
            <w:r>
              <w:rPr>
                <w:rFonts w:hint="eastAsia" w:ascii="宋体" w:hAnsi="宋体" w:cs="宋体"/>
                <w:sz w:val="24"/>
              </w:rPr>
              <w:t>1</w:t>
            </w:r>
          </w:p>
        </w:tc>
        <w:tc>
          <w:tcPr>
            <w:tcW w:w="4991" w:type="dxa"/>
            <w:vAlign w:val="center"/>
          </w:tcPr>
          <w:p w14:paraId="6366BDB8">
            <w:pPr>
              <w:spacing w:line="360" w:lineRule="auto"/>
              <w:rPr>
                <w:rFonts w:hint="eastAsia" w:ascii="宋体" w:hAnsi="宋体" w:cs="宋体"/>
                <w:sz w:val="24"/>
              </w:rPr>
            </w:pPr>
            <w:r>
              <w:rPr>
                <w:rFonts w:hint="eastAsia" w:ascii="宋体" w:hAnsi="宋体" w:cs="宋体"/>
                <w:sz w:val="24"/>
              </w:rPr>
              <w:t>投标文件按照招标文件要求签署、盖章。</w:t>
            </w:r>
          </w:p>
        </w:tc>
        <w:tc>
          <w:tcPr>
            <w:tcW w:w="2551" w:type="dxa"/>
            <w:vAlign w:val="center"/>
          </w:tcPr>
          <w:p w14:paraId="778924D1">
            <w:pPr>
              <w:rPr>
                <w:rFonts w:hint="eastAsia" w:ascii="宋体" w:hAnsi="宋体" w:cs="宋体"/>
                <w:sz w:val="24"/>
              </w:rPr>
            </w:pPr>
            <w:r>
              <w:rPr>
                <w:rFonts w:hint="eastAsia" w:ascii="宋体" w:hAnsi="宋体" w:cs="宋体"/>
                <w:sz w:val="24"/>
              </w:rPr>
              <w:t>需要使用电子签名或者签字盖章的投标文件的组成部分</w:t>
            </w:r>
          </w:p>
        </w:tc>
        <w:tc>
          <w:tcPr>
            <w:tcW w:w="1418" w:type="dxa"/>
            <w:vAlign w:val="center"/>
          </w:tcPr>
          <w:p w14:paraId="6356521F">
            <w:pPr>
              <w:rPr>
                <w:rFonts w:hint="eastAsia" w:ascii="宋体" w:hAnsi="宋体" w:cs="宋体"/>
                <w:sz w:val="24"/>
              </w:rPr>
            </w:pPr>
          </w:p>
          <w:p w14:paraId="01995432">
            <w:pPr>
              <w:rPr>
                <w:rFonts w:hint="eastAsia" w:ascii="宋体" w:hAnsi="宋体" w:cs="宋体"/>
                <w:sz w:val="24"/>
              </w:rPr>
            </w:pPr>
            <w:r>
              <w:rPr>
                <w:rFonts w:hint="eastAsia" w:ascii="宋体" w:hAnsi="宋体" w:cs="宋体"/>
                <w:sz w:val="24"/>
              </w:rPr>
              <w:t>见投标文件</w:t>
            </w:r>
          </w:p>
          <w:p w14:paraId="723FA8F9">
            <w:pPr>
              <w:rPr>
                <w:rFonts w:hint="eastAsia" w:ascii="宋体" w:hAnsi="宋体" w:cs="宋体"/>
              </w:rPr>
            </w:pPr>
            <w:r>
              <w:rPr>
                <w:rFonts w:hint="eastAsia" w:ascii="宋体" w:hAnsi="宋体" w:cs="宋体"/>
                <w:sz w:val="24"/>
              </w:rPr>
              <w:t>第</w:t>
            </w:r>
            <w:r>
              <w:rPr>
                <w:rFonts w:hint="eastAsia" w:ascii="宋体" w:hAnsi="宋体" w:cs="宋体"/>
                <w:sz w:val="24"/>
                <w:u w:val="single"/>
              </w:rPr>
              <w:t xml:space="preserve">  </w:t>
            </w:r>
            <w:r>
              <w:rPr>
                <w:rFonts w:hint="eastAsia" w:ascii="宋体" w:hAnsi="宋体" w:cs="宋体"/>
                <w:sz w:val="24"/>
              </w:rPr>
              <w:t>页</w:t>
            </w:r>
          </w:p>
        </w:tc>
      </w:tr>
      <w:tr w14:paraId="2F4FA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FD462BA">
            <w:pPr>
              <w:spacing w:line="360" w:lineRule="auto"/>
              <w:jc w:val="center"/>
              <w:rPr>
                <w:rFonts w:hint="eastAsia" w:ascii="宋体" w:hAnsi="宋体" w:cs="宋体"/>
                <w:sz w:val="24"/>
              </w:rPr>
            </w:pPr>
            <w:r>
              <w:rPr>
                <w:rFonts w:hint="eastAsia" w:ascii="宋体" w:hAnsi="宋体" w:cs="宋体"/>
                <w:sz w:val="24"/>
              </w:rPr>
              <w:t>2</w:t>
            </w:r>
          </w:p>
        </w:tc>
        <w:tc>
          <w:tcPr>
            <w:tcW w:w="4991" w:type="dxa"/>
            <w:vAlign w:val="center"/>
          </w:tcPr>
          <w:p w14:paraId="11DC817E">
            <w:pPr>
              <w:spacing w:line="360" w:lineRule="auto"/>
              <w:rPr>
                <w:rFonts w:hint="eastAsia" w:ascii="宋体" w:hAnsi="宋体" w:cs="宋体"/>
                <w:sz w:val="24"/>
              </w:rPr>
            </w:pPr>
            <w:r>
              <w:rPr>
                <w:rFonts w:hint="eastAsia" w:ascii="宋体" w:hAnsi="宋体" w:cs="宋体"/>
                <w:sz w:val="24"/>
              </w:rPr>
              <w:t>采购人拟采购的产品属于政府强制采购的节能产品品目清单范围的，投标人按招标文件要求提供国家确定的认证机构出具的、处于有效期之内的节能产品认证证书。</w:t>
            </w:r>
          </w:p>
        </w:tc>
        <w:tc>
          <w:tcPr>
            <w:tcW w:w="2551" w:type="dxa"/>
            <w:vAlign w:val="center"/>
          </w:tcPr>
          <w:p w14:paraId="5360856E">
            <w:pPr>
              <w:rPr>
                <w:rFonts w:hint="eastAsia" w:ascii="宋体" w:hAnsi="宋体" w:cs="宋体"/>
                <w:sz w:val="24"/>
              </w:rPr>
            </w:pPr>
            <w:r>
              <w:rPr>
                <w:rFonts w:hint="eastAsia" w:ascii="宋体" w:hAnsi="宋体" w:cs="宋体"/>
                <w:sz w:val="24"/>
              </w:rPr>
              <w:t>节能产品认证证书（本项目拟采购的产品不属于政府强制采购的节能产品品目清单范围的，无需提供）</w:t>
            </w:r>
          </w:p>
        </w:tc>
        <w:tc>
          <w:tcPr>
            <w:tcW w:w="1418" w:type="dxa"/>
            <w:vAlign w:val="center"/>
          </w:tcPr>
          <w:p w14:paraId="38EBB1D1">
            <w:pPr>
              <w:rPr>
                <w:rFonts w:hint="eastAsia" w:ascii="宋体" w:hAnsi="宋体" w:cs="宋体"/>
                <w:sz w:val="24"/>
              </w:rPr>
            </w:pPr>
          </w:p>
          <w:p w14:paraId="45116522">
            <w:pPr>
              <w:rPr>
                <w:rFonts w:hint="eastAsia" w:ascii="宋体" w:hAnsi="宋体" w:cs="宋体"/>
                <w:sz w:val="24"/>
              </w:rPr>
            </w:pPr>
          </w:p>
          <w:p w14:paraId="4761AAC2">
            <w:pPr>
              <w:rPr>
                <w:rFonts w:hint="eastAsia" w:ascii="宋体" w:hAnsi="宋体" w:cs="宋体"/>
                <w:sz w:val="24"/>
              </w:rPr>
            </w:pPr>
            <w:r>
              <w:rPr>
                <w:rFonts w:hint="eastAsia" w:ascii="宋体" w:hAnsi="宋体" w:cs="宋体"/>
                <w:sz w:val="24"/>
              </w:rPr>
              <w:t>见投标文件</w:t>
            </w:r>
          </w:p>
          <w:p w14:paraId="08E0B36A">
            <w:pPr>
              <w:pStyle w:val="3"/>
              <w:rPr>
                <w:rFonts w:hint="eastAsia" w:ascii="宋体" w:hAnsi="宋体" w:eastAsia="宋体" w:cs="宋体"/>
                <w:lang w:val="en-US"/>
              </w:rPr>
            </w:pPr>
            <w:r>
              <w:rPr>
                <w:rFonts w:hint="eastAsia" w:ascii="宋体" w:hAnsi="宋体" w:eastAsia="宋体" w:cs="宋体"/>
                <w:b w:val="0"/>
                <w:bCs w:val="0"/>
                <w:sz w:val="24"/>
                <w:szCs w:val="24"/>
                <w:lang w:val="en-US"/>
              </w:rPr>
              <w:t>第</w:t>
            </w:r>
            <w:r>
              <w:rPr>
                <w:rFonts w:hint="eastAsia" w:ascii="宋体" w:hAnsi="宋体" w:eastAsia="宋体" w:cs="宋体"/>
                <w:b w:val="0"/>
                <w:bCs w:val="0"/>
                <w:sz w:val="24"/>
                <w:szCs w:val="24"/>
                <w:u w:val="single"/>
                <w:lang w:val="en-US"/>
              </w:rPr>
              <w:t xml:space="preserve">  </w:t>
            </w:r>
            <w:r>
              <w:rPr>
                <w:rFonts w:hint="eastAsia" w:ascii="宋体" w:hAnsi="宋体" w:eastAsia="宋体" w:cs="宋体"/>
                <w:b w:val="0"/>
                <w:bCs w:val="0"/>
                <w:sz w:val="24"/>
                <w:szCs w:val="24"/>
                <w:lang w:val="en-US"/>
              </w:rPr>
              <w:t>页</w:t>
            </w:r>
          </w:p>
        </w:tc>
      </w:tr>
      <w:tr w14:paraId="64FDE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D12580A">
            <w:pPr>
              <w:jc w:val="center"/>
              <w:rPr>
                <w:rFonts w:hint="eastAsia" w:ascii="宋体" w:hAnsi="宋体" w:cs="宋体"/>
                <w:sz w:val="24"/>
              </w:rPr>
            </w:pPr>
            <w:r>
              <w:rPr>
                <w:rFonts w:hint="eastAsia" w:ascii="宋体" w:hAnsi="宋体" w:cs="宋体"/>
                <w:sz w:val="24"/>
              </w:rPr>
              <w:t>3</w:t>
            </w:r>
          </w:p>
        </w:tc>
        <w:tc>
          <w:tcPr>
            <w:tcW w:w="4991" w:type="dxa"/>
            <w:vAlign w:val="center"/>
          </w:tcPr>
          <w:p w14:paraId="63C838F8">
            <w:pPr>
              <w:spacing w:line="360" w:lineRule="auto"/>
              <w:rPr>
                <w:rFonts w:hint="eastAsia" w:ascii="宋体" w:hAnsi="宋体" w:cs="宋体"/>
                <w:sz w:val="24"/>
              </w:rPr>
            </w:pPr>
            <w:r>
              <w:rPr>
                <w:rFonts w:hint="eastAsia" w:ascii="宋体" w:hAnsi="宋体" w:cs="宋体"/>
                <w:sz w:val="24"/>
              </w:rPr>
              <w:t>投标文件中承诺的投标有效期不少于招标文件中载明的投标有效期。</w:t>
            </w:r>
          </w:p>
        </w:tc>
        <w:tc>
          <w:tcPr>
            <w:tcW w:w="2551" w:type="dxa"/>
            <w:vAlign w:val="center"/>
          </w:tcPr>
          <w:p w14:paraId="133E6AEC">
            <w:pPr>
              <w:rPr>
                <w:rFonts w:hint="eastAsia" w:ascii="宋体" w:hAnsi="宋体" w:cs="宋体"/>
                <w:sz w:val="24"/>
              </w:rPr>
            </w:pPr>
            <w:r>
              <w:rPr>
                <w:rFonts w:hint="eastAsia" w:ascii="宋体" w:hAnsi="宋体" w:cs="宋体"/>
                <w:sz w:val="24"/>
              </w:rPr>
              <w:t>投标函</w:t>
            </w:r>
          </w:p>
        </w:tc>
        <w:tc>
          <w:tcPr>
            <w:tcW w:w="1418" w:type="dxa"/>
            <w:vAlign w:val="center"/>
          </w:tcPr>
          <w:p w14:paraId="5C9897A1">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r w14:paraId="7D74D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7BD367D1">
            <w:pPr>
              <w:jc w:val="center"/>
              <w:rPr>
                <w:rFonts w:hint="eastAsia" w:ascii="宋体" w:hAnsi="宋体" w:cs="宋体"/>
                <w:sz w:val="24"/>
              </w:rPr>
            </w:pPr>
            <w:r>
              <w:rPr>
                <w:rFonts w:hint="eastAsia" w:ascii="宋体" w:hAnsi="宋体" w:cs="宋体"/>
                <w:sz w:val="24"/>
              </w:rPr>
              <w:t>4</w:t>
            </w:r>
          </w:p>
        </w:tc>
        <w:tc>
          <w:tcPr>
            <w:tcW w:w="4991" w:type="dxa"/>
            <w:vAlign w:val="center"/>
          </w:tcPr>
          <w:p w14:paraId="7842C79D">
            <w:pPr>
              <w:spacing w:line="360" w:lineRule="auto"/>
              <w:rPr>
                <w:rFonts w:hint="eastAsia" w:ascii="宋体" w:hAnsi="宋体" w:cs="宋体"/>
                <w:sz w:val="24"/>
              </w:rPr>
            </w:pPr>
            <w:r>
              <w:rPr>
                <w:rFonts w:hint="eastAsia" w:ascii="宋体" w:hAnsi="宋体" w:cs="宋体"/>
                <w:sz w:val="24"/>
              </w:rPr>
              <w:t>投标文件满足招标文件的其它实质性要求。</w:t>
            </w:r>
          </w:p>
        </w:tc>
        <w:tc>
          <w:tcPr>
            <w:tcW w:w="2551" w:type="dxa"/>
            <w:vAlign w:val="center"/>
          </w:tcPr>
          <w:p w14:paraId="34F0DAA1">
            <w:pPr>
              <w:rPr>
                <w:rFonts w:hint="eastAsia" w:ascii="宋体" w:hAnsi="宋体" w:cs="宋体"/>
                <w:sz w:val="24"/>
              </w:rPr>
            </w:pPr>
            <w:r>
              <w:rPr>
                <w:rFonts w:hint="eastAsia" w:ascii="宋体" w:hAnsi="宋体" w:cs="宋体"/>
                <w:kern w:val="0"/>
                <w:sz w:val="24"/>
              </w:rPr>
              <w:t>招标文件其它实质性要求相应的材料（“▲” 系指实质性要求条款，招标文件无其它实质性要求的，无需提供）</w:t>
            </w:r>
          </w:p>
        </w:tc>
        <w:tc>
          <w:tcPr>
            <w:tcW w:w="1418" w:type="dxa"/>
            <w:vAlign w:val="center"/>
          </w:tcPr>
          <w:p w14:paraId="1700316D">
            <w:pPr>
              <w:rPr>
                <w:rFonts w:hint="eastAsia" w:ascii="宋体" w:hAnsi="宋体" w:cs="宋体"/>
              </w:rPr>
            </w:pPr>
            <w:r>
              <w:rPr>
                <w:rFonts w:hint="eastAsia" w:ascii="宋体" w:hAnsi="宋体" w:cs="宋体"/>
                <w:sz w:val="24"/>
              </w:rPr>
              <w:t>见投标文件第</w:t>
            </w:r>
            <w:r>
              <w:rPr>
                <w:rFonts w:hint="eastAsia" w:ascii="宋体" w:hAnsi="宋体" w:cs="宋体"/>
                <w:sz w:val="24"/>
                <w:u w:val="single"/>
              </w:rPr>
              <w:t xml:space="preserve">  </w:t>
            </w:r>
            <w:r>
              <w:rPr>
                <w:rFonts w:hint="eastAsia" w:ascii="宋体" w:hAnsi="宋体" w:cs="宋体"/>
                <w:sz w:val="24"/>
              </w:rPr>
              <w:t>页</w:t>
            </w:r>
          </w:p>
        </w:tc>
      </w:tr>
    </w:tbl>
    <w:p w14:paraId="07117F65">
      <w:pPr>
        <w:jc w:val="center"/>
        <w:rPr>
          <w:rFonts w:hint="eastAsia" w:ascii="宋体" w:hAnsi="宋体" w:cs="宋体"/>
          <w:b/>
          <w:kern w:val="0"/>
          <w:sz w:val="32"/>
          <w:szCs w:val="32"/>
        </w:rPr>
      </w:pPr>
    </w:p>
    <w:p w14:paraId="4551071B">
      <w:pPr>
        <w:jc w:val="center"/>
        <w:rPr>
          <w:rFonts w:hint="eastAsia" w:ascii="宋体" w:hAnsi="宋体" w:cs="宋体"/>
          <w:b/>
          <w:kern w:val="0"/>
          <w:sz w:val="32"/>
          <w:szCs w:val="32"/>
        </w:rPr>
      </w:pPr>
    </w:p>
    <w:p w14:paraId="508A603D">
      <w:pPr>
        <w:jc w:val="center"/>
        <w:rPr>
          <w:rFonts w:hint="eastAsia" w:ascii="宋体" w:hAnsi="宋体" w:cs="宋体"/>
          <w:b/>
          <w:kern w:val="0"/>
          <w:sz w:val="32"/>
          <w:szCs w:val="32"/>
        </w:rPr>
      </w:pPr>
    </w:p>
    <w:p w14:paraId="679ADE4C">
      <w:pPr>
        <w:jc w:val="center"/>
        <w:rPr>
          <w:rFonts w:hint="eastAsia" w:ascii="宋体" w:hAnsi="宋体" w:cs="宋体"/>
          <w:b/>
          <w:kern w:val="0"/>
          <w:sz w:val="32"/>
          <w:szCs w:val="32"/>
        </w:rPr>
      </w:pPr>
    </w:p>
    <w:p w14:paraId="3B4EF728">
      <w:pPr>
        <w:jc w:val="center"/>
        <w:rPr>
          <w:rFonts w:hint="eastAsia" w:ascii="宋体" w:hAnsi="宋体" w:cs="宋体"/>
          <w:b/>
          <w:kern w:val="0"/>
          <w:sz w:val="32"/>
          <w:szCs w:val="32"/>
        </w:rPr>
      </w:pPr>
    </w:p>
    <w:p w14:paraId="5F6C826F">
      <w:pPr>
        <w:jc w:val="center"/>
        <w:rPr>
          <w:rFonts w:hint="eastAsia" w:ascii="宋体" w:hAnsi="宋体" w:cs="宋体"/>
          <w:b/>
          <w:kern w:val="0"/>
          <w:sz w:val="32"/>
          <w:szCs w:val="32"/>
        </w:rPr>
      </w:pPr>
    </w:p>
    <w:p w14:paraId="60D4D269">
      <w:pPr>
        <w:jc w:val="center"/>
        <w:rPr>
          <w:rFonts w:hint="eastAsia" w:ascii="宋体" w:hAnsi="宋体" w:cs="宋体"/>
          <w:b/>
          <w:kern w:val="0"/>
          <w:sz w:val="32"/>
          <w:szCs w:val="32"/>
        </w:rPr>
      </w:pPr>
    </w:p>
    <w:p w14:paraId="5F98EA2C">
      <w:pPr>
        <w:jc w:val="center"/>
        <w:rPr>
          <w:rFonts w:hint="eastAsia" w:ascii="宋体" w:hAnsi="宋体" w:cs="宋体"/>
          <w:b/>
          <w:kern w:val="0"/>
          <w:sz w:val="32"/>
          <w:szCs w:val="32"/>
        </w:rPr>
      </w:pPr>
    </w:p>
    <w:p w14:paraId="085C86A2">
      <w:pPr>
        <w:jc w:val="center"/>
        <w:rPr>
          <w:rFonts w:hint="eastAsia" w:ascii="宋体" w:hAnsi="宋体" w:cs="宋体"/>
          <w:b/>
          <w:kern w:val="0"/>
          <w:sz w:val="32"/>
          <w:szCs w:val="32"/>
        </w:rPr>
      </w:pPr>
    </w:p>
    <w:p w14:paraId="60A5B6DD">
      <w:pPr>
        <w:jc w:val="center"/>
        <w:rPr>
          <w:rFonts w:hint="eastAsia" w:ascii="宋体" w:hAnsi="宋体" w:cs="宋体"/>
          <w:b/>
          <w:kern w:val="0"/>
          <w:sz w:val="32"/>
          <w:szCs w:val="32"/>
        </w:rPr>
      </w:pPr>
    </w:p>
    <w:p w14:paraId="50651719">
      <w:pPr>
        <w:jc w:val="center"/>
        <w:rPr>
          <w:rFonts w:hint="eastAsia" w:ascii="宋体" w:hAnsi="宋体" w:cs="宋体"/>
          <w:b/>
          <w:kern w:val="0"/>
          <w:sz w:val="32"/>
          <w:szCs w:val="32"/>
        </w:rPr>
      </w:pPr>
    </w:p>
    <w:p w14:paraId="5133F99D">
      <w:pPr>
        <w:jc w:val="center"/>
        <w:rPr>
          <w:rFonts w:hint="eastAsia" w:ascii="宋体" w:hAnsi="宋体" w:cs="宋体"/>
          <w:b/>
          <w:kern w:val="0"/>
          <w:sz w:val="32"/>
          <w:szCs w:val="32"/>
        </w:rPr>
      </w:pPr>
    </w:p>
    <w:p w14:paraId="51FBEC94">
      <w:pPr>
        <w:jc w:val="center"/>
        <w:rPr>
          <w:rFonts w:hint="eastAsia" w:ascii="宋体" w:hAnsi="宋体" w:cs="宋体"/>
          <w:b/>
          <w:kern w:val="0"/>
          <w:sz w:val="32"/>
          <w:szCs w:val="32"/>
        </w:rPr>
      </w:pPr>
    </w:p>
    <w:p w14:paraId="48AFBCDC">
      <w:pPr>
        <w:jc w:val="center"/>
        <w:rPr>
          <w:rFonts w:hint="eastAsia" w:ascii="宋体" w:hAnsi="宋体" w:cs="宋体"/>
          <w:b/>
          <w:kern w:val="0"/>
          <w:sz w:val="32"/>
          <w:szCs w:val="32"/>
        </w:rPr>
      </w:pPr>
    </w:p>
    <w:p w14:paraId="18ED2E9F">
      <w:pPr>
        <w:jc w:val="center"/>
        <w:rPr>
          <w:rFonts w:hint="eastAsia" w:ascii="宋体" w:hAnsi="宋体" w:cs="宋体"/>
          <w:b/>
          <w:kern w:val="0"/>
          <w:sz w:val="32"/>
          <w:szCs w:val="32"/>
        </w:rPr>
      </w:pPr>
    </w:p>
    <w:p w14:paraId="5E225669">
      <w:pPr>
        <w:jc w:val="center"/>
        <w:rPr>
          <w:rFonts w:hint="eastAsia" w:ascii="宋体" w:hAnsi="宋体" w:cs="宋体"/>
          <w:b/>
          <w:kern w:val="0"/>
          <w:sz w:val="32"/>
          <w:szCs w:val="32"/>
        </w:rPr>
      </w:pPr>
    </w:p>
    <w:p w14:paraId="6659F360">
      <w:pPr>
        <w:jc w:val="center"/>
        <w:rPr>
          <w:rFonts w:hint="eastAsia" w:ascii="宋体" w:hAnsi="宋体" w:cs="宋体"/>
        </w:rPr>
      </w:pPr>
      <w:r>
        <w:rPr>
          <w:rFonts w:hint="eastAsia" w:ascii="宋体" w:hAnsi="宋体" w:cs="宋体"/>
          <w:b/>
          <w:kern w:val="0"/>
          <w:sz w:val="32"/>
          <w:szCs w:val="32"/>
        </w:rPr>
        <w:t>四、评标标准相应的商务技术资料</w:t>
      </w:r>
    </w:p>
    <w:p w14:paraId="23DAA609">
      <w:pPr>
        <w:snapToGrid w:val="0"/>
        <w:spacing w:line="360" w:lineRule="auto"/>
        <w:jc w:val="left"/>
        <w:rPr>
          <w:rFonts w:hint="eastAsia" w:ascii="宋体" w:hAnsi="宋体" w:cs="宋体"/>
          <w:b/>
          <w:sz w:val="24"/>
        </w:rPr>
      </w:pPr>
      <w:r>
        <w:rPr>
          <w:rFonts w:hint="eastAsia" w:ascii="宋体" w:hAnsi="宋体" w:cs="宋体"/>
          <w:b/>
          <w:sz w:val="24"/>
        </w:rPr>
        <w:t>（按招标文件第四部分评标办法前附表中“投标文件中评标标准相应的商务技术资料目录”提供资料）</w:t>
      </w:r>
    </w:p>
    <w:p w14:paraId="162059ED">
      <w:pPr>
        <w:jc w:val="center"/>
        <w:rPr>
          <w:rFonts w:hint="eastAsia" w:ascii="宋体" w:hAnsi="宋体" w:cs="宋体"/>
          <w:b/>
          <w:kern w:val="0"/>
          <w:sz w:val="32"/>
          <w:szCs w:val="32"/>
        </w:rPr>
      </w:pPr>
    </w:p>
    <w:p w14:paraId="7226847A">
      <w:pPr>
        <w:pStyle w:val="3"/>
        <w:rPr>
          <w:rFonts w:hint="eastAsia" w:ascii="宋体" w:hAnsi="宋体" w:eastAsia="宋体" w:cs="宋体"/>
        </w:rPr>
      </w:pPr>
    </w:p>
    <w:p w14:paraId="4AB5430B">
      <w:pPr>
        <w:rPr>
          <w:rFonts w:hint="eastAsia" w:ascii="宋体" w:hAnsi="宋体" w:cs="宋体"/>
          <w:b/>
          <w:kern w:val="0"/>
          <w:sz w:val="32"/>
          <w:szCs w:val="32"/>
        </w:rPr>
      </w:pPr>
    </w:p>
    <w:p w14:paraId="26D9C740">
      <w:pPr>
        <w:ind w:firstLine="2891" w:firstLineChars="900"/>
        <w:rPr>
          <w:rFonts w:hint="eastAsia" w:ascii="宋体" w:hAnsi="宋体" w:cs="宋体"/>
          <w:b/>
          <w:kern w:val="0"/>
          <w:sz w:val="32"/>
          <w:szCs w:val="32"/>
        </w:rPr>
      </w:pPr>
    </w:p>
    <w:p w14:paraId="0BBDBC51">
      <w:pPr>
        <w:ind w:firstLine="2891" w:firstLineChars="900"/>
        <w:rPr>
          <w:rFonts w:hint="eastAsia" w:ascii="宋体" w:hAnsi="宋体" w:cs="宋体"/>
          <w:b/>
          <w:kern w:val="0"/>
          <w:sz w:val="32"/>
          <w:szCs w:val="32"/>
        </w:rPr>
      </w:pPr>
    </w:p>
    <w:p w14:paraId="08EE2FA5">
      <w:pPr>
        <w:numPr>
          <w:ilvl w:val="0"/>
          <w:numId w:val="8"/>
        </w:numPr>
        <w:ind w:firstLine="2891" w:firstLineChars="900"/>
        <w:rPr>
          <w:rFonts w:hint="eastAsia" w:ascii="宋体" w:hAnsi="宋体" w:cs="宋体"/>
          <w:b/>
          <w:kern w:val="0"/>
          <w:sz w:val="32"/>
          <w:szCs w:val="32"/>
        </w:rPr>
      </w:pPr>
      <w:r>
        <w:rPr>
          <w:rFonts w:hint="eastAsia" w:ascii="宋体" w:hAnsi="宋体" w:cs="宋体"/>
          <w:b/>
          <w:kern w:val="0"/>
          <w:sz w:val="32"/>
          <w:szCs w:val="32"/>
        </w:rPr>
        <w:t>投标标的清单</w:t>
      </w:r>
    </w:p>
    <w:p w14:paraId="34A6739B">
      <w:pPr>
        <w:pStyle w:val="3"/>
        <w:ind w:left="0" w:firstLine="0"/>
        <w:rPr>
          <w:rFonts w:hint="eastAsia"/>
        </w:rPr>
      </w:pPr>
    </w:p>
    <w:tbl>
      <w:tblPr>
        <w:tblStyle w:val="65"/>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5A543F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70ADD0A8">
            <w:pPr>
              <w:spacing w:line="360" w:lineRule="auto"/>
              <w:jc w:val="center"/>
              <w:rPr>
                <w:rFonts w:hint="eastAsia" w:ascii="宋体" w:hAnsi="宋体" w:cs="宋体"/>
                <w:b/>
                <w:sz w:val="24"/>
              </w:rPr>
            </w:pPr>
            <w:r>
              <w:rPr>
                <w:rFonts w:hint="eastAsia" w:ascii="宋体" w:hAnsi="宋体" w:cs="宋体"/>
                <w:b/>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72AA495">
            <w:pPr>
              <w:spacing w:line="360" w:lineRule="auto"/>
              <w:jc w:val="center"/>
              <w:rPr>
                <w:rFonts w:hint="eastAsia" w:ascii="宋体" w:hAnsi="宋体" w:cs="宋体"/>
                <w:b/>
                <w:sz w:val="24"/>
              </w:rPr>
            </w:pPr>
            <w:r>
              <w:rPr>
                <w:rFonts w:hint="eastAsia" w:ascii="宋体" w:hAnsi="宋体" w:cs="宋体"/>
                <w:b/>
                <w:sz w:val="24"/>
              </w:rPr>
              <w:t>名称</w:t>
            </w:r>
          </w:p>
        </w:tc>
        <w:tc>
          <w:tcPr>
            <w:tcW w:w="1114" w:type="dxa"/>
            <w:tcBorders>
              <w:top w:val="single" w:color="auto" w:sz="4" w:space="0"/>
              <w:left w:val="single" w:color="auto" w:sz="4" w:space="0"/>
              <w:bottom w:val="single" w:color="auto" w:sz="4" w:space="0"/>
              <w:right w:val="single" w:color="auto" w:sz="4" w:space="0"/>
            </w:tcBorders>
          </w:tcPr>
          <w:p w14:paraId="19F8C32B">
            <w:pPr>
              <w:spacing w:line="360" w:lineRule="auto"/>
              <w:jc w:val="center"/>
              <w:rPr>
                <w:rFonts w:hint="eastAsia" w:ascii="宋体" w:hAnsi="宋体" w:cs="宋体"/>
                <w:b/>
                <w:sz w:val="24"/>
              </w:rPr>
            </w:pPr>
          </w:p>
          <w:p w14:paraId="776416B1">
            <w:pPr>
              <w:spacing w:line="360" w:lineRule="auto"/>
              <w:jc w:val="center"/>
              <w:rPr>
                <w:rFonts w:hint="eastAsia" w:ascii="宋体" w:hAnsi="宋体" w:cs="宋体"/>
                <w:b/>
                <w:sz w:val="24"/>
              </w:rPr>
            </w:pPr>
            <w:r>
              <w:rPr>
                <w:rFonts w:hint="eastAsia" w:ascii="宋体" w:hAnsi="宋体" w:cs="宋体"/>
                <w:b/>
                <w:sz w:val="24"/>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55C78ED8">
            <w:pPr>
              <w:spacing w:line="360" w:lineRule="auto"/>
              <w:jc w:val="center"/>
              <w:rPr>
                <w:rFonts w:hint="eastAsia" w:ascii="宋体" w:hAnsi="宋体" w:cs="宋体"/>
                <w:b/>
                <w:sz w:val="24"/>
              </w:rPr>
            </w:pPr>
            <w:r>
              <w:rPr>
                <w:rFonts w:hint="eastAsia" w:ascii="宋体" w:hAnsi="宋体" w:cs="宋体"/>
                <w:b/>
                <w:sz w:val="24"/>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63BFC8C3">
            <w:pPr>
              <w:spacing w:line="360" w:lineRule="auto"/>
              <w:jc w:val="center"/>
              <w:rPr>
                <w:rFonts w:hint="eastAsia" w:ascii="宋体" w:hAnsi="宋体" w:cs="宋体"/>
                <w:b/>
                <w:sz w:val="24"/>
              </w:rPr>
            </w:pPr>
            <w:r>
              <w:rPr>
                <w:rFonts w:hint="eastAsia" w:ascii="宋体" w:hAnsi="宋体" w:cs="宋体"/>
                <w:b/>
                <w:sz w:val="24"/>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4F85C7F1">
            <w:pPr>
              <w:spacing w:line="360" w:lineRule="auto"/>
              <w:jc w:val="center"/>
              <w:rPr>
                <w:rFonts w:hint="eastAsia" w:ascii="宋体" w:hAnsi="宋体" w:cs="宋体"/>
                <w:b/>
                <w:sz w:val="24"/>
              </w:rPr>
            </w:pPr>
            <w:r>
              <w:rPr>
                <w:rFonts w:hint="eastAsia" w:ascii="宋体" w:hAnsi="宋体" w:cs="宋体"/>
                <w:b/>
                <w:sz w:val="24"/>
              </w:rPr>
              <w:t>备注</w:t>
            </w:r>
          </w:p>
        </w:tc>
      </w:tr>
      <w:tr w14:paraId="1E01B5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D27CC23">
            <w:pPr>
              <w:spacing w:line="360" w:lineRule="auto"/>
              <w:jc w:val="center"/>
              <w:rPr>
                <w:rFonts w:hint="eastAsia" w:ascii="宋体" w:hAnsi="宋体" w:cs="宋体"/>
                <w:sz w:val="24"/>
              </w:rPr>
            </w:pPr>
            <w:r>
              <w:rPr>
                <w:rFonts w:hint="eastAsia" w:ascii="宋体" w:hAnsi="宋体" w:cs="宋体"/>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2ACF44E4">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6C92A123">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503CB267">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4394E878">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2A70F46">
            <w:pPr>
              <w:spacing w:line="360" w:lineRule="auto"/>
              <w:jc w:val="center"/>
              <w:rPr>
                <w:rFonts w:hint="eastAsia" w:ascii="宋体" w:hAnsi="宋体" w:cs="宋体"/>
                <w:sz w:val="24"/>
              </w:rPr>
            </w:pPr>
          </w:p>
        </w:tc>
      </w:tr>
      <w:tr w14:paraId="09FB4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29A6EB1">
            <w:pPr>
              <w:spacing w:line="360" w:lineRule="auto"/>
              <w:jc w:val="center"/>
              <w:rPr>
                <w:rFonts w:hint="eastAsia" w:ascii="宋体" w:hAnsi="宋体" w:cs="宋体"/>
                <w:sz w:val="24"/>
              </w:rPr>
            </w:pPr>
            <w:r>
              <w:rPr>
                <w:rFonts w:hint="eastAsia" w:ascii="宋体" w:hAnsi="宋体" w:cs="宋体"/>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39955072">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303BFE94">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08A25374">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56683AE4">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77A82E0B">
            <w:pPr>
              <w:spacing w:line="360" w:lineRule="auto"/>
              <w:jc w:val="center"/>
              <w:rPr>
                <w:rFonts w:hint="eastAsia" w:ascii="宋体" w:hAnsi="宋体" w:cs="宋体"/>
                <w:sz w:val="24"/>
              </w:rPr>
            </w:pPr>
          </w:p>
        </w:tc>
      </w:tr>
      <w:tr w14:paraId="3FB5DF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07F0A62D">
            <w:pPr>
              <w:spacing w:line="360" w:lineRule="auto"/>
              <w:jc w:val="center"/>
              <w:rPr>
                <w:rFonts w:hint="eastAsia" w:ascii="宋体" w:hAnsi="宋体" w:cs="宋体"/>
                <w:sz w:val="24"/>
              </w:rPr>
            </w:pPr>
            <w:r>
              <w:rPr>
                <w:rFonts w:hint="eastAsia" w:ascii="宋体" w:hAnsi="宋体" w:cs="宋体"/>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623C3F2">
            <w:pPr>
              <w:snapToGrid w:val="0"/>
              <w:spacing w:line="360" w:lineRule="auto"/>
              <w:jc w:val="center"/>
              <w:rPr>
                <w:rFonts w:hint="eastAsia" w:ascii="宋体" w:hAnsi="宋体" w:cs="宋体"/>
                <w:sz w:val="24"/>
              </w:rPr>
            </w:pPr>
          </w:p>
        </w:tc>
        <w:tc>
          <w:tcPr>
            <w:tcW w:w="1114" w:type="dxa"/>
            <w:tcBorders>
              <w:top w:val="single" w:color="auto" w:sz="4" w:space="0"/>
              <w:left w:val="single" w:color="auto" w:sz="4" w:space="0"/>
              <w:bottom w:val="single" w:color="auto" w:sz="4" w:space="0"/>
              <w:right w:val="single" w:color="auto" w:sz="4" w:space="0"/>
            </w:tcBorders>
            <w:vAlign w:val="center"/>
          </w:tcPr>
          <w:p w14:paraId="1520EC37">
            <w:pPr>
              <w:snapToGrid w:val="0"/>
              <w:spacing w:line="360" w:lineRule="auto"/>
              <w:jc w:val="center"/>
              <w:rPr>
                <w:rFonts w:hint="eastAsia" w:ascii="宋体" w:hAnsi="宋体" w:cs="宋体"/>
                <w:sz w:val="24"/>
              </w:rPr>
            </w:pPr>
          </w:p>
        </w:tc>
        <w:tc>
          <w:tcPr>
            <w:tcW w:w="1260" w:type="dxa"/>
            <w:tcBorders>
              <w:top w:val="single" w:color="auto" w:sz="4" w:space="0"/>
              <w:left w:val="single" w:color="auto" w:sz="4" w:space="0"/>
              <w:bottom w:val="single" w:color="auto" w:sz="4" w:space="0"/>
              <w:right w:val="single" w:color="auto" w:sz="4" w:space="0"/>
            </w:tcBorders>
            <w:vAlign w:val="center"/>
          </w:tcPr>
          <w:p w14:paraId="2B12B088">
            <w:pPr>
              <w:snapToGrid w:val="0"/>
              <w:spacing w:line="360" w:lineRule="auto"/>
              <w:jc w:val="center"/>
              <w:rPr>
                <w:rFonts w:hint="eastAsia" w:ascii="宋体" w:hAnsi="宋体" w:cs="宋体"/>
                <w:sz w:val="24"/>
              </w:rPr>
            </w:pPr>
          </w:p>
        </w:tc>
        <w:tc>
          <w:tcPr>
            <w:tcW w:w="2775" w:type="dxa"/>
            <w:tcBorders>
              <w:top w:val="single" w:color="auto" w:sz="4" w:space="0"/>
              <w:left w:val="single" w:color="auto" w:sz="4" w:space="0"/>
              <w:bottom w:val="single" w:color="auto" w:sz="4" w:space="0"/>
              <w:right w:val="single" w:color="auto" w:sz="4" w:space="0"/>
            </w:tcBorders>
            <w:vAlign w:val="center"/>
          </w:tcPr>
          <w:p w14:paraId="070B0DE1">
            <w:pPr>
              <w:spacing w:line="360" w:lineRule="auto"/>
              <w:jc w:val="center"/>
              <w:rPr>
                <w:rFonts w:hint="eastAsia" w:ascii="宋体" w:hAnsi="宋体" w:cs="宋体"/>
                <w:sz w:val="24"/>
              </w:rPr>
            </w:pPr>
          </w:p>
        </w:tc>
        <w:tc>
          <w:tcPr>
            <w:tcW w:w="1673" w:type="dxa"/>
            <w:tcBorders>
              <w:top w:val="single" w:color="auto" w:sz="4" w:space="0"/>
              <w:left w:val="single" w:color="auto" w:sz="4" w:space="0"/>
              <w:bottom w:val="single" w:color="auto" w:sz="4" w:space="0"/>
              <w:right w:val="single" w:color="auto" w:sz="4" w:space="0"/>
            </w:tcBorders>
            <w:vAlign w:val="center"/>
          </w:tcPr>
          <w:p w14:paraId="4E201441">
            <w:pPr>
              <w:spacing w:line="360" w:lineRule="auto"/>
              <w:jc w:val="center"/>
              <w:rPr>
                <w:rFonts w:hint="eastAsia" w:ascii="宋体" w:hAnsi="宋体" w:cs="宋体"/>
                <w:sz w:val="24"/>
              </w:rPr>
            </w:pPr>
          </w:p>
        </w:tc>
      </w:tr>
    </w:tbl>
    <w:p w14:paraId="3F407C59">
      <w:pPr>
        <w:spacing w:line="360" w:lineRule="auto"/>
        <w:ind w:right="420"/>
        <w:rPr>
          <w:rFonts w:hint="eastAsia" w:ascii="宋体" w:hAnsi="宋体" w:cs="宋体"/>
          <w:sz w:val="24"/>
        </w:rPr>
      </w:pPr>
      <w:r>
        <w:rPr>
          <w:rFonts w:hint="eastAsia" w:ascii="宋体" w:hAnsi="宋体" w:cs="宋体"/>
          <w:sz w:val="24"/>
        </w:rPr>
        <w:t>注：按本格式和要求提供。</w:t>
      </w:r>
    </w:p>
    <w:p w14:paraId="27EF2D7D">
      <w:pPr>
        <w:rPr>
          <w:rFonts w:hint="eastAsia" w:ascii="宋体" w:hAnsi="宋体" w:cs="宋体"/>
          <w:b/>
          <w:kern w:val="0"/>
          <w:sz w:val="32"/>
          <w:szCs w:val="32"/>
        </w:rPr>
      </w:pPr>
    </w:p>
    <w:p w14:paraId="1DB0CF02">
      <w:pPr>
        <w:jc w:val="center"/>
        <w:rPr>
          <w:rFonts w:hint="eastAsia" w:ascii="宋体" w:hAnsi="宋体" w:cs="宋体"/>
          <w:b/>
          <w:kern w:val="0"/>
          <w:sz w:val="32"/>
          <w:szCs w:val="32"/>
        </w:rPr>
      </w:pPr>
    </w:p>
    <w:p w14:paraId="230234DA">
      <w:pPr>
        <w:jc w:val="center"/>
        <w:rPr>
          <w:rFonts w:hint="eastAsia" w:ascii="宋体" w:hAnsi="宋体" w:cs="宋体"/>
          <w:b/>
          <w:kern w:val="0"/>
          <w:sz w:val="32"/>
          <w:szCs w:val="32"/>
        </w:rPr>
      </w:pPr>
    </w:p>
    <w:p w14:paraId="26B260B8">
      <w:pPr>
        <w:jc w:val="center"/>
        <w:rPr>
          <w:rFonts w:hint="eastAsia" w:ascii="宋体" w:hAnsi="宋体" w:cs="宋体"/>
          <w:b/>
          <w:kern w:val="0"/>
          <w:sz w:val="32"/>
          <w:szCs w:val="32"/>
        </w:rPr>
      </w:pPr>
      <w:r>
        <w:rPr>
          <w:rFonts w:hint="eastAsia" w:ascii="宋体" w:hAnsi="宋体" w:cs="宋体"/>
          <w:b/>
          <w:kern w:val="0"/>
          <w:sz w:val="32"/>
          <w:szCs w:val="32"/>
        </w:rPr>
        <w:t>六、商务技术偏离表</w:t>
      </w:r>
    </w:p>
    <w:tbl>
      <w:tblPr>
        <w:tblStyle w:val="66"/>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59"/>
        <w:gridCol w:w="3683"/>
        <w:gridCol w:w="3546"/>
        <w:gridCol w:w="1276"/>
      </w:tblGrid>
      <w:tr w14:paraId="7E70C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24353E4C">
            <w:pPr>
              <w:jc w:val="center"/>
              <w:rPr>
                <w:rFonts w:hint="eastAsia" w:ascii="宋体" w:hAnsi="宋体" w:cs="宋体"/>
                <w:b/>
                <w:bCs/>
                <w:sz w:val="24"/>
              </w:rPr>
            </w:pPr>
            <w:r>
              <w:rPr>
                <w:rFonts w:hint="eastAsia" w:ascii="宋体" w:hAnsi="宋体" w:cs="宋体"/>
                <w:b/>
                <w:bCs/>
                <w:sz w:val="24"/>
              </w:rPr>
              <w:t>序号</w:t>
            </w:r>
          </w:p>
        </w:tc>
        <w:tc>
          <w:tcPr>
            <w:tcW w:w="3683" w:type="dxa"/>
          </w:tcPr>
          <w:p w14:paraId="29A3C014">
            <w:pPr>
              <w:jc w:val="center"/>
              <w:rPr>
                <w:rFonts w:hint="eastAsia" w:ascii="宋体" w:hAnsi="宋体" w:cs="宋体"/>
                <w:b/>
                <w:bCs/>
                <w:sz w:val="24"/>
              </w:rPr>
            </w:pPr>
            <w:r>
              <w:rPr>
                <w:rFonts w:hint="eastAsia" w:ascii="宋体" w:hAnsi="宋体" w:cs="宋体"/>
                <w:b/>
                <w:bCs/>
                <w:sz w:val="24"/>
              </w:rPr>
              <w:t>招标文件章节及具体内容</w:t>
            </w:r>
          </w:p>
        </w:tc>
        <w:tc>
          <w:tcPr>
            <w:tcW w:w="3546" w:type="dxa"/>
          </w:tcPr>
          <w:p w14:paraId="0A0C8A46">
            <w:pPr>
              <w:jc w:val="center"/>
              <w:rPr>
                <w:rFonts w:hint="eastAsia" w:ascii="宋体" w:hAnsi="宋体" w:cs="宋体"/>
                <w:b/>
                <w:bCs/>
                <w:sz w:val="24"/>
              </w:rPr>
            </w:pPr>
            <w:r>
              <w:rPr>
                <w:rFonts w:hint="eastAsia" w:ascii="宋体" w:hAnsi="宋体" w:cs="宋体"/>
                <w:b/>
                <w:bCs/>
                <w:sz w:val="24"/>
              </w:rPr>
              <w:t>投标文件章节及具体内容</w:t>
            </w:r>
          </w:p>
        </w:tc>
        <w:tc>
          <w:tcPr>
            <w:tcW w:w="1276" w:type="dxa"/>
          </w:tcPr>
          <w:p w14:paraId="1E214C17">
            <w:pPr>
              <w:jc w:val="center"/>
              <w:rPr>
                <w:rFonts w:hint="eastAsia" w:ascii="宋体" w:hAnsi="宋体" w:cs="宋体"/>
                <w:b/>
                <w:bCs/>
                <w:sz w:val="24"/>
              </w:rPr>
            </w:pPr>
            <w:r>
              <w:rPr>
                <w:rFonts w:hint="eastAsia" w:ascii="宋体" w:hAnsi="宋体" w:cs="宋体"/>
                <w:b/>
                <w:bCs/>
                <w:sz w:val="24"/>
              </w:rPr>
              <w:t>偏离说明</w:t>
            </w:r>
          </w:p>
        </w:tc>
      </w:tr>
      <w:tr w14:paraId="6936B2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84448FB">
            <w:pPr>
              <w:jc w:val="center"/>
              <w:rPr>
                <w:rFonts w:hint="eastAsia" w:ascii="宋体" w:hAnsi="宋体" w:cs="宋体"/>
                <w:kern w:val="0"/>
                <w:sz w:val="24"/>
              </w:rPr>
            </w:pPr>
            <w:r>
              <w:rPr>
                <w:rFonts w:hint="eastAsia" w:ascii="宋体" w:hAnsi="宋体" w:cs="宋体"/>
                <w:kern w:val="0"/>
                <w:sz w:val="24"/>
              </w:rPr>
              <w:t>1</w:t>
            </w:r>
          </w:p>
        </w:tc>
        <w:tc>
          <w:tcPr>
            <w:tcW w:w="3683" w:type="dxa"/>
          </w:tcPr>
          <w:p w14:paraId="7EB097D3">
            <w:pPr>
              <w:jc w:val="center"/>
              <w:rPr>
                <w:rFonts w:hint="eastAsia" w:ascii="宋体" w:hAnsi="宋体" w:cs="宋体"/>
                <w:b/>
                <w:kern w:val="0"/>
                <w:sz w:val="32"/>
                <w:szCs w:val="32"/>
              </w:rPr>
            </w:pPr>
          </w:p>
        </w:tc>
        <w:tc>
          <w:tcPr>
            <w:tcW w:w="3546" w:type="dxa"/>
          </w:tcPr>
          <w:p w14:paraId="57BD8744">
            <w:pPr>
              <w:jc w:val="center"/>
              <w:rPr>
                <w:rFonts w:hint="eastAsia" w:ascii="宋体" w:hAnsi="宋体" w:cs="宋体"/>
                <w:b/>
                <w:kern w:val="0"/>
                <w:sz w:val="32"/>
                <w:szCs w:val="32"/>
              </w:rPr>
            </w:pPr>
          </w:p>
        </w:tc>
        <w:tc>
          <w:tcPr>
            <w:tcW w:w="1276" w:type="dxa"/>
          </w:tcPr>
          <w:p w14:paraId="1CFB213C">
            <w:pPr>
              <w:jc w:val="center"/>
              <w:rPr>
                <w:rFonts w:hint="eastAsia" w:ascii="宋体" w:hAnsi="宋体" w:cs="宋体"/>
                <w:b/>
                <w:kern w:val="0"/>
                <w:sz w:val="32"/>
                <w:szCs w:val="32"/>
              </w:rPr>
            </w:pPr>
          </w:p>
        </w:tc>
      </w:tr>
      <w:tr w14:paraId="77B52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27D9CF4">
            <w:pPr>
              <w:jc w:val="center"/>
              <w:rPr>
                <w:rFonts w:hint="eastAsia" w:ascii="宋体" w:hAnsi="宋体" w:cs="宋体"/>
                <w:kern w:val="0"/>
                <w:sz w:val="24"/>
              </w:rPr>
            </w:pPr>
            <w:r>
              <w:rPr>
                <w:rFonts w:hint="eastAsia" w:ascii="宋体" w:hAnsi="宋体" w:cs="宋体"/>
                <w:kern w:val="0"/>
                <w:sz w:val="24"/>
              </w:rPr>
              <w:t>2</w:t>
            </w:r>
          </w:p>
        </w:tc>
        <w:tc>
          <w:tcPr>
            <w:tcW w:w="3683" w:type="dxa"/>
          </w:tcPr>
          <w:p w14:paraId="57FB1EF2">
            <w:pPr>
              <w:jc w:val="center"/>
              <w:rPr>
                <w:rFonts w:hint="eastAsia" w:ascii="宋体" w:hAnsi="宋体" w:cs="宋体"/>
                <w:b/>
                <w:kern w:val="0"/>
                <w:sz w:val="32"/>
                <w:szCs w:val="32"/>
              </w:rPr>
            </w:pPr>
          </w:p>
        </w:tc>
        <w:tc>
          <w:tcPr>
            <w:tcW w:w="3546" w:type="dxa"/>
          </w:tcPr>
          <w:p w14:paraId="57DF0FBE">
            <w:pPr>
              <w:jc w:val="center"/>
              <w:rPr>
                <w:rFonts w:hint="eastAsia" w:ascii="宋体" w:hAnsi="宋体" w:cs="宋体"/>
                <w:b/>
                <w:kern w:val="0"/>
                <w:sz w:val="32"/>
                <w:szCs w:val="32"/>
              </w:rPr>
            </w:pPr>
          </w:p>
        </w:tc>
        <w:tc>
          <w:tcPr>
            <w:tcW w:w="1276" w:type="dxa"/>
          </w:tcPr>
          <w:p w14:paraId="236BC018">
            <w:pPr>
              <w:jc w:val="center"/>
              <w:rPr>
                <w:rFonts w:hint="eastAsia" w:ascii="宋体" w:hAnsi="宋体" w:cs="宋体"/>
                <w:b/>
                <w:kern w:val="0"/>
                <w:sz w:val="32"/>
                <w:szCs w:val="32"/>
              </w:rPr>
            </w:pPr>
          </w:p>
        </w:tc>
      </w:tr>
      <w:tr w14:paraId="02F688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C3C36CF">
            <w:pPr>
              <w:jc w:val="center"/>
              <w:rPr>
                <w:rFonts w:hint="eastAsia" w:ascii="宋体" w:hAnsi="宋体" w:cs="宋体"/>
                <w:kern w:val="0"/>
                <w:sz w:val="24"/>
              </w:rPr>
            </w:pPr>
            <w:r>
              <w:rPr>
                <w:rFonts w:hint="eastAsia" w:ascii="宋体" w:hAnsi="宋体" w:cs="宋体"/>
                <w:kern w:val="0"/>
                <w:sz w:val="24"/>
              </w:rPr>
              <w:t>……</w:t>
            </w:r>
          </w:p>
        </w:tc>
        <w:tc>
          <w:tcPr>
            <w:tcW w:w="3683" w:type="dxa"/>
          </w:tcPr>
          <w:p w14:paraId="2D0FA14E">
            <w:pPr>
              <w:jc w:val="center"/>
              <w:rPr>
                <w:rFonts w:hint="eastAsia" w:ascii="宋体" w:hAnsi="宋体" w:cs="宋体"/>
                <w:b/>
                <w:kern w:val="0"/>
                <w:sz w:val="32"/>
                <w:szCs w:val="32"/>
              </w:rPr>
            </w:pPr>
          </w:p>
        </w:tc>
        <w:tc>
          <w:tcPr>
            <w:tcW w:w="3546" w:type="dxa"/>
          </w:tcPr>
          <w:p w14:paraId="4BABFBC9">
            <w:pPr>
              <w:jc w:val="center"/>
              <w:rPr>
                <w:rFonts w:hint="eastAsia" w:ascii="宋体" w:hAnsi="宋体" w:cs="宋体"/>
                <w:b/>
                <w:kern w:val="0"/>
                <w:sz w:val="32"/>
                <w:szCs w:val="32"/>
              </w:rPr>
            </w:pPr>
          </w:p>
        </w:tc>
        <w:tc>
          <w:tcPr>
            <w:tcW w:w="1276" w:type="dxa"/>
          </w:tcPr>
          <w:p w14:paraId="1FE72EAE">
            <w:pPr>
              <w:jc w:val="center"/>
              <w:rPr>
                <w:rFonts w:hint="eastAsia" w:ascii="宋体" w:hAnsi="宋体" w:cs="宋体"/>
                <w:b/>
                <w:kern w:val="0"/>
                <w:sz w:val="32"/>
                <w:szCs w:val="32"/>
              </w:rPr>
            </w:pPr>
          </w:p>
        </w:tc>
      </w:tr>
    </w:tbl>
    <w:p w14:paraId="46EBE8A9">
      <w:pPr>
        <w:jc w:val="left"/>
        <w:rPr>
          <w:rFonts w:hint="eastAsia" w:ascii="宋体" w:hAnsi="宋体" w:cs="宋体"/>
          <w:kern w:val="0"/>
          <w:sz w:val="24"/>
        </w:rPr>
      </w:pPr>
      <w:r>
        <w:rPr>
          <w:rFonts w:hint="eastAsia" w:ascii="宋体" w:hAnsi="宋体" w:cs="宋体"/>
          <w:kern w:val="0"/>
          <w:sz w:val="24"/>
        </w:rPr>
        <w:t>投标人保证：除商务技术偏离表列出的偏离外，投标人响应招标文件的全部要求</w:t>
      </w:r>
    </w:p>
    <w:p w14:paraId="63496559">
      <w:pPr>
        <w:jc w:val="center"/>
        <w:rPr>
          <w:rFonts w:hint="eastAsia" w:ascii="宋体" w:hAnsi="宋体" w:cs="宋体"/>
          <w:b/>
          <w:kern w:val="0"/>
          <w:sz w:val="32"/>
          <w:szCs w:val="32"/>
        </w:rPr>
      </w:pPr>
    </w:p>
    <w:p w14:paraId="11C202E4">
      <w:pPr>
        <w:jc w:val="center"/>
        <w:rPr>
          <w:rFonts w:hint="eastAsia" w:ascii="宋体" w:hAnsi="宋体" w:cs="宋体"/>
          <w:b/>
          <w:kern w:val="0"/>
          <w:sz w:val="32"/>
          <w:szCs w:val="32"/>
        </w:rPr>
      </w:pPr>
    </w:p>
    <w:p w14:paraId="5AF5AC75">
      <w:pPr>
        <w:jc w:val="center"/>
        <w:rPr>
          <w:rFonts w:hint="eastAsia" w:ascii="宋体" w:hAnsi="宋体" w:cs="宋体"/>
          <w:b/>
          <w:kern w:val="0"/>
          <w:sz w:val="32"/>
          <w:szCs w:val="32"/>
        </w:rPr>
      </w:pPr>
    </w:p>
    <w:p w14:paraId="1DE5F739">
      <w:pPr>
        <w:jc w:val="center"/>
        <w:rPr>
          <w:rFonts w:hint="eastAsia" w:ascii="宋体" w:hAnsi="宋体" w:cs="宋体"/>
          <w:b/>
          <w:kern w:val="0"/>
          <w:sz w:val="32"/>
          <w:szCs w:val="32"/>
        </w:rPr>
      </w:pPr>
    </w:p>
    <w:p w14:paraId="1A49FCB5">
      <w:pPr>
        <w:ind w:firstLine="1911" w:firstLineChars="595"/>
        <w:rPr>
          <w:rFonts w:hint="eastAsia" w:ascii="宋体" w:hAnsi="宋体" w:cs="宋体"/>
          <w:b/>
          <w:kern w:val="0"/>
          <w:sz w:val="32"/>
          <w:szCs w:val="32"/>
        </w:rPr>
      </w:pPr>
    </w:p>
    <w:p w14:paraId="23706BAB">
      <w:pPr>
        <w:ind w:firstLine="1911" w:firstLineChars="595"/>
        <w:rPr>
          <w:rFonts w:hint="eastAsia" w:ascii="宋体" w:hAnsi="宋体" w:cs="宋体"/>
          <w:b/>
          <w:kern w:val="0"/>
          <w:sz w:val="32"/>
          <w:szCs w:val="32"/>
        </w:rPr>
      </w:pPr>
      <w:r>
        <w:rPr>
          <w:rFonts w:hint="eastAsia" w:ascii="宋体" w:hAnsi="宋体" w:cs="宋体"/>
          <w:b/>
          <w:kern w:val="0"/>
          <w:sz w:val="32"/>
          <w:szCs w:val="32"/>
        </w:rPr>
        <w:t>七、</w:t>
      </w:r>
      <w:r>
        <w:rPr>
          <w:rFonts w:hint="eastAsia" w:ascii="宋体" w:hAnsi="宋体" w:cs="宋体"/>
          <w:b/>
          <w:kern w:val="0"/>
          <w:sz w:val="32"/>
          <w:szCs w:val="32"/>
          <w:lang w:val="zh-CN"/>
        </w:rPr>
        <w:t>政府采购供应商廉洁自律承诺书</w:t>
      </w:r>
    </w:p>
    <w:p w14:paraId="2ADF56A4">
      <w:pPr>
        <w:snapToGrid w:val="0"/>
        <w:spacing w:line="360" w:lineRule="auto"/>
        <w:rPr>
          <w:rFonts w:hint="eastAsia" w:ascii="宋体" w:hAnsi="宋体" w:cs="宋体"/>
          <w:sz w:val="24"/>
        </w:rPr>
      </w:pPr>
    </w:p>
    <w:p w14:paraId="550B8B0C">
      <w:pPr>
        <w:snapToGrid w:val="0"/>
        <w:spacing w:line="360" w:lineRule="auto"/>
        <w:rPr>
          <w:rFonts w:hint="eastAsia" w:ascii="宋体" w:hAnsi="宋体" w:cs="宋体"/>
          <w:kern w:val="0"/>
          <w:sz w:val="24"/>
        </w:rPr>
      </w:pPr>
      <w:r>
        <w:rPr>
          <w:rFonts w:hint="eastAsia" w:ascii="宋体" w:hAnsi="宋体" w:cs="宋体"/>
          <w:sz w:val="24"/>
        </w:rPr>
        <w:t>（采购人）、（采购代理机构）</w:t>
      </w:r>
      <w:r>
        <w:rPr>
          <w:rFonts w:hint="eastAsia" w:ascii="宋体" w:hAnsi="宋体" w:cs="宋体"/>
          <w:kern w:val="0"/>
          <w:sz w:val="24"/>
          <w:lang w:val="zh-CN"/>
        </w:rPr>
        <w:t>：</w:t>
      </w:r>
    </w:p>
    <w:p w14:paraId="36E2316A">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我单位响应你</w:t>
      </w:r>
      <w:r>
        <w:rPr>
          <w:rFonts w:hint="eastAsia" w:ascii="宋体" w:hAnsi="宋体" w:cs="宋体"/>
          <w:sz w:val="24"/>
        </w:rPr>
        <w:t>单位</w:t>
      </w:r>
      <w:r>
        <w:rPr>
          <w:rFonts w:hint="eastAsia" w:ascii="宋体" w:hAnsi="宋体" w:cs="宋体"/>
          <w:kern w:val="0"/>
          <w:sz w:val="24"/>
          <w:lang w:val="zh-CN"/>
        </w:rPr>
        <w:t>项目招标要求参加投标。在这次投标过程中和中标后，我们将严格遵守国家法律法规要求，并郑重承诺：</w:t>
      </w:r>
    </w:p>
    <w:p w14:paraId="1E8E721F">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一、不向项目有关人员及部门赠送礼金礼物、有价证券、回扣以及中介费、介绍费、咨询费等好处费； </w:t>
      </w:r>
    </w:p>
    <w:p w14:paraId="59BCD518">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二、不为项目有关人员及部门报销应由你方单位或个人支付的费用； </w:t>
      </w:r>
    </w:p>
    <w:p w14:paraId="3C47DEA6">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 xml:space="preserve">三、不向项目有关人员及部门提供有可能影响公正的宴请和健身娱乐等活动； </w:t>
      </w:r>
    </w:p>
    <w:p w14:paraId="2C35537B">
      <w:pPr>
        <w:autoSpaceDE w:val="0"/>
        <w:autoSpaceDN w:val="0"/>
        <w:spacing w:line="360" w:lineRule="auto"/>
        <w:ind w:left="2" w:leftChars="1" w:firstLine="480" w:firstLineChars="200"/>
        <w:jc w:val="left"/>
        <w:rPr>
          <w:rFonts w:hint="eastAsia" w:ascii="宋体" w:hAnsi="宋体" w:cs="宋体"/>
          <w:kern w:val="0"/>
          <w:sz w:val="24"/>
          <w:lang w:val="zh-CN"/>
        </w:rPr>
      </w:pPr>
      <w:r>
        <w:rPr>
          <w:rFonts w:hint="eastAsia" w:ascii="宋体" w:hAnsi="宋体" w:cs="宋体"/>
          <w:kern w:val="0"/>
          <w:sz w:val="24"/>
          <w:lang w:val="zh-CN"/>
        </w:rPr>
        <w:t>四、不为项目有关人员及部门出国（境）、旅游等提供方便；</w:t>
      </w:r>
    </w:p>
    <w:p w14:paraId="14D072F9">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五、不为项目有关人员个人装修住房、婚丧嫁娶、配偶子女工作安排等提供</w:t>
      </w:r>
    </w:p>
    <w:p w14:paraId="1BD77368">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好处；</w:t>
      </w:r>
    </w:p>
    <w:p w14:paraId="3373120E">
      <w:pPr>
        <w:autoSpaceDE w:val="0"/>
        <w:autoSpaceDN w:val="0"/>
        <w:spacing w:line="360" w:lineRule="auto"/>
        <w:ind w:left="481" w:leftChars="229"/>
        <w:jc w:val="left"/>
        <w:rPr>
          <w:rFonts w:hint="eastAsia" w:ascii="宋体" w:hAnsi="宋体" w:cs="宋体"/>
          <w:kern w:val="0"/>
          <w:sz w:val="24"/>
          <w:lang w:val="zh-CN"/>
        </w:rPr>
      </w:pPr>
      <w:r>
        <w:rPr>
          <w:rFonts w:hint="eastAsia" w:ascii="宋体" w:hAnsi="宋体" w:cs="宋体"/>
          <w:kern w:val="0"/>
          <w:sz w:val="24"/>
          <w:lang w:val="zh-CN"/>
        </w:rPr>
        <w:t>六、严格遵守《</w:t>
      </w:r>
      <w:r>
        <w:rPr>
          <w:rFonts w:hint="eastAsia" w:ascii="宋体" w:hAnsi="宋体" w:cs="宋体"/>
          <w:sz w:val="24"/>
          <w:lang w:val="zh-CN"/>
        </w:rPr>
        <w:t>中华人民共和国</w:t>
      </w:r>
      <w:r>
        <w:rPr>
          <w:rFonts w:hint="eastAsia" w:ascii="宋体" w:hAnsi="宋体" w:cs="宋体"/>
          <w:kern w:val="0"/>
          <w:sz w:val="24"/>
          <w:lang w:val="zh-CN"/>
        </w:rPr>
        <w:t>政府采购法》《</w:t>
      </w:r>
      <w:r>
        <w:rPr>
          <w:rFonts w:hint="eastAsia" w:ascii="宋体" w:hAnsi="宋体" w:cs="宋体"/>
          <w:sz w:val="24"/>
          <w:lang w:val="zh-CN"/>
        </w:rPr>
        <w:t>中华人民共和国</w:t>
      </w:r>
      <w:r>
        <w:rPr>
          <w:rFonts w:hint="eastAsia" w:ascii="宋体" w:hAnsi="宋体" w:cs="宋体"/>
          <w:kern w:val="0"/>
          <w:sz w:val="24"/>
          <w:lang w:val="zh-CN"/>
        </w:rPr>
        <w:t>招标投标</w:t>
      </w:r>
    </w:p>
    <w:p w14:paraId="6088828B">
      <w:pPr>
        <w:autoSpaceDE w:val="0"/>
        <w:autoSpaceDN w:val="0"/>
        <w:spacing w:line="360" w:lineRule="auto"/>
        <w:jc w:val="left"/>
        <w:rPr>
          <w:rFonts w:hint="eastAsia" w:ascii="宋体" w:hAnsi="宋体" w:cs="宋体"/>
          <w:kern w:val="0"/>
          <w:sz w:val="24"/>
          <w:lang w:val="zh-CN"/>
        </w:rPr>
      </w:pPr>
      <w:r>
        <w:rPr>
          <w:rFonts w:hint="eastAsia" w:ascii="宋体" w:hAnsi="宋体" w:cs="宋体"/>
          <w:kern w:val="0"/>
          <w:sz w:val="24"/>
          <w:lang w:val="zh-CN"/>
        </w:rPr>
        <w:t>法》</w:t>
      </w:r>
      <w:r>
        <w:rPr>
          <w:rFonts w:hint="eastAsia" w:ascii="宋体" w:hAnsi="宋体" w:cs="宋体"/>
          <w:sz w:val="24"/>
          <w:lang w:val="zh-CN"/>
        </w:rPr>
        <w:t>《中华人民共和国民法典》</w:t>
      </w:r>
      <w:r>
        <w:rPr>
          <w:rFonts w:hint="eastAsia" w:ascii="宋体" w:hAnsi="宋体" w:cs="宋体"/>
          <w:kern w:val="0"/>
          <w:sz w:val="24"/>
          <w:lang w:val="zh-CN"/>
        </w:rPr>
        <w:t xml:space="preserve">等法律法规，诚实守信，合法经营，坚决抵制各种违法违纪行为。 </w:t>
      </w:r>
    </w:p>
    <w:p w14:paraId="7004F811">
      <w:pPr>
        <w:autoSpaceDE w:val="0"/>
        <w:autoSpaceDN w:val="0"/>
        <w:spacing w:line="360" w:lineRule="auto"/>
        <w:ind w:firstLine="480" w:firstLineChars="200"/>
        <w:jc w:val="left"/>
        <w:rPr>
          <w:rFonts w:hint="eastAsia" w:ascii="宋体" w:hAnsi="宋体" w:cs="宋体"/>
          <w:kern w:val="0"/>
          <w:sz w:val="24"/>
          <w:lang w:val="zh-CN"/>
        </w:rPr>
      </w:pPr>
      <w:r>
        <w:rPr>
          <w:rFonts w:hint="eastAsia" w:ascii="宋体" w:hAnsi="宋体" w:cs="宋体"/>
          <w:kern w:val="0"/>
          <w:sz w:val="24"/>
          <w:lang w:val="zh-CN"/>
        </w:rPr>
        <w:t>如违反上述承诺，你</w:t>
      </w:r>
      <w:r>
        <w:rPr>
          <w:rFonts w:hint="eastAsia" w:ascii="宋体" w:hAnsi="宋体" w:cs="宋体"/>
          <w:sz w:val="24"/>
        </w:rPr>
        <w:t>单位</w:t>
      </w:r>
      <w:r>
        <w:rPr>
          <w:rFonts w:hint="eastAsia" w:ascii="宋体" w:hAnsi="宋体" w:cs="宋体"/>
          <w:kern w:val="0"/>
          <w:sz w:val="24"/>
          <w:lang w:val="zh-CN"/>
        </w:rPr>
        <w:t>有权立即取消我单位投标、中标或在建项目的建设资格，有权拒绝我单位在一定时期内进入你</w:t>
      </w:r>
      <w:r>
        <w:rPr>
          <w:rFonts w:hint="eastAsia" w:ascii="宋体" w:hAnsi="宋体" w:cs="宋体"/>
          <w:sz w:val="24"/>
        </w:rPr>
        <w:t>单位</w:t>
      </w:r>
      <w:r>
        <w:rPr>
          <w:rFonts w:hint="eastAsia" w:ascii="宋体" w:hAnsi="宋体" w:cs="宋体"/>
          <w:kern w:val="0"/>
          <w:sz w:val="24"/>
          <w:lang w:val="zh-CN"/>
        </w:rPr>
        <w:t>进行项目建设或其他经营活动，并通报市财政局。由此引起的相应损失均由我单位承担。</w:t>
      </w:r>
    </w:p>
    <w:p w14:paraId="09ADA1C2">
      <w:pPr>
        <w:autoSpaceDE w:val="0"/>
        <w:autoSpaceDN w:val="0"/>
        <w:spacing w:line="360" w:lineRule="auto"/>
        <w:ind w:left="2"/>
        <w:jc w:val="left"/>
        <w:rPr>
          <w:rFonts w:hint="eastAsia" w:ascii="宋体" w:hAnsi="宋体" w:cs="宋体"/>
          <w:kern w:val="0"/>
          <w:sz w:val="24"/>
          <w:lang w:val="zh-CN"/>
        </w:rPr>
      </w:pPr>
    </w:p>
    <w:p w14:paraId="6523536F">
      <w:pPr>
        <w:autoSpaceDE w:val="0"/>
        <w:autoSpaceDN w:val="0"/>
        <w:spacing w:line="360" w:lineRule="auto"/>
        <w:ind w:left="2"/>
        <w:jc w:val="left"/>
        <w:rPr>
          <w:rFonts w:hint="eastAsia" w:ascii="宋体" w:hAnsi="宋体" w:cs="宋体"/>
          <w:kern w:val="0"/>
          <w:sz w:val="24"/>
          <w:lang w:val="zh-CN"/>
        </w:rPr>
      </w:pPr>
    </w:p>
    <w:p w14:paraId="1744BFDD">
      <w:pPr>
        <w:autoSpaceDE w:val="0"/>
        <w:autoSpaceDN w:val="0"/>
        <w:spacing w:line="360" w:lineRule="auto"/>
        <w:ind w:left="2"/>
        <w:jc w:val="left"/>
        <w:rPr>
          <w:rFonts w:hint="eastAsia" w:ascii="宋体" w:hAnsi="宋体" w:cs="宋体"/>
          <w:kern w:val="0"/>
          <w:sz w:val="24"/>
          <w:lang w:val="zh-CN"/>
        </w:rPr>
      </w:pPr>
    </w:p>
    <w:p w14:paraId="43814266">
      <w:pPr>
        <w:autoSpaceDE w:val="0"/>
        <w:autoSpaceDN w:val="0"/>
        <w:spacing w:line="360" w:lineRule="auto"/>
        <w:ind w:left="2" w:leftChars="1" w:right="1120" w:firstLine="4560" w:firstLineChars="1900"/>
        <w:jc w:val="left"/>
        <w:rPr>
          <w:rFonts w:hint="eastAsia" w:ascii="宋体" w:hAnsi="宋体" w:cs="宋体"/>
          <w:kern w:val="0"/>
          <w:sz w:val="24"/>
          <w:lang w:val="zh-CN"/>
        </w:rPr>
      </w:pPr>
      <w:r>
        <w:rPr>
          <w:rFonts w:hint="eastAsia" w:ascii="宋体" w:hAnsi="宋体" w:cs="宋体"/>
          <w:kern w:val="0"/>
          <w:sz w:val="24"/>
          <w:lang w:val="zh-CN"/>
        </w:rPr>
        <w:t>投标人名称（</w:t>
      </w:r>
      <w:r>
        <w:rPr>
          <w:rFonts w:hint="eastAsia" w:ascii="宋体" w:hAnsi="宋体" w:cs="宋体"/>
          <w:sz w:val="24"/>
        </w:rPr>
        <w:t>电子签名</w:t>
      </w:r>
      <w:r>
        <w:rPr>
          <w:rFonts w:hint="eastAsia" w:ascii="宋体" w:hAnsi="宋体" w:cs="宋体"/>
          <w:kern w:val="0"/>
          <w:sz w:val="24"/>
          <w:lang w:val="zh-CN"/>
        </w:rPr>
        <w:t xml:space="preserve">）：                                                                                                                                                                                                               </w:t>
      </w:r>
    </w:p>
    <w:p w14:paraId="50DD16F9">
      <w:pPr>
        <w:spacing w:line="360" w:lineRule="auto"/>
        <w:ind w:left="4620" w:leftChars="2200"/>
        <w:rPr>
          <w:rFonts w:hint="eastAsia" w:ascii="宋体" w:hAnsi="宋体" w:cs="宋体"/>
          <w:sz w:val="24"/>
        </w:rPr>
      </w:pPr>
      <w:r>
        <w:rPr>
          <w:rFonts w:hint="eastAsia" w:ascii="宋体" w:hAnsi="宋体" w:cs="宋体"/>
          <w:kern w:val="0"/>
          <w:sz w:val="24"/>
          <w:lang w:val="zh-CN"/>
        </w:rPr>
        <w:t>日期</w:t>
      </w:r>
      <w:r>
        <w:rPr>
          <w:rFonts w:hint="eastAsia" w:ascii="宋体" w:hAnsi="宋体" w:cs="宋体"/>
          <w:kern w:val="0"/>
          <w:sz w:val="24"/>
        </w:rPr>
        <w:t>：</w:t>
      </w:r>
      <w:r>
        <w:rPr>
          <w:rFonts w:hint="eastAsia" w:ascii="宋体" w:hAnsi="宋体" w:cs="宋体"/>
          <w:kern w:val="0"/>
          <w:sz w:val="24"/>
          <w:lang w:val="zh-CN"/>
        </w:rPr>
        <w:t xml:space="preserve">   年   月   日</w:t>
      </w:r>
    </w:p>
    <w:p w14:paraId="4CC73914">
      <w:pPr>
        <w:spacing w:line="360" w:lineRule="auto"/>
        <w:jc w:val="center"/>
        <w:rPr>
          <w:rFonts w:hint="eastAsia" w:ascii="宋体" w:hAnsi="宋体" w:cs="宋体"/>
          <w:b/>
          <w:bCs/>
          <w:sz w:val="24"/>
        </w:rPr>
      </w:pPr>
    </w:p>
    <w:p w14:paraId="35E68A03">
      <w:pPr>
        <w:spacing w:line="360" w:lineRule="auto"/>
        <w:jc w:val="center"/>
        <w:rPr>
          <w:rFonts w:hint="eastAsia" w:ascii="宋体" w:hAnsi="宋体" w:cs="宋体"/>
          <w:b/>
          <w:bCs/>
          <w:sz w:val="24"/>
        </w:rPr>
        <w:sectPr>
          <w:pgSz w:w="11906" w:h="16838"/>
          <w:pgMar w:top="1440" w:right="1418" w:bottom="1440" w:left="1418" w:header="851" w:footer="992" w:gutter="0"/>
          <w:cols w:space="0" w:num="1"/>
          <w:titlePg/>
          <w:docGrid w:linePitch="312" w:charSpace="0"/>
        </w:sectPr>
      </w:pPr>
    </w:p>
    <w:p w14:paraId="3143F40E">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报价文件部分</w:t>
      </w:r>
    </w:p>
    <w:p w14:paraId="16F69282">
      <w:pPr>
        <w:spacing w:line="360" w:lineRule="auto"/>
        <w:jc w:val="center"/>
        <w:outlineLvl w:val="0"/>
        <w:rPr>
          <w:rFonts w:hint="eastAsia" w:ascii="宋体" w:hAnsi="宋体" w:cs="宋体"/>
          <w:b/>
          <w:kern w:val="0"/>
          <w:sz w:val="36"/>
          <w:szCs w:val="36"/>
        </w:rPr>
      </w:pPr>
      <w:r>
        <w:rPr>
          <w:rFonts w:hint="eastAsia" w:ascii="宋体" w:hAnsi="宋体" w:cs="宋体"/>
          <w:b/>
          <w:kern w:val="0"/>
          <w:sz w:val="36"/>
          <w:szCs w:val="36"/>
        </w:rPr>
        <w:t>目录</w:t>
      </w:r>
    </w:p>
    <w:p w14:paraId="0C5F3B67">
      <w:pPr>
        <w:spacing w:line="360" w:lineRule="auto"/>
        <w:jc w:val="center"/>
        <w:outlineLvl w:val="0"/>
        <w:rPr>
          <w:rFonts w:hint="eastAsia" w:ascii="宋体" w:hAnsi="宋体" w:cs="宋体"/>
          <w:b/>
          <w:kern w:val="0"/>
          <w:sz w:val="36"/>
          <w:szCs w:val="36"/>
        </w:rPr>
      </w:pPr>
    </w:p>
    <w:p w14:paraId="3C769E68">
      <w:pPr>
        <w:snapToGrid w:val="0"/>
        <w:spacing w:line="360" w:lineRule="auto"/>
        <w:rPr>
          <w:rFonts w:hint="eastAsia" w:ascii="宋体" w:hAnsi="宋体" w:cs="宋体"/>
          <w:sz w:val="24"/>
        </w:rPr>
      </w:pPr>
      <w:r>
        <w:rPr>
          <w:rFonts w:hint="eastAsia" w:ascii="宋体" w:hAnsi="宋体" w:cs="宋体"/>
          <w:sz w:val="24"/>
        </w:rPr>
        <w:t>（1）开标一览表（报价表）………………………………………………………（页码）</w:t>
      </w:r>
    </w:p>
    <w:p w14:paraId="2DA7DA44">
      <w:pPr>
        <w:snapToGrid w:val="0"/>
        <w:spacing w:line="360" w:lineRule="auto"/>
        <w:rPr>
          <w:rFonts w:hint="eastAsia" w:ascii="宋体" w:hAnsi="宋体" w:cs="宋体"/>
          <w:sz w:val="24"/>
        </w:rPr>
      </w:pPr>
      <w:r>
        <w:rPr>
          <w:rFonts w:hint="eastAsia" w:ascii="宋体" w:hAnsi="宋体" w:cs="宋体"/>
          <w:sz w:val="24"/>
        </w:rPr>
        <w:t>（2）中小企业声明函………………………………………………………………（页码）</w:t>
      </w:r>
    </w:p>
    <w:p w14:paraId="7F0EC839">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sectPr>
          <w:headerReference r:id="rId14" w:type="first"/>
          <w:footerReference r:id="rId16" w:type="first"/>
          <w:headerReference r:id="rId13" w:type="default"/>
          <w:footerReference r:id="rId15" w:type="default"/>
          <w:pgSz w:w="11906" w:h="16838"/>
          <w:pgMar w:top="1276" w:right="1418" w:bottom="1247" w:left="1418" w:header="851" w:footer="992" w:gutter="0"/>
          <w:cols w:space="720" w:num="1"/>
          <w:titlePg/>
          <w:docGrid w:linePitch="312" w:charSpace="0"/>
        </w:sectPr>
      </w:pPr>
    </w:p>
    <w:p w14:paraId="49004EEF">
      <w:pPr>
        <w:pStyle w:val="693"/>
        <w:keepNext w:val="0"/>
        <w:pageBreakBefore w:val="0"/>
        <w:tabs>
          <w:tab w:val="clear" w:pos="720"/>
        </w:tabs>
        <w:snapToGrid w:val="0"/>
        <w:spacing w:before="120" w:after="120"/>
        <w:ind w:firstLine="643"/>
        <w:outlineLvl w:val="9"/>
        <w:rPr>
          <w:rFonts w:hint="eastAsia" w:ascii="宋体" w:hAnsi="宋体" w:eastAsia="宋体" w:cs="宋体"/>
          <w:kern w:val="2"/>
          <w:sz w:val="32"/>
          <w:szCs w:val="32"/>
        </w:rPr>
      </w:pPr>
      <w:r>
        <w:rPr>
          <w:rFonts w:hint="eastAsia" w:ascii="宋体" w:hAnsi="宋体" w:eastAsia="宋体" w:cs="宋体"/>
          <w:kern w:val="2"/>
          <w:sz w:val="32"/>
          <w:szCs w:val="32"/>
        </w:rPr>
        <w:t>一、开标一览表（报价表）</w:t>
      </w:r>
    </w:p>
    <w:p w14:paraId="2BE10C47">
      <w:pPr>
        <w:snapToGrid w:val="0"/>
        <w:spacing w:line="360" w:lineRule="auto"/>
        <w:rPr>
          <w:rFonts w:hint="eastAsia" w:ascii="宋体" w:hAnsi="宋体" w:cs="宋体"/>
          <w:kern w:val="0"/>
          <w:sz w:val="24"/>
        </w:rPr>
      </w:pPr>
      <w:r>
        <w:rPr>
          <w:rFonts w:hint="eastAsia" w:ascii="宋体" w:hAnsi="宋体" w:cs="宋体"/>
          <w:color w:val="0000FF"/>
          <w:sz w:val="24"/>
        </w:rPr>
        <w:t>（采购人）</w:t>
      </w:r>
      <w:r>
        <w:rPr>
          <w:rFonts w:hint="eastAsia" w:ascii="宋体" w:hAnsi="宋体" w:cs="宋体"/>
          <w:sz w:val="24"/>
        </w:rPr>
        <w:t>、（采购代理机构）</w:t>
      </w:r>
      <w:r>
        <w:rPr>
          <w:rFonts w:hint="eastAsia" w:ascii="宋体" w:hAnsi="宋体" w:cs="宋体"/>
          <w:kern w:val="0"/>
          <w:sz w:val="24"/>
          <w:lang w:val="zh-CN"/>
        </w:rPr>
        <w:t>：</w:t>
      </w:r>
    </w:p>
    <w:p w14:paraId="73A0D762">
      <w:pPr>
        <w:snapToGrid w:val="0"/>
        <w:spacing w:line="360" w:lineRule="auto"/>
        <w:ind w:firstLine="482"/>
        <w:rPr>
          <w:rFonts w:hint="eastAsia" w:ascii="宋体" w:hAnsi="宋体" w:cs="宋体"/>
          <w:kern w:val="0"/>
          <w:sz w:val="24"/>
          <w:lang w:val="zh-CN"/>
        </w:rPr>
      </w:pPr>
      <w:r>
        <w:rPr>
          <w:rFonts w:hint="eastAsia" w:ascii="宋体" w:hAnsi="宋体" w:cs="宋体"/>
          <w:kern w:val="0"/>
          <w:sz w:val="24"/>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0000FF"/>
          <w:sz w:val="24"/>
        </w:rPr>
        <w:t>（项目名称）</w:t>
      </w:r>
      <w:r>
        <w:rPr>
          <w:rFonts w:hint="eastAsia" w:ascii="宋体" w:hAnsi="宋体" w:cs="宋体"/>
          <w:kern w:val="0"/>
          <w:sz w:val="24"/>
          <w:lang w:val="zh-CN"/>
        </w:rPr>
        <w:t>【招标编号：</w:t>
      </w:r>
      <w:r>
        <w:rPr>
          <w:rFonts w:hint="eastAsia" w:ascii="宋体" w:hAnsi="宋体" w:cs="宋体"/>
          <w:color w:val="FF0000"/>
          <w:sz w:val="24"/>
        </w:rPr>
        <w:t>（采购编号）</w:t>
      </w:r>
      <w:r>
        <w:rPr>
          <w:rFonts w:hint="eastAsia" w:ascii="宋体" w:hAnsi="宋体" w:cs="宋体"/>
          <w:sz w:val="24"/>
        </w:rPr>
        <w:t>】的实施</w:t>
      </w:r>
      <w:r>
        <w:rPr>
          <w:rFonts w:hint="eastAsia" w:ascii="宋体" w:hAnsi="宋体" w:cs="宋体"/>
          <w:kern w:val="0"/>
          <w:sz w:val="24"/>
          <w:lang w:val="zh-CN"/>
        </w:rPr>
        <w:t>。</w:t>
      </w:r>
    </w:p>
    <w:p w14:paraId="7C73B166">
      <w:pPr>
        <w:spacing w:line="360" w:lineRule="auto"/>
        <w:jc w:val="center"/>
        <w:rPr>
          <w:rFonts w:hint="eastAsia" w:ascii="宋体" w:hAnsi="宋体" w:cs="宋体"/>
          <w:b/>
          <w:kern w:val="0"/>
          <w:sz w:val="24"/>
          <w:lang w:val="zh-CN"/>
        </w:rPr>
      </w:pPr>
      <w:r>
        <w:rPr>
          <w:rFonts w:hint="eastAsia" w:ascii="宋体" w:hAnsi="宋体" w:cs="宋体"/>
          <w:b/>
          <w:kern w:val="0"/>
          <w:sz w:val="24"/>
          <w:lang w:val="zh-CN"/>
        </w:rPr>
        <w:t>开标一览表（报价表）(单位均为人民币元)</w:t>
      </w:r>
    </w:p>
    <w:tbl>
      <w:tblPr>
        <w:tblStyle w:val="65"/>
        <w:tblW w:w="1469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6"/>
        <w:gridCol w:w="1793"/>
        <w:gridCol w:w="1725"/>
        <w:gridCol w:w="2579"/>
        <w:gridCol w:w="1002"/>
        <w:gridCol w:w="1573"/>
        <w:gridCol w:w="2002"/>
        <w:gridCol w:w="3147"/>
      </w:tblGrid>
      <w:tr w14:paraId="2C8433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7D699E59">
            <w:pPr>
              <w:spacing w:line="360" w:lineRule="auto"/>
              <w:jc w:val="center"/>
              <w:rPr>
                <w:rFonts w:hint="eastAsia" w:ascii="宋体" w:hAnsi="宋体" w:cs="宋体"/>
                <w:b/>
                <w:sz w:val="24"/>
              </w:rPr>
            </w:pPr>
            <w:r>
              <w:rPr>
                <w:rFonts w:hint="eastAsia" w:ascii="宋体" w:hAnsi="宋体" w:cs="宋体"/>
                <w:b/>
                <w:sz w:val="24"/>
              </w:rPr>
              <w:t>序号</w:t>
            </w:r>
          </w:p>
        </w:tc>
        <w:tc>
          <w:tcPr>
            <w:tcW w:w="1793" w:type="dxa"/>
            <w:vAlign w:val="center"/>
          </w:tcPr>
          <w:p w14:paraId="57ECA5C1">
            <w:pPr>
              <w:spacing w:line="360" w:lineRule="auto"/>
              <w:jc w:val="center"/>
              <w:rPr>
                <w:rFonts w:hint="eastAsia" w:ascii="宋体" w:hAnsi="宋体" w:cs="宋体"/>
                <w:b/>
                <w:sz w:val="24"/>
              </w:rPr>
            </w:pPr>
            <w:r>
              <w:rPr>
                <w:rFonts w:hint="eastAsia" w:ascii="宋体" w:hAnsi="宋体" w:cs="宋体"/>
                <w:b/>
                <w:sz w:val="24"/>
              </w:rPr>
              <w:t>名称</w:t>
            </w:r>
          </w:p>
        </w:tc>
        <w:tc>
          <w:tcPr>
            <w:tcW w:w="1725" w:type="dxa"/>
          </w:tcPr>
          <w:p w14:paraId="2C9FCCD5">
            <w:pPr>
              <w:spacing w:line="360" w:lineRule="auto"/>
              <w:jc w:val="center"/>
              <w:rPr>
                <w:rFonts w:hint="eastAsia" w:ascii="宋体" w:hAnsi="宋体" w:cs="宋体"/>
                <w:b/>
                <w:sz w:val="24"/>
              </w:rPr>
            </w:pPr>
            <w:r>
              <w:rPr>
                <w:rFonts w:hint="eastAsia" w:ascii="宋体" w:hAnsi="宋体" w:cs="宋体"/>
                <w:b/>
                <w:sz w:val="24"/>
              </w:rPr>
              <w:t>品牌（如果有）</w:t>
            </w:r>
          </w:p>
        </w:tc>
        <w:tc>
          <w:tcPr>
            <w:tcW w:w="2579" w:type="dxa"/>
            <w:vAlign w:val="center"/>
          </w:tcPr>
          <w:p w14:paraId="0981DA8E">
            <w:pPr>
              <w:spacing w:line="360" w:lineRule="auto"/>
              <w:jc w:val="center"/>
              <w:rPr>
                <w:rFonts w:hint="eastAsia" w:ascii="宋体" w:hAnsi="宋体" w:cs="宋体"/>
                <w:b/>
                <w:sz w:val="24"/>
              </w:rPr>
            </w:pPr>
            <w:r>
              <w:rPr>
                <w:rFonts w:hint="eastAsia" w:ascii="宋体" w:hAnsi="宋体" w:cs="宋体"/>
                <w:b/>
                <w:sz w:val="24"/>
              </w:rPr>
              <w:t>规格型号</w:t>
            </w:r>
          </w:p>
        </w:tc>
        <w:tc>
          <w:tcPr>
            <w:tcW w:w="1002" w:type="dxa"/>
            <w:vAlign w:val="center"/>
          </w:tcPr>
          <w:p w14:paraId="55AA1E86">
            <w:pPr>
              <w:spacing w:line="360" w:lineRule="auto"/>
              <w:jc w:val="center"/>
              <w:rPr>
                <w:rFonts w:hint="eastAsia" w:ascii="宋体" w:hAnsi="宋体" w:cs="宋体"/>
                <w:b/>
                <w:sz w:val="24"/>
              </w:rPr>
            </w:pPr>
            <w:r>
              <w:rPr>
                <w:rFonts w:hint="eastAsia" w:ascii="宋体" w:hAnsi="宋体" w:cs="宋体"/>
                <w:b/>
                <w:sz w:val="24"/>
              </w:rPr>
              <w:t>数量</w:t>
            </w:r>
          </w:p>
        </w:tc>
        <w:tc>
          <w:tcPr>
            <w:tcW w:w="1573" w:type="dxa"/>
            <w:vAlign w:val="center"/>
          </w:tcPr>
          <w:p w14:paraId="7A61E992">
            <w:pPr>
              <w:spacing w:line="360" w:lineRule="auto"/>
              <w:jc w:val="center"/>
              <w:rPr>
                <w:rFonts w:hint="eastAsia" w:ascii="宋体" w:hAnsi="宋体" w:cs="宋体"/>
                <w:b/>
                <w:sz w:val="24"/>
              </w:rPr>
            </w:pPr>
            <w:r>
              <w:rPr>
                <w:rFonts w:hint="eastAsia" w:ascii="宋体" w:hAnsi="宋体" w:cs="宋体"/>
                <w:b/>
                <w:sz w:val="24"/>
              </w:rPr>
              <w:t>单价</w:t>
            </w:r>
          </w:p>
        </w:tc>
        <w:tc>
          <w:tcPr>
            <w:tcW w:w="2002" w:type="dxa"/>
            <w:vAlign w:val="center"/>
          </w:tcPr>
          <w:p w14:paraId="194A7FA6">
            <w:pPr>
              <w:spacing w:line="360" w:lineRule="auto"/>
              <w:jc w:val="center"/>
              <w:rPr>
                <w:rFonts w:hint="eastAsia" w:ascii="宋体" w:hAnsi="宋体" w:cs="宋体"/>
                <w:b/>
                <w:sz w:val="24"/>
              </w:rPr>
            </w:pPr>
            <w:r>
              <w:rPr>
                <w:rFonts w:hint="eastAsia" w:ascii="宋体" w:hAnsi="宋体" w:cs="宋体"/>
                <w:b/>
                <w:sz w:val="24"/>
              </w:rPr>
              <w:t>合计</w:t>
            </w:r>
          </w:p>
        </w:tc>
        <w:tc>
          <w:tcPr>
            <w:tcW w:w="3147" w:type="dxa"/>
            <w:vAlign w:val="center"/>
          </w:tcPr>
          <w:p w14:paraId="5A0FD5A6">
            <w:pPr>
              <w:spacing w:line="360" w:lineRule="auto"/>
              <w:jc w:val="center"/>
              <w:rPr>
                <w:rFonts w:hint="eastAsia" w:ascii="宋体" w:hAnsi="宋体" w:cs="宋体"/>
                <w:b/>
                <w:sz w:val="24"/>
              </w:rPr>
            </w:pPr>
            <w:r>
              <w:rPr>
                <w:rFonts w:hint="eastAsia" w:ascii="宋体" w:hAnsi="宋体" w:cs="宋体"/>
                <w:b/>
                <w:sz w:val="24"/>
              </w:rPr>
              <w:t>备注（如果有）</w:t>
            </w:r>
          </w:p>
        </w:tc>
      </w:tr>
      <w:tr w14:paraId="4CF859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66A722DB">
            <w:pPr>
              <w:widowControl/>
              <w:adjustRightInd/>
              <w:jc w:val="center"/>
              <w:textAlignment w:val="center"/>
              <w:rPr>
                <w:rFonts w:hint="eastAsia" w:ascii="宋体" w:hAnsi="宋体" w:cs="宋体"/>
                <w:color w:val="0000FF"/>
                <w:sz w:val="24"/>
              </w:rPr>
            </w:pPr>
            <w:r>
              <w:rPr>
                <w:rFonts w:hint="eastAsia" w:ascii="宋体" w:hAnsi="宋体" w:cs="宋体"/>
                <w:color w:val="000000"/>
                <w:szCs w:val="21"/>
              </w:rPr>
              <w:t>1</w:t>
            </w:r>
          </w:p>
        </w:tc>
        <w:tc>
          <w:tcPr>
            <w:tcW w:w="1793" w:type="dxa"/>
            <w:vAlign w:val="center"/>
          </w:tcPr>
          <w:p w14:paraId="34F1210C">
            <w:pPr>
              <w:widowControl/>
              <w:adjustRightInd/>
              <w:textAlignment w:val="center"/>
              <w:rPr>
                <w:rFonts w:hint="eastAsia" w:ascii="宋体" w:hAnsi="宋体" w:cs="宋体"/>
                <w:color w:val="000000"/>
                <w:szCs w:val="21"/>
              </w:rPr>
            </w:pPr>
          </w:p>
        </w:tc>
        <w:tc>
          <w:tcPr>
            <w:tcW w:w="1725" w:type="dxa"/>
            <w:vAlign w:val="center"/>
          </w:tcPr>
          <w:p w14:paraId="218D9C02">
            <w:pPr>
              <w:snapToGrid w:val="0"/>
              <w:spacing w:line="360" w:lineRule="auto"/>
              <w:jc w:val="center"/>
              <w:rPr>
                <w:rFonts w:hint="eastAsia" w:ascii="宋体" w:hAnsi="宋体" w:cs="宋体"/>
                <w:color w:val="0000FF"/>
                <w:sz w:val="24"/>
              </w:rPr>
            </w:pPr>
          </w:p>
        </w:tc>
        <w:tc>
          <w:tcPr>
            <w:tcW w:w="2579" w:type="dxa"/>
            <w:vAlign w:val="center"/>
          </w:tcPr>
          <w:p w14:paraId="50A6B99D">
            <w:pPr>
              <w:snapToGrid w:val="0"/>
              <w:spacing w:line="360" w:lineRule="auto"/>
              <w:jc w:val="center"/>
              <w:rPr>
                <w:rFonts w:hint="eastAsia" w:ascii="宋体" w:hAnsi="宋体" w:cs="宋体"/>
                <w:color w:val="0000FF"/>
                <w:sz w:val="24"/>
              </w:rPr>
            </w:pPr>
          </w:p>
        </w:tc>
        <w:tc>
          <w:tcPr>
            <w:tcW w:w="1002" w:type="dxa"/>
            <w:vAlign w:val="center"/>
          </w:tcPr>
          <w:p w14:paraId="272BA16A">
            <w:pPr>
              <w:snapToGrid w:val="0"/>
              <w:spacing w:line="360" w:lineRule="auto"/>
              <w:jc w:val="center"/>
              <w:rPr>
                <w:rFonts w:hint="eastAsia" w:ascii="宋体" w:hAnsi="宋体" w:cs="宋体"/>
                <w:color w:val="0000FF"/>
                <w:sz w:val="24"/>
              </w:rPr>
            </w:pPr>
          </w:p>
        </w:tc>
        <w:tc>
          <w:tcPr>
            <w:tcW w:w="1573" w:type="dxa"/>
            <w:vAlign w:val="center"/>
          </w:tcPr>
          <w:p w14:paraId="4FDC3021">
            <w:pPr>
              <w:spacing w:line="360" w:lineRule="auto"/>
              <w:jc w:val="center"/>
              <w:rPr>
                <w:rFonts w:hint="eastAsia" w:ascii="宋体" w:hAnsi="宋体" w:cs="宋体"/>
                <w:color w:val="0000FF"/>
                <w:sz w:val="24"/>
              </w:rPr>
            </w:pPr>
          </w:p>
        </w:tc>
        <w:tc>
          <w:tcPr>
            <w:tcW w:w="2002" w:type="dxa"/>
            <w:vAlign w:val="center"/>
          </w:tcPr>
          <w:p w14:paraId="4D2F4CE9">
            <w:pPr>
              <w:spacing w:line="360" w:lineRule="auto"/>
              <w:jc w:val="center"/>
              <w:rPr>
                <w:rFonts w:hint="eastAsia" w:ascii="宋体" w:hAnsi="宋体" w:cs="宋体"/>
                <w:color w:val="0000FF"/>
                <w:sz w:val="24"/>
              </w:rPr>
            </w:pPr>
          </w:p>
        </w:tc>
        <w:tc>
          <w:tcPr>
            <w:tcW w:w="3147" w:type="dxa"/>
            <w:vAlign w:val="center"/>
          </w:tcPr>
          <w:p w14:paraId="2AA66834">
            <w:pPr>
              <w:spacing w:line="360" w:lineRule="auto"/>
              <w:jc w:val="center"/>
              <w:rPr>
                <w:rFonts w:hint="eastAsia" w:ascii="宋体" w:hAnsi="宋体" w:cs="宋体"/>
                <w:color w:val="0000FF"/>
                <w:sz w:val="24"/>
              </w:rPr>
            </w:pPr>
          </w:p>
        </w:tc>
      </w:tr>
      <w:tr w14:paraId="0415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876" w:type="dxa"/>
            <w:vAlign w:val="center"/>
          </w:tcPr>
          <w:p w14:paraId="6E8A74F8">
            <w:pPr>
              <w:widowControl/>
              <w:adjustRightInd/>
              <w:jc w:val="center"/>
              <w:textAlignment w:val="center"/>
              <w:rPr>
                <w:rFonts w:hint="eastAsia" w:ascii="宋体" w:hAnsi="宋体" w:cs="宋体"/>
                <w:color w:val="0000FF"/>
                <w:sz w:val="24"/>
              </w:rPr>
            </w:pPr>
            <w:r>
              <w:rPr>
                <w:rFonts w:hint="eastAsia" w:ascii="宋体" w:hAnsi="宋体" w:cs="宋体"/>
                <w:color w:val="000000"/>
                <w:szCs w:val="21"/>
              </w:rPr>
              <w:t>2</w:t>
            </w:r>
          </w:p>
        </w:tc>
        <w:tc>
          <w:tcPr>
            <w:tcW w:w="1793" w:type="dxa"/>
            <w:vAlign w:val="center"/>
          </w:tcPr>
          <w:p w14:paraId="50B642E8">
            <w:pPr>
              <w:widowControl/>
              <w:adjustRightInd/>
              <w:textAlignment w:val="center"/>
              <w:rPr>
                <w:rFonts w:hint="eastAsia" w:ascii="宋体" w:hAnsi="宋体" w:cs="宋体"/>
                <w:color w:val="000000"/>
                <w:szCs w:val="21"/>
              </w:rPr>
            </w:pPr>
          </w:p>
        </w:tc>
        <w:tc>
          <w:tcPr>
            <w:tcW w:w="1725" w:type="dxa"/>
            <w:vAlign w:val="center"/>
          </w:tcPr>
          <w:p w14:paraId="7B319F03">
            <w:pPr>
              <w:snapToGrid w:val="0"/>
              <w:spacing w:line="360" w:lineRule="auto"/>
              <w:jc w:val="center"/>
              <w:rPr>
                <w:rFonts w:hint="eastAsia" w:ascii="宋体" w:hAnsi="宋体" w:cs="宋体"/>
                <w:color w:val="0000FF"/>
                <w:sz w:val="24"/>
              </w:rPr>
            </w:pPr>
          </w:p>
        </w:tc>
        <w:tc>
          <w:tcPr>
            <w:tcW w:w="2579" w:type="dxa"/>
            <w:vAlign w:val="center"/>
          </w:tcPr>
          <w:p w14:paraId="39AE2309">
            <w:pPr>
              <w:snapToGrid w:val="0"/>
              <w:spacing w:line="360" w:lineRule="auto"/>
              <w:jc w:val="center"/>
              <w:rPr>
                <w:rFonts w:hint="eastAsia" w:ascii="宋体" w:hAnsi="宋体" w:cs="宋体"/>
                <w:color w:val="0000FF"/>
                <w:sz w:val="24"/>
              </w:rPr>
            </w:pPr>
          </w:p>
        </w:tc>
        <w:tc>
          <w:tcPr>
            <w:tcW w:w="1002" w:type="dxa"/>
            <w:vAlign w:val="center"/>
          </w:tcPr>
          <w:p w14:paraId="6882EE4D">
            <w:pPr>
              <w:snapToGrid w:val="0"/>
              <w:spacing w:line="360" w:lineRule="auto"/>
              <w:jc w:val="center"/>
              <w:rPr>
                <w:rFonts w:hint="eastAsia" w:ascii="宋体" w:hAnsi="宋体" w:cs="宋体"/>
                <w:color w:val="0000FF"/>
                <w:sz w:val="24"/>
              </w:rPr>
            </w:pPr>
          </w:p>
        </w:tc>
        <w:tc>
          <w:tcPr>
            <w:tcW w:w="1573" w:type="dxa"/>
            <w:vAlign w:val="center"/>
          </w:tcPr>
          <w:p w14:paraId="01FCFE9B">
            <w:pPr>
              <w:spacing w:line="360" w:lineRule="auto"/>
              <w:jc w:val="center"/>
              <w:rPr>
                <w:rFonts w:hint="eastAsia" w:ascii="宋体" w:hAnsi="宋体" w:cs="宋体"/>
                <w:color w:val="0000FF"/>
                <w:sz w:val="24"/>
              </w:rPr>
            </w:pPr>
          </w:p>
        </w:tc>
        <w:tc>
          <w:tcPr>
            <w:tcW w:w="2002" w:type="dxa"/>
            <w:vAlign w:val="center"/>
          </w:tcPr>
          <w:p w14:paraId="61C032BC">
            <w:pPr>
              <w:spacing w:line="360" w:lineRule="auto"/>
              <w:jc w:val="center"/>
              <w:rPr>
                <w:rFonts w:hint="eastAsia" w:ascii="宋体" w:hAnsi="宋体" w:cs="宋体"/>
                <w:color w:val="0000FF"/>
                <w:sz w:val="24"/>
              </w:rPr>
            </w:pPr>
          </w:p>
        </w:tc>
        <w:tc>
          <w:tcPr>
            <w:tcW w:w="3147" w:type="dxa"/>
            <w:vAlign w:val="center"/>
          </w:tcPr>
          <w:p w14:paraId="25673982">
            <w:pPr>
              <w:spacing w:line="360" w:lineRule="auto"/>
              <w:jc w:val="center"/>
              <w:rPr>
                <w:rFonts w:hint="eastAsia" w:ascii="宋体" w:hAnsi="宋体" w:cs="宋体"/>
                <w:color w:val="0000FF"/>
                <w:sz w:val="24"/>
              </w:rPr>
            </w:pPr>
          </w:p>
        </w:tc>
      </w:tr>
      <w:tr w14:paraId="3CDE07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7" w:hRule="atLeast"/>
        </w:trPr>
        <w:tc>
          <w:tcPr>
            <w:tcW w:w="6973" w:type="dxa"/>
            <w:gridSpan w:val="4"/>
            <w:vAlign w:val="center"/>
          </w:tcPr>
          <w:p w14:paraId="57545BFC">
            <w:pPr>
              <w:spacing w:line="360" w:lineRule="auto"/>
              <w:jc w:val="center"/>
              <w:rPr>
                <w:rFonts w:hint="eastAsia" w:ascii="宋体" w:hAnsi="宋体" w:cs="宋体"/>
                <w:b/>
                <w:sz w:val="24"/>
              </w:rPr>
            </w:pPr>
            <w:r>
              <w:rPr>
                <w:rFonts w:hint="eastAsia" w:ascii="宋体" w:hAnsi="宋体" w:cs="宋体"/>
                <w:b/>
                <w:sz w:val="24"/>
              </w:rPr>
              <w:t>投标报价（小写）</w:t>
            </w:r>
          </w:p>
        </w:tc>
        <w:tc>
          <w:tcPr>
            <w:tcW w:w="7724" w:type="dxa"/>
            <w:gridSpan w:val="4"/>
            <w:vAlign w:val="center"/>
          </w:tcPr>
          <w:p w14:paraId="5A59AA10">
            <w:pPr>
              <w:spacing w:line="360" w:lineRule="auto"/>
              <w:jc w:val="center"/>
              <w:rPr>
                <w:rFonts w:hint="eastAsia" w:ascii="宋体" w:hAnsi="宋体" w:cs="宋体"/>
                <w:sz w:val="24"/>
              </w:rPr>
            </w:pPr>
          </w:p>
        </w:tc>
      </w:tr>
      <w:tr w14:paraId="304BCC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trPr>
        <w:tc>
          <w:tcPr>
            <w:tcW w:w="6973" w:type="dxa"/>
            <w:gridSpan w:val="4"/>
            <w:vAlign w:val="center"/>
          </w:tcPr>
          <w:p w14:paraId="2CD82AFF">
            <w:pPr>
              <w:spacing w:line="360" w:lineRule="auto"/>
              <w:jc w:val="center"/>
              <w:rPr>
                <w:rFonts w:hint="eastAsia" w:ascii="宋体" w:hAnsi="宋体" w:cs="宋体"/>
                <w:b/>
                <w:sz w:val="24"/>
              </w:rPr>
            </w:pPr>
            <w:r>
              <w:rPr>
                <w:rFonts w:hint="eastAsia" w:ascii="宋体" w:hAnsi="宋体" w:cs="宋体"/>
                <w:b/>
                <w:sz w:val="24"/>
              </w:rPr>
              <w:t>投标报价（大写）</w:t>
            </w:r>
          </w:p>
        </w:tc>
        <w:tc>
          <w:tcPr>
            <w:tcW w:w="7724" w:type="dxa"/>
            <w:gridSpan w:val="4"/>
            <w:vAlign w:val="center"/>
          </w:tcPr>
          <w:p w14:paraId="7BF63B3F">
            <w:pPr>
              <w:spacing w:line="360" w:lineRule="auto"/>
              <w:jc w:val="center"/>
              <w:rPr>
                <w:rFonts w:hint="eastAsia" w:ascii="宋体" w:hAnsi="宋体" w:cs="宋体"/>
                <w:sz w:val="24"/>
              </w:rPr>
            </w:pPr>
          </w:p>
        </w:tc>
      </w:tr>
    </w:tbl>
    <w:p w14:paraId="66E1268E">
      <w:pPr>
        <w:snapToGrid w:val="0"/>
        <w:spacing w:line="360" w:lineRule="auto"/>
        <w:ind w:left="480"/>
        <w:rPr>
          <w:rFonts w:hint="eastAsia" w:ascii="宋体" w:hAnsi="宋体" w:cs="宋体"/>
          <w:b/>
          <w:kern w:val="0"/>
          <w:sz w:val="24"/>
          <w:lang w:val="zh-CN"/>
        </w:rPr>
      </w:pPr>
      <w:r>
        <w:rPr>
          <w:rFonts w:hint="eastAsia" w:ascii="宋体" w:hAnsi="宋体" w:cs="宋体"/>
          <w:b/>
          <w:kern w:val="0"/>
          <w:sz w:val="24"/>
          <w:lang w:val="zh-CN"/>
        </w:rPr>
        <w:t>注：</w:t>
      </w:r>
    </w:p>
    <w:p w14:paraId="66910920">
      <w:pPr>
        <w:spacing w:line="400" w:lineRule="exact"/>
        <w:ind w:firstLine="480" w:firstLineChars="200"/>
        <w:rPr>
          <w:rFonts w:hint="eastAsia" w:ascii="宋体" w:hAnsi="宋体" w:cs="宋体"/>
          <w:kern w:val="0"/>
          <w:sz w:val="24"/>
          <w:lang w:val="zh-CN"/>
        </w:rPr>
      </w:pPr>
      <w:r>
        <w:rPr>
          <w:rFonts w:hint="eastAsia" w:ascii="宋体" w:hAnsi="宋体" w:cs="宋体"/>
          <w:kern w:val="0"/>
          <w:sz w:val="24"/>
          <w:lang w:val="zh-CN"/>
        </w:rPr>
        <w:t>1、投标人需按本表格式填写</w:t>
      </w:r>
      <w:r>
        <w:rPr>
          <w:rFonts w:hint="eastAsia" w:ascii="宋体" w:hAnsi="宋体" w:cs="宋体"/>
          <w:b/>
          <w:kern w:val="0"/>
          <w:sz w:val="24"/>
          <w:lang w:val="zh-CN"/>
        </w:rPr>
        <w:t>，</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kern w:val="0"/>
          <w:sz w:val="24"/>
          <w:lang w:val="zh-CN"/>
        </w:rPr>
        <w:t>。</w:t>
      </w:r>
    </w:p>
    <w:p w14:paraId="6517EDE9">
      <w:pPr>
        <w:spacing w:line="400" w:lineRule="exact"/>
        <w:ind w:firstLine="480" w:firstLineChars="200"/>
        <w:rPr>
          <w:rFonts w:hint="eastAsia" w:ascii="宋体" w:hAnsi="宋体" w:cs="宋体"/>
          <w:kern w:val="0"/>
          <w:sz w:val="24"/>
        </w:rPr>
      </w:pPr>
      <w:r>
        <w:rPr>
          <w:rFonts w:hint="eastAsia" w:ascii="宋体" w:hAnsi="宋体" w:cs="宋体"/>
          <w:kern w:val="0"/>
          <w:sz w:val="24"/>
          <w:lang w:val="zh-CN"/>
        </w:rPr>
        <w:t>2、有关本项目实施所涉及的一切费用均计入报价。</w:t>
      </w:r>
      <w:r>
        <w:rPr>
          <w:rFonts w:hint="eastAsia" w:ascii="宋体" w:hAnsi="宋体" w:cs="宋体"/>
          <w:b/>
          <w:kern w:val="0"/>
          <w:sz w:val="24"/>
          <w:lang w:val="zh-CN"/>
        </w:rPr>
        <w:t>采购人将以合同形式有偿取得货物或服务，不接受投标人给予的赠品、回扣或者与采购无关的其他商品、服务</w:t>
      </w:r>
      <w:r>
        <w:rPr>
          <w:rFonts w:hint="eastAsia" w:ascii="宋体" w:hAnsi="宋体" w:cs="宋体"/>
          <w:kern w:val="0"/>
          <w:sz w:val="24"/>
          <w:lang w:val="zh-CN"/>
        </w:rPr>
        <w:t>，</w:t>
      </w:r>
      <w:r>
        <w:rPr>
          <w:rFonts w:hint="eastAsia" w:ascii="宋体" w:hAnsi="宋体" w:cs="宋体"/>
          <w:b/>
          <w:kern w:val="0"/>
          <w:sz w:val="24"/>
          <w:lang w:val="zh-CN"/>
        </w:rPr>
        <w:t>不得出现“0元”“免费赠送”等形式的无偿报价，</w:t>
      </w:r>
      <w:r>
        <w:rPr>
          <w:rFonts w:hint="eastAsia" w:ascii="宋体" w:hAnsi="宋体" w:cs="宋体"/>
          <w:b/>
          <w:kern w:val="0"/>
          <w:sz w:val="24"/>
        </w:rPr>
        <w:t>否则视为</w:t>
      </w:r>
      <w:r>
        <w:rPr>
          <w:rFonts w:hint="eastAsia" w:ascii="宋体" w:hAnsi="宋体" w:cs="宋体"/>
          <w:b/>
          <w:sz w:val="24"/>
        </w:rPr>
        <w:t>投标文件含有采购人不能接受的附加条件，投标无效</w:t>
      </w:r>
      <w:r>
        <w:rPr>
          <w:rFonts w:hint="eastAsia" w:ascii="宋体" w:hAnsi="宋体" w:cs="宋体"/>
          <w:b/>
          <w:kern w:val="0"/>
          <w:sz w:val="24"/>
          <w:lang w:val="zh-CN"/>
        </w:rPr>
        <w:t>；采购内容未包含在《开标一览表（报价表）》名称栏中，投标人不能作出合理解释的，</w:t>
      </w:r>
      <w:r>
        <w:rPr>
          <w:rFonts w:hint="eastAsia" w:ascii="宋体" w:hAnsi="宋体" w:cs="宋体"/>
          <w:b/>
          <w:kern w:val="0"/>
          <w:sz w:val="24"/>
        </w:rPr>
        <w:t>视为</w:t>
      </w:r>
      <w:r>
        <w:rPr>
          <w:rFonts w:hint="eastAsia" w:ascii="宋体" w:hAnsi="宋体" w:cs="宋体"/>
          <w:b/>
          <w:sz w:val="24"/>
        </w:rPr>
        <w:t>投标文件含有采购人不能接受的附加条件的，投标无效。</w:t>
      </w:r>
    </w:p>
    <w:p w14:paraId="620EE2F4">
      <w:pPr>
        <w:snapToGrid w:val="0"/>
        <w:spacing w:line="400" w:lineRule="exact"/>
        <w:ind w:firstLine="480" w:firstLineChars="200"/>
        <w:jc w:val="left"/>
        <w:rPr>
          <w:rFonts w:hint="eastAsia" w:ascii="宋体" w:hAnsi="宋体" w:cs="宋体"/>
          <w:kern w:val="0"/>
          <w:sz w:val="24"/>
          <w:lang w:val="zh-CN"/>
        </w:rPr>
      </w:pPr>
      <w:r>
        <w:rPr>
          <w:rFonts w:hint="eastAsia" w:ascii="宋体" w:hAnsi="宋体" w:cs="宋体"/>
          <w:kern w:val="0"/>
          <w:sz w:val="24"/>
          <w:lang w:val="zh-CN"/>
        </w:rPr>
        <w:t>3、特别提示：采购代理机构将对项目名称和项目编号，中标供应商名称、地址和中标金额，主要中标标的名称、品牌（如果有）、规格型号、数量、单价等予以公示。</w:t>
      </w:r>
    </w:p>
    <w:p w14:paraId="70258646">
      <w:pPr>
        <w:snapToGrid w:val="0"/>
        <w:spacing w:line="400" w:lineRule="exact"/>
        <w:ind w:firstLine="480" w:firstLineChars="200"/>
        <w:jc w:val="left"/>
        <w:rPr>
          <w:rFonts w:hint="eastAsia" w:ascii="宋体" w:hAnsi="宋体" w:cs="宋体"/>
          <w:color w:val="FF0000"/>
          <w:kern w:val="0"/>
          <w:sz w:val="24"/>
          <w:lang w:val="zh-CN"/>
        </w:rPr>
      </w:pPr>
      <w:r>
        <w:rPr>
          <w:rFonts w:ascii="宋体" w:hAnsi="宋体" w:cs="宋体"/>
          <w:color w:val="FF0000"/>
          <w:kern w:val="0"/>
          <w:sz w:val="24"/>
          <w:szCs w:val="22"/>
          <w:lang w:val="zh-CN"/>
        </w:rPr>
        <w:t>4</w:t>
      </w:r>
      <w:r>
        <w:rPr>
          <w:rFonts w:hint="eastAsia" w:ascii="宋体" w:hAnsi="宋体" w:cs="宋体"/>
          <w:color w:val="FF0000"/>
          <w:kern w:val="0"/>
          <w:sz w:val="24"/>
          <w:szCs w:val="22"/>
          <w:lang w:val="zh-CN"/>
        </w:rPr>
        <w:t>、</w:t>
      </w:r>
      <w:r>
        <w:rPr>
          <w:rFonts w:hint="eastAsia" w:ascii="宋体" w:hAnsi="宋体" w:cs="宋体"/>
          <w:color w:val="FF0000"/>
          <w:kern w:val="0"/>
          <w:sz w:val="24"/>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6C6EC2D8">
      <w:pPr>
        <w:pStyle w:val="693"/>
        <w:keepNext w:val="0"/>
        <w:pageBreakBefore w:val="0"/>
        <w:tabs>
          <w:tab w:val="clear" w:pos="720"/>
        </w:tabs>
        <w:snapToGrid w:val="0"/>
        <w:spacing w:line="400" w:lineRule="exact"/>
        <w:ind w:firstLine="643"/>
        <w:outlineLvl w:val="9"/>
        <w:rPr>
          <w:rFonts w:hint="eastAsia" w:ascii="宋体" w:hAnsi="宋体" w:eastAsia="宋体" w:cs="宋体"/>
          <w:kern w:val="2"/>
          <w:sz w:val="32"/>
          <w:szCs w:val="32"/>
        </w:rPr>
        <w:sectPr>
          <w:headerReference r:id="rId18" w:type="first"/>
          <w:footerReference r:id="rId20" w:type="first"/>
          <w:headerReference r:id="rId17" w:type="default"/>
          <w:footerReference r:id="rId19" w:type="default"/>
          <w:pgSz w:w="16838" w:h="11906" w:orient="landscape"/>
          <w:pgMar w:top="1417" w:right="1440" w:bottom="1417" w:left="1440" w:header="851" w:footer="992" w:gutter="0"/>
          <w:cols w:space="0" w:num="1"/>
          <w:titlePg/>
          <w:docGrid w:linePitch="312" w:charSpace="0"/>
        </w:sectPr>
      </w:pPr>
    </w:p>
    <w:p w14:paraId="2B774DFA">
      <w:pPr>
        <w:pStyle w:val="693"/>
        <w:keepNext w:val="0"/>
        <w:pageBreakBefore w:val="0"/>
        <w:tabs>
          <w:tab w:val="clear" w:pos="720"/>
        </w:tabs>
        <w:snapToGrid w:val="0"/>
        <w:spacing w:before="120" w:after="120"/>
        <w:ind w:firstLine="643"/>
        <w:outlineLvl w:val="9"/>
        <w:rPr>
          <w:rFonts w:hint="eastAsia" w:ascii="宋体" w:hAnsi="宋体" w:eastAsia="宋体" w:cs="宋体"/>
          <w:sz w:val="32"/>
          <w:szCs w:val="32"/>
        </w:rPr>
      </w:pPr>
      <w:r>
        <w:rPr>
          <w:rFonts w:hint="eastAsia" w:ascii="宋体" w:hAnsi="宋体" w:eastAsia="宋体" w:cs="宋体"/>
          <w:kern w:val="2"/>
          <w:sz w:val="32"/>
          <w:szCs w:val="32"/>
        </w:rPr>
        <w:t>二、</w:t>
      </w:r>
      <w:r>
        <w:rPr>
          <w:rFonts w:hint="eastAsia" w:ascii="宋体" w:hAnsi="宋体" w:eastAsia="宋体" w:cs="宋体"/>
          <w:sz w:val="32"/>
          <w:szCs w:val="32"/>
        </w:rPr>
        <w:t>中小企业声明函</w:t>
      </w:r>
    </w:p>
    <w:p w14:paraId="1AF72E9D">
      <w:pPr>
        <w:widowControl/>
        <w:spacing w:line="360" w:lineRule="auto"/>
        <w:ind w:firstLine="120" w:firstLineChars="50"/>
        <w:jc w:val="left"/>
        <w:rPr>
          <w:rFonts w:hint="eastAsia" w:ascii="宋体" w:hAnsi="宋体" w:cs="宋体"/>
          <w:b/>
          <w:sz w:val="24"/>
        </w:rPr>
      </w:pPr>
      <w:r>
        <w:rPr>
          <w:rFonts w:hint="eastAsia" w:ascii="宋体" w:hAnsi="宋体" w:cs="宋体"/>
          <w:b/>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5）。]</w:t>
      </w:r>
    </w:p>
    <w:p w14:paraId="17C3F8C1">
      <w:pPr>
        <w:tabs>
          <w:tab w:val="left" w:pos="8085"/>
        </w:tabs>
        <w:spacing w:line="360" w:lineRule="auto"/>
        <w:ind w:firstLine="1285" w:firstLineChars="400"/>
        <w:jc w:val="left"/>
        <w:rPr>
          <w:rFonts w:hint="eastAsia" w:ascii="宋体" w:hAnsi="宋体" w:cs="宋体"/>
          <w:b/>
          <w:sz w:val="32"/>
          <w:szCs w:val="32"/>
        </w:rPr>
      </w:pPr>
    </w:p>
    <w:p w14:paraId="542AD509">
      <w:pPr>
        <w:tabs>
          <w:tab w:val="left" w:pos="8085"/>
        </w:tabs>
        <w:spacing w:line="360" w:lineRule="auto"/>
        <w:ind w:firstLine="1285" w:firstLineChars="400"/>
        <w:jc w:val="left"/>
        <w:rPr>
          <w:rFonts w:hint="eastAsia" w:ascii="宋体" w:hAnsi="宋体" w:cs="宋体"/>
          <w:b/>
          <w:sz w:val="32"/>
          <w:szCs w:val="32"/>
        </w:rPr>
      </w:pPr>
    </w:p>
    <w:p w14:paraId="0A3B9AB5">
      <w:pPr>
        <w:tabs>
          <w:tab w:val="left" w:pos="8085"/>
        </w:tabs>
        <w:spacing w:line="360" w:lineRule="auto"/>
        <w:ind w:firstLine="1285" w:firstLineChars="400"/>
        <w:jc w:val="left"/>
        <w:rPr>
          <w:rFonts w:hint="eastAsia" w:ascii="宋体" w:hAnsi="宋体" w:cs="宋体"/>
          <w:b/>
          <w:sz w:val="32"/>
          <w:szCs w:val="32"/>
        </w:rPr>
      </w:pPr>
    </w:p>
    <w:p w14:paraId="2BAABC77">
      <w:pPr>
        <w:tabs>
          <w:tab w:val="left" w:pos="8085"/>
        </w:tabs>
        <w:spacing w:line="360" w:lineRule="auto"/>
        <w:ind w:firstLine="1285" w:firstLineChars="400"/>
        <w:jc w:val="left"/>
        <w:rPr>
          <w:rFonts w:hint="eastAsia" w:ascii="宋体" w:hAnsi="宋体" w:cs="宋体"/>
          <w:b/>
          <w:sz w:val="32"/>
          <w:szCs w:val="32"/>
        </w:rPr>
      </w:pPr>
    </w:p>
    <w:p w14:paraId="500CE93C">
      <w:pPr>
        <w:tabs>
          <w:tab w:val="left" w:pos="8085"/>
        </w:tabs>
        <w:spacing w:line="360" w:lineRule="auto"/>
        <w:ind w:firstLine="1285" w:firstLineChars="400"/>
        <w:jc w:val="left"/>
        <w:rPr>
          <w:rFonts w:hint="eastAsia" w:ascii="宋体" w:hAnsi="宋体" w:cs="宋体"/>
          <w:b/>
          <w:sz w:val="32"/>
          <w:szCs w:val="32"/>
        </w:rPr>
      </w:pPr>
    </w:p>
    <w:p w14:paraId="1A5C91FE">
      <w:pPr>
        <w:tabs>
          <w:tab w:val="left" w:pos="8085"/>
        </w:tabs>
        <w:spacing w:line="360" w:lineRule="auto"/>
        <w:ind w:firstLine="1285" w:firstLineChars="400"/>
        <w:jc w:val="left"/>
        <w:rPr>
          <w:rFonts w:hint="eastAsia" w:ascii="宋体" w:hAnsi="宋体" w:cs="宋体"/>
          <w:b/>
          <w:sz w:val="32"/>
          <w:szCs w:val="32"/>
        </w:rPr>
      </w:pPr>
    </w:p>
    <w:p w14:paraId="6C598607">
      <w:pPr>
        <w:tabs>
          <w:tab w:val="left" w:pos="8085"/>
        </w:tabs>
        <w:spacing w:line="360" w:lineRule="auto"/>
        <w:ind w:firstLine="1285" w:firstLineChars="400"/>
        <w:jc w:val="left"/>
        <w:rPr>
          <w:rFonts w:hint="eastAsia" w:ascii="宋体" w:hAnsi="宋体" w:cs="宋体"/>
          <w:b/>
          <w:sz w:val="32"/>
          <w:szCs w:val="32"/>
        </w:rPr>
      </w:pPr>
    </w:p>
    <w:p w14:paraId="4177A2B2">
      <w:pPr>
        <w:tabs>
          <w:tab w:val="left" w:pos="8085"/>
        </w:tabs>
        <w:spacing w:line="360" w:lineRule="auto"/>
        <w:ind w:firstLine="1285" w:firstLineChars="400"/>
        <w:jc w:val="left"/>
        <w:rPr>
          <w:rFonts w:hint="eastAsia" w:ascii="宋体" w:hAnsi="宋体" w:cs="宋体"/>
          <w:b/>
          <w:sz w:val="32"/>
          <w:szCs w:val="32"/>
        </w:rPr>
      </w:pPr>
    </w:p>
    <w:p w14:paraId="25A94CB9">
      <w:pPr>
        <w:tabs>
          <w:tab w:val="left" w:pos="8085"/>
        </w:tabs>
        <w:spacing w:line="360" w:lineRule="auto"/>
        <w:ind w:firstLine="1285" w:firstLineChars="400"/>
        <w:jc w:val="left"/>
        <w:rPr>
          <w:rFonts w:hint="eastAsia" w:ascii="宋体" w:hAnsi="宋体" w:cs="宋体"/>
          <w:b/>
          <w:sz w:val="32"/>
          <w:szCs w:val="32"/>
        </w:rPr>
      </w:pPr>
    </w:p>
    <w:p w14:paraId="6AF128AD">
      <w:pPr>
        <w:tabs>
          <w:tab w:val="left" w:pos="8085"/>
        </w:tabs>
        <w:spacing w:line="360" w:lineRule="auto"/>
        <w:ind w:firstLine="1285" w:firstLineChars="400"/>
        <w:jc w:val="left"/>
        <w:rPr>
          <w:rFonts w:hint="eastAsia" w:ascii="宋体" w:hAnsi="宋体" w:cs="宋体"/>
          <w:b/>
          <w:sz w:val="32"/>
          <w:szCs w:val="32"/>
        </w:rPr>
      </w:pPr>
    </w:p>
    <w:p w14:paraId="40B25C06">
      <w:pPr>
        <w:tabs>
          <w:tab w:val="left" w:pos="8085"/>
        </w:tabs>
        <w:spacing w:line="360" w:lineRule="auto"/>
        <w:ind w:firstLine="1285" w:firstLineChars="400"/>
        <w:jc w:val="left"/>
        <w:rPr>
          <w:rFonts w:hint="eastAsia" w:ascii="宋体" w:hAnsi="宋体" w:cs="宋体"/>
          <w:b/>
          <w:sz w:val="32"/>
          <w:szCs w:val="32"/>
        </w:rPr>
      </w:pPr>
    </w:p>
    <w:p w14:paraId="158130AB">
      <w:pPr>
        <w:tabs>
          <w:tab w:val="left" w:pos="8085"/>
        </w:tabs>
        <w:spacing w:line="360" w:lineRule="auto"/>
        <w:ind w:firstLine="1285" w:firstLineChars="400"/>
        <w:jc w:val="left"/>
        <w:rPr>
          <w:rFonts w:hint="eastAsia" w:ascii="宋体" w:hAnsi="宋体" w:cs="宋体"/>
          <w:b/>
          <w:sz w:val="32"/>
          <w:szCs w:val="32"/>
        </w:rPr>
      </w:pPr>
    </w:p>
    <w:p w14:paraId="1834C579">
      <w:pPr>
        <w:tabs>
          <w:tab w:val="left" w:pos="8085"/>
        </w:tabs>
        <w:spacing w:line="360" w:lineRule="auto"/>
        <w:ind w:firstLine="1285" w:firstLineChars="400"/>
        <w:jc w:val="left"/>
        <w:rPr>
          <w:rFonts w:hint="eastAsia" w:ascii="宋体" w:hAnsi="宋体" w:cs="宋体"/>
          <w:b/>
          <w:sz w:val="32"/>
          <w:szCs w:val="32"/>
        </w:rPr>
      </w:pPr>
    </w:p>
    <w:p w14:paraId="3B887305">
      <w:pPr>
        <w:tabs>
          <w:tab w:val="left" w:pos="8085"/>
        </w:tabs>
        <w:spacing w:line="360" w:lineRule="auto"/>
        <w:ind w:firstLine="1285" w:firstLineChars="400"/>
        <w:jc w:val="left"/>
        <w:rPr>
          <w:rFonts w:hint="eastAsia" w:ascii="宋体" w:hAnsi="宋体" w:cs="宋体"/>
          <w:b/>
          <w:sz w:val="32"/>
          <w:szCs w:val="32"/>
        </w:rPr>
      </w:pPr>
    </w:p>
    <w:p w14:paraId="7CB16C44">
      <w:pPr>
        <w:tabs>
          <w:tab w:val="left" w:pos="8085"/>
        </w:tabs>
        <w:spacing w:line="360" w:lineRule="auto"/>
        <w:ind w:firstLine="1285" w:firstLineChars="400"/>
        <w:jc w:val="left"/>
        <w:rPr>
          <w:rFonts w:hint="eastAsia" w:ascii="宋体" w:hAnsi="宋体" w:cs="宋体"/>
          <w:b/>
          <w:sz w:val="32"/>
          <w:szCs w:val="32"/>
        </w:rPr>
      </w:pPr>
    </w:p>
    <w:p w14:paraId="3D936AA8">
      <w:pPr>
        <w:tabs>
          <w:tab w:val="left" w:pos="8085"/>
        </w:tabs>
        <w:spacing w:line="360" w:lineRule="auto"/>
        <w:ind w:firstLine="1285" w:firstLineChars="400"/>
        <w:jc w:val="left"/>
        <w:rPr>
          <w:rFonts w:hint="eastAsia" w:ascii="宋体" w:hAnsi="宋体" w:cs="宋体"/>
          <w:b/>
          <w:sz w:val="32"/>
          <w:szCs w:val="32"/>
        </w:rPr>
      </w:pPr>
    </w:p>
    <w:p w14:paraId="5B6F95E8">
      <w:pPr>
        <w:tabs>
          <w:tab w:val="left" w:pos="8085"/>
        </w:tabs>
        <w:spacing w:line="360" w:lineRule="auto"/>
        <w:ind w:firstLine="1285" w:firstLineChars="400"/>
        <w:jc w:val="left"/>
        <w:rPr>
          <w:rFonts w:hint="eastAsia" w:ascii="宋体" w:hAnsi="宋体" w:cs="宋体"/>
          <w:b/>
          <w:sz w:val="32"/>
          <w:szCs w:val="32"/>
        </w:rPr>
      </w:pPr>
    </w:p>
    <w:p w14:paraId="62D6CE2E">
      <w:pPr>
        <w:tabs>
          <w:tab w:val="left" w:pos="8085"/>
        </w:tabs>
        <w:spacing w:line="360" w:lineRule="auto"/>
        <w:ind w:firstLine="1285" w:firstLineChars="400"/>
        <w:jc w:val="left"/>
        <w:rPr>
          <w:rFonts w:hint="eastAsia" w:ascii="宋体" w:hAnsi="宋体" w:cs="宋体"/>
          <w:b/>
          <w:sz w:val="32"/>
          <w:szCs w:val="32"/>
        </w:rPr>
      </w:pPr>
    </w:p>
    <w:p w14:paraId="65B09FF0">
      <w:pPr>
        <w:tabs>
          <w:tab w:val="left" w:pos="8085"/>
        </w:tabs>
        <w:spacing w:line="360" w:lineRule="auto"/>
        <w:ind w:firstLine="1285" w:firstLineChars="400"/>
        <w:jc w:val="left"/>
        <w:rPr>
          <w:rFonts w:hint="eastAsia" w:ascii="宋体" w:hAnsi="宋体" w:cs="宋体"/>
          <w:b/>
          <w:sz w:val="32"/>
          <w:szCs w:val="32"/>
        </w:rPr>
      </w:pPr>
    </w:p>
    <w:p w14:paraId="43F4A33D">
      <w:pPr>
        <w:tabs>
          <w:tab w:val="left" w:pos="8085"/>
        </w:tabs>
        <w:spacing w:line="360" w:lineRule="auto"/>
        <w:ind w:firstLine="1285" w:firstLineChars="400"/>
        <w:jc w:val="left"/>
        <w:rPr>
          <w:rFonts w:hint="eastAsia" w:ascii="宋体" w:hAnsi="宋体" w:cs="宋体"/>
          <w:b/>
          <w:sz w:val="32"/>
          <w:szCs w:val="32"/>
        </w:rPr>
      </w:pPr>
      <w:r>
        <w:rPr>
          <w:rFonts w:hint="eastAsia" w:ascii="宋体" w:hAnsi="宋体" w:cs="宋体"/>
          <w:b/>
          <w:sz w:val="32"/>
          <w:szCs w:val="32"/>
        </w:rPr>
        <w:t>政府采购支持中小企业信用融资相关事项通知</w:t>
      </w:r>
    </w:p>
    <w:p w14:paraId="1B2727F7">
      <w:pPr>
        <w:spacing w:line="360" w:lineRule="auto"/>
        <w:ind w:firstLine="480" w:firstLineChars="200"/>
        <w:rPr>
          <w:rFonts w:hint="eastAsia" w:ascii="宋体" w:hAnsi="宋体" w:cs="宋体"/>
          <w:kern w:val="0"/>
          <w:sz w:val="24"/>
          <w:lang w:val="zh-CN"/>
        </w:rPr>
      </w:pPr>
      <w:r>
        <w:rPr>
          <w:rFonts w:hint="eastAsia" w:ascii="宋体" w:hAnsi="宋体" w:cs="宋体"/>
          <w:kern w:val="0"/>
          <w:sz w:val="24"/>
          <w:lang w:val="zh-CN"/>
        </w:rPr>
        <w:t>为贯彻落实中央、省、市关于支持民营经济健康发展有关精神，发挥政府采购在促进中小企业发展中的政策引导作用，缓解中小企业融资难、融资贵问题，杭州市财政局、</w:t>
      </w:r>
    </w:p>
    <w:p w14:paraId="4834E92D">
      <w:pPr>
        <w:spacing w:line="360" w:lineRule="auto"/>
        <w:rPr>
          <w:rFonts w:hint="eastAsia" w:ascii="宋体" w:hAnsi="宋体" w:cs="宋体"/>
          <w:kern w:val="0"/>
          <w:sz w:val="24"/>
          <w:lang w:val="zh-CN"/>
        </w:rPr>
      </w:pPr>
      <w:r>
        <w:rPr>
          <w:rFonts w:hint="eastAsia" w:ascii="宋体" w:hAnsi="宋体" w:cs="宋体"/>
          <w:kern w:val="0"/>
          <w:sz w:val="24"/>
          <w:lang w:val="zh-CN"/>
        </w:rPr>
        <w:t>中国银保监会浙江监管局、杭州市地方金融监督管理局、杭州市经济和信息化局制定《杭州市政府采购支持中小企业信用融资管理办法》。相关事项通知如下：</w:t>
      </w:r>
    </w:p>
    <w:p w14:paraId="30E230E6">
      <w:pPr>
        <w:spacing w:line="360" w:lineRule="auto"/>
        <w:ind w:firstLine="482" w:firstLineChars="200"/>
        <w:rPr>
          <w:rFonts w:hint="eastAsia" w:ascii="宋体" w:hAnsi="宋体" w:cs="宋体"/>
          <w:b/>
          <w:sz w:val="24"/>
        </w:rPr>
      </w:pPr>
      <w:r>
        <w:rPr>
          <w:rFonts w:hint="eastAsia" w:ascii="宋体" w:hAnsi="宋体" w:cs="宋体"/>
          <w:b/>
          <w:sz w:val="24"/>
        </w:rPr>
        <w:t>一、适用对象</w:t>
      </w:r>
    </w:p>
    <w:p w14:paraId="707AC151">
      <w:pPr>
        <w:spacing w:line="360" w:lineRule="auto"/>
        <w:ind w:firstLine="480" w:firstLineChars="200"/>
        <w:rPr>
          <w:rFonts w:hint="eastAsia" w:ascii="宋体" w:hAnsi="宋体" w:cs="宋体"/>
          <w:sz w:val="24"/>
        </w:rPr>
      </w:pPr>
      <w:r>
        <w:rPr>
          <w:rFonts w:hint="eastAsia" w:ascii="宋体" w:hAnsi="宋体" w:cs="宋体"/>
          <w:sz w:val="24"/>
        </w:rPr>
        <w:t>凡已在浙江政府采购网上注册入库，并取得杭州市政府采购合同的中小企业供应商（以下简称“供应商”），均可申请政府采购信用融资。</w:t>
      </w:r>
    </w:p>
    <w:p w14:paraId="3057317E">
      <w:pPr>
        <w:spacing w:line="360" w:lineRule="auto"/>
        <w:ind w:firstLine="482" w:firstLineChars="200"/>
        <w:rPr>
          <w:rFonts w:hint="eastAsia" w:ascii="宋体" w:hAnsi="宋体" w:cs="宋体"/>
          <w:b/>
          <w:sz w:val="24"/>
        </w:rPr>
      </w:pPr>
      <w:r>
        <w:rPr>
          <w:rFonts w:hint="eastAsia" w:ascii="宋体" w:hAnsi="宋体" w:cs="宋体"/>
          <w:b/>
          <w:sz w:val="24"/>
        </w:rPr>
        <w:t>二、相关信息获取方式</w:t>
      </w:r>
    </w:p>
    <w:p w14:paraId="1C128C5D">
      <w:pPr>
        <w:spacing w:line="360" w:lineRule="auto"/>
        <w:ind w:firstLine="480" w:firstLineChars="200"/>
        <w:rPr>
          <w:rFonts w:hint="eastAsia" w:ascii="宋体" w:hAnsi="宋体" w:cs="宋体"/>
          <w:sz w:val="24"/>
        </w:rPr>
      </w:pPr>
      <w:r>
        <w:rPr>
          <w:rFonts w:hint="eastAsia" w:ascii="宋体" w:hAnsi="宋体" w:cs="宋体"/>
          <w:sz w:val="24"/>
        </w:rPr>
        <w:t>市财政局在杭州市政府采购网上建设信用融资模块，并与“浙里办”浙江政务服务平台对接，推进政府采购中标成交信息、合同信息等信息资源共享，鼓励各银行采用线上融资模式，将银行业务系统与信用融资模块对接，实现供应商“一次也不跑”，同时提供相关的服务支持，做好协调工作。</w:t>
      </w:r>
    </w:p>
    <w:p w14:paraId="0E9F7A3E">
      <w:pPr>
        <w:spacing w:line="360" w:lineRule="auto"/>
        <w:ind w:firstLine="482" w:firstLineChars="200"/>
        <w:rPr>
          <w:rFonts w:hint="eastAsia" w:ascii="宋体" w:hAnsi="宋体" w:cs="宋体"/>
          <w:b/>
          <w:sz w:val="24"/>
        </w:rPr>
      </w:pPr>
      <w:r>
        <w:rPr>
          <w:rFonts w:hint="eastAsia" w:ascii="宋体" w:hAnsi="宋体" w:cs="宋体"/>
          <w:b/>
          <w:sz w:val="24"/>
        </w:rPr>
        <w:t>三、　政府采购信用融资操作流程：</w:t>
      </w:r>
    </w:p>
    <w:p w14:paraId="172167AE">
      <w:pPr>
        <w:spacing w:line="360" w:lineRule="auto"/>
        <w:ind w:firstLine="960" w:firstLineChars="400"/>
        <w:rPr>
          <w:rFonts w:hint="eastAsia" w:ascii="宋体" w:hAnsi="宋体" w:cs="宋体"/>
          <w:sz w:val="24"/>
        </w:rPr>
      </w:pPr>
      <w:r>
        <w:rPr>
          <w:rFonts w:hint="eastAsia" w:ascii="宋体" w:hAnsi="宋体" w:cs="宋体"/>
          <w:sz w:val="24"/>
        </w:rPr>
        <w:t>（一）线上融资模式：</w:t>
      </w:r>
    </w:p>
    <w:p w14:paraId="779338CD">
      <w:pPr>
        <w:spacing w:line="360" w:lineRule="auto"/>
        <w:ind w:firstLine="480" w:firstLineChars="200"/>
        <w:rPr>
          <w:rFonts w:hint="eastAsia" w:ascii="宋体" w:hAnsi="宋体" w:cs="宋体"/>
          <w:sz w:val="24"/>
        </w:rPr>
      </w:pPr>
      <w:r>
        <w:rPr>
          <w:rFonts w:hint="eastAsia" w:ascii="宋体" w:hAnsi="宋体" w:cs="宋体"/>
          <w:sz w:val="24"/>
        </w:rPr>
        <w:t>　　1.供应商根据合作银行提供的方案，自行选择金融产品，并办理开户等手续；</w:t>
      </w:r>
    </w:p>
    <w:p w14:paraId="65F71252">
      <w:pPr>
        <w:spacing w:line="360" w:lineRule="auto"/>
        <w:ind w:firstLine="480" w:firstLineChars="200"/>
        <w:rPr>
          <w:rFonts w:hint="eastAsia" w:ascii="宋体" w:hAnsi="宋体" w:cs="宋体"/>
          <w:sz w:val="24"/>
        </w:rPr>
      </w:pPr>
      <w:r>
        <w:rPr>
          <w:rFonts w:hint="eastAsia" w:ascii="宋体" w:hAnsi="宋体" w:cs="宋体"/>
          <w:sz w:val="24"/>
        </w:rPr>
        <w:t>　　2.供应商中标后，可通过杭州市政府采购网或“浙里办”测算授信额度；</w:t>
      </w:r>
    </w:p>
    <w:p w14:paraId="5286CBC0">
      <w:pPr>
        <w:spacing w:line="360" w:lineRule="auto"/>
        <w:ind w:firstLine="480" w:firstLineChars="200"/>
        <w:rPr>
          <w:rFonts w:hint="eastAsia" w:ascii="宋体" w:hAnsi="宋体" w:cs="宋体"/>
          <w:sz w:val="24"/>
        </w:rPr>
      </w:pPr>
      <w:r>
        <w:rPr>
          <w:rFonts w:hint="eastAsia" w:ascii="宋体" w:hAnsi="宋体" w:cs="宋体"/>
          <w:sz w:val="24"/>
        </w:rPr>
        <w:t>　　3.采购合同签订后，供应商在杭州市政府采购网或“浙里办”向合作银行发出融资申请；</w:t>
      </w:r>
    </w:p>
    <w:p w14:paraId="1843572D">
      <w:pPr>
        <w:spacing w:line="360" w:lineRule="auto"/>
        <w:ind w:firstLine="480" w:firstLineChars="200"/>
        <w:rPr>
          <w:rFonts w:hint="eastAsia" w:ascii="宋体" w:hAnsi="宋体" w:cs="宋体"/>
          <w:sz w:val="24"/>
        </w:rPr>
      </w:pPr>
      <w:r>
        <w:rPr>
          <w:rFonts w:hint="eastAsia" w:ascii="宋体" w:hAnsi="宋体" w:cs="宋体"/>
          <w:sz w:val="24"/>
        </w:rPr>
        <w:t>　　4.审批通过后，在线办理放贷手续。</w:t>
      </w:r>
    </w:p>
    <w:p w14:paraId="6A740554">
      <w:pPr>
        <w:spacing w:line="360" w:lineRule="auto"/>
        <w:ind w:firstLine="480" w:firstLineChars="200"/>
        <w:rPr>
          <w:rFonts w:hint="eastAsia" w:ascii="宋体" w:hAnsi="宋体" w:cs="宋体"/>
          <w:sz w:val="24"/>
        </w:rPr>
      </w:pPr>
      <w:r>
        <w:rPr>
          <w:rFonts w:hint="eastAsia" w:ascii="宋体" w:hAnsi="宋体" w:cs="宋体"/>
          <w:sz w:val="24"/>
        </w:rPr>
        <w:t>　　（二）线下融资模式：</w:t>
      </w:r>
    </w:p>
    <w:p w14:paraId="7FFD5941">
      <w:pPr>
        <w:spacing w:line="360" w:lineRule="auto"/>
        <w:ind w:firstLine="480" w:firstLineChars="200"/>
        <w:rPr>
          <w:rFonts w:hint="eastAsia" w:ascii="宋体" w:hAnsi="宋体" w:cs="宋体"/>
          <w:sz w:val="24"/>
        </w:rPr>
      </w:pPr>
      <w:r>
        <w:rPr>
          <w:rFonts w:hint="eastAsia" w:ascii="宋体" w:hAnsi="宋体" w:cs="宋体"/>
          <w:sz w:val="24"/>
        </w:rPr>
        <w:t>　　1.供应商根据合作银行提供的方案，自行选择金融产品，向合作银行提出信用资格预审，并办理开户等手续；</w:t>
      </w:r>
    </w:p>
    <w:p w14:paraId="3556087A">
      <w:pPr>
        <w:spacing w:line="360" w:lineRule="auto"/>
        <w:ind w:firstLine="480" w:firstLineChars="200"/>
        <w:rPr>
          <w:rFonts w:hint="eastAsia" w:ascii="宋体" w:hAnsi="宋体" w:cs="宋体"/>
          <w:sz w:val="24"/>
        </w:rPr>
      </w:pPr>
      <w:r>
        <w:rPr>
          <w:rFonts w:hint="eastAsia" w:ascii="宋体" w:hAnsi="宋体" w:cs="宋体"/>
          <w:sz w:val="24"/>
        </w:rPr>
        <w:t>　　2.采购合同签订后，供应商在杭州市政府采购网或“浙里办”向合作银行发出融资申请；</w:t>
      </w:r>
    </w:p>
    <w:p w14:paraId="408FFF85">
      <w:pPr>
        <w:spacing w:line="360" w:lineRule="auto"/>
        <w:ind w:firstLine="480" w:firstLineChars="200"/>
        <w:rPr>
          <w:rFonts w:hint="eastAsia" w:ascii="宋体" w:hAnsi="宋体" w:cs="宋体"/>
          <w:sz w:val="24"/>
        </w:rPr>
      </w:pPr>
      <w:r>
        <w:rPr>
          <w:rFonts w:hint="eastAsia" w:ascii="宋体" w:hAnsi="宋体" w:cs="宋体"/>
          <w:sz w:val="24"/>
        </w:rPr>
        <w:t>　　3.合作银行在信用融资模块受理申请后，供应商提供审批材料。合作银行应对申请信用融资的供应商及备案的政府采购合同信息进行核对和审查；</w:t>
      </w:r>
    </w:p>
    <w:p w14:paraId="6F4A6AEE">
      <w:pPr>
        <w:spacing w:line="360" w:lineRule="auto"/>
        <w:ind w:firstLine="480" w:firstLineChars="200"/>
        <w:rPr>
          <w:rFonts w:hint="eastAsia" w:ascii="宋体" w:hAnsi="宋体" w:cs="宋体"/>
          <w:sz w:val="24"/>
        </w:rPr>
      </w:pPr>
      <w:r>
        <w:rPr>
          <w:rFonts w:hint="eastAsia" w:ascii="宋体" w:hAnsi="宋体" w:cs="宋体"/>
          <w:sz w:val="24"/>
        </w:rPr>
        <w:t>　　4.审批通过后，合作银行应按照合作备忘录中约定的审批放款期限和优惠利率及时予以放款。</w:t>
      </w:r>
    </w:p>
    <w:p w14:paraId="14F50F98">
      <w:pPr>
        <w:pStyle w:val="3"/>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（三）杭州e融平台申请融资</w:t>
      </w:r>
    </w:p>
    <w:p w14:paraId="1863F9B0">
      <w:pPr>
        <w:pStyle w:val="3"/>
        <w:numPr>
          <w:ilvl w:val="255"/>
          <w:numId w:val="0"/>
        </w:numPr>
        <w:ind w:firstLine="960" w:firstLineChars="400"/>
        <w:rPr>
          <w:rFonts w:hint="eastAsia" w:ascii="宋体" w:hAnsi="宋体" w:eastAsia="宋体" w:cs="宋体"/>
          <w:b w:val="0"/>
          <w:bCs w:val="0"/>
          <w:sz w:val="24"/>
          <w:szCs w:val="24"/>
          <w:lang w:val="en-US"/>
        </w:rPr>
      </w:pPr>
      <w:r>
        <w:rPr>
          <w:rFonts w:hint="eastAsia" w:ascii="宋体" w:hAnsi="宋体" w:eastAsia="宋体" w:cs="宋体"/>
          <w:b w:val="0"/>
          <w:bCs w:val="0"/>
          <w:sz w:val="24"/>
          <w:szCs w:val="24"/>
          <w:lang w:val="en-US"/>
        </w:rPr>
        <w:t>供应商通过杭州e融平台政采贷专区，自行选择金融产品，按规定手续办理贷款流程。</w:t>
      </w:r>
    </w:p>
    <w:p w14:paraId="4E6E82A5">
      <w:pPr>
        <w:spacing w:line="360" w:lineRule="auto"/>
        <w:ind w:firstLine="482" w:firstLineChars="200"/>
        <w:rPr>
          <w:rFonts w:hint="eastAsia" w:ascii="宋体" w:hAnsi="宋体" w:cs="宋体"/>
          <w:b/>
          <w:sz w:val="24"/>
        </w:rPr>
      </w:pPr>
      <w:r>
        <w:rPr>
          <w:rFonts w:hint="eastAsia" w:ascii="宋体" w:hAnsi="宋体" w:cs="宋体"/>
          <w:b/>
          <w:sz w:val="24"/>
        </w:rPr>
        <w:t>四、注意事项</w:t>
      </w:r>
    </w:p>
    <w:p w14:paraId="0096C624">
      <w:pPr>
        <w:spacing w:line="360" w:lineRule="auto"/>
        <w:ind w:firstLine="480" w:firstLineChars="200"/>
        <w:rPr>
          <w:rFonts w:hint="eastAsia" w:ascii="宋体" w:hAnsi="宋体" w:cs="宋体"/>
          <w:sz w:val="24"/>
        </w:rPr>
      </w:pPr>
      <w:r>
        <w:rPr>
          <w:rFonts w:hint="eastAsia" w:ascii="宋体" w:hAnsi="宋体" w:cs="宋体"/>
          <w:sz w:val="24"/>
        </w:rPr>
        <w:t>1、对拟用于信用融资的政府采购合同，供应商在签订合同时应当在合同中注明融资银行名称及账号，作为在该银行的唯一收款账号。</w:t>
      </w:r>
    </w:p>
    <w:p w14:paraId="333C1085">
      <w:pPr>
        <w:spacing w:line="360" w:lineRule="auto"/>
        <w:ind w:firstLine="480" w:firstLineChars="200"/>
        <w:rPr>
          <w:rFonts w:hint="eastAsia" w:ascii="宋体" w:hAnsi="宋体" w:cs="宋体"/>
          <w:sz w:val="24"/>
        </w:rPr>
      </w:pPr>
      <w:r>
        <w:rPr>
          <w:rFonts w:hint="eastAsia" w:ascii="宋体" w:hAnsi="宋体" w:cs="宋体"/>
          <w:sz w:val="24"/>
        </w:rPr>
        <w:t>2、供应商弄虚作假或以伪造政府采购合同等方式违规获取政府采购信用融资，或不及时还款，或出现其他违反本办法规定情形的，按融资合同约定承担违约责任；涉嫌犯罪的，移送司法机关处理。</w:t>
      </w:r>
    </w:p>
    <w:p w14:paraId="22529610">
      <w:pPr>
        <w:spacing w:line="360" w:lineRule="auto"/>
        <w:ind w:left="5060" w:hanging="5060" w:hangingChars="2100"/>
        <w:rPr>
          <w:rFonts w:hint="eastAsia" w:ascii="宋体" w:hAnsi="宋体" w:cs="宋体"/>
          <w:b/>
          <w:bCs/>
          <w:kern w:val="0"/>
          <w:sz w:val="24"/>
        </w:rPr>
      </w:pPr>
    </w:p>
    <w:p w14:paraId="55539753">
      <w:pPr>
        <w:pStyle w:val="2"/>
        <w:keepNext w:val="0"/>
        <w:keepLines w:val="0"/>
        <w:pageBreakBefore/>
        <w:widowControl/>
        <w:spacing w:before="100" w:beforeAutospacing="1" w:after="100" w:afterAutospacing="1" w:line="360" w:lineRule="auto"/>
        <w:ind w:left="1290" w:firstLine="3092" w:firstLineChars="700"/>
        <w:rPr>
          <w:rFonts w:hint="eastAsia" w:ascii="宋体" w:hAnsi="宋体" w:cs="宋体"/>
        </w:rPr>
      </w:pPr>
      <w:bookmarkStart w:id="538" w:name="_Toc465665161"/>
      <w:r>
        <w:rPr>
          <w:rFonts w:hint="eastAsia" w:ascii="宋体" w:hAnsi="宋体" w:cs="宋体"/>
        </w:rPr>
        <w:t>附件</w:t>
      </w:r>
      <w:bookmarkEnd w:id="538"/>
    </w:p>
    <w:p w14:paraId="02E1337E">
      <w:pPr>
        <w:spacing w:line="360" w:lineRule="auto"/>
        <w:rPr>
          <w:rFonts w:hint="eastAsia" w:ascii="宋体" w:hAnsi="宋体" w:cs="宋体"/>
          <w:b/>
          <w:spacing w:val="6"/>
          <w:sz w:val="32"/>
          <w:szCs w:val="32"/>
        </w:rPr>
      </w:pPr>
      <w:r>
        <w:rPr>
          <w:rFonts w:hint="eastAsia" w:ascii="宋体" w:hAnsi="宋体" w:cs="宋体"/>
          <w:b/>
          <w:spacing w:val="6"/>
          <w:sz w:val="32"/>
          <w:szCs w:val="32"/>
        </w:rPr>
        <w:t>附件1：</w:t>
      </w:r>
    </w:p>
    <w:p w14:paraId="14812CF6">
      <w:pPr>
        <w:spacing w:line="360" w:lineRule="auto"/>
        <w:jc w:val="center"/>
        <w:rPr>
          <w:rFonts w:hint="eastAsia" w:ascii="宋体" w:hAnsi="宋体" w:cs="宋体"/>
          <w:b/>
          <w:spacing w:val="6"/>
          <w:sz w:val="32"/>
          <w:szCs w:val="32"/>
        </w:rPr>
      </w:pPr>
      <w:bookmarkStart w:id="539" w:name="OLE_LINK14"/>
      <w:bookmarkStart w:id="540" w:name="OLE_LINK13"/>
      <w:r>
        <w:rPr>
          <w:rFonts w:hint="eastAsia" w:ascii="宋体" w:hAnsi="宋体" w:cs="宋体"/>
          <w:b/>
          <w:spacing w:val="6"/>
          <w:sz w:val="32"/>
          <w:szCs w:val="32"/>
        </w:rPr>
        <w:t>残疾人福利性单位声明函</w:t>
      </w:r>
    </w:p>
    <w:bookmarkEnd w:id="539"/>
    <w:bookmarkEnd w:id="540"/>
    <w:p w14:paraId="3AA69816">
      <w:pPr>
        <w:spacing w:line="360" w:lineRule="auto"/>
        <w:rPr>
          <w:rFonts w:hint="eastAsia" w:ascii="宋体" w:hAnsi="宋体" w:cs="宋体"/>
          <w:b/>
          <w:spacing w:val="6"/>
          <w:sz w:val="30"/>
          <w:szCs w:val="30"/>
        </w:rPr>
      </w:pPr>
    </w:p>
    <w:p w14:paraId="24254FBF">
      <w:pPr>
        <w:spacing w:line="360" w:lineRule="auto"/>
        <w:ind w:firstLine="480" w:firstLineChars="200"/>
        <w:rPr>
          <w:rFonts w:hint="eastAsia" w:ascii="宋体" w:hAnsi="宋体" w:cs="宋体"/>
          <w:sz w:val="24"/>
        </w:rPr>
      </w:pPr>
      <w:r>
        <w:rPr>
          <w:rFonts w:hint="eastAsia" w:ascii="宋体" w:hAnsi="宋体" w:cs="宋体"/>
          <w:sz w:val="24"/>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46711E5D">
      <w:pPr>
        <w:spacing w:line="360" w:lineRule="auto"/>
        <w:ind w:firstLine="480" w:firstLineChars="200"/>
        <w:rPr>
          <w:rFonts w:hint="eastAsia" w:ascii="宋体" w:hAnsi="宋体" w:cs="宋体"/>
          <w:sz w:val="24"/>
        </w:rPr>
      </w:pPr>
      <w:r>
        <w:rPr>
          <w:rFonts w:hint="eastAsia" w:ascii="宋体" w:hAnsi="宋体" w:cs="宋体"/>
          <w:sz w:val="24"/>
        </w:rPr>
        <w:t>本单位对上述声明的真实性负责。如有虚假，将依法承担相应责任。</w:t>
      </w:r>
    </w:p>
    <w:p w14:paraId="7CA6B6AA">
      <w:pPr>
        <w:spacing w:line="360" w:lineRule="auto"/>
        <w:ind w:firstLine="480" w:firstLineChars="200"/>
        <w:rPr>
          <w:rFonts w:hint="eastAsia" w:ascii="宋体" w:hAnsi="宋体" w:cs="宋体"/>
          <w:sz w:val="24"/>
        </w:rPr>
      </w:pPr>
    </w:p>
    <w:p w14:paraId="22BA92A4">
      <w:pPr>
        <w:spacing w:line="360" w:lineRule="auto"/>
        <w:ind w:firstLine="480" w:firstLineChars="200"/>
        <w:rPr>
          <w:rFonts w:hint="eastAsia" w:ascii="宋体" w:hAnsi="宋体" w:cs="宋体"/>
          <w:sz w:val="24"/>
        </w:rPr>
      </w:pPr>
    </w:p>
    <w:p w14:paraId="6A987338">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kern w:val="0"/>
          <w:sz w:val="24"/>
          <w:lang w:val="zh-CN"/>
        </w:rPr>
        <w:t>投标人名称（电子签名）</w:t>
      </w:r>
      <w:r>
        <w:rPr>
          <w:rFonts w:hint="eastAsia" w:ascii="宋体" w:hAnsi="宋体" w:cs="宋体"/>
          <w:sz w:val="24"/>
        </w:rPr>
        <w:t>：</w:t>
      </w:r>
    </w:p>
    <w:p w14:paraId="75891CC8">
      <w:pPr>
        <w:tabs>
          <w:tab w:val="left" w:pos="4860"/>
        </w:tabs>
        <w:spacing w:line="360" w:lineRule="auto"/>
        <w:ind w:right="1560" w:firstLine="480" w:firstLineChars="200"/>
        <w:jc w:val="center"/>
        <w:rPr>
          <w:rFonts w:hint="eastAsia" w:ascii="宋体" w:hAnsi="宋体" w:cs="宋体"/>
          <w:sz w:val="24"/>
        </w:rPr>
      </w:pPr>
      <w:r>
        <w:rPr>
          <w:rFonts w:hint="eastAsia" w:ascii="宋体" w:hAnsi="宋体" w:cs="宋体"/>
          <w:sz w:val="24"/>
        </w:rPr>
        <w:t xml:space="preserve">       日  期：</w:t>
      </w:r>
    </w:p>
    <w:p w14:paraId="34F7AD41">
      <w:pPr>
        <w:spacing w:line="360" w:lineRule="auto"/>
        <w:jc w:val="left"/>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40F29D69">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附件2：质疑函范本及制作说明</w:t>
      </w:r>
    </w:p>
    <w:p w14:paraId="368D9D43">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质疑函范本</w:t>
      </w:r>
    </w:p>
    <w:p w14:paraId="71D6DE31">
      <w:pPr>
        <w:snapToGrid w:val="0"/>
        <w:spacing w:before="240" w:beforeLines="100" w:line="360" w:lineRule="auto"/>
        <w:rPr>
          <w:rFonts w:hint="eastAsia" w:ascii="宋体" w:hAnsi="宋体" w:cs="宋体"/>
          <w:bCs/>
          <w:sz w:val="24"/>
        </w:rPr>
      </w:pPr>
      <w:r>
        <w:rPr>
          <w:rFonts w:hint="eastAsia" w:ascii="宋体" w:hAnsi="宋体" w:cs="宋体"/>
          <w:bCs/>
          <w:sz w:val="24"/>
        </w:rPr>
        <w:t>一、质疑供应商基本信息</w:t>
      </w:r>
    </w:p>
    <w:p w14:paraId="5B16E93F">
      <w:pPr>
        <w:snapToGrid w:val="0"/>
        <w:spacing w:line="360" w:lineRule="auto"/>
        <w:rPr>
          <w:rFonts w:hint="eastAsia" w:ascii="宋体" w:hAnsi="宋体" w:cs="宋体"/>
          <w:sz w:val="24"/>
          <w:u w:val="dotted"/>
        </w:rPr>
      </w:pPr>
      <w:r>
        <w:rPr>
          <w:rFonts w:hint="eastAsia" w:ascii="宋体" w:hAnsi="宋体" w:cs="宋体"/>
          <w:sz w:val="24"/>
        </w:rPr>
        <w:t>质疑供应商：</w:t>
      </w:r>
      <w:r>
        <w:rPr>
          <w:rFonts w:hint="eastAsia" w:ascii="宋体" w:hAnsi="宋体" w:cs="宋体"/>
          <w:sz w:val="24"/>
          <w:u w:val="dotted"/>
        </w:rPr>
        <w:t xml:space="preserve">                                        </w:t>
      </w:r>
    </w:p>
    <w:p w14:paraId="18FF0203">
      <w:pPr>
        <w:snapToGrid w:val="0"/>
        <w:spacing w:line="360" w:lineRule="auto"/>
        <w:rPr>
          <w:rFonts w:hint="eastAsia" w:ascii="宋体" w:hAnsi="宋体" w:cs="宋体"/>
          <w:sz w:val="24"/>
        </w:rPr>
      </w:pPr>
      <w:r>
        <w:rPr>
          <w:rFonts w:hint="eastAsia" w:ascii="宋体" w:hAnsi="宋体" w:cs="宋体"/>
          <w:sz w:val="24"/>
        </w:rPr>
        <w:t>地址：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09FCE4B1">
      <w:pPr>
        <w:snapToGrid w:val="0"/>
        <w:spacing w:line="360" w:lineRule="auto"/>
        <w:rPr>
          <w:rFonts w:hint="eastAsia" w:ascii="宋体" w:hAnsi="宋体" w:cs="宋体"/>
          <w:sz w:val="24"/>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45DE053C">
      <w:pPr>
        <w:snapToGrid w:val="0"/>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p>
    <w:p w14:paraId="717BABB5">
      <w:pPr>
        <w:snapToGrid w:val="0"/>
        <w:spacing w:line="360" w:lineRule="auto"/>
        <w:rPr>
          <w:rFonts w:hint="eastAsia" w:ascii="宋体" w:hAnsi="宋体" w:cs="宋体"/>
          <w:sz w:val="24"/>
        </w:rPr>
      </w:pP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rPr>
        <w:t xml:space="preserve"> </w:t>
      </w:r>
    </w:p>
    <w:p w14:paraId="30772196">
      <w:pPr>
        <w:snapToGrid w:val="0"/>
        <w:spacing w:line="360" w:lineRule="auto"/>
        <w:rPr>
          <w:rFonts w:hint="eastAsia" w:ascii="宋体" w:hAnsi="宋体" w:cs="宋体"/>
          <w:sz w:val="24"/>
        </w:rPr>
      </w:pPr>
      <w:r>
        <w:rPr>
          <w:rFonts w:hint="eastAsia" w:ascii="宋体" w:hAnsi="宋体" w:cs="宋体"/>
          <w:sz w:val="24"/>
        </w:rPr>
        <w:t xml:space="preserve">地址： </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p>
    <w:p w14:paraId="65504172">
      <w:pPr>
        <w:snapToGrid w:val="0"/>
        <w:spacing w:line="360" w:lineRule="auto"/>
        <w:rPr>
          <w:rFonts w:hint="eastAsia" w:ascii="宋体" w:hAnsi="宋体" w:cs="宋体"/>
          <w:bCs/>
          <w:sz w:val="24"/>
        </w:rPr>
      </w:pPr>
      <w:r>
        <w:rPr>
          <w:rFonts w:hint="eastAsia" w:ascii="宋体" w:hAnsi="宋体" w:cs="宋体"/>
          <w:bCs/>
          <w:sz w:val="24"/>
        </w:rPr>
        <w:t>二、质疑项目基本情况</w:t>
      </w:r>
    </w:p>
    <w:p w14:paraId="52EB96F8">
      <w:pPr>
        <w:snapToGrid w:val="0"/>
        <w:spacing w:line="360" w:lineRule="auto"/>
        <w:rPr>
          <w:rFonts w:hint="eastAsia" w:ascii="宋体" w:hAnsi="宋体" w:cs="宋体"/>
          <w:sz w:val="24"/>
        </w:rPr>
      </w:pPr>
      <w:r>
        <w:rPr>
          <w:rFonts w:hint="eastAsia" w:ascii="宋体" w:hAnsi="宋体" w:cs="宋体"/>
          <w:sz w:val="24"/>
        </w:rPr>
        <w:t>质疑项目的名称：</w:t>
      </w:r>
      <w:r>
        <w:rPr>
          <w:rFonts w:hint="eastAsia" w:ascii="宋体" w:hAnsi="宋体" w:cs="宋体"/>
          <w:sz w:val="24"/>
          <w:u w:val="dotted"/>
        </w:rPr>
        <w:t xml:space="preserve">                                      </w:t>
      </w:r>
    </w:p>
    <w:p w14:paraId="330B78CB">
      <w:pPr>
        <w:snapToGrid w:val="0"/>
        <w:spacing w:line="360" w:lineRule="auto"/>
        <w:rPr>
          <w:rFonts w:hint="eastAsia" w:ascii="宋体" w:hAnsi="宋体" w:cs="宋体"/>
          <w:sz w:val="24"/>
        </w:rPr>
      </w:pPr>
      <w:r>
        <w:rPr>
          <w:rFonts w:hint="eastAsia" w:ascii="宋体" w:hAnsi="宋体" w:cs="宋体"/>
          <w:sz w:val="24"/>
        </w:rPr>
        <w:t>质疑项目的编号：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5A25CF46">
      <w:pPr>
        <w:snapToGrid w:val="0"/>
        <w:spacing w:line="360" w:lineRule="auto"/>
        <w:rPr>
          <w:rFonts w:hint="eastAsia" w:ascii="宋体" w:hAnsi="宋体" w:cs="宋体"/>
          <w:sz w:val="24"/>
          <w:u w:val="dotted"/>
        </w:rPr>
      </w:pPr>
      <w:r>
        <w:rPr>
          <w:rFonts w:hint="eastAsia" w:ascii="宋体" w:hAnsi="宋体" w:cs="宋体"/>
          <w:sz w:val="24"/>
        </w:rPr>
        <w:t>采购人名称：</w:t>
      </w:r>
      <w:r>
        <w:rPr>
          <w:rFonts w:hint="eastAsia" w:ascii="宋体" w:hAnsi="宋体" w:cs="宋体"/>
          <w:sz w:val="24"/>
          <w:u w:val="dotted"/>
        </w:rPr>
        <w:t xml:space="preserve">                                         </w:t>
      </w:r>
    </w:p>
    <w:p w14:paraId="778D8DDD">
      <w:pPr>
        <w:snapToGrid w:val="0"/>
        <w:spacing w:line="360" w:lineRule="auto"/>
        <w:rPr>
          <w:rFonts w:hint="eastAsia" w:ascii="宋体" w:hAnsi="宋体" w:cs="宋体"/>
          <w:sz w:val="24"/>
        </w:rPr>
      </w:pPr>
      <w:r>
        <w:rPr>
          <w:rFonts w:hint="eastAsia" w:ascii="宋体" w:hAnsi="宋体" w:cs="宋体"/>
          <w:sz w:val="24"/>
        </w:rPr>
        <w:t>采购文件获取日期：</w:t>
      </w:r>
      <w:r>
        <w:rPr>
          <w:rFonts w:hint="eastAsia" w:ascii="宋体" w:hAnsi="宋体" w:cs="宋体"/>
          <w:sz w:val="24"/>
          <w:u w:val="dotted"/>
        </w:rPr>
        <w:t xml:space="preserve">                                           </w:t>
      </w:r>
    </w:p>
    <w:p w14:paraId="0C884489">
      <w:pPr>
        <w:snapToGrid w:val="0"/>
        <w:spacing w:line="360" w:lineRule="auto"/>
        <w:rPr>
          <w:rFonts w:hint="eastAsia" w:ascii="宋体" w:hAnsi="宋体" w:cs="宋体"/>
          <w:bCs/>
          <w:sz w:val="24"/>
        </w:rPr>
      </w:pPr>
      <w:r>
        <w:rPr>
          <w:rFonts w:hint="eastAsia" w:ascii="宋体" w:hAnsi="宋体" w:cs="宋体"/>
          <w:bCs/>
          <w:sz w:val="24"/>
        </w:rPr>
        <w:t>三、质疑事项具体内容</w:t>
      </w:r>
    </w:p>
    <w:p w14:paraId="62B9E8F3">
      <w:pPr>
        <w:snapToGrid w:val="0"/>
        <w:spacing w:line="360" w:lineRule="auto"/>
        <w:rPr>
          <w:rFonts w:hint="eastAsia" w:ascii="宋体" w:hAnsi="宋体" w:cs="宋体"/>
          <w:sz w:val="24"/>
          <w:u w:val="dotted"/>
        </w:rPr>
      </w:pPr>
      <w:r>
        <w:rPr>
          <w:rFonts w:hint="eastAsia" w:ascii="宋体" w:hAnsi="宋体" w:cs="宋体"/>
          <w:sz w:val="24"/>
        </w:rPr>
        <w:t>质疑事项1：</w:t>
      </w:r>
      <w:r>
        <w:rPr>
          <w:rFonts w:hint="eastAsia" w:ascii="宋体" w:hAnsi="宋体" w:cs="宋体"/>
          <w:sz w:val="24"/>
          <w:u w:val="dotted"/>
        </w:rPr>
        <w:t xml:space="preserve">                                         </w:t>
      </w:r>
    </w:p>
    <w:p w14:paraId="112AA06D">
      <w:pPr>
        <w:snapToGrid w:val="0"/>
        <w:spacing w:line="360" w:lineRule="auto"/>
        <w:rPr>
          <w:rFonts w:hint="eastAsia" w:ascii="宋体" w:hAnsi="宋体" w:cs="宋体"/>
          <w:sz w:val="24"/>
          <w:u w:val="dotted"/>
        </w:rPr>
      </w:pPr>
      <w:r>
        <w:rPr>
          <w:rFonts w:hint="eastAsia" w:ascii="宋体" w:hAnsi="宋体" w:cs="宋体"/>
          <w:sz w:val="24"/>
        </w:rPr>
        <w:t>事实依据：</w:t>
      </w:r>
      <w:r>
        <w:rPr>
          <w:rFonts w:hint="eastAsia" w:ascii="宋体" w:hAnsi="宋体" w:cs="宋体"/>
          <w:sz w:val="24"/>
          <w:u w:val="dotted"/>
        </w:rPr>
        <w:t xml:space="preserve">                                          </w:t>
      </w:r>
    </w:p>
    <w:p w14:paraId="2B592986">
      <w:pPr>
        <w:snapToGrid w:val="0"/>
        <w:spacing w:line="360" w:lineRule="auto"/>
        <w:rPr>
          <w:rFonts w:hint="eastAsia" w:ascii="宋体" w:hAnsi="宋体" w:cs="宋体"/>
          <w:sz w:val="24"/>
        </w:rPr>
      </w:pPr>
      <w:r>
        <w:rPr>
          <w:rFonts w:hint="eastAsia" w:ascii="宋体" w:hAnsi="宋体" w:cs="宋体"/>
          <w:sz w:val="24"/>
          <w:u w:val="dotted"/>
        </w:rPr>
        <w:t xml:space="preserve">                                                       </w:t>
      </w:r>
    </w:p>
    <w:p w14:paraId="169ACECD">
      <w:pPr>
        <w:snapToGrid w:val="0"/>
        <w:spacing w:line="360" w:lineRule="auto"/>
        <w:rPr>
          <w:rFonts w:hint="eastAsia" w:ascii="宋体" w:hAnsi="宋体" w:cs="宋体"/>
          <w:sz w:val="24"/>
          <w:u w:val="dotted"/>
        </w:rPr>
      </w:pPr>
      <w:r>
        <w:rPr>
          <w:rFonts w:hint="eastAsia" w:ascii="宋体" w:hAnsi="宋体" w:cs="宋体"/>
          <w:sz w:val="24"/>
        </w:rPr>
        <w:t>法律依据：</w:t>
      </w:r>
      <w:r>
        <w:rPr>
          <w:rFonts w:hint="eastAsia" w:ascii="宋体" w:hAnsi="宋体" w:cs="宋体"/>
          <w:sz w:val="24"/>
          <w:u w:val="dotted"/>
        </w:rPr>
        <w:t xml:space="preserve">                                          </w:t>
      </w:r>
    </w:p>
    <w:p w14:paraId="4BFC4F23">
      <w:pPr>
        <w:snapToGrid w:val="0"/>
        <w:spacing w:line="360" w:lineRule="auto"/>
        <w:rPr>
          <w:rFonts w:hint="eastAsia" w:ascii="宋体" w:hAnsi="宋体" w:cs="宋体"/>
          <w:sz w:val="24"/>
          <w:u w:val="dotted"/>
        </w:rPr>
      </w:pPr>
      <w:r>
        <w:rPr>
          <w:rFonts w:hint="eastAsia" w:ascii="宋体" w:hAnsi="宋体" w:cs="宋体"/>
          <w:sz w:val="24"/>
          <w:u w:val="dotted"/>
        </w:rPr>
        <w:t xml:space="preserve">                                                     </w:t>
      </w:r>
    </w:p>
    <w:p w14:paraId="2974C231">
      <w:pPr>
        <w:snapToGrid w:val="0"/>
        <w:spacing w:line="360" w:lineRule="auto"/>
        <w:rPr>
          <w:rFonts w:hint="eastAsia" w:ascii="宋体" w:hAnsi="宋体" w:cs="宋体"/>
          <w:sz w:val="24"/>
          <w:u w:val="dotted"/>
        </w:rPr>
      </w:pPr>
      <w:r>
        <w:rPr>
          <w:rFonts w:hint="eastAsia" w:ascii="宋体" w:hAnsi="宋体" w:cs="宋体"/>
          <w:sz w:val="24"/>
        </w:rPr>
        <w:t>质疑事项2</w:t>
      </w:r>
    </w:p>
    <w:p w14:paraId="7F4A886C">
      <w:pPr>
        <w:snapToGrid w:val="0"/>
        <w:spacing w:line="360" w:lineRule="auto"/>
        <w:rPr>
          <w:rFonts w:hint="eastAsia" w:ascii="宋体" w:hAnsi="宋体" w:cs="宋体"/>
          <w:sz w:val="24"/>
        </w:rPr>
      </w:pPr>
      <w:r>
        <w:rPr>
          <w:rFonts w:hint="eastAsia" w:ascii="宋体" w:hAnsi="宋体" w:cs="宋体"/>
          <w:sz w:val="24"/>
        </w:rPr>
        <w:t>……</w:t>
      </w:r>
    </w:p>
    <w:p w14:paraId="69608108">
      <w:pPr>
        <w:snapToGrid w:val="0"/>
        <w:spacing w:line="360" w:lineRule="auto"/>
        <w:rPr>
          <w:rFonts w:hint="eastAsia" w:ascii="宋体" w:hAnsi="宋体" w:cs="宋体"/>
          <w:bCs/>
          <w:sz w:val="24"/>
        </w:rPr>
      </w:pPr>
      <w:r>
        <w:rPr>
          <w:rFonts w:hint="eastAsia" w:ascii="宋体" w:hAnsi="宋体" w:cs="宋体"/>
          <w:bCs/>
          <w:sz w:val="24"/>
        </w:rPr>
        <w:t>四、与质疑事项相关的质疑请求</w:t>
      </w:r>
    </w:p>
    <w:p w14:paraId="3642FC07">
      <w:pPr>
        <w:snapToGrid w:val="0"/>
        <w:spacing w:line="360" w:lineRule="auto"/>
        <w:rPr>
          <w:rFonts w:hint="eastAsia" w:ascii="宋体" w:hAnsi="宋体" w:cs="宋体"/>
          <w:sz w:val="24"/>
          <w:u w:val="dotted"/>
        </w:rPr>
      </w:pPr>
      <w:r>
        <w:rPr>
          <w:rFonts w:hint="eastAsia" w:ascii="宋体" w:hAnsi="宋体" w:cs="宋体"/>
          <w:sz w:val="24"/>
        </w:rPr>
        <w:t>请求：</w:t>
      </w:r>
      <w:r>
        <w:rPr>
          <w:rFonts w:hint="eastAsia" w:ascii="宋体" w:hAnsi="宋体" w:cs="宋体"/>
          <w:sz w:val="24"/>
          <w:u w:val="dotted"/>
        </w:rPr>
        <w:t xml:space="preserve">                                               </w:t>
      </w:r>
    </w:p>
    <w:p w14:paraId="42CB7681">
      <w:pPr>
        <w:spacing w:line="360" w:lineRule="auto"/>
        <w:rPr>
          <w:rFonts w:hint="eastAsia" w:ascii="宋体" w:hAnsi="宋体" w:cs="宋体"/>
          <w:sz w:val="24"/>
        </w:rPr>
      </w:pPr>
      <w:r>
        <w:rPr>
          <w:rFonts w:hint="eastAsia" w:ascii="宋体" w:hAnsi="宋体" w:cs="宋体"/>
          <w:sz w:val="24"/>
        </w:rPr>
        <w:t xml:space="preserve">签字(签章)：                   公章：                      </w:t>
      </w:r>
    </w:p>
    <w:p w14:paraId="128E042A">
      <w:pPr>
        <w:spacing w:line="360" w:lineRule="auto"/>
        <w:rPr>
          <w:rFonts w:hint="eastAsia" w:ascii="宋体" w:hAnsi="宋体" w:cs="宋体"/>
          <w:sz w:val="24"/>
        </w:rPr>
      </w:pPr>
      <w:r>
        <w:rPr>
          <w:rFonts w:hint="eastAsia" w:ascii="宋体" w:hAnsi="宋体" w:cs="宋体"/>
          <w:sz w:val="24"/>
        </w:rPr>
        <w:t xml:space="preserve">日期：    </w:t>
      </w:r>
    </w:p>
    <w:p w14:paraId="6D4275CE">
      <w:pPr>
        <w:spacing w:line="360" w:lineRule="auto"/>
        <w:rPr>
          <w:rFonts w:hint="eastAsia" w:ascii="宋体" w:hAnsi="宋体" w:cs="宋体"/>
          <w:b/>
          <w:sz w:val="24"/>
        </w:rPr>
      </w:pPr>
    </w:p>
    <w:p w14:paraId="29AE42AB">
      <w:pPr>
        <w:spacing w:line="360" w:lineRule="auto"/>
        <w:rPr>
          <w:rFonts w:hint="eastAsia" w:ascii="宋体" w:hAnsi="宋体" w:cs="宋体"/>
          <w:b/>
          <w:sz w:val="24"/>
        </w:rPr>
      </w:pPr>
    </w:p>
    <w:p w14:paraId="1D406414">
      <w:pPr>
        <w:pStyle w:val="3"/>
        <w:rPr>
          <w:rFonts w:hint="eastAsia"/>
        </w:rPr>
      </w:pPr>
    </w:p>
    <w:p w14:paraId="4A4C1175">
      <w:pPr>
        <w:spacing w:line="360" w:lineRule="auto"/>
        <w:rPr>
          <w:rFonts w:hint="eastAsia" w:ascii="宋体" w:hAnsi="宋体" w:cs="宋体"/>
          <w:b/>
          <w:sz w:val="24"/>
        </w:rPr>
      </w:pPr>
      <w:r>
        <w:rPr>
          <w:rFonts w:hint="eastAsia" w:ascii="宋体" w:hAnsi="宋体" w:cs="宋体"/>
          <w:b/>
          <w:sz w:val="24"/>
        </w:rPr>
        <w:t>质疑函制作说明：</w:t>
      </w:r>
    </w:p>
    <w:p w14:paraId="63468633">
      <w:pPr>
        <w:widowControl/>
        <w:spacing w:line="360" w:lineRule="auto"/>
        <w:ind w:firstLine="480" w:firstLineChars="200"/>
        <w:jc w:val="left"/>
        <w:rPr>
          <w:rFonts w:hint="eastAsia" w:ascii="宋体" w:hAnsi="宋体" w:cs="宋体"/>
          <w:sz w:val="24"/>
        </w:rPr>
      </w:pPr>
      <w:r>
        <w:rPr>
          <w:rFonts w:hint="eastAsia" w:ascii="宋体" w:hAnsi="宋体" w:cs="宋体"/>
          <w:sz w:val="24"/>
        </w:rPr>
        <w:t>1.供应商提出质疑时，应提交质疑函和必要的证明材料。</w:t>
      </w:r>
    </w:p>
    <w:p w14:paraId="2397446C">
      <w:pPr>
        <w:widowControl/>
        <w:spacing w:line="360" w:lineRule="auto"/>
        <w:ind w:firstLine="480" w:firstLineChars="200"/>
        <w:jc w:val="left"/>
        <w:rPr>
          <w:rFonts w:hint="eastAsia" w:ascii="宋体" w:hAnsi="宋体" w:cs="宋体"/>
          <w:sz w:val="24"/>
        </w:rPr>
      </w:pPr>
      <w:r>
        <w:rPr>
          <w:rFonts w:hint="eastAsia" w:ascii="宋体" w:hAnsi="宋体" w:cs="宋体"/>
          <w:sz w:val="24"/>
        </w:rPr>
        <w:t>2.质疑供应商若委托代理人进行质疑的，质疑函应按要求列明“授权代表”的有关内容，并在附件中提交由质疑</w:t>
      </w:r>
      <w:r>
        <w:rPr>
          <w:rFonts w:hint="eastAsia" w:ascii="宋体" w:hAnsi="宋体" w:cs="宋体"/>
          <w:kern w:val="0"/>
          <w:sz w:val="24"/>
        </w:rPr>
        <w:t>供应商签署的授权委托书。授权委托书应载明代理人的姓名或者名称、代理事项、具体权限、期限和相关事项。</w:t>
      </w:r>
    </w:p>
    <w:p w14:paraId="7D289A4E">
      <w:pPr>
        <w:widowControl/>
        <w:spacing w:line="360" w:lineRule="auto"/>
        <w:ind w:firstLine="480" w:firstLineChars="200"/>
        <w:jc w:val="left"/>
        <w:rPr>
          <w:rFonts w:hint="eastAsia" w:ascii="宋体" w:hAnsi="宋体" w:cs="宋体"/>
          <w:sz w:val="24"/>
        </w:rPr>
      </w:pPr>
      <w:r>
        <w:rPr>
          <w:rFonts w:hint="eastAsia" w:ascii="宋体" w:hAnsi="宋体" w:cs="宋体"/>
          <w:sz w:val="24"/>
        </w:rPr>
        <w:t>3.质疑供应商若对项目的某一分包进行质疑，质疑函中应列明具体分包号。</w:t>
      </w:r>
    </w:p>
    <w:p w14:paraId="19B48F96">
      <w:pPr>
        <w:widowControl/>
        <w:spacing w:line="360" w:lineRule="auto"/>
        <w:ind w:firstLine="480" w:firstLineChars="200"/>
        <w:jc w:val="left"/>
        <w:rPr>
          <w:rFonts w:hint="eastAsia" w:ascii="宋体" w:hAnsi="宋体" w:cs="宋体"/>
          <w:sz w:val="24"/>
        </w:rPr>
      </w:pPr>
      <w:r>
        <w:rPr>
          <w:rFonts w:hint="eastAsia" w:ascii="宋体" w:hAnsi="宋体" w:cs="宋体"/>
          <w:sz w:val="24"/>
        </w:rPr>
        <w:t>4.质疑函的质疑事项应具体、明确，并有必要的事实依据和法律依据。</w:t>
      </w:r>
    </w:p>
    <w:p w14:paraId="3EF51AAD">
      <w:pPr>
        <w:widowControl/>
        <w:spacing w:line="360" w:lineRule="auto"/>
        <w:ind w:firstLine="480" w:firstLineChars="200"/>
        <w:jc w:val="left"/>
        <w:rPr>
          <w:rFonts w:hint="eastAsia" w:ascii="宋体" w:hAnsi="宋体" w:cs="宋体"/>
          <w:sz w:val="24"/>
        </w:rPr>
      </w:pPr>
      <w:r>
        <w:rPr>
          <w:rFonts w:hint="eastAsia" w:ascii="宋体" w:hAnsi="宋体" w:cs="宋体"/>
          <w:sz w:val="24"/>
        </w:rPr>
        <w:t>5.质疑函的质疑请求应与质疑事项相关。</w:t>
      </w:r>
    </w:p>
    <w:p w14:paraId="5C0D26A1">
      <w:pPr>
        <w:widowControl/>
        <w:spacing w:line="360" w:lineRule="auto"/>
        <w:ind w:firstLine="480" w:firstLineChars="200"/>
        <w:jc w:val="left"/>
        <w:rPr>
          <w:rFonts w:hint="eastAsia" w:ascii="宋体" w:hAnsi="宋体" w:cs="宋体"/>
          <w:sz w:val="24"/>
        </w:rPr>
      </w:pPr>
      <w:r>
        <w:rPr>
          <w:rFonts w:hint="eastAsia" w:ascii="宋体" w:hAnsi="宋体" w:cs="宋体"/>
          <w:sz w:val="24"/>
        </w:rPr>
        <w:t>6.质疑供应商为自然人的，质疑函应由本人签字；质疑供应商为法人或者其他组织的，质疑函应由法定代表人、主要负责人，或者其授权代表签字或者盖章，并加盖公章。</w:t>
      </w:r>
    </w:p>
    <w:p w14:paraId="7FD9AB16">
      <w:pPr>
        <w:spacing w:line="360" w:lineRule="auto"/>
        <w:jc w:val="left"/>
        <w:rPr>
          <w:rFonts w:hint="eastAsia" w:ascii="宋体" w:hAnsi="宋体" w:cs="宋体"/>
          <w:b/>
          <w:spacing w:val="6"/>
          <w:sz w:val="32"/>
          <w:szCs w:val="32"/>
        </w:rPr>
        <w:sectPr>
          <w:pgSz w:w="11906" w:h="16838"/>
          <w:pgMar w:top="1327" w:right="1418" w:bottom="1440" w:left="1361" w:header="851" w:footer="992" w:gutter="0"/>
          <w:cols w:space="0" w:num="1"/>
          <w:titlePg/>
          <w:docGrid w:linePitch="312" w:charSpace="0"/>
        </w:sectPr>
      </w:pPr>
    </w:p>
    <w:p w14:paraId="4A164F69">
      <w:pPr>
        <w:spacing w:line="360" w:lineRule="auto"/>
        <w:jc w:val="left"/>
        <w:rPr>
          <w:rFonts w:hint="eastAsia" w:ascii="宋体" w:hAnsi="宋体" w:cs="宋体"/>
          <w:b/>
          <w:spacing w:val="6"/>
          <w:sz w:val="32"/>
          <w:szCs w:val="32"/>
        </w:rPr>
      </w:pPr>
      <w:r>
        <w:rPr>
          <w:rFonts w:hint="eastAsia" w:ascii="宋体" w:hAnsi="宋体" w:cs="宋体"/>
          <w:b/>
          <w:spacing w:val="6"/>
          <w:sz w:val="32"/>
          <w:szCs w:val="32"/>
        </w:rPr>
        <w:t>附件3：投诉书范本及制作说明</w:t>
      </w:r>
    </w:p>
    <w:p w14:paraId="54F1562C">
      <w:pPr>
        <w:spacing w:line="360" w:lineRule="auto"/>
        <w:jc w:val="center"/>
        <w:rPr>
          <w:rFonts w:hint="eastAsia" w:ascii="宋体" w:hAnsi="宋体" w:cs="宋体"/>
          <w:b/>
          <w:sz w:val="24"/>
        </w:rPr>
      </w:pPr>
    </w:p>
    <w:p w14:paraId="4983A675">
      <w:pPr>
        <w:spacing w:line="360" w:lineRule="auto"/>
        <w:jc w:val="center"/>
        <w:rPr>
          <w:rFonts w:hint="eastAsia" w:ascii="宋体" w:hAnsi="宋体" w:cs="宋体"/>
          <w:b/>
          <w:spacing w:val="6"/>
          <w:sz w:val="32"/>
          <w:szCs w:val="32"/>
        </w:rPr>
      </w:pPr>
      <w:r>
        <w:rPr>
          <w:rFonts w:hint="eastAsia" w:ascii="宋体" w:hAnsi="宋体" w:cs="宋体"/>
          <w:b/>
          <w:spacing w:val="6"/>
          <w:sz w:val="32"/>
          <w:szCs w:val="32"/>
        </w:rPr>
        <w:t>投诉书范本</w:t>
      </w:r>
    </w:p>
    <w:p w14:paraId="5A95B37D">
      <w:pPr>
        <w:spacing w:line="360" w:lineRule="auto"/>
        <w:rPr>
          <w:rFonts w:hint="eastAsia" w:ascii="宋体" w:hAnsi="宋体" w:cs="宋体"/>
          <w:sz w:val="24"/>
        </w:rPr>
      </w:pPr>
      <w:r>
        <w:rPr>
          <w:rFonts w:hint="eastAsia" w:ascii="宋体" w:hAnsi="宋体" w:cs="宋体"/>
          <w:sz w:val="24"/>
        </w:rPr>
        <w:t>一、投诉相关主体基本情况</w:t>
      </w:r>
    </w:p>
    <w:p w14:paraId="3C13AC36">
      <w:pPr>
        <w:spacing w:line="360" w:lineRule="auto"/>
        <w:rPr>
          <w:rFonts w:hint="eastAsia" w:ascii="宋体" w:hAnsi="宋体" w:cs="宋体"/>
          <w:sz w:val="24"/>
          <w:u w:val="dotted"/>
        </w:rPr>
      </w:pPr>
      <w:r>
        <w:rPr>
          <w:rFonts w:hint="eastAsia" w:ascii="宋体" w:hAnsi="宋体" w:cs="宋体"/>
          <w:sz w:val="24"/>
        </w:rPr>
        <w:t>投诉人：</w:t>
      </w:r>
      <w:r>
        <w:rPr>
          <w:rFonts w:hint="eastAsia" w:ascii="宋体" w:hAnsi="宋体" w:cs="宋体"/>
          <w:sz w:val="24"/>
          <w:u w:val="dotted"/>
        </w:rPr>
        <w:t xml:space="preserve">                                               </w:t>
      </w:r>
    </w:p>
    <w:p w14:paraId="59C25960">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0FEB95D7">
      <w:pPr>
        <w:tabs>
          <w:tab w:val="left" w:pos="6510"/>
        </w:tabs>
        <w:spacing w:line="360" w:lineRule="auto"/>
        <w:jc w:val="left"/>
        <w:rPr>
          <w:rFonts w:hint="eastAsia" w:ascii="宋体" w:hAnsi="宋体" w:cs="宋体"/>
          <w:sz w:val="24"/>
        </w:rPr>
      </w:pPr>
      <w:r>
        <w:rPr>
          <w:rFonts w:hint="eastAsia" w:ascii="宋体" w:hAnsi="宋体" w:cs="宋体"/>
          <w:sz w:val="24"/>
        </w:rPr>
        <w:t>法定代表人/主要负责人：</w:t>
      </w:r>
      <w:r>
        <w:rPr>
          <w:rFonts w:hint="eastAsia" w:ascii="宋体" w:hAnsi="宋体" w:cs="宋体"/>
          <w:sz w:val="24"/>
          <w:u w:val="dotted"/>
        </w:rPr>
        <w:t xml:space="preserve">                                   </w:t>
      </w:r>
      <w:r>
        <w:rPr>
          <w:rFonts w:hint="eastAsia" w:ascii="宋体" w:hAnsi="宋体" w:cs="宋体"/>
          <w:sz w:val="24"/>
        </w:rPr>
        <w:t xml:space="preserve">  </w:t>
      </w:r>
    </w:p>
    <w:p w14:paraId="5BE0040A">
      <w:pPr>
        <w:tabs>
          <w:tab w:val="left" w:pos="6510"/>
        </w:tabs>
        <w:spacing w:line="360" w:lineRule="auto"/>
        <w:rPr>
          <w:rFonts w:hint="eastAsia" w:ascii="宋体" w:hAnsi="宋体" w:cs="宋体"/>
          <w:sz w:val="24"/>
          <w:u w:val="dotted"/>
        </w:rPr>
      </w:pPr>
      <w:r>
        <w:rPr>
          <w:rFonts w:hint="eastAsia" w:ascii="宋体" w:hAnsi="宋体" w:cs="宋体"/>
          <w:sz w:val="24"/>
        </w:rPr>
        <w:t>联系电话：</w:t>
      </w:r>
      <w:r>
        <w:rPr>
          <w:rFonts w:hint="eastAsia" w:ascii="宋体" w:hAnsi="宋体" w:cs="宋体"/>
          <w:sz w:val="24"/>
          <w:u w:val="dotted"/>
        </w:rPr>
        <w:t xml:space="preserve">                                             </w:t>
      </w:r>
    </w:p>
    <w:p w14:paraId="3C07D08B">
      <w:pPr>
        <w:spacing w:line="360" w:lineRule="auto"/>
        <w:rPr>
          <w:rFonts w:hint="eastAsia" w:ascii="宋体" w:hAnsi="宋体" w:cs="宋体"/>
          <w:sz w:val="24"/>
          <w:u w:val="dotted"/>
        </w:rPr>
      </w:pPr>
      <w:r>
        <w:rPr>
          <w:rFonts w:hint="eastAsia" w:ascii="宋体" w:hAnsi="宋体" w:cs="宋体"/>
          <w:sz w:val="24"/>
        </w:rPr>
        <w:t>授权代表：</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p>
    <w:p w14:paraId="12D84754">
      <w:pPr>
        <w:spacing w:line="360" w:lineRule="auto"/>
        <w:rPr>
          <w:rFonts w:hint="eastAsia" w:ascii="宋体" w:hAnsi="宋体" w:cs="宋体"/>
          <w:sz w:val="24"/>
          <w:u w:val="dotted"/>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r>
        <w:rPr>
          <w:rFonts w:hint="eastAsia" w:ascii="宋体" w:hAnsi="宋体" w:cs="宋体"/>
          <w:sz w:val="24"/>
          <w:u w:val="dotted"/>
        </w:rPr>
        <w:t xml:space="preserve">                   </w:t>
      </w:r>
    </w:p>
    <w:p w14:paraId="0E352B66">
      <w:pPr>
        <w:spacing w:line="360" w:lineRule="auto"/>
        <w:rPr>
          <w:rFonts w:hint="eastAsia" w:ascii="宋体" w:hAnsi="宋体" w:cs="宋体"/>
          <w:sz w:val="24"/>
          <w:u w:val="single"/>
        </w:rPr>
      </w:pPr>
      <w:r>
        <w:rPr>
          <w:rFonts w:hint="eastAsia" w:ascii="宋体" w:hAnsi="宋体" w:cs="宋体"/>
          <w:sz w:val="24"/>
        </w:rPr>
        <w:t>被投诉人1：</w:t>
      </w:r>
      <w:r>
        <w:rPr>
          <w:rFonts w:hint="eastAsia" w:ascii="宋体" w:hAnsi="宋体" w:cs="宋体"/>
          <w:sz w:val="24"/>
          <w:u w:val="dotted"/>
        </w:rPr>
        <w:t xml:space="preserve">                                           </w:t>
      </w:r>
      <w:r>
        <w:rPr>
          <w:rFonts w:hint="eastAsia" w:ascii="宋体" w:hAnsi="宋体" w:cs="宋体"/>
          <w:sz w:val="24"/>
          <w:u w:val="single"/>
        </w:rPr>
        <w:t xml:space="preserve">  </w:t>
      </w:r>
    </w:p>
    <w:p w14:paraId="28CE9F47">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19C13B9D">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518C131">
      <w:pPr>
        <w:spacing w:line="360" w:lineRule="auto"/>
        <w:rPr>
          <w:rFonts w:hint="eastAsia" w:ascii="宋体" w:hAnsi="宋体" w:cs="宋体"/>
          <w:sz w:val="24"/>
        </w:rPr>
      </w:pPr>
      <w:r>
        <w:rPr>
          <w:rFonts w:hint="eastAsia" w:ascii="宋体" w:hAnsi="宋体" w:cs="宋体"/>
          <w:sz w:val="24"/>
        </w:rPr>
        <w:t>被投诉人2</w:t>
      </w:r>
    </w:p>
    <w:p w14:paraId="41B82F65">
      <w:pPr>
        <w:spacing w:line="360" w:lineRule="auto"/>
        <w:rPr>
          <w:rFonts w:hint="eastAsia" w:ascii="宋体" w:hAnsi="宋体" w:cs="宋体"/>
          <w:sz w:val="24"/>
          <w:u w:val="dotted"/>
        </w:rPr>
      </w:pPr>
      <w:r>
        <w:rPr>
          <w:rFonts w:hint="eastAsia" w:ascii="宋体" w:hAnsi="宋体" w:cs="宋体"/>
          <w:sz w:val="24"/>
        </w:rPr>
        <w:t>……</w:t>
      </w:r>
    </w:p>
    <w:p w14:paraId="51FF112E">
      <w:pPr>
        <w:spacing w:line="360" w:lineRule="auto"/>
        <w:rPr>
          <w:rFonts w:hint="eastAsia" w:ascii="宋体" w:hAnsi="宋体" w:cs="宋体"/>
          <w:sz w:val="24"/>
          <w:u w:val="single"/>
        </w:rPr>
      </w:pPr>
      <w:r>
        <w:rPr>
          <w:rFonts w:hint="eastAsia" w:ascii="宋体" w:hAnsi="宋体" w:cs="宋体"/>
          <w:sz w:val="24"/>
        </w:rPr>
        <w:t>相关供应商：</w:t>
      </w:r>
      <w:r>
        <w:rPr>
          <w:rFonts w:hint="eastAsia" w:ascii="宋体" w:hAnsi="宋体" w:cs="宋体"/>
          <w:sz w:val="24"/>
          <w:u w:val="dotted"/>
        </w:rPr>
        <w:t xml:space="preserve">                                           </w:t>
      </w:r>
      <w:r>
        <w:rPr>
          <w:rFonts w:hint="eastAsia" w:ascii="宋体" w:hAnsi="宋体" w:cs="宋体"/>
          <w:sz w:val="24"/>
          <w:u w:val="single"/>
        </w:rPr>
        <w:t xml:space="preserve">    </w:t>
      </w:r>
    </w:p>
    <w:p w14:paraId="4142E33C">
      <w:pPr>
        <w:spacing w:line="360" w:lineRule="auto"/>
        <w:rPr>
          <w:rFonts w:hint="eastAsia" w:ascii="宋体" w:hAnsi="宋体" w:cs="宋体"/>
          <w:sz w:val="24"/>
          <w:u w:val="single"/>
        </w:rPr>
      </w:pPr>
      <w:r>
        <w:rPr>
          <w:rFonts w:hint="eastAsia" w:ascii="宋体" w:hAnsi="宋体" w:cs="宋体"/>
          <w:sz w:val="24"/>
        </w:rPr>
        <w:t>地     址：</w:t>
      </w:r>
      <w:r>
        <w:rPr>
          <w:rFonts w:hint="eastAsia" w:ascii="宋体" w:hAnsi="宋体" w:cs="宋体"/>
          <w:sz w:val="24"/>
          <w:u w:val="dotted"/>
        </w:rPr>
        <w:t xml:space="preserve">                             </w:t>
      </w:r>
      <w:r>
        <w:rPr>
          <w:rFonts w:hint="eastAsia" w:ascii="宋体" w:hAnsi="宋体" w:cs="宋体"/>
          <w:sz w:val="24"/>
        </w:rPr>
        <w:t>邮编：</w:t>
      </w:r>
      <w:r>
        <w:rPr>
          <w:rFonts w:hint="eastAsia" w:ascii="宋体" w:hAnsi="宋体" w:cs="宋体"/>
          <w:sz w:val="24"/>
          <w:u w:val="dotted"/>
        </w:rPr>
        <w:t xml:space="preserve">          </w:t>
      </w:r>
      <w:r>
        <w:rPr>
          <w:rFonts w:hint="eastAsia" w:ascii="宋体" w:hAnsi="宋体" w:cs="宋体"/>
          <w:sz w:val="24"/>
          <w:u w:val="single"/>
        </w:rPr>
        <w:t xml:space="preserve"> </w:t>
      </w:r>
    </w:p>
    <w:p w14:paraId="3E144040">
      <w:pPr>
        <w:spacing w:line="360" w:lineRule="auto"/>
        <w:rPr>
          <w:rFonts w:hint="eastAsia" w:ascii="宋体" w:hAnsi="宋体" w:cs="宋体"/>
          <w:sz w:val="24"/>
          <w:u w:val="single"/>
        </w:rPr>
      </w:pPr>
      <w:r>
        <w:rPr>
          <w:rFonts w:hint="eastAsia" w:ascii="宋体" w:hAnsi="宋体" w:cs="宋体"/>
          <w:sz w:val="24"/>
        </w:rPr>
        <w:t>联系人：</w:t>
      </w:r>
      <w:r>
        <w:rPr>
          <w:rFonts w:hint="eastAsia" w:ascii="宋体" w:hAnsi="宋体" w:cs="宋体"/>
          <w:sz w:val="24"/>
          <w:u w:val="dotted"/>
        </w:rPr>
        <w:t xml:space="preserve">               </w:t>
      </w:r>
      <w:r>
        <w:rPr>
          <w:rFonts w:hint="eastAsia" w:ascii="宋体" w:hAnsi="宋体" w:cs="宋体"/>
          <w:sz w:val="24"/>
        </w:rPr>
        <w:t>联系电话：</w:t>
      </w:r>
      <w:r>
        <w:rPr>
          <w:rFonts w:hint="eastAsia" w:ascii="宋体" w:hAnsi="宋体" w:cs="宋体"/>
          <w:sz w:val="24"/>
          <w:u w:val="dotted"/>
        </w:rPr>
        <w:t xml:space="preserve">                      </w:t>
      </w:r>
      <w:r>
        <w:rPr>
          <w:rFonts w:hint="eastAsia" w:ascii="宋体" w:hAnsi="宋体" w:cs="宋体"/>
          <w:sz w:val="24"/>
          <w:u w:val="single"/>
        </w:rPr>
        <w:t xml:space="preserve">      </w:t>
      </w:r>
    </w:p>
    <w:p w14:paraId="29F1ADB8">
      <w:pPr>
        <w:spacing w:line="360" w:lineRule="auto"/>
        <w:rPr>
          <w:rFonts w:hint="eastAsia" w:ascii="宋体" w:hAnsi="宋体" w:cs="宋体"/>
          <w:sz w:val="24"/>
        </w:rPr>
      </w:pPr>
      <w:r>
        <w:rPr>
          <w:rFonts w:hint="eastAsia" w:ascii="宋体" w:hAnsi="宋体" w:cs="宋体"/>
          <w:sz w:val="24"/>
        </w:rPr>
        <w:t>二、投诉项目基本情况</w:t>
      </w:r>
    </w:p>
    <w:p w14:paraId="37A236D9">
      <w:pPr>
        <w:spacing w:line="360" w:lineRule="auto"/>
        <w:rPr>
          <w:rFonts w:hint="eastAsia" w:ascii="宋体" w:hAnsi="宋体" w:cs="宋体"/>
          <w:sz w:val="24"/>
          <w:u w:val="dotted"/>
        </w:rPr>
      </w:pPr>
      <w:r>
        <w:rPr>
          <w:rFonts w:hint="eastAsia" w:ascii="宋体" w:hAnsi="宋体" w:cs="宋体"/>
          <w:sz w:val="24"/>
        </w:rPr>
        <w:t>采购项目名称：</w:t>
      </w:r>
      <w:r>
        <w:rPr>
          <w:rFonts w:hint="eastAsia" w:ascii="宋体" w:hAnsi="宋体" w:cs="宋体"/>
          <w:sz w:val="24"/>
          <w:u w:val="dotted"/>
        </w:rPr>
        <w:t xml:space="preserve">                                        </w:t>
      </w:r>
    </w:p>
    <w:p w14:paraId="651EF5DA">
      <w:pPr>
        <w:spacing w:line="360" w:lineRule="auto"/>
        <w:rPr>
          <w:rFonts w:hint="eastAsia" w:ascii="宋体" w:hAnsi="宋体" w:cs="宋体"/>
          <w:sz w:val="24"/>
          <w:u w:val="single"/>
        </w:rPr>
      </w:pPr>
      <w:r>
        <w:rPr>
          <w:rFonts w:hint="eastAsia" w:ascii="宋体" w:hAnsi="宋体" w:cs="宋体"/>
          <w:sz w:val="24"/>
        </w:rPr>
        <w:t>采购项目编号：</w:t>
      </w:r>
      <w:r>
        <w:rPr>
          <w:rFonts w:hint="eastAsia" w:ascii="宋体" w:hAnsi="宋体" w:cs="宋体"/>
          <w:sz w:val="24"/>
          <w:u w:val="dotted"/>
        </w:rPr>
        <w:t xml:space="preserve">                 </w:t>
      </w:r>
      <w:r>
        <w:rPr>
          <w:rFonts w:hint="eastAsia" w:ascii="宋体" w:hAnsi="宋体" w:cs="宋体"/>
          <w:sz w:val="24"/>
        </w:rPr>
        <w:t>包号：</w:t>
      </w:r>
      <w:r>
        <w:rPr>
          <w:rFonts w:hint="eastAsia" w:ascii="宋体" w:hAnsi="宋体" w:cs="宋体"/>
          <w:sz w:val="24"/>
          <w:u w:val="dotted"/>
        </w:rPr>
        <w:t xml:space="preserve">              </w:t>
      </w:r>
    </w:p>
    <w:p w14:paraId="6FCA8FEC">
      <w:pPr>
        <w:spacing w:line="360" w:lineRule="auto"/>
        <w:rPr>
          <w:rFonts w:hint="eastAsia" w:ascii="宋体" w:hAnsi="宋体" w:cs="宋体"/>
          <w:sz w:val="24"/>
        </w:rPr>
      </w:pPr>
      <w:r>
        <w:rPr>
          <w:rFonts w:hint="eastAsia" w:ascii="宋体" w:hAnsi="宋体" w:cs="宋体"/>
          <w:sz w:val="24"/>
        </w:rPr>
        <w:t>采购人名称：</w:t>
      </w:r>
      <w:r>
        <w:rPr>
          <w:rFonts w:hint="eastAsia" w:ascii="宋体" w:hAnsi="宋体" w:cs="宋体"/>
          <w:sz w:val="24"/>
          <w:u w:val="dotted"/>
        </w:rPr>
        <w:t xml:space="preserve">                                           </w:t>
      </w:r>
      <w:r>
        <w:rPr>
          <w:rFonts w:hint="eastAsia" w:ascii="宋体" w:hAnsi="宋体" w:cs="宋体"/>
          <w:sz w:val="24"/>
          <w:u w:val="single"/>
        </w:rPr>
        <w:t xml:space="preserve">  </w:t>
      </w:r>
    </w:p>
    <w:p w14:paraId="490047DF">
      <w:pPr>
        <w:spacing w:line="360" w:lineRule="auto"/>
        <w:rPr>
          <w:rFonts w:hint="eastAsia" w:ascii="宋体" w:hAnsi="宋体" w:cs="宋体"/>
          <w:sz w:val="24"/>
          <w:u w:val="single"/>
        </w:rPr>
      </w:pPr>
      <w:r>
        <w:rPr>
          <w:rFonts w:hint="eastAsia" w:ascii="宋体" w:hAnsi="宋体" w:cs="宋体"/>
          <w:sz w:val="24"/>
        </w:rPr>
        <w:t>代理机构名称：</w:t>
      </w:r>
      <w:r>
        <w:rPr>
          <w:rFonts w:hint="eastAsia" w:ascii="宋体" w:hAnsi="宋体" w:cs="宋体"/>
          <w:sz w:val="24"/>
          <w:u w:val="dotted"/>
        </w:rPr>
        <w:t xml:space="preserve">                                         </w:t>
      </w:r>
    </w:p>
    <w:p w14:paraId="2AD208A9">
      <w:pPr>
        <w:spacing w:line="360" w:lineRule="auto"/>
        <w:rPr>
          <w:rFonts w:hint="eastAsia" w:ascii="宋体" w:hAnsi="宋体" w:cs="宋体"/>
          <w:sz w:val="24"/>
          <w:u w:val="dotted"/>
        </w:rPr>
      </w:pPr>
      <w:r>
        <w:rPr>
          <w:rFonts w:hint="eastAsia" w:ascii="宋体" w:hAnsi="宋体" w:cs="宋体"/>
          <w:sz w:val="24"/>
        </w:rPr>
        <w:t>采购文件公告: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56A2FC48">
      <w:pPr>
        <w:spacing w:line="360" w:lineRule="auto"/>
        <w:rPr>
          <w:rFonts w:hint="eastAsia" w:ascii="宋体" w:hAnsi="宋体" w:cs="宋体"/>
          <w:sz w:val="24"/>
          <w:u w:val="single"/>
        </w:rPr>
      </w:pPr>
      <w:r>
        <w:rPr>
          <w:rFonts w:hint="eastAsia" w:ascii="宋体" w:hAnsi="宋体" w:cs="宋体"/>
          <w:sz w:val="24"/>
        </w:rPr>
        <w:t>采购结果公告:</w:t>
      </w:r>
      <w:r>
        <w:rPr>
          <w:rFonts w:hint="eastAsia" w:ascii="宋体" w:hAnsi="宋体" w:cs="宋体"/>
          <w:sz w:val="24"/>
          <w:u w:val="dotted"/>
        </w:rPr>
        <w:t xml:space="preserve">是/否 </w:t>
      </w:r>
      <w:r>
        <w:rPr>
          <w:rFonts w:hint="eastAsia" w:ascii="宋体" w:hAnsi="宋体" w:cs="宋体"/>
          <w:sz w:val="24"/>
        </w:rPr>
        <w:t>公告期限：</w:t>
      </w:r>
      <w:r>
        <w:rPr>
          <w:rFonts w:hint="eastAsia" w:ascii="宋体" w:hAnsi="宋体" w:cs="宋体"/>
          <w:sz w:val="24"/>
          <w:u w:val="dotted"/>
        </w:rPr>
        <w:t xml:space="preserve">                        </w:t>
      </w:r>
    </w:p>
    <w:p w14:paraId="45B53B89">
      <w:pPr>
        <w:spacing w:line="360" w:lineRule="auto"/>
        <w:rPr>
          <w:rFonts w:hint="eastAsia" w:ascii="宋体" w:hAnsi="宋体" w:cs="宋体"/>
          <w:sz w:val="24"/>
        </w:rPr>
      </w:pPr>
      <w:r>
        <w:rPr>
          <w:rFonts w:hint="eastAsia" w:ascii="宋体" w:hAnsi="宋体" w:cs="宋体"/>
          <w:sz w:val="24"/>
        </w:rPr>
        <w:t>三、质疑基本情况</w:t>
      </w:r>
    </w:p>
    <w:p w14:paraId="54B9C764">
      <w:pPr>
        <w:spacing w:line="360" w:lineRule="auto"/>
        <w:ind w:firstLine="480" w:firstLineChars="200"/>
        <w:rPr>
          <w:rFonts w:hint="eastAsia" w:ascii="宋体" w:hAnsi="宋体" w:cs="宋体"/>
          <w:sz w:val="24"/>
          <w:u w:val="dotted"/>
        </w:rPr>
      </w:pPr>
      <w:r>
        <w:rPr>
          <w:rFonts w:hint="eastAsia" w:ascii="宋体" w:hAnsi="宋体" w:cs="宋体"/>
          <w:sz w:val="24"/>
        </w:rPr>
        <w:t>投诉人于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日,向</w:t>
      </w:r>
      <w:r>
        <w:rPr>
          <w:rFonts w:hint="eastAsia" w:ascii="宋体" w:hAnsi="宋体" w:cs="宋体"/>
          <w:sz w:val="24"/>
          <w:u w:val="dotted"/>
        </w:rPr>
        <w:t xml:space="preserve">                   </w:t>
      </w:r>
      <w:r>
        <w:rPr>
          <w:rFonts w:hint="eastAsia" w:ascii="宋体" w:hAnsi="宋体" w:cs="宋体"/>
          <w:sz w:val="24"/>
        </w:rPr>
        <w:t>提出质疑，质疑事项为：</w:t>
      </w:r>
      <w:r>
        <w:rPr>
          <w:rFonts w:hint="eastAsia" w:ascii="宋体" w:hAnsi="宋体" w:cs="宋体"/>
          <w:sz w:val="24"/>
          <w:u w:val="dotted"/>
        </w:rPr>
        <w:t xml:space="preserve">                                </w:t>
      </w:r>
    </w:p>
    <w:p w14:paraId="7623323F">
      <w:pPr>
        <w:spacing w:line="360" w:lineRule="auto"/>
        <w:rPr>
          <w:rFonts w:hint="eastAsia" w:ascii="宋体" w:hAnsi="宋体" w:cs="宋体"/>
          <w:sz w:val="24"/>
          <w:u w:val="dotted"/>
        </w:rPr>
      </w:pPr>
      <w:r>
        <w:rPr>
          <w:rFonts w:hint="eastAsia" w:ascii="宋体" w:hAnsi="宋体" w:cs="宋体"/>
          <w:sz w:val="24"/>
          <w:u w:val="dotted"/>
        </w:rPr>
        <w:t xml:space="preserve">                                                     </w:t>
      </w:r>
      <w:r>
        <w:rPr>
          <w:rFonts w:hint="eastAsia" w:ascii="宋体" w:hAnsi="宋体" w:cs="宋体"/>
          <w:sz w:val="24"/>
        </w:rPr>
        <w:t xml:space="preserve">  </w:t>
      </w:r>
    </w:p>
    <w:p w14:paraId="3F4BA2CF">
      <w:pPr>
        <w:spacing w:line="360" w:lineRule="auto"/>
        <w:ind w:firstLine="360" w:firstLineChars="150"/>
        <w:rPr>
          <w:rFonts w:hint="eastAsia" w:ascii="宋体" w:hAnsi="宋体" w:cs="宋体"/>
          <w:sz w:val="24"/>
        </w:rPr>
      </w:pPr>
      <w:r>
        <w:rPr>
          <w:rFonts w:hint="eastAsia" w:ascii="宋体" w:hAnsi="宋体" w:cs="宋体"/>
          <w:sz w:val="24"/>
          <w:u w:val="dotted"/>
        </w:rPr>
        <w:t>采购人/代理机构</w:t>
      </w:r>
      <w:r>
        <w:rPr>
          <w:rFonts w:hint="eastAsia" w:ascii="宋体" w:hAnsi="宋体" w:cs="宋体"/>
          <w:sz w:val="24"/>
        </w:rPr>
        <w:t>于</w:t>
      </w:r>
      <w:r>
        <w:rPr>
          <w:rFonts w:hint="eastAsia" w:ascii="宋体" w:hAnsi="宋体" w:cs="宋体"/>
          <w:sz w:val="24"/>
          <w:u w:val="dotted"/>
        </w:rPr>
        <w:t xml:space="preserve">   </w:t>
      </w:r>
      <w:r>
        <w:rPr>
          <w:rFonts w:hint="eastAsia" w:ascii="宋体" w:hAnsi="宋体" w:cs="宋体"/>
          <w:sz w:val="24"/>
        </w:rPr>
        <w:t>年</w:t>
      </w:r>
      <w:r>
        <w:rPr>
          <w:rFonts w:hint="eastAsia" w:ascii="宋体" w:hAnsi="宋体" w:cs="宋体"/>
          <w:sz w:val="24"/>
          <w:u w:val="dotted"/>
        </w:rPr>
        <w:t xml:space="preserve">   </w:t>
      </w:r>
      <w:r>
        <w:rPr>
          <w:rFonts w:hint="eastAsia" w:ascii="宋体" w:hAnsi="宋体" w:cs="宋体"/>
          <w:sz w:val="24"/>
        </w:rPr>
        <w:t>月</w:t>
      </w:r>
      <w:r>
        <w:rPr>
          <w:rFonts w:hint="eastAsia" w:ascii="宋体" w:hAnsi="宋体" w:cs="宋体"/>
          <w:sz w:val="24"/>
          <w:u w:val="dotted"/>
        </w:rPr>
        <w:t xml:space="preserve">   </w:t>
      </w:r>
      <w:r>
        <w:rPr>
          <w:rFonts w:hint="eastAsia" w:ascii="宋体" w:hAnsi="宋体" w:cs="宋体"/>
          <w:sz w:val="24"/>
        </w:rPr>
        <w:t>日,就质疑事项作出了答复/没有在法定期限内作出答复。</w:t>
      </w:r>
    </w:p>
    <w:p w14:paraId="53B1A5DB">
      <w:pPr>
        <w:spacing w:line="360" w:lineRule="auto"/>
        <w:rPr>
          <w:rFonts w:hint="eastAsia" w:ascii="宋体" w:hAnsi="宋体" w:cs="宋体"/>
          <w:sz w:val="24"/>
        </w:rPr>
      </w:pPr>
      <w:r>
        <w:rPr>
          <w:rFonts w:hint="eastAsia" w:ascii="宋体" w:hAnsi="宋体" w:cs="宋体"/>
          <w:sz w:val="24"/>
        </w:rPr>
        <w:t>四、投诉事项具体内容</w:t>
      </w:r>
    </w:p>
    <w:p w14:paraId="6134A769">
      <w:pPr>
        <w:spacing w:line="360" w:lineRule="auto"/>
        <w:rPr>
          <w:rFonts w:hint="eastAsia" w:ascii="宋体" w:hAnsi="宋体" w:cs="宋体"/>
          <w:sz w:val="24"/>
          <w:u w:val="single"/>
        </w:rPr>
      </w:pPr>
      <w:r>
        <w:rPr>
          <w:rFonts w:hint="eastAsia" w:ascii="宋体" w:hAnsi="宋体" w:cs="宋体"/>
          <w:sz w:val="24"/>
        </w:rPr>
        <w:t>投诉事项 1：</w:t>
      </w:r>
      <w:r>
        <w:rPr>
          <w:rFonts w:hint="eastAsia" w:ascii="宋体" w:hAnsi="宋体" w:cs="宋体"/>
          <w:sz w:val="24"/>
          <w:u w:val="dotted"/>
        </w:rPr>
        <w:t xml:space="preserve">                                       </w:t>
      </w:r>
    </w:p>
    <w:p w14:paraId="3C0753B7">
      <w:pPr>
        <w:spacing w:line="360" w:lineRule="auto"/>
        <w:rPr>
          <w:rFonts w:hint="eastAsia" w:ascii="宋体" w:hAnsi="宋体" w:cs="宋体"/>
          <w:sz w:val="24"/>
        </w:rPr>
      </w:pPr>
      <w:r>
        <w:rPr>
          <w:rFonts w:hint="eastAsia" w:ascii="宋体" w:hAnsi="宋体" w:cs="宋体"/>
          <w:sz w:val="24"/>
        </w:rPr>
        <w:t>事实依据：</w:t>
      </w:r>
      <w:r>
        <w:rPr>
          <w:rFonts w:hint="eastAsia" w:ascii="宋体" w:hAnsi="宋体" w:cs="宋体"/>
          <w:sz w:val="24"/>
          <w:u w:val="dotted"/>
        </w:rPr>
        <w:t xml:space="preserve">                                         </w:t>
      </w:r>
    </w:p>
    <w:p w14:paraId="002374E4">
      <w:pPr>
        <w:spacing w:line="360" w:lineRule="auto"/>
        <w:rPr>
          <w:rFonts w:hint="eastAsia" w:ascii="宋体" w:hAnsi="宋体" w:cs="宋体"/>
          <w:sz w:val="24"/>
          <w:u w:val="dotted"/>
        </w:rPr>
      </w:pPr>
      <w:r>
        <w:rPr>
          <w:rFonts w:hint="eastAsia" w:ascii="宋体" w:hAnsi="宋体" w:cs="宋体"/>
          <w:sz w:val="24"/>
          <w:u w:val="dotted"/>
        </w:rPr>
        <w:t xml:space="preserve">                                                      </w:t>
      </w:r>
    </w:p>
    <w:p w14:paraId="6B480766">
      <w:pPr>
        <w:spacing w:line="360" w:lineRule="auto"/>
        <w:rPr>
          <w:rFonts w:hint="eastAsia" w:ascii="宋体" w:hAnsi="宋体" w:cs="宋体"/>
          <w:sz w:val="24"/>
          <w:u w:val="single"/>
        </w:rPr>
      </w:pPr>
      <w:r>
        <w:rPr>
          <w:rFonts w:hint="eastAsia" w:ascii="宋体" w:hAnsi="宋体" w:cs="宋体"/>
          <w:sz w:val="24"/>
        </w:rPr>
        <w:t>法律依据：</w:t>
      </w:r>
      <w:r>
        <w:rPr>
          <w:rFonts w:hint="eastAsia" w:ascii="宋体" w:hAnsi="宋体" w:cs="宋体"/>
          <w:sz w:val="24"/>
          <w:u w:val="dotted"/>
        </w:rPr>
        <w:t xml:space="preserve">                                          </w:t>
      </w:r>
    </w:p>
    <w:p w14:paraId="4550B337">
      <w:pPr>
        <w:spacing w:line="360" w:lineRule="auto"/>
        <w:rPr>
          <w:rFonts w:hint="eastAsia" w:ascii="宋体" w:hAnsi="宋体" w:cs="宋体"/>
          <w:sz w:val="24"/>
          <w:u w:val="dotted"/>
        </w:rPr>
      </w:pPr>
      <w:r>
        <w:rPr>
          <w:rFonts w:hint="eastAsia" w:ascii="宋体" w:hAnsi="宋体" w:cs="宋体"/>
          <w:sz w:val="24"/>
          <w:u w:val="dotted"/>
        </w:rPr>
        <w:t xml:space="preserve">                                                      </w:t>
      </w:r>
    </w:p>
    <w:p w14:paraId="43F82111">
      <w:pPr>
        <w:spacing w:line="360" w:lineRule="auto"/>
        <w:rPr>
          <w:rFonts w:hint="eastAsia" w:ascii="宋体" w:hAnsi="宋体" w:cs="宋体"/>
          <w:sz w:val="24"/>
        </w:rPr>
      </w:pPr>
      <w:r>
        <w:rPr>
          <w:rFonts w:hint="eastAsia" w:ascii="宋体" w:hAnsi="宋体" w:cs="宋体"/>
          <w:sz w:val="24"/>
        </w:rPr>
        <w:t>投诉事项2</w:t>
      </w:r>
    </w:p>
    <w:p w14:paraId="21196C15">
      <w:pPr>
        <w:spacing w:line="360" w:lineRule="auto"/>
        <w:rPr>
          <w:rFonts w:hint="eastAsia" w:ascii="宋体" w:hAnsi="宋体" w:cs="宋体"/>
          <w:sz w:val="24"/>
          <w:u w:val="dotted"/>
        </w:rPr>
      </w:pPr>
      <w:r>
        <w:rPr>
          <w:rFonts w:hint="eastAsia" w:ascii="宋体" w:hAnsi="宋体" w:cs="宋体"/>
          <w:sz w:val="24"/>
        </w:rPr>
        <w:t>……</w:t>
      </w:r>
    </w:p>
    <w:p w14:paraId="67543279">
      <w:pPr>
        <w:spacing w:line="360" w:lineRule="auto"/>
        <w:rPr>
          <w:rFonts w:hint="eastAsia" w:ascii="宋体" w:hAnsi="宋体" w:cs="宋体"/>
          <w:sz w:val="24"/>
        </w:rPr>
      </w:pPr>
      <w:r>
        <w:rPr>
          <w:rFonts w:hint="eastAsia" w:ascii="宋体" w:hAnsi="宋体" w:cs="宋体"/>
          <w:sz w:val="24"/>
        </w:rPr>
        <w:t>五、与投诉事项相关的投诉请求</w:t>
      </w:r>
    </w:p>
    <w:p w14:paraId="24214BC9">
      <w:pPr>
        <w:spacing w:line="360" w:lineRule="auto"/>
        <w:rPr>
          <w:rFonts w:hint="eastAsia" w:ascii="宋体" w:hAnsi="宋体" w:cs="宋体"/>
          <w:sz w:val="24"/>
        </w:rPr>
      </w:pPr>
      <w:r>
        <w:rPr>
          <w:rFonts w:hint="eastAsia" w:ascii="宋体" w:hAnsi="宋体" w:cs="宋体"/>
          <w:sz w:val="24"/>
        </w:rPr>
        <w:t>请求：</w:t>
      </w:r>
      <w:r>
        <w:rPr>
          <w:rFonts w:hint="eastAsia" w:ascii="宋体" w:hAnsi="宋体" w:cs="宋体"/>
          <w:sz w:val="24"/>
          <w:u w:val="dotted"/>
        </w:rPr>
        <w:t xml:space="preserve">                                              </w:t>
      </w:r>
      <w:r>
        <w:rPr>
          <w:rFonts w:hint="eastAsia" w:ascii="宋体" w:hAnsi="宋体" w:cs="宋体"/>
          <w:sz w:val="24"/>
        </w:rPr>
        <w:t xml:space="preserve"> </w:t>
      </w:r>
    </w:p>
    <w:p w14:paraId="2C653337">
      <w:pPr>
        <w:spacing w:line="360" w:lineRule="auto"/>
        <w:rPr>
          <w:rFonts w:hint="eastAsia" w:ascii="宋体" w:hAnsi="宋体" w:cs="宋体"/>
          <w:sz w:val="24"/>
          <w:u w:val="single"/>
        </w:rPr>
      </w:pPr>
      <w:r>
        <w:rPr>
          <w:rFonts w:hint="eastAsia" w:ascii="宋体" w:hAnsi="宋体" w:cs="宋体"/>
          <w:sz w:val="24"/>
        </w:rPr>
        <w:t xml:space="preserve">                                                                                                    </w:t>
      </w:r>
    </w:p>
    <w:p w14:paraId="416A8C9D">
      <w:pPr>
        <w:spacing w:line="360" w:lineRule="auto"/>
        <w:rPr>
          <w:rFonts w:hint="eastAsia" w:ascii="宋体" w:hAnsi="宋体" w:cs="宋体"/>
          <w:sz w:val="24"/>
        </w:rPr>
      </w:pPr>
      <w:r>
        <w:rPr>
          <w:rFonts w:hint="eastAsia" w:ascii="宋体" w:hAnsi="宋体" w:cs="宋体"/>
          <w:sz w:val="24"/>
        </w:rPr>
        <w:t xml:space="preserve">签字(签章)：                   公章：                      </w:t>
      </w:r>
    </w:p>
    <w:p w14:paraId="2FA12F63">
      <w:pPr>
        <w:spacing w:line="360" w:lineRule="auto"/>
        <w:rPr>
          <w:rFonts w:hint="eastAsia" w:ascii="宋体" w:hAnsi="宋体" w:cs="宋体"/>
          <w:sz w:val="24"/>
        </w:rPr>
      </w:pPr>
      <w:r>
        <w:rPr>
          <w:rFonts w:hint="eastAsia" w:ascii="宋体" w:hAnsi="宋体" w:cs="宋体"/>
          <w:sz w:val="24"/>
        </w:rPr>
        <w:t xml:space="preserve">日期：    </w:t>
      </w:r>
    </w:p>
    <w:p w14:paraId="55A3C653">
      <w:pPr>
        <w:spacing w:line="360" w:lineRule="auto"/>
        <w:rPr>
          <w:rFonts w:hint="eastAsia" w:ascii="宋体" w:hAnsi="宋体" w:cs="宋体"/>
          <w:b/>
          <w:sz w:val="24"/>
        </w:rPr>
      </w:pPr>
    </w:p>
    <w:p w14:paraId="06FC446F">
      <w:pPr>
        <w:spacing w:line="360" w:lineRule="auto"/>
        <w:rPr>
          <w:rFonts w:hint="eastAsia" w:ascii="宋体" w:hAnsi="宋体" w:cs="宋体"/>
          <w:b/>
          <w:sz w:val="24"/>
        </w:rPr>
      </w:pPr>
      <w:r>
        <w:rPr>
          <w:rFonts w:hint="eastAsia" w:ascii="宋体" w:hAnsi="宋体" w:cs="宋体"/>
          <w:b/>
          <w:sz w:val="24"/>
        </w:rPr>
        <w:t>投诉书制作说明：</w:t>
      </w:r>
    </w:p>
    <w:p w14:paraId="16DA077B">
      <w:pPr>
        <w:widowControl/>
        <w:spacing w:line="360" w:lineRule="auto"/>
        <w:ind w:firstLine="480" w:firstLineChars="200"/>
        <w:rPr>
          <w:rFonts w:hint="eastAsia" w:ascii="宋体" w:hAnsi="宋体" w:cs="宋体"/>
          <w:kern w:val="0"/>
          <w:sz w:val="24"/>
        </w:rPr>
      </w:pPr>
      <w:r>
        <w:rPr>
          <w:rFonts w:hint="eastAsia" w:ascii="宋体" w:hAnsi="宋体" w:cs="宋体"/>
          <w:sz w:val="24"/>
        </w:rPr>
        <w:t>1.投诉人提起投诉时，应当提交投诉书和必要的证明材料，并按照被投诉人和与投诉事项有关的供应商数量提供投诉书副本。</w:t>
      </w:r>
    </w:p>
    <w:p w14:paraId="455DB327">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2.投诉人若委托代理人进行投诉的，投诉书应按照要求列明“授权代表”的有关内容，并在附件中提交由</w:t>
      </w:r>
      <w:r>
        <w:rPr>
          <w:rFonts w:hint="eastAsia" w:ascii="宋体" w:hAnsi="宋体" w:cs="宋体"/>
          <w:kern w:val="0"/>
          <w:sz w:val="24"/>
        </w:rPr>
        <w:t>投诉人签署的授权委托书。授权委托书应当载明代理人的姓名或者名称、代理事项、具体权限、期限和相关事项。</w:t>
      </w:r>
    </w:p>
    <w:p w14:paraId="36AEC539">
      <w:pPr>
        <w:widowControl/>
        <w:spacing w:line="360" w:lineRule="auto"/>
        <w:ind w:firstLine="480" w:firstLineChars="200"/>
        <w:jc w:val="left"/>
        <w:rPr>
          <w:rFonts w:hint="eastAsia" w:ascii="宋体" w:hAnsi="宋体" w:cs="宋体"/>
          <w:sz w:val="24"/>
        </w:rPr>
      </w:pPr>
      <w:r>
        <w:rPr>
          <w:rFonts w:hint="eastAsia" w:ascii="宋体" w:hAnsi="宋体" w:cs="宋体"/>
          <w:sz w:val="24"/>
        </w:rPr>
        <w:t>3.投诉人若对项目的某一分包进行投诉，投诉书应列明具体分包号。</w:t>
      </w:r>
    </w:p>
    <w:p w14:paraId="69D0DE51">
      <w:pPr>
        <w:widowControl/>
        <w:spacing w:line="360" w:lineRule="auto"/>
        <w:ind w:firstLine="480" w:firstLineChars="200"/>
        <w:jc w:val="left"/>
        <w:rPr>
          <w:rFonts w:hint="eastAsia" w:ascii="宋体" w:hAnsi="宋体" w:cs="宋体"/>
          <w:sz w:val="24"/>
        </w:rPr>
      </w:pPr>
      <w:r>
        <w:rPr>
          <w:rFonts w:hint="eastAsia" w:ascii="宋体" w:hAnsi="宋体" w:cs="宋体"/>
          <w:sz w:val="24"/>
        </w:rPr>
        <w:t>4.投诉书应简要列明质疑事项，质疑函、质疑答复等作为附件材料提供。</w:t>
      </w:r>
    </w:p>
    <w:p w14:paraId="0CEDB5A0">
      <w:pPr>
        <w:widowControl/>
        <w:spacing w:line="360" w:lineRule="auto"/>
        <w:ind w:firstLine="480" w:firstLineChars="200"/>
        <w:jc w:val="left"/>
        <w:rPr>
          <w:rFonts w:hint="eastAsia" w:ascii="宋体" w:hAnsi="宋体" w:cs="宋体"/>
          <w:sz w:val="24"/>
        </w:rPr>
      </w:pPr>
      <w:r>
        <w:rPr>
          <w:rFonts w:hint="eastAsia" w:ascii="宋体" w:hAnsi="宋体" w:cs="宋体"/>
          <w:sz w:val="24"/>
        </w:rPr>
        <w:t>5.投诉书的投诉事项应具体、明确，并有必要的事实依据和法律依据。</w:t>
      </w:r>
    </w:p>
    <w:p w14:paraId="165D79B1">
      <w:pPr>
        <w:widowControl/>
        <w:spacing w:line="360" w:lineRule="auto"/>
        <w:ind w:firstLine="480" w:firstLineChars="200"/>
        <w:jc w:val="left"/>
        <w:rPr>
          <w:rFonts w:hint="eastAsia" w:ascii="宋体" w:hAnsi="宋体" w:cs="宋体"/>
          <w:sz w:val="24"/>
        </w:rPr>
      </w:pPr>
      <w:r>
        <w:rPr>
          <w:rFonts w:hint="eastAsia" w:ascii="宋体" w:hAnsi="宋体" w:cs="宋体"/>
          <w:sz w:val="24"/>
        </w:rPr>
        <w:t>6.投诉书的投诉请求应与投诉事项相关。</w:t>
      </w:r>
    </w:p>
    <w:p w14:paraId="1B12487B">
      <w:pPr>
        <w:widowControl/>
        <w:spacing w:line="360" w:lineRule="auto"/>
        <w:ind w:firstLine="480" w:firstLineChars="200"/>
        <w:jc w:val="left"/>
        <w:rPr>
          <w:rFonts w:hint="eastAsia" w:ascii="宋体" w:hAnsi="宋体" w:cs="宋体"/>
          <w:kern w:val="0"/>
          <w:sz w:val="24"/>
        </w:rPr>
      </w:pPr>
      <w:r>
        <w:rPr>
          <w:rFonts w:hint="eastAsia" w:ascii="宋体" w:hAnsi="宋体" w:cs="宋体"/>
          <w:sz w:val="24"/>
        </w:rPr>
        <w:t>7.投诉人为自然人的，投诉书应当由本人签字；投诉人为法人或者其他组织的，投诉书应当由法定代表人、主要负责人，或者其授权代表签字或者盖章，并加盖公章。</w:t>
      </w:r>
    </w:p>
    <w:p w14:paraId="7ED2B5F2">
      <w:pPr>
        <w:autoSpaceDE w:val="0"/>
        <w:autoSpaceDN w:val="0"/>
        <w:jc w:val="center"/>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0D75129F">
      <w:pPr>
        <w:autoSpaceDE w:val="0"/>
        <w:autoSpaceDN w:val="0"/>
        <w:jc w:val="center"/>
        <w:rPr>
          <w:rFonts w:hint="eastAsia" w:ascii="宋体" w:hAnsi="宋体" w:cs="宋体"/>
          <w:b/>
          <w:bCs/>
          <w:sz w:val="32"/>
          <w:szCs w:val="32"/>
        </w:rPr>
      </w:pPr>
      <w:r>
        <w:rPr>
          <w:rFonts w:hint="eastAsia" w:ascii="宋体" w:hAnsi="宋体" w:cs="宋体"/>
          <w:b/>
          <w:spacing w:val="6"/>
          <w:sz w:val="32"/>
          <w:szCs w:val="32"/>
        </w:rPr>
        <w:t>附件4：</w:t>
      </w:r>
      <w:r>
        <w:rPr>
          <w:rFonts w:hint="eastAsia" w:ascii="宋体" w:hAnsi="宋体" w:cs="宋体"/>
          <w:b/>
          <w:bCs/>
          <w:sz w:val="32"/>
          <w:szCs w:val="32"/>
        </w:rPr>
        <w:t>业务专用章使用说明函</w:t>
      </w:r>
    </w:p>
    <w:p w14:paraId="5F581309">
      <w:pPr>
        <w:spacing w:line="360" w:lineRule="auto"/>
        <w:rPr>
          <w:rFonts w:hint="eastAsia" w:ascii="宋体" w:hAnsi="宋体" w:cs="宋体"/>
          <w:sz w:val="24"/>
        </w:rPr>
      </w:pPr>
      <w:r>
        <w:rPr>
          <w:rFonts w:hint="eastAsia" w:ascii="宋体" w:hAnsi="宋体" w:cs="宋体"/>
          <w:sz w:val="24"/>
          <w:u w:val="single"/>
        </w:rPr>
        <w:t>（采购人）、（采购代理机构）</w:t>
      </w:r>
    </w:p>
    <w:p w14:paraId="50DF1FBA">
      <w:pPr>
        <w:spacing w:line="360" w:lineRule="auto"/>
        <w:ind w:firstLine="480" w:firstLineChars="200"/>
        <w:rPr>
          <w:rFonts w:hint="eastAsia" w:ascii="宋体" w:hAnsi="宋体" w:cs="宋体"/>
          <w:sz w:val="24"/>
        </w:rPr>
      </w:pPr>
      <w:r>
        <w:rPr>
          <w:rFonts w:hint="eastAsia" w:ascii="宋体" w:hAnsi="宋体" w:cs="宋体"/>
          <w:kern w:val="0"/>
          <w:sz w:val="24"/>
          <w:lang w:val="zh-CN"/>
        </w:rPr>
        <w:t>我方</w:t>
      </w:r>
      <w:r>
        <w:rPr>
          <w:rFonts w:hint="eastAsia" w:ascii="宋体" w:hAnsi="宋体" w:cs="宋体"/>
          <w:sz w:val="24"/>
        </w:rPr>
        <w:t>(投标人全称)是中华人民共和国依法登记注册的合法企业，</w:t>
      </w:r>
      <w:r>
        <w:rPr>
          <w:rFonts w:hint="eastAsia" w:ascii="宋体" w:hAnsi="宋体" w:cs="宋体"/>
          <w:bCs/>
          <w:sz w:val="24"/>
        </w:rPr>
        <w:t>在参加</w:t>
      </w:r>
      <w:r>
        <w:rPr>
          <w:rFonts w:hint="eastAsia" w:ascii="宋体" w:hAnsi="宋体" w:cs="宋体"/>
          <w:sz w:val="24"/>
        </w:rPr>
        <w:t>你方组织的（项目名称）项目【招标编号：（采购编号）】</w:t>
      </w:r>
      <w:r>
        <w:rPr>
          <w:rFonts w:hint="eastAsia" w:ascii="宋体" w:hAnsi="宋体" w:cs="宋体"/>
          <w:bCs/>
          <w:sz w:val="24"/>
        </w:rPr>
        <w:t>投标活动中作如下说明：</w:t>
      </w:r>
      <w:r>
        <w:rPr>
          <w:rFonts w:hint="eastAsia" w:ascii="宋体" w:hAnsi="宋体" w:cs="宋体"/>
          <w:sz w:val="24"/>
        </w:rPr>
        <w:t xml:space="preserve">我方所使用的“XX专用章”与法定名称章具有同等的法律效力，对使用“XX专用章”的行为予以完全承认，并愿意承担相应责任。   </w:t>
      </w:r>
    </w:p>
    <w:p w14:paraId="1AD10C26">
      <w:pPr>
        <w:spacing w:line="360" w:lineRule="auto"/>
        <w:ind w:firstLine="480" w:firstLineChars="200"/>
        <w:rPr>
          <w:rFonts w:hint="eastAsia" w:ascii="宋体" w:hAnsi="宋体" w:cs="宋体"/>
          <w:sz w:val="24"/>
        </w:rPr>
      </w:pPr>
      <w:r>
        <w:rPr>
          <w:rFonts w:hint="eastAsia" w:ascii="宋体" w:hAnsi="宋体" w:cs="宋体"/>
          <w:sz w:val="24"/>
        </w:rPr>
        <w:t>特此说明。</w:t>
      </w:r>
    </w:p>
    <w:p w14:paraId="60CBBEA8">
      <w:pPr>
        <w:spacing w:line="360" w:lineRule="auto"/>
        <w:ind w:firstLine="494"/>
        <w:rPr>
          <w:rFonts w:hint="eastAsia" w:ascii="宋体" w:hAnsi="宋体" w:cs="宋体"/>
          <w:sz w:val="24"/>
        </w:rPr>
      </w:pPr>
    </w:p>
    <w:p w14:paraId="035E1D5C">
      <w:pPr>
        <w:spacing w:line="360" w:lineRule="auto"/>
        <w:ind w:firstLine="494"/>
        <w:rPr>
          <w:rFonts w:hint="eastAsia" w:ascii="宋体" w:hAnsi="宋体" w:cs="宋体"/>
          <w:sz w:val="24"/>
        </w:rPr>
      </w:pPr>
    </w:p>
    <w:p w14:paraId="4C98FC3B">
      <w:pPr>
        <w:spacing w:line="360" w:lineRule="auto"/>
        <w:ind w:firstLine="494"/>
        <w:rPr>
          <w:rFonts w:hint="eastAsia" w:ascii="宋体" w:hAnsi="宋体" w:cs="宋体"/>
          <w:sz w:val="24"/>
        </w:rPr>
      </w:pPr>
    </w:p>
    <w:p w14:paraId="24114AE9">
      <w:pPr>
        <w:spacing w:line="360" w:lineRule="auto"/>
        <w:ind w:firstLine="494"/>
        <w:rPr>
          <w:rFonts w:hint="eastAsia" w:ascii="宋体" w:hAnsi="宋体" w:cs="宋体"/>
          <w:sz w:val="24"/>
        </w:rPr>
      </w:pPr>
    </w:p>
    <w:p w14:paraId="4673A090">
      <w:pPr>
        <w:spacing w:line="360" w:lineRule="auto"/>
        <w:ind w:right="480" w:firstLine="4080" w:firstLineChars="1700"/>
        <w:rPr>
          <w:rFonts w:hint="eastAsia" w:ascii="宋体" w:hAnsi="宋体" w:cs="宋体"/>
          <w:sz w:val="24"/>
        </w:rPr>
      </w:pPr>
      <w:r>
        <w:rPr>
          <w:rFonts w:hint="eastAsia" w:ascii="宋体" w:hAnsi="宋体" w:cs="宋体"/>
          <w:sz w:val="24"/>
        </w:rPr>
        <w:t>投标单位（法定名称章）：</w:t>
      </w:r>
    </w:p>
    <w:p w14:paraId="5CE39EEF">
      <w:pPr>
        <w:ind w:right="1440" w:firstLine="494"/>
        <w:jc w:val="center"/>
        <w:rPr>
          <w:rFonts w:hint="eastAsia" w:ascii="宋体" w:hAnsi="宋体" w:cs="宋体"/>
          <w:sz w:val="24"/>
        </w:rPr>
      </w:pPr>
      <w:r>
        <w:rPr>
          <w:rFonts w:hint="eastAsia" w:ascii="宋体" w:hAnsi="宋体" w:cs="宋体"/>
          <w:sz w:val="24"/>
        </w:rPr>
        <w:t xml:space="preserve">                              日期：       年     月     日</w:t>
      </w:r>
    </w:p>
    <w:p w14:paraId="235522DF">
      <w:pPr>
        <w:rPr>
          <w:rFonts w:hint="eastAsia" w:ascii="宋体" w:hAnsi="宋体" w:cs="宋体"/>
          <w:sz w:val="24"/>
        </w:rPr>
      </w:pPr>
      <w:r>
        <w:rPr>
          <w:rFonts w:hint="eastAsia" w:ascii="宋体" w:hAnsi="宋体" w:cs="宋体"/>
          <w:b/>
          <w:bCs/>
          <w:sz w:val="24"/>
        </w:rPr>
        <w:t>附：</w:t>
      </w:r>
    </w:p>
    <w:p w14:paraId="14279C02">
      <w:pPr>
        <w:spacing w:line="360" w:lineRule="auto"/>
        <w:rPr>
          <w:rFonts w:hint="eastAsia" w:ascii="宋体" w:hAnsi="宋体" w:cs="宋体"/>
          <w:bCs/>
          <w:sz w:val="24"/>
        </w:rPr>
      </w:pPr>
      <w:r>
        <w:rPr>
          <w:rFonts w:hint="eastAsia" w:ascii="宋体" w:hAnsi="宋体" w:cs="宋体"/>
          <w:b/>
          <w:bCs/>
          <w:sz w:val="24"/>
        </w:rPr>
        <mc:AlternateContent>
          <mc:Choice Requires="wps">
            <w:drawing>
              <wp:anchor distT="0" distB="0" distL="114300" distR="114300" simplePos="0" relativeHeight="251660288" behindDoc="1" locked="0" layoutInCell="1" allowOverlap="1">
                <wp:simplePos x="0" y="0"/>
                <wp:positionH relativeFrom="column">
                  <wp:posOffset>3034030</wp:posOffset>
                </wp:positionH>
                <wp:positionV relativeFrom="paragraph">
                  <wp:posOffset>356235</wp:posOffset>
                </wp:positionV>
                <wp:extent cx="2704465" cy="2253615"/>
                <wp:effectExtent l="5080" t="4445" r="14605" b="8890"/>
                <wp:wrapNone/>
                <wp:docPr id="41"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6192;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">
                <v:fill on="t" focussize="0,0"/>
                <v:stroke color="#000000" miterlimit="2" joinstyle="miter"/>
                <v:imagedata o:title=""/>
                <o:lock v:ext="edit" aspectratio="f"/>
              </v:rect>
            </w:pict>
          </mc:Fallback>
        </mc:AlternateContent>
      </w:r>
      <w:r>
        <w:rPr>
          <w:rFonts w:hint="eastAsia" w:ascii="宋体" w:hAnsi="宋体" w:cs="宋体"/>
          <w:b/>
          <w:bCs/>
          <w:sz w:val="24"/>
        </w:rPr>
        <mc:AlternateContent>
          <mc:Choice Requires="wps">
            <w:drawing>
              <wp:anchor distT="0" distB="0" distL="114300" distR="114300" simplePos="0" relativeHeight="251661312" behindDoc="1" locked="0" layoutInCell="1" allowOverlap="1">
                <wp:simplePos x="0" y="0"/>
                <wp:positionH relativeFrom="column">
                  <wp:posOffset>-91440</wp:posOffset>
                </wp:positionH>
                <wp:positionV relativeFrom="paragraph">
                  <wp:posOffset>384810</wp:posOffset>
                </wp:positionV>
                <wp:extent cx="2647950" cy="2253615"/>
                <wp:effectExtent l="5080" t="4445" r="13970" b="8890"/>
                <wp:wrapNone/>
                <wp:docPr id="51"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a:effectLst/>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5168;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BmMR6bYAAAACgEAAA8AAAAAAAAAAQAgAAAAIgAAAGRycy9kb3ducmV2LnhtbFBL&#10;AQIUABQAAAAIAIdO4kA7agQ1LwIAAIMEAAAOAAAAAAAAAAEAIAAAACcBAABkcnMvZTJvRG9jLnht&#10;bFBLBQYAAAAABgAGAFkBAADIBQAAAAA=&#10;">
                <v:fill on="t" focussize="0,0"/>
                <v:stroke color="#000000" miterlimit="2" joinstyle="miter"/>
                <v:imagedata o:title=""/>
                <o:lock v:ext="edit" aspectratio="f"/>
              </v:rect>
            </w:pict>
          </mc:Fallback>
        </mc:AlternateContent>
      </w:r>
      <w:r>
        <w:rPr>
          <w:rFonts w:hint="eastAsia" w:ascii="宋体" w:hAnsi="宋体" w:cs="宋体"/>
          <w:sz w:val="24"/>
        </w:rPr>
        <w:t>投标单位法定名称章（印模）                投标单位“XX专用章”（印模）</w:t>
      </w:r>
    </w:p>
    <w:p w14:paraId="4E98A7C8">
      <w:pPr>
        <w:autoSpaceDE w:val="0"/>
        <w:autoSpaceDN w:val="0"/>
        <w:jc w:val="center"/>
        <w:rPr>
          <w:rFonts w:hint="eastAsia" w:ascii="宋体" w:hAnsi="宋体" w:cs="宋体"/>
          <w:b/>
          <w:spacing w:val="6"/>
          <w:sz w:val="32"/>
          <w:szCs w:val="32"/>
        </w:rPr>
      </w:pPr>
    </w:p>
    <w:p w14:paraId="1FA401AC">
      <w:pPr>
        <w:autoSpaceDE w:val="0"/>
        <w:autoSpaceDN w:val="0"/>
        <w:jc w:val="center"/>
        <w:rPr>
          <w:rFonts w:hint="eastAsia" w:ascii="宋体" w:hAnsi="宋体" w:cs="宋体"/>
          <w:b/>
          <w:spacing w:val="6"/>
          <w:sz w:val="32"/>
          <w:szCs w:val="32"/>
        </w:rPr>
        <w:sectPr>
          <w:pgSz w:w="11906" w:h="16838"/>
          <w:pgMar w:top="1440" w:right="1418" w:bottom="1440" w:left="1418" w:header="851" w:footer="992" w:gutter="0"/>
          <w:cols w:space="0" w:num="1"/>
          <w:titlePg/>
          <w:docGrid w:linePitch="312" w:charSpace="0"/>
        </w:sectPr>
      </w:pPr>
    </w:p>
    <w:p w14:paraId="5767BE27">
      <w:pPr>
        <w:autoSpaceDE w:val="0"/>
        <w:autoSpaceDN w:val="0"/>
        <w:jc w:val="center"/>
        <w:rPr>
          <w:rFonts w:hint="eastAsia" w:ascii="宋体" w:hAnsi="宋体" w:cs="宋体"/>
          <w:b/>
          <w:sz w:val="32"/>
          <w:szCs w:val="32"/>
        </w:rPr>
      </w:pPr>
      <w:r>
        <w:rPr>
          <w:rFonts w:hint="eastAsia" w:ascii="宋体" w:hAnsi="宋体" w:cs="宋体"/>
          <w:b/>
          <w:spacing w:val="6"/>
          <w:sz w:val="32"/>
          <w:szCs w:val="32"/>
        </w:rPr>
        <w:t>附件5：</w:t>
      </w:r>
      <w:r>
        <w:rPr>
          <w:rFonts w:hint="eastAsia" w:ascii="宋体" w:hAnsi="宋体" w:cs="宋体"/>
          <w:b/>
          <w:sz w:val="32"/>
          <w:szCs w:val="32"/>
        </w:rPr>
        <w:t>中小企业声明函</w:t>
      </w:r>
    </w:p>
    <w:p w14:paraId="41F6BCA7">
      <w:pPr>
        <w:spacing w:line="360" w:lineRule="auto"/>
        <w:jc w:val="center"/>
        <w:rPr>
          <w:rFonts w:hint="eastAsia" w:ascii="宋体" w:hAnsi="宋体" w:cs="宋体"/>
          <w:b/>
          <w:sz w:val="32"/>
          <w:szCs w:val="32"/>
        </w:rPr>
      </w:pPr>
    </w:p>
    <w:p w14:paraId="31B02E62">
      <w:pPr>
        <w:spacing w:line="360" w:lineRule="auto"/>
        <w:jc w:val="center"/>
        <w:rPr>
          <w:rFonts w:hint="eastAsia" w:ascii="宋体" w:hAnsi="宋体" w:cs="宋体"/>
          <w:b/>
          <w:sz w:val="32"/>
          <w:szCs w:val="32"/>
        </w:rPr>
      </w:pPr>
      <w:r>
        <w:rPr>
          <w:rFonts w:hint="eastAsia" w:ascii="宋体" w:hAnsi="宋体" w:cs="宋体"/>
          <w:b/>
          <w:sz w:val="32"/>
          <w:szCs w:val="32"/>
        </w:rPr>
        <w:t>中小企业声明函（货物）</w:t>
      </w:r>
    </w:p>
    <w:p w14:paraId="4EF025AA">
      <w:pPr>
        <w:spacing w:line="360" w:lineRule="auto"/>
        <w:ind w:firstLine="480" w:firstLineChars="200"/>
        <w:rPr>
          <w:rFonts w:hint="eastAsia" w:ascii="宋体" w:hAnsi="宋体" w:cs="宋体"/>
          <w:sz w:val="24"/>
        </w:rPr>
      </w:pPr>
      <w:r>
        <w:rPr>
          <w:rFonts w:hint="eastAsia" w:ascii="宋体" w:hAnsi="宋体" w:cs="宋体"/>
          <w:sz w:val="24"/>
        </w:rPr>
        <w:t xml:space="preserve">本公司（联合体）郑重声明，根据《政府采购促进中小企业发展管理办法》（财库﹝2020﹞46 号）的规定，本公司（联合体）参加 </w:t>
      </w:r>
      <w:r>
        <w:rPr>
          <w:rFonts w:hint="eastAsia" w:ascii="宋体" w:hAnsi="宋体" w:cs="宋体"/>
          <w:color w:val="0000FF"/>
          <w:sz w:val="24"/>
          <w:u w:val="single"/>
        </w:rPr>
        <w:t>（采购人）</w:t>
      </w:r>
      <w:r>
        <w:rPr>
          <w:rFonts w:hint="eastAsia" w:ascii="宋体" w:hAnsi="宋体" w:cs="宋体"/>
          <w:sz w:val="24"/>
          <w:u w:val="single"/>
        </w:rPr>
        <w:t xml:space="preserve"> </w:t>
      </w:r>
      <w:r>
        <w:rPr>
          <w:rFonts w:hint="eastAsia" w:ascii="宋体" w:hAnsi="宋体" w:cs="宋体"/>
          <w:sz w:val="24"/>
        </w:rPr>
        <w:t xml:space="preserve">的 </w:t>
      </w:r>
      <w:r>
        <w:rPr>
          <w:rFonts w:hint="eastAsia" w:ascii="宋体" w:hAnsi="宋体" w:cs="宋体"/>
          <w:color w:val="0000FF"/>
          <w:sz w:val="24"/>
          <w:u w:val="single"/>
        </w:rPr>
        <w:t>（项目名称）</w:t>
      </w:r>
      <w:r>
        <w:rPr>
          <w:rFonts w:hint="eastAsia" w:ascii="宋体" w:hAnsi="宋体" w:cs="宋体"/>
          <w:sz w:val="24"/>
        </w:rPr>
        <w:t xml:space="preserve"> 采购活动，提供的货物全部由符合政策要求的中小企业制造。相关企业（含联合体中的中小企业、签订分包意向协议的中小企业）的具体情况如下：</w:t>
      </w:r>
    </w:p>
    <w:p w14:paraId="6DE1D035">
      <w:pPr>
        <w:spacing w:line="360" w:lineRule="auto"/>
        <w:ind w:firstLine="480" w:firstLineChars="200"/>
        <w:rPr>
          <w:rFonts w:hint="eastAsia" w:ascii="宋体" w:hAnsi="宋体" w:cs="宋体"/>
          <w:sz w:val="24"/>
        </w:rPr>
      </w:pPr>
      <w:r>
        <w:rPr>
          <w:rFonts w:hint="eastAsia" w:ascii="宋体" w:hAnsi="宋体" w:cs="宋体"/>
          <w:sz w:val="24"/>
        </w:rPr>
        <w:t>1.</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w:t>
      </w:r>
      <w:r>
        <w:rPr>
          <w:rFonts w:hint="eastAsia" w:ascii="宋体" w:hAnsi="宋体" w:cs="宋体"/>
          <w:color w:val="0000FF"/>
          <w:sz w:val="24"/>
        </w:rPr>
        <w:t xml:space="preserve">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0AFD7F36">
      <w:pPr>
        <w:spacing w:line="360" w:lineRule="auto"/>
        <w:ind w:firstLine="480" w:firstLineChars="200"/>
        <w:rPr>
          <w:rFonts w:hint="eastAsia" w:ascii="宋体" w:hAnsi="宋体" w:cs="宋体"/>
          <w:sz w:val="24"/>
        </w:rPr>
      </w:pPr>
      <w:r>
        <w:rPr>
          <w:rFonts w:hint="eastAsia" w:ascii="宋体" w:hAnsi="宋体" w:cs="宋体"/>
          <w:sz w:val="24"/>
        </w:rPr>
        <w:t>2.</w:t>
      </w:r>
      <w:r>
        <w:rPr>
          <w:rFonts w:hint="eastAsia" w:ascii="宋体" w:hAnsi="宋体" w:cs="宋体"/>
        </w:rPr>
        <w:t xml:space="preserve"> </w:t>
      </w:r>
      <w:r>
        <w:rPr>
          <w:rFonts w:hint="eastAsia" w:ascii="宋体" w:hAnsi="宋体" w:cs="宋体"/>
          <w:color w:val="0000FF"/>
          <w:sz w:val="24"/>
          <w:u w:val="single"/>
        </w:rPr>
        <w:t>（标的名称）</w:t>
      </w:r>
      <w:r>
        <w:rPr>
          <w:rFonts w:hint="eastAsia" w:ascii="宋体" w:hAnsi="宋体" w:cs="宋体"/>
          <w:sz w:val="24"/>
        </w:rPr>
        <w:t xml:space="preserve"> ，属于 </w:t>
      </w:r>
      <w:r>
        <w:rPr>
          <w:rFonts w:hint="eastAsia" w:ascii="宋体" w:hAnsi="宋体" w:cs="宋体"/>
          <w:color w:val="0000FF"/>
          <w:sz w:val="24"/>
          <w:u w:val="single"/>
        </w:rPr>
        <w:t>（采购文件中明确的所属行业）</w:t>
      </w:r>
      <w:r>
        <w:rPr>
          <w:rFonts w:hint="eastAsia" w:ascii="宋体" w:hAnsi="宋体" w:cs="宋体"/>
          <w:sz w:val="24"/>
        </w:rPr>
        <w:t>行业 ；制造商为</w:t>
      </w:r>
      <w:r>
        <w:rPr>
          <w:rFonts w:hint="eastAsia" w:ascii="宋体" w:hAnsi="宋体" w:cs="宋体"/>
          <w:sz w:val="24"/>
          <w:u w:val="single"/>
        </w:rPr>
        <w:t xml:space="preserve"> （企业名称）</w:t>
      </w:r>
      <w:r>
        <w:rPr>
          <w:rFonts w:hint="eastAsia" w:ascii="宋体" w:hAnsi="宋体" w:cs="宋体"/>
          <w:sz w:val="24"/>
        </w:rPr>
        <w:t xml:space="preserve"> ，从业人员</w:t>
      </w:r>
      <w:r>
        <w:rPr>
          <w:rFonts w:hint="eastAsia" w:ascii="宋体" w:hAnsi="宋体" w:cs="宋体"/>
          <w:sz w:val="24"/>
          <w:u w:val="single"/>
        </w:rPr>
        <w:t xml:space="preserve">  </w:t>
      </w:r>
      <w:r>
        <w:rPr>
          <w:rFonts w:hint="eastAsia" w:ascii="宋体" w:hAnsi="宋体" w:cs="宋体"/>
          <w:sz w:val="24"/>
        </w:rPr>
        <w:t>人，营业收入为</w:t>
      </w:r>
      <w:r>
        <w:rPr>
          <w:rFonts w:hint="eastAsia" w:ascii="宋体" w:hAnsi="宋体" w:cs="宋体"/>
          <w:sz w:val="24"/>
          <w:u w:val="single"/>
        </w:rPr>
        <w:t xml:space="preserve">  </w:t>
      </w:r>
      <w:r>
        <w:rPr>
          <w:rFonts w:hint="eastAsia" w:ascii="宋体" w:hAnsi="宋体" w:cs="宋体"/>
          <w:sz w:val="24"/>
        </w:rPr>
        <w:t>万元，资产总额为</w:t>
      </w:r>
      <w:r>
        <w:rPr>
          <w:rFonts w:hint="eastAsia" w:ascii="宋体" w:hAnsi="宋体" w:cs="宋体"/>
          <w:sz w:val="24"/>
          <w:u w:val="single"/>
        </w:rPr>
        <w:t xml:space="preserve">   </w:t>
      </w:r>
      <w:r>
        <w:rPr>
          <w:rFonts w:hint="eastAsia" w:ascii="宋体" w:hAnsi="宋体" w:cs="宋体"/>
          <w:sz w:val="24"/>
        </w:rPr>
        <w:t>万元，属于</w:t>
      </w:r>
      <w:r>
        <w:rPr>
          <w:rFonts w:hint="eastAsia" w:ascii="宋体" w:hAnsi="宋体" w:cs="宋体"/>
          <w:sz w:val="24"/>
          <w:u w:val="single"/>
        </w:rPr>
        <w:t xml:space="preserve"> （中型企业、小型企业、微型企业）</w:t>
      </w:r>
      <w:r>
        <w:rPr>
          <w:rFonts w:hint="eastAsia" w:ascii="宋体" w:hAnsi="宋体" w:cs="宋体"/>
          <w:sz w:val="24"/>
        </w:rPr>
        <w:t xml:space="preserve"> ；</w:t>
      </w:r>
    </w:p>
    <w:p w14:paraId="3A05FB22">
      <w:pPr>
        <w:spacing w:line="360" w:lineRule="auto"/>
        <w:ind w:firstLine="480" w:firstLineChars="200"/>
        <w:rPr>
          <w:rFonts w:hint="eastAsia" w:ascii="宋体" w:hAnsi="宋体" w:cs="宋体"/>
          <w:sz w:val="24"/>
        </w:rPr>
      </w:pPr>
      <w:r>
        <w:rPr>
          <w:rFonts w:hint="eastAsia" w:ascii="宋体" w:hAnsi="宋体" w:cs="宋体"/>
          <w:sz w:val="24"/>
        </w:rPr>
        <w:t>……</w:t>
      </w:r>
    </w:p>
    <w:p w14:paraId="128009E4">
      <w:pPr>
        <w:spacing w:line="360" w:lineRule="auto"/>
        <w:ind w:firstLine="480" w:firstLineChars="200"/>
        <w:rPr>
          <w:rFonts w:hint="eastAsia" w:ascii="宋体" w:hAnsi="宋体" w:cs="宋体"/>
          <w:sz w:val="24"/>
        </w:rPr>
      </w:pPr>
      <w:r>
        <w:rPr>
          <w:rFonts w:hint="eastAsia" w:ascii="宋体" w:hAnsi="宋体" w:cs="宋体"/>
          <w:sz w:val="24"/>
        </w:rPr>
        <w:t>以上企业，不属于大企业的分支机构，不存在控股股东为大企业的情形，也不存在与大企业的负责人为同一人的情形。</w:t>
      </w:r>
    </w:p>
    <w:p w14:paraId="55082EB1">
      <w:pPr>
        <w:spacing w:line="360" w:lineRule="auto"/>
        <w:ind w:firstLine="480" w:firstLineChars="200"/>
        <w:rPr>
          <w:rFonts w:hint="eastAsia" w:ascii="宋体" w:hAnsi="宋体" w:cs="宋体"/>
          <w:sz w:val="24"/>
        </w:rPr>
      </w:pPr>
      <w:r>
        <w:rPr>
          <w:rFonts w:hint="eastAsia" w:ascii="宋体" w:hAnsi="宋体" w:cs="宋体"/>
          <w:sz w:val="24"/>
        </w:rPr>
        <w:t>本企业对上述声明内容的真实性负责。如有虚假，将依法承担相应责任。</w:t>
      </w:r>
    </w:p>
    <w:p w14:paraId="35F4255A">
      <w:pPr>
        <w:snapToGrid w:val="0"/>
        <w:spacing w:line="360" w:lineRule="auto"/>
        <w:ind w:firstLine="5160" w:firstLineChars="2150"/>
        <w:rPr>
          <w:rFonts w:hint="eastAsia" w:ascii="宋体" w:hAnsi="宋体" w:cs="宋体"/>
          <w:kern w:val="0"/>
          <w:sz w:val="24"/>
        </w:rPr>
      </w:pPr>
      <w:r>
        <w:rPr>
          <w:rFonts w:hint="eastAsia" w:ascii="宋体" w:hAnsi="宋体" w:cs="宋体"/>
          <w:kern w:val="0"/>
          <w:sz w:val="24"/>
          <w:lang w:val="zh-CN"/>
        </w:rPr>
        <w:t>投标人名称(电子签名)：</w:t>
      </w:r>
    </w:p>
    <w:p w14:paraId="7249BA7E">
      <w:pPr>
        <w:snapToGrid w:val="0"/>
        <w:spacing w:line="360" w:lineRule="auto"/>
        <w:rPr>
          <w:rFonts w:hint="eastAsia" w:ascii="宋体" w:hAnsi="宋体" w:cs="宋体"/>
          <w:kern w:val="0"/>
          <w:sz w:val="24"/>
          <w:lang w:val="zh-CN"/>
        </w:rPr>
      </w:pPr>
      <w:r>
        <w:rPr>
          <w:rFonts w:hint="eastAsia" w:ascii="宋体" w:hAnsi="宋体" w:cs="宋体"/>
          <w:kern w:val="0"/>
          <w:sz w:val="24"/>
          <w:lang w:val="zh-CN"/>
        </w:rPr>
        <w:t xml:space="preserve">                                           日期</w:t>
      </w:r>
      <w:r>
        <w:rPr>
          <w:rFonts w:hint="eastAsia" w:ascii="宋体" w:hAnsi="宋体" w:cs="宋体"/>
          <w:kern w:val="0"/>
          <w:sz w:val="24"/>
        </w:rPr>
        <w:t xml:space="preserve">：  年  </w:t>
      </w:r>
      <w:r>
        <w:rPr>
          <w:rFonts w:hint="eastAsia" w:ascii="宋体" w:hAnsi="宋体" w:cs="宋体"/>
          <w:kern w:val="0"/>
          <w:sz w:val="24"/>
          <w:lang w:val="zh-CN"/>
        </w:rPr>
        <w:t>月</w:t>
      </w:r>
      <w:r>
        <w:rPr>
          <w:rFonts w:hint="eastAsia" w:ascii="宋体" w:hAnsi="宋体" w:cs="宋体"/>
          <w:kern w:val="0"/>
          <w:sz w:val="24"/>
        </w:rPr>
        <w:t xml:space="preserve">   </w:t>
      </w:r>
      <w:r>
        <w:rPr>
          <w:rFonts w:hint="eastAsia" w:ascii="宋体" w:hAnsi="宋体" w:cs="宋体"/>
          <w:kern w:val="0"/>
          <w:sz w:val="24"/>
          <w:lang w:val="zh-CN"/>
        </w:rPr>
        <w:t>日</w:t>
      </w:r>
    </w:p>
    <w:p w14:paraId="11847AF2">
      <w:pPr>
        <w:spacing w:line="360" w:lineRule="auto"/>
        <w:jc w:val="left"/>
        <w:rPr>
          <w:rFonts w:hint="eastAsia" w:ascii="宋体" w:hAnsi="宋体" w:cs="宋体"/>
          <w:sz w:val="18"/>
          <w:szCs w:val="18"/>
        </w:rPr>
      </w:pPr>
      <w:r>
        <w:rPr>
          <w:rFonts w:hint="eastAsia" w:ascii="宋体" w:hAnsi="宋体" w:cs="宋体"/>
          <w:sz w:val="18"/>
          <w:szCs w:val="18"/>
        </w:rPr>
        <w:t>从业人员、营业收入、资产总额填报上一年度数据，无上一年度数据的新成立企业可不填报。</w:t>
      </w:r>
    </w:p>
    <w:p w14:paraId="226D6378">
      <w:pPr>
        <w:spacing w:line="360" w:lineRule="auto"/>
        <w:ind w:right="420" w:firstLine="480" w:firstLineChars="200"/>
        <w:rPr>
          <w:rFonts w:hint="eastAsia" w:ascii="宋体" w:hAnsi="宋体" w:cs="宋体"/>
          <w:sz w:val="24"/>
        </w:rPr>
      </w:pPr>
      <w:r>
        <w:rPr>
          <w:rFonts w:hint="eastAsia" w:ascii="宋体" w:hAnsi="宋体" w:cs="宋体"/>
          <w:sz w:val="24"/>
        </w:rPr>
        <w:t>注：</w:t>
      </w:r>
    </w:p>
    <w:p w14:paraId="598DA5FE">
      <w:pPr>
        <w:spacing w:line="360" w:lineRule="auto"/>
        <w:ind w:right="420" w:firstLine="480" w:firstLineChars="200"/>
        <w:rPr>
          <w:rFonts w:hint="eastAsia" w:ascii="宋体" w:hAnsi="宋体" w:cs="宋体"/>
          <w:sz w:val="24"/>
        </w:rPr>
      </w:pPr>
      <w:r>
        <w:rPr>
          <w:rFonts w:hint="eastAsia" w:ascii="宋体" w:hAnsi="宋体" w:cs="宋体"/>
          <w:sz w:val="24"/>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2A25F258">
      <w:pPr>
        <w:spacing w:line="360" w:lineRule="auto"/>
        <w:ind w:right="420" w:firstLine="480" w:firstLineChars="200"/>
        <w:rPr>
          <w:rFonts w:hint="eastAsia" w:ascii="宋体" w:hAnsi="宋体" w:cs="宋体"/>
          <w:sz w:val="24"/>
        </w:rPr>
      </w:pPr>
      <w:r>
        <w:rPr>
          <w:rFonts w:hint="eastAsia" w:ascii="宋体" w:hAnsi="宋体" w:cs="宋体"/>
          <w:sz w:val="24"/>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CCED11F">
      <w:pPr>
        <w:spacing w:line="360" w:lineRule="auto"/>
        <w:rPr>
          <w:rFonts w:hint="eastAsia" w:ascii="宋体" w:hAnsi="宋体" w:cs="宋体"/>
          <w:bCs/>
          <w:sz w:val="24"/>
        </w:rPr>
      </w:pPr>
    </w:p>
    <w:p w14:paraId="753939BF">
      <w:pPr>
        <w:pStyle w:val="3"/>
        <w:rPr>
          <w:rFonts w:hint="eastAsia" w:ascii="宋体" w:hAnsi="宋体" w:eastAsia="宋体" w:cs="宋体"/>
          <w:sz w:val="24"/>
        </w:rPr>
      </w:pPr>
    </w:p>
    <w:p w14:paraId="2F694A07">
      <w:pPr>
        <w:rPr>
          <w:rFonts w:hint="eastAsia" w:ascii="宋体" w:hAnsi="宋体" w:cs="宋体"/>
          <w:bCs/>
          <w:sz w:val="24"/>
        </w:rPr>
      </w:pPr>
    </w:p>
    <w:p w14:paraId="7549A8E9">
      <w:pPr>
        <w:pStyle w:val="3"/>
        <w:rPr>
          <w:rFonts w:hint="eastAsia" w:ascii="宋体" w:hAnsi="宋体" w:eastAsia="宋体" w:cs="宋体"/>
          <w:sz w:val="24"/>
        </w:rPr>
      </w:pPr>
    </w:p>
    <w:p w14:paraId="25E1DF98">
      <w:pPr>
        <w:rPr>
          <w:rFonts w:hint="eastAsia" w:ascii="宋体" w:hAnsi="宋体" w:cs="宋体"/>
          <w:bCs/>
          <w:sz w:val="24"/>
        </w:rPr>
      </w:pPr>
    </w:p>
    <w:p w14:paraId="654B81E3">
      <w:pPr>
        <w:pStyle w:val="3"/>
        <w:rPr>
          <w:rFonts w:hint="eastAsia" w:ascii="宋体" w:hAnsi="宋体" w:eastAsia="宋体" w:cs="宋体"/>
          <w:sz w:val="24"/>
        </w:rPr>
      </w:pPr>
    </w:p>
    <w:p w14:paraId="1CC2E019">
      <w:pPr>
        <w:rPr>
          <w:rFonts w:hint="eastAsia" w:ascii="宋体" w:hAnsi="宋体" w:cs="宋体"/>
          <w:bCs/>
          <w:sz w:val="24"/>
        </w:rPr>
      </w:pPr>
    </w:p>
    <w:p w14:paraId="7B1BD181">
      <w:pPr>
        <w:pStyle w:val="3"/>
        <w:rPr>
          <w:rFonts w:hint="eastAsia" w:ascii="宋体" w:hAnsi="宋体" w:eastAsia="宋体" w:cs="宋体"/>
          <w:sz w:val="24"/>
        </w:rPr>
      </w:pPr>
    </w:p>
    <w:p w14:paraId="75414B6E">
      <w:pPr>
        <w:rPr>
          <w:rFonts w:hint="eastAsia" w:ascii="宋体" w:hAnsi="宋体" w:cs="宋体"/>
          <w:bCs/>
          <w:sz w:val="24"/>
        </w:rPr>
      </w:pPr>
    </w:p>
    <w:p w14:paraId="64F7A7AE">
      <w:pPr>
        <w:pStyle w:val="3"/>
        <w:rPr>
          <w:rFonts w:hint="eastAsia" w:ascii="宋体" w:hAnsi="宋体" w:eastAsia="宋体" w:cs="宋体"/>
          <w:sz w:val="24"/>
        </w:rPr>
      </w:pPr>
    </w:p>
    <w:p w14:paraId="0BE8ADA2">
      <w:pPr>
        <w:rPr>
          <w:rFonts w:hint="eastAsia" w:ascii="宋体" w:hAnsi="宋体" w:cs="宋体"/>
          <w:bCs/>
          <w:sz w:val="24"/>
        </w:rPr>
      </w:pPr>
    </w:p>
    <w:p w14:paraId="7859D725">
      <w:pPr>
        <w:pStyle w:val="3"/>
        <w:rPr>
          <w:rFonts w:hint="eastAsia" w:ascii="宋体" w:hAnsi="宋体" w:eastAsia="宋体" w:cs="宋体"/>
          <w:sz w:val="24"/>
        </w:rPr>
      </w:pPr>
    </w:p>
    <w:p w14:paraId="299FA898">
      <w:pPr>
        <w:rPr>
          <w:rFonts w:hint="eastAsia" w:ascii="宋体" w:hAnsi="宋体" w:cs="宋体"/>
          <w:bCs/>
          <w:sz w:val="24"/>
        </w:rPr>
      </w:pPr>
    </w:p>
    <w:p w14:paraId="6D139653">
      <w:pPr>
        <w:pStyle w:val="3"/>
        <w:rPr>
          <w:rFonts w:hint="eastAsia" w:ascii="宋体" w:hAnsi="宋体" w:eastAsia="宋体" w:cs="宋体"/>
          <w:sz w:val="24"/>
        </w:rPr>
      </w:pPr>
    </w:p>
    <w:p w14:paraId="237AD674">
      <w:pPr>
        <w:rPr>
          <w:rFonts w:hint="eastAsia" w:ascii="宋体" w:hAnsi="宋体" w:cs="宋体"/>
          <w:bCs/>
          <w:sz w:val="24"/>
        </w:rPr>
      </w:pPr>
    </w:p>
    <w:p w14:paraId="3A81F3FC">
      <w:pPr>
        <w:pStyle w:val="3"/>
        <w:rPr>
          <w:rFonts w:hint="eastAsia" w:ascii="宋体" w:hAnsi="宋体" w:eastAsia="宋体" w:cs="宋体"/>
          <w:sz w:val="24"/>
        </w:rPr>
      </w:pPr>
    </w:p>
    <w:p w14:paraId="2679EE34">
      <w:pPr>
        <w:rPr>
          <w:rFonts w:hint="eastAsia" w:ascii="宋体" w:hAnsi="宋体" w:cs="宋体"/>
          <w:bCs/>
          <w:sz w:val="24"/>
        </w:rPr>
      </w:pPr>
    </w:p>
    <w:p w14:paraId="2EB40AB2">
      <w:pPr>
        <w:pStyle w:val="3"/>
        <w:rPr>
          <w:rFonts w:hint="eastAsia" w:ascii="宋体" w:hAnsi="宋体" w:eastAsia="宋体" w:cs="宋体"/>
          <w:sz w:val="24"/>
        </w:rPr>
      </w:pPr>
    </w:p>
    <w:p w14:paraId="4C0B2548">
      <w:pPr>
        <w:rPr>
          <w:rFonts w:hint="eastAsia" w:ascii="宋体" w:hAnsi="宋体" w:cs="宋体"/>
          <w:bCs/>
          <w:sz w:val="24"/>
        </w:rPr>
      </w:pPr>
    </w:p>
    <w:p w14:paraId="62A21418">
      <w:pPr>
        <w:pStyle w:val="3"/>
        <w:rPr>
          <w:rFonts w:hint="eastAsia" w:ascii="宋体" w:hAnsi="宋体" w:eastAsia="宋体" w:cs="宋体"/>
          <w:sz w:val="24"/>
        </w:rPr>
      </w:pPr>
    </w:p>
    <w:p w14:paraId="7EE9CDDB">
      <w:pPr>
        <w:rPr>
          <w:rFonts w:hint="eastAsia" w:ascii="宋体" w:hAnsi="宋体" w:cs="宋体"/>
          <w:bCs/>
          <w:sz w:val="24"/>
        </w:rPr>
      </w:pPr>
    </w:p>
    <w:p w14:paraId="6A8B5566">
      <w:pPr>
        <w:pStyle w:val="3"/>
        <w:rPr>
          <w:rFonts w:hint="eastAsia" w:ascii="宋体" w:hAnsi="宋体" w:eastAsia="宋体" w:cs="宋体"/>
          <w:sz w:val="24"/>
        </w:rPr>
      </w:pPr>
    </w:p>
    <w:p w14:paraId="7E581A38">
      <w:pPr>
        <w:rPr>
          <w:rFonts w:hint="eastAsia" w:ascii="宋体" w:hAnsi="宋体" w:cs="宋体"/>
          <w:bCs/>
          <w:sz w:val="24"/>
        </w:rPr>
      </w:pPr>
    </w:p>
    <w:p w14:paraId="14F2D354">
      <w:pPr>
        <w:pStyle w:val="3"/>
        <w:rPr>
          <w:rFonts w:hint="eastAsia" w:ascii="宋体" w:hAnsi="宋体" w:eastAsia="宋体" w:cs="宋体"/>
          <w:sz w:val="24"/>
        </w:rPr>
      </w:pPr>
    </w:p>
    <w:p w14:paraId="42A1F018">
      <w:pPr>
        <w:rPr>
          <w:rFonts w:hint="eastAsia" w:ascii="宋体" w:hAnsi="宋体" w:cs="宋体"/>
          <w:bCs/>
          <w:sz w:val="24"/>
        </w:rPr>
      </w:pPr>
    </w:p>
    <w:p w14:paraId="5984937F">
      <w:pPr>
        <w:pStyle w:val="3"/>
        <w:rPr>
          <w:rFonts w:hint="eastAsia" w:ascii="宋体" w:hAnsi="宋体" w:eastAsia="宋体" w:cs="宋体"/>
          <w:sz w:val="24"/>
        </w:rPr>
      </w:pPr>
    </w:p>
    <w:p w14:paraId="4E1B539D">
      <w:pPr>
        <w:rPr>
          <w:rFonts w:hint="eastAsia" w:ascii="宋体" w:hAnsi="宋体" w:cs="宋体"/>
          <w:bCs/>
          <w:sz w:val="24"/>
        </w:rPr>
      </w:pPr>
    </w:p>
    <w:p w14:paraId="09639E22">
      <w:pPr>
        <w:pStyle w:val="3"/>
        <w:rPr>
          <w:rFonts w:hint="eastAsia" w:ascii="宋体" w:hAnsi="宋体" w:eastAsia="宋体" w:cs="宋体"/>
          <w:sz w:val="24"/>
        </w:rPr>
      </w:pPr>
    </w:p>
    <w:p w14:paraId="4DB627A3"/>
    <w:p w14:paraId="601B7546">
      <w:pPr>
        <w:autoSpaceDE w:val="0"/>
        <w:autoSpaceDN w:val="0"/>
        <w:jc w:val="center"/>
        <w:rPr>
          <w:rFonts w:hint="eastAsia" w:ascii="宋体" w:hAnsi="宋体" w:cs="宋体"/>
          <w:b/>
          <w:spacing w:val="6"/>
          <w:sz w:val="32"/>
          <w:szCs w:val="32"/>
        </w:rPr>
      </w:pPr>
      <w:r>
        <w:rPr>
          <w:rFonts w:hint="eastAsia" w:ascii="宋体" w:hAnsi="宋体" w:cs="宋体"/>
          <w:b/>
          <w:spacing w:val="6"/>
          <w:sz w:val="32"/>
          <w:szCs w:val="32"/>
        </w:rPr>
        <w:t>附件6：中小企业划型标准</w:t>
      </w:r>
    </w:p>
    <w:p w14:paraId="186EEF33">
      <w:pPr>
        <w:pStyle w:val="3"/>
        <w:rPr>
          <w:rFonts w:hint="eastAsia"/>
        </w:rPr>
      </w:pPr>
    </w:p>
    <w:p w14:paraId="72DB3929">
      <w:pPr>
        <w:spacing w:line="360" w:lineRule="auto"/>
        <w:ind w:right="420" w:firstLine="480" w:firstLineChars="200"/>
        <w:rPr>
          <w:rFonts w:hint="eastAsia" w:ascii="宋体" w:hAnsi="宋体" w:cs="宋体"/>
          <w:sz w:val="24"/>
        </w:rPr>
      </w:pPr>
      <w:r>
        <w:rPr>
          <w:rFonts w:hint="eastAsia" w:ascii="宋体" w:hAnsi="宋体" w:cs="宋体"/>
          <w:sz w:val="24"/>
        </w:rPr>
        <w:t>中小企业划型标准规定【工信部联企业〔2011〕300号】</w:t>
      </w:r>
    </w:p>
    <w:p w14:paraId="5F2CDE97">
      <w:pPr>
        <w:spacing w:line="360" w:lineRule="auto"/>
        <w:ind w:right="420" w:firstLine="480" w:firstLineChars="200"/>
        <w:rPr>
          <w:rFonts w:hint="eastAsia" w:ascii="宋体" w:hAnsi="宋体" w:cs="宋体"/>
          <w:sz w:val="24"/>
        </w:rPr>
      </w:pPr>
      <w:r>
        <w:rPr>
          <w:rFonts w:hint="eastAsia" w:ascii="宋体" w:hAnsi="宋体" w:cs="宋体"/>
          <w:sz w:val="24"/>
        </w:rPr>
        <w:t>一、根据《中华人民共和国中小企业促进法》和《国务院关于进一步促进中小企业发展的若干意见》(国发〔2009〕36号)，制定本规定。</w:t>
      </w:r>
    </w:p>
    <w:p w14:paraId="57643B11">
      <w:pPr>
        <w:spacing w:line="360" w:lineRule="auto"/>
        <w:ind w:right="420" w:firstLine="480" w:firstLineChars="200"/>
        <w:rPr>
          <w:rFonts w:hint="eastAsia" w:ascii="宋体" w:hAnsi="宋体" w:cs="宋体"/>
          <w:sz w:val="24"/>
        </w:rPr>
      </w:pPr>
      <w:r>
        <w:rPr>
          <w:rFonts w:hint="eastAsia" w:ascii="宋体" w:hAnsi="宋体" w:cs="宋体"/>
          <w:sz w:val="24"/>
        </w:rPr>
        <w:t>二、中小企业划分为中型、小型、微型三种类型，具体标准根据企业从业人员、营业收入、资产总额等指标，结合行业特点制定。</w:t>
      </w:r>
    </w:p>
    <w:p w14:paraId="3B3AF0D0">
      <w:pPr>
        <w:spacing w:line="360" w:lineRule="auto"/>
        <w:ind w:right="420" w:firstLine="480" w:firstLineChars="200"/>
        <w:rPr>
          <w:rFonts w:hint="eastAsia" w:ascii="宋体" w:hAnsi="宋体" w:cs="宋体"/>
          <w:sz w:val="24"/>
        </w:rPr>
      </w:pPr>
      <w:r>
        <w:rPr>
          <w:rFonts w:hint="eastAsia" w:ascii="宋体" w:hAnsi="宋体" w:cs="宋体"/>
          <w:sz w:val="24"/>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5F353C25">
      <w:pPr>
        <w:spacing w:line="360" w:lineRule="auto"/>
        <w:ind w:right="420" w:firstLine="480" w:firstLineChars="200"/>
        <w:rPr>
          <w:rFonts w:hint="eastAsia" w:ascii="宋体" w:hAnsi="宋体" w:cs="宋体"/>
          <w:sz w:val="24"/>
        </w:rPr>
      </w:pPr>
      <w:r>
        <w:rPr>
          <w:rFonts w:hint="eastAsia" w:ascii="宋体" w:hAnsi="宋体" w:cs="宋体"/>
          <w:sz w:val="24"/>
        </w:rPr>
        <w:t>四、各行业划型标准为：</w:t>
      </w:r>
    </w:p>
    <w:p w14:paraId="18513674">
      <w:pPr>
        <w:spacing w:line="360" w:lineRule="auto"/>
        <w:ind w:right="420" w:firstLine="480" w:firstLineChars="200"/>
        <w:rPr>
          <w:rFonts w:hint="eastAsia" w:ascii="宋体" w:hAnsi="宋体" w:cs="宋体"/>
          <w:sz w:val="24"/>
        </w:rPr>
      </w:pPr>
      <w:r>
        <w:rPr>
          <w:rFonts w:hint="eastAsia" w:ascii="宋体" w:hAnsi="宋体" w:cs="宋体"/>
          <w:sz w:val="24"/>
        </w:rPr>
        <w:t>（一）农、林、牧、渔业。营业收入20000万元以下的为中小微型企业。其中，营业收入500万元及以上的为中型企业，营业收入50万元及以上的为小型企业，营业收入50万元以下的为微型企业。</w:t>
      </w:r>
    </w:p>
    <w:p w14:paraId="7EA2BFE7">
      <w:pPr>
        <w:spacing w:line="360" w:lineRule="auto"/>
        <w:ind w:right="420" w:firstLine="480" w:firstLineChars="200"/>
        <w:rPr>
          <w:rFonts w:hint="eastAsia" w:ascii="宋体" w:hAnsi="宋体" w:cs="宋体"/>
          <w:sz w:val="24"/>
        </w:rPr>
      </w:pPr>
      <w:r>
        <w:rPr>
          <w:rFonts w:hint="eastAsia" w:ascii="宋体" w:hAnsi="宋体" w:cs="宋体"/>
          <w:sz w:val="24"/>
        </w:rPr>
        <w:t>（二）工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44A8F0DC">
      <w:pPr>
        <w:spacing w:line="360" w:lineRule="auto"/>
        <w:ind w:right="420" w:firstLine="480" w:firstLineChars="200"/>
        <w:rPr>
          <w:rFonts w:hint="eastAsia" w:ascii="宋体" w:hAnsi="宋体" w:cs="宋体"/>
          <w:sz w:val="24"/>
        </w:rPr>
      </w:pPr>
      <w:r>
        <w:rPr>
          <w:rFonts w:hint="eastAsia" w:ascii="宋体" w:hAnsi="宋体" w:cs="宋体"/>
          <w:sz w:val="24"/>
        </w:rPr>
        <w:t>（三）建筑业。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202D1026">
      <w:pPr>
        <w:spacing w:line="360" w:lineRule="auto"/>
        <w:ind w:right="420" w:firstLine="480" w:firstLineChars="200"/>
        <w:rPr>
          <w:rFonts w:hint="eastAsia" w:ascii="宋体" w:hAnsi="宋体" w:cs="宋体"/>
          <w:sz w:val="24"/>
        </w:rPr>
      </w:pPr>
      <w:r>
        <w:rPr>
          <w:rFonts w:hint="eastAsia" w:ascii="宋体" w:hAnsi="宋体" w:cs="宋体"/>
          <w:sz w:val="24"/>
        </w:rPr>
        <w:t>（四）批发业。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7BD14EAE">
      <w:pPr>
        <w:spacing w:line="360" w:lineRule="auto"/>
        <w:ind w:right="420" w:firstLine="480" w:firstLineChars="200"/>
        <w:rPr>
          <w:rFonts w:hint="eastAsia" w:ascii="宋体" w:hAnsi="宋体" w:cs="宋体"/>
          <w:sz w:val="24"/>
        </w:rPr>
      </w:pPr>
      <w:r>
        <w:rPr>
          <w:rFonts w:hint="eastAsia" w:ascii="宋体" w:hAnsi="宋体" w:cs="宋体"/>
          <w:sz w:val="24"/>
        </w:rPr>
        <w:t>（五）零售业。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27C450FD">
      <w:pPr>
        <w:spacing w:line="360" w:lineRule="auto"/>
        <w:ind w:right="420" w:firstLine="480" w:firstLineChars="200"/>
        <w:rPr>
          <w:rFonts w:hint="eastAsia" w:ascii="宋体" w:hAnsi="宋体" w:cs="宋体"/>
          <w:sz w:val="24"/>
        </w:rPr>
      </w:pPr>
      <w:r>
        <w:rPr>
          <w:rFonts w:hint="eastAsia" w:ascii="宋体" w:hAnsi="宋体" w:cs="宋体"/>
          <w:sz w:val="24"/>
        </w:rPr>
        <w:t>（六）交通运输业。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3163C36B">
      <w:pPr>
        <w:spacing w:line="360" w:lineRule="auto"/>
        <w:ind w:right="420" w:firstLine="480" w:firstLineChars="200"/>
        <w:rPr>
          <w:rFonts w:hint="eastAsia" w:ascii="宋体" w:hAnsi="宋体" w:cs="宋体"/>
          <w:sz w:val="24"/>
        </w:rPr>
      </w:pPr>
      <w:r>
        <w:rPr>
          <w:rFonts w:hint="eastAsia" w:ascii="宋体" w:hAnsi="宋体" w:cs="宋体"/>
          <w:sz w:val="24"/>
        </w:rPr>
        <w:t>（七）仓储业。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5B4C9A9D">
      <w:pPr>
        <w:spacing w:line="360" w:lineRule="auto"/>
        <w:ind w:right="420" w:firstLine="480" w:firstLineChars="200"/>
        <w:rPr>
          <w:rFonts w:hint="eastAsia" w:ascii="宋体" w:hAnsi="宋体" w:cs="宋体"/>
          <w:sz w:val="24"/>
        </w:rPr>
      </w:pPr>
      <w:r>
        <w:rPr>
          <w:rFonts w:hint="eastAsia" w:ascii="宋体" w:hAnsi="宋体" w:cs="宋体"/>
          <w:sz w:val="24"/>
        </w:rPr>
        <w:t>（八）邮政业。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 </w:t>
      </w:r>
    </w:p>
    <w:p w14:paraId="24D46276">
      <w:pPr>
        <w:spacing w:line="360" w:lineRule="auto"/>
        <w:ind w:right="420" w:firstLine="480" w:firstLineChars="200"/>
        <w:rPr>
          <w:rFonts w:hint="eastAsia" w:ascii="宋体" w:hAnsi="宋体" w:cs="宋体"/>
          <w:sz w:val="24"/>
        </w:rPr>
      </w:pPr>
      <w:r>
        <w:rPr>
          <w:rFonts w:hint="eastAsia" w:ascii="宋体" w:hAnsi="宋体" w:cs="宋体"/>
          <w:sz w:val="24"/>
        </w:rPr>
        <w:t>（九）住宿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02D21227">
      <w:pPr>
        <w:spacing w:line="360" w:lineRule="auto"/>
        <w:ind w:right="420" w:firstLine="480" w:firstLineChars="200"/>
        <w:rPr>
          <w:rFonts w:hint="eastAsia" w:ascii="宋体" w:hAnsi="宋体" w:cs="宋体"/>
          <w:sz w:val="24"/>
        </w:rPr>
      </w:pPr>
      <w:r>
        <w:rPr>
          <w:rFonts w:hint="eastAsia" w:ascii="宋体" w:hAnsi="宋体" w:cs="宋体"/>
          <w:sz w:val="24"/>
        </w:rPr>
        <w:t>（十）餐饮业。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500F0802">
      <w:pPr>
        <w:spacing w:line="360" w:lineRule="auto"/>
        <w:ind w:right="420" w:firstLine="480" w:firstLineChars="200"/>
        <w:rPr>
          <w:rFonts w:hint="eastAsia" w:ascii="宋体" w:hAnsi="宋体" w:cs="宋体"/>
          <w:sz w:val="24"/>
        </w:rPr>
      </w:pPr>
      <w:r>
        <w:rPr>
          <w:rFonts w:hint="eastAsia" w:ascii="宋体" w:hAnsi="宋体" w:cs="宋体"/>
          <w:sz w:val="24"/>
        </w:rPr>
        <w:t>（十一）信息传输业。从业人员2000人以下或营业收入100000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6BB30427">
      <w:pPr>
        <w:spacing w:line="360" w:lineRule="auto"/>
        <w:ind w:right="420" w:firstLine="480" w:firstLineChars="200"/>
        <w:rPr>
          <w:rFonts w:hint="eastAsia" w:ascii="宋体" w:hAnsi="宋体" w:cs="宋体"/>
          <w:sz w:val="24"/>
        </w:rPr>
      </w:pPr>
      <w:r>
        <w:rPr>
          <w:rFonts w:hint="eastAsia" w:ascii="宋体" w:hAnsi="宋体" w:cs="宋体"/>
          <w:sz w:val="24"/>
        </w:rPr>
        <w:t>（十二）软件和信息技术服务业。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4DB32B54">
      <w:pPr>
        <w:spacing w:line="360" w:lineRule="auto"/>
        <w:ind w:right="420" w:firstLine="480" w:firstLineChars="200"/>
        <w:rPr>
          <w:rFonts w:hint="eastAsia" w:ascii="宋体" w:hAnsi="宋体" w:cs="宋体"/>
          <w:sz w:val="24"/>
        </w:rPr>
      </w:pPr>
      <w:r>
        <w:rPr>
          <w:rFonts w:hint="eastAsia" w:ascii="宋体" w:hAnsi="宋体" w:cs="宋体"/>
          <w:sz w:val="24"/>
        </w:rPr>
        <w:t>（十三）房地产开发经营。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D92035D">
      <w:pPr>
        <w:spacing w:line="360" w:lineRule="auto"/>
        <w:ind w:right="420" w:firstLine="480" w:firstLineChars="200"/>
        <w:rPr>
          <w:rFonts w:hint="eastAsia" w:ascii="宋体" w:hAnsi="宋体" w:cs="宋体"/>
          <w:sz w:val="24"/>
        </w:rPr>
      </w:pPr>
      <w:r>
        <w:rPr>
          <w:rFonts w:hint="eastAsia" w:ascii="宋体" w:hAnsi="宋体" w:cs="宋体"/>
          <w:sz w:val="24"/>
        </w:rPr>
        <w:t>（十四）物业管理。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1597FC6D">
      <w:pPr>
        <w:spacing w:line="360" w:lineRule="auto"/>
        <w:ind w:right="420" w:firstLine="480" w:firstLineChars="200"/>
        <w:rPr>
          <w:rFonts w:hint="eastAsia" w:ascii="宋体" w:hAnsi="宋体" w:cs="宋体"/>
          <w:sz w:val="24"/>
        </w:rPr>
      </w:pPr>
      <w:r>
        <w:rPr>
          <w:rFonts w:hint="eastAsia" w:ascii="宋体" w:hAnsi="宋体" w:cs="宋体"/>
          <w:sz w:val="24"/>
        </w:rPr>
        <w:t>（十五）租赁和商务服务业。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02BB9BF9">
      <w:pPr>
        <w:spacing w:line="360" w:lineRule="auto"/>
        <w:ind w:right="420" w:firstLine="480" w:firstLineChars="200"/>
        <w:rPr>
          <w:rFonts w:hint="eastAsia" w:ascii="宋体" w:hAnsi="宋体" w:cs="宋体"/>
          <w:sz w:val="24"/>
        </w:rPr>
      </w:pPr>
      <w:r>
        <w:rPr>
          <w:rFonts w:hint="eastAsia" w:ascii="宋体" w:hAnsi="宋体" w:cs="宋体"/>
          <w:sz w:val="24"/>
        </w:rPr>
        <w:t>（十六）其他未列明行业。从业人员300人以下的为中小微型企业。其中，从业人员100人及以上的为中型企业；从业人员10人及以上的为小型企业；从业人员10人以下的为微型企业。</w:t>
      </w:r>
    </w:p>
    <w:p w14:paraId="725B3FAC">
      <w:pPr>
        <w:spacing w:line="360" w:lineRule="auto"/>
        <w:ind w:right="420" w:firstLine="480" w:firstLineChars="200"/>
        <w:rPr>
          <w:rFonts w:hint="eastAsia" w:ascii="宋体" w:hAnsi="宋体" w:cs="宋体"/>
          <w:sz w:val="24"/>
        </w:rPr>
      </w:pPr>
      <w:r>
        <w:rPr>
          <w:rFonts w:hint="eastAsia" w:ascii="宋体" w:hAnsi="宋体" w:cs="宋体"/>
          <w:sz w:val="24"/>
        </w:rPr>
        <w:t>五、企业类型的划分以统计部门的统计数据为依据。</w:t>
      </w:r>
    </w:p>
    <w:p w14:paraId="31A6ADBD">
      <w:pPr>
        <w:spacing w:line="360" w:lineRule="auto"/>
        <w:ind w:right="420" w:firstLine="480" w:firstLineChars="200"/>
        <w:rPr>
          <w:rFonts w:hint="eastAsia" w:ascii="宋体" w:hAnsi="宋体" w:cs="宋体"/>
          <w:sz w:val="24"/>
        </w:rPr>
      </w:pPr>
      <w:r>
        <w:rPr>
          <w:rFonts w:hint="eastAsia" w:ascii="宋体" w:hAnsi="宋体" w:cs="宋体"/>
          <w:sz w:val="24"/>
        </w:rPr>
        <w:t>六、本规定适用于在中华人民共和国境内依法设立的各类所有制和各种组织形式的企业。个体工商户和本规定以外的行业，参照本规定进行划型。 </w:t>
      </w:r>
    </w:p>
    <w:p w14:paraId="6263E6A0">
      <w:pPr>
        <w:pStyle w:val="28"/>
      </w:pPr>
      <w:r>
        <w:rPr>
          <w:rFonts w:hint="eastAsia" w:hAnsi="宋体" w:cs="宋体"/>
          <w:lang w:val="en-US"/>
        </w:rPr>
        <w:t>七、本规定的中型企业标准上限即为大型企业标准的下限，国家统计部门据此制定大中小微型企业的统计分类。国务院有关部门据此进行相关数据分析，不得制定与本规定不一致的企业划型标准。</w:t>
      </w:r>
    </w:p>
    <w:p w14:paraId="2D938675">
      <w:pPr>
        <w:rPr>
          <w:rFonts w:hint="eastAsia" w:ascii="宋体" w:hAnsi="宋体" w:cs="宋体"/>
        </w:rPr>
      </w:pPr>
    </w:p>
    <w:sectPr>
      <w:pgSz w:w="11906" w:h="16838"/>
      <w:pgMar w:top="1440" w:right="1418" w:bottom="1440" w:left="1418" w:header="851" w:footer="992" w:gutter="0"/>
      <w:cols w:space="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Print"/>
    <w:panose1 w:val="00000000000000000000"/>
    <w:charset w:val="00"/>
    <w:family w:val="swiss"/>
    <w:pitch w:val="default"/>
    <w:sig w:usb0="00000000" w:usb1="00000000" w:usb2="00000000" w:usb3="00000000" w:csb0="00000001" w:csb1="00000000"/>
  </w:font>
  <w:font w:name="Lucida Sans">
    <w:panose1 w:val="020B0602030504020204"/>
    <w:charset w:val="00"/>
    <w:family w:val="swiss"/>
    <w:pitch w:val="default"/>
    <w:sig w:usb0="00000003" w:usb1="00000000" w:usb2="00000000" w:usb3="00000000" w:csb0="20000001"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panose1 w:val="020B0504020202030204"/>
    <w:charset w:val="00"/>
    <w:family w:val="swiss"/>
    <w:pitch w:val="default"/>
    <w:sig w:usb0="00000007" w:usb1="00000000" w:usb2="00000000" w:usb3="00000000" w:csb0="00000093"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Lucida Sans Unicode"/>
    <w:panose1 w:val="00000000000000000000"/>
    <w:charset w:val="00"/>
    <w:family w:val="swiss"/>
    <w:pitch w:val="default"/>
    <w:sig w:usb0="00000000" w:usb1="00000000" w:usb2="00000000" w:usb3="00000000" w:csb0="000001FB" w:csb1="00000000"/>
  </w:font>
  <w:font w:name="Lucida Sans Unicode">
    <w:panose1 w:val="020B0602030504020204"/>
    <w:charset w:val="00"/>
    <w:family w:val="swiss"/>
    <w:pitch w:val="default"/>
    <w:sig w:usb0="80001AFF" w:usb1="0000396B" w:usb2="00000000" w:usb3="00000000" w:csb0="200000BF" w:csb1="D7F7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宋体"/>
    <w:panose1 w:val="00000000000000000000"/>
    <w:charset w:val="86"/>
    <w:family w:val="modern"/>
    <w:pitch w:val="default"/>
    <w:sig w:usb0="00000000" w:usb1="00000000" w:usb2="00000000" w:usb3="00000000" w:csb0="00040001" w:csb1="00000000"/>
  </w:font>
  <w:font w:name="PingFang SC">
    <w:altName w:val="Segoe Print"/>
    <w:panose1 w:val="00000000000000000000"/>
    <w:charset w:val="00"/>
    <w:family w:val="auto"/>
    <w:pitch w:val="default"/>
    <w:sig w:usb0="00000000" w:usb1="00000000" w:usb2="00000000" w:usb3="00000000" w:csb0="00000000"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06BCB8">
    <w:pPr>
      <w:pStyle w:val="43"/>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42683F">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ikIRMKwIAAFcEAAAOAAAAAAAAAAEAIAAAAB8BAABkcnMvZTJvRG9jLnhtbFBLBQYAAAAABgAG&#10;AFkBAAC8BQAAAAA=&#10;">
              <v:fill on="f" focussize="0,0"/>
              <v:stroke on="f" weight="0.5pt"/>
              <v:imagedata o:title=""/>
              <o:lock v:ext="edit" aspectratio="f"/>
              <v:textbox inset="0mm,0mm,0mm,0mm" style="mso-fit-shape-to-text:t;">
                <w:txbxContent>
                  <w:p w14:paraId="7542683F">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7182C784">
    <w:pPr>
      <w:pStyle w:val="4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2211C7">
    <w:pPr>
      <w:pStyle w:val="43"/>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A3FAB9D">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pGcYw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CaRnGMKwIAAFcEAAAOAAAAAAAAAAEAIAAAAB8BAABkcnMvZTJvRG9jLnhtbFBLBQYAAAAABgAG&#10;AFkBAAC8BQAAAAA=&#10;">
              <v:fill on="f" focussize="0,0"/>
              <v:stroke on="f" weight="0.5pt"/>
              <v:imagedata o:title=""/>
              <o:lock v:ext="edit" aspectratio="f"/>
              <v:textbox inset="0mm,0mm,0mm,0mm" style="mso-fit-shape-to-text:t;">
                <w:txbxContent>
                  <w:p w14:paraId="7A3FAB9D">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6810F23B">
    <w:pPr>
      <w:pStyle w:val="4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DFB3F0">
    <w:pPr>
      <w:pStyle w:val="43"/>
      <w:jc w:val="cente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C1708B">
                          <w:pPr>
                            <w:pStyle w:val="4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ILIswsAgAAVwQAAA4AAABkcnMvZTJvRG9jLnhtbK1UzY7TMBC+I/EO&#10;lu80bVes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1dvx+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MgsizCwCAABXBAAADgAAAAAAAAABACAAAAAfAQAAZHJzL2Uyb0RvYy54bWxQSwUGAAAAAAYA&#10;BgBZAQAAvQUAAAAA&#10;">
              <v:fill on="f" focussize="0,0"/>
              <v:stroke on="f" weight="0.5pt"/>
              <v:imagedata o:title=""/>
              <o:lock v:ext="edit" aspectratio="f"/>
              <v:textbox inset="0mm,0mm,0mm,0mm" style="mso-fit-shape-to-text:t;">
                <w:txbxContent>
                  <w:p w14:paraId="65C1708B">
                    <w:pPr>
                      <w:pStyle w:val="4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3</w:t>
                    </w:r>
                    <w:r>
                      <w:rPr>
                        <w:sz w:val="21"/>
                        <w:szCs w:val="21"/>
                      </w:rPr>
                      <w:fldChar w:fldCharType="end"/>
                    </w:r>
                  </w:p>
                </w:txbxContent>
              </v:textbox>
            </v:shape>
          </w:pict>
        </mc:Fallback>
      </mc:AlternateContent>
    </w:r>
  </w:p>
  <w:p w14:paraId="6806FD30">
    <w:pPr>
      <w:pStyle w:val="4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5A5F03">
    <w:pPr>
      <w:pStyle w:val="43"/>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537FD3">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vt69YsAgAAVwQAAA4AAABkcnMvZTJvRG9jLnhtbK1UzY7TMBC+I/EO&#10;lu80aYFV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IbSjRTqPjpx/fT&#10;z4fTr28EZxCotX6GuHuLyNC9Mx2Ch3OPw8i7q5yKXzAi8EPe40Ve0QXC46XpZDrN4eLwDRvgZ4/X&#10;rfPhvTCKRKOgDvVLsrLDxoc+dAiJ2bRZN1KmGkpN2oJevX6b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K+3r1iwCAABXBAAADgAAAAAAAAABACAAAAAfAQAAZHJzL2Uyb0RvYy54bWxQSwUGAAAAAAYA&#10;BgBZAQAAvQUAAAAA&#10;">
              <v:fill on="f" focussize="0,0"/>
              <v:stroke on="f" weight="0.5pt"/>
              <v:imagedata o:title=""/>
              <o:lock v:ext="edit" aspectratio="f"/>
              <v:textbox inset="0mm,0mm,0mm,0mm" style="mso-fit-shape-to-text:t;">
                <w:txbxContent>
                  <w:p w14:paraId="76537FD3">
                    <w:pPr>
                      <w:pStyle w:val="43"/>
                    </w:pPr>
                    <w:r>
                      <w:fldChar w:fldCharType="begin"/>
                    </w:r>
                    <w:r>
                      <w:instrText xml:space="preserve"> PAGE  \* MERGEFORMAT </w:instrText>
                    </w:r>
                    <w:r>
                      <w:fldChar w:fldCharType="separate"/>
                    </w:r>
                    <w:r>
                      <w:t>1</w:t>
                    </w:r>
                    <w:r>
                      <w:fldChar w:fldCharType="end"/>
                    </w:r>
                  </w:p>
                </w:txbxContent>
              </v:textbox>
            </v:shape>
          </w:pict>
        </mc:Fallback>
      </mc:AlternateContent>
    </w:r>
  </w:p>
  <w:p w14:paraId="6AFBBA59">
    <w:pPr>
      <w:pStyle w:val="4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EC5BA9">
    <w:pPr>
      <w:rPr>
        <w:rFonts w:ascii="仿宋_GB2312" w:eastAsia="仿宋_GB2312"/>
      </w:rP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249462">
                          <w:pPr>
                            <w:pStyle w:val="43"/>
                          </w:pPr>
                          <w:r>
                            <w:fldChar w:fldCharType="begin"/>
                          </w:r>
                          <w:r>
                            <w:instrText xml:space="preserve"> PAGE  \* MERGEFORMAT </w:instrText>
                          </w:r>
                          <w:r>
                            <w:fldChar w:fldCharType="separate"/>
                          </w:r>
                          <w:r>
                            <w:t>31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OguJYsAgAAV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UgdJtlYasfLI/Q&#10;UTxvV4cAAZOuUZROiV4r9FuqTD8bsaH/3Keop//B8h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g6C4liwCAABXBAAADgAAAAAAAAABACAAAAAfAQAAZHJzL2Uyb0RvYy54bWxQSwUGAAAAAAYA&#10;BgBZAQAAvQUAAAAA&#10;">
              <v:fill on="f" focussize="0,0"/>
              <v:stroke on="f" weight="0.5pt"/>
              <v:imagedata o:title=""/>
              <o:lock v:ext="edit" aspectratio="f"/>
              <v:textbox inset="0mm,0mm,0mm,0mm" style="mso-fit-shape-to-text:t;">
                <w:txbxContent>
                  <w:p w14:paraId="75249462">
                    <w:pPr>
                      <w:pStyle w:val="43"/>
                    </w:pPr>
                    <w:r>
                      <w:fldChar w:fldCharType="begin"/>
                    </w:r>
                    <w:r>
                      <w:instrText xml:space="preserve"> PAGE  \* MERGEFORMAT </w:instrText>
                    </w:r>
                    <w:r>
                      <w:fldChar w:fldCharType="separate"/>
                    </w:r>
                    <w:r>
                      <w:t>31</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12BC78">
    <w:pPr>
      <w:rPr>
        <w:rFonts w:ascii="仿宋_GB2312" w:eastAsia="仿宋_GB2312"/>
      </w:rP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F38A72F">
                          <w:pPr>
                            <w:pStyle w:val="43"/>
                          </w:pPr>
                          <w:r>
                            <w:fldChar w:fldCharType="begin"/>
                          </w:r>
                          <w:r>
                            <w:instrText xml:space="preserve"> PAGE  \* MERGEFORMAT </w:instrText>
                          </w:r>
                          <w:r>
                            <w:fldChar w:fldCharType="separate"/>
                          </w:r>
                          <w:r>
                            <w:t>30</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7dk1WKwIAAFcEAAAOAAAAAAAAAAEAIAAAAB8BAABkcnMvZTJvRG9jLnhtbFBLBQYAAAAABgAG&#10;AFkBAAC8BQAAAAA=&#10;">
              <v:fill on="f" focussize="0,0"/>
              <v:stroke on="f" weight="0.5pt"/>
              <v:imagedata o:title=""/>
              <o:lock v:ext="edit" aspectratio="f"/>
              <v:textbox inset="0mm,0mm,0mm,0mm" style="mso-fit-shape-to-text:t;">
                <w:txbxContent>
                  <w:p w14:paraId="3F38A72F">
                    <w:pPr>
                      <w:pStyle w:val="43"/>
                    </w:pPr>
                    <w:r>
                      <w:fldChar w:fldCharType="begin"/>
                    </w:r>
                    <w:r>
                      <w:instrText xml:space="preserve"> PAGE  \* MERGEFORMAT </w:instrText>
                    </w:r>
                    <w:r>
                      <w:fldChar w:fldCharType="separate"/>
                    </w:r>
                    <w:r>
                      <w:t>30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4B88DC">
    <w:pPr>
      <w:rPr>
        <w:rFonts w:ascii="仿宋_GB2312" w:eastAsia="仿宋_GB2312"/>
      </w:rP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56C0FBE">
                          <w:pPr>
                            <w:pStyle w:val="4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M7HhYsAgAAVwQAAA4AAABkcnMvZTJvRG9jLnhtbK1UzY7TMBC+I/EO&#10;lu80aRFLVT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0zseFiwCAABXBAAADgAAAAAAAAABACAAAAAfAQAAZHJzL2Uyb0RvYy54bWxQSwUGAAAAAAYA&#10;BgBZAQAAvQUAAAAA&#10;">
              <v:fill on="f" focussize="0,0"/>
              <v:stroke on="f" weight="0.5pt"/>
              <v:imagedata o:title=""/>
              <o:lock v:ext="edit" aspectratio="f"/>
              <v:textbox inset="0mm,0mm,0mm,0mm" style="mso-fit-shape-to-text:t;">
                <w:txbxContent>
                  <w:p w14:paraId="456C0FBE">
                    <w:pPr>
                      <w:pStyle w:val="4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B35F61">
    <w:pPr>
      <w:rPr>
        <w:rFonts w:ascii="仿宋_GB2312" w:eastAsia="仿宋_GB2312"/>
      </w:rP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18" name="文本框 1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6B1FD45">
                          <w:pPr>
                            <w:pStyle w:val="43"/>
                          </w:pPr>
                          <w:r>
                            <w:fldChar w:fldCharType="begin"/>
                          </w:r>
                          <w:r>
                            <w:instrText xml:space="preserve"> PAGE  \* MERGEFORMAT </w:instrText>
                          </w:r>
                          <w:r>
                            <w:fldChar w:fldCharType="separate"/>
                          </w:r>
                          <w:r>
                            <w:t>44</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m63mM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BJut5jKwIAAFcEAAAOAAAAAAAAAAEAIAAAAB8BAABkcnMvZTJvRG9jLnhtbFBLBQYAAAAABgAG&#10;AFkBAAC8BQAAAAA=&#10;">
              <v:fill on="f" focussize="0,0"/>
              <v:stroke on="f" weight="0.5pt"/>
              <v:imagedata o:title=""/>
              <o:lock v:ext="edit" aspectratio="f"/>
              <v:textbox inset="0mm,0mm,0mm,0mm" style="mso-fit-shape-to-text:t;">
                <w:txbxContent>
                  <w:p w14:paraId="76B1FD45">
                    <w:pPr>
                      <w:pStyle w:val="43"/>
                    </w:pPr>
                    <w:r>
                      <w:fldChar w:fldCharType="begin"/>
                    </w:r>
                    <w:r>
                      <w:instrText xml:space="preserve"> PAGE  \* MERGEFORMAT </w:instrText>
                    </w:r>
                    <w:r>
                      <w:fldChar w:fldCharType="separate"/>
                    </w:r>
                    <w:r>
                      <w:t>44</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9F3E60">
    <w:pPr>
      <w:pStyle w:val="43"/>
      <w:rPr>
        <w:rFonts w:ascii="仿宋_GB2312" w:eastAsia="仿宋_GB2312"/>
        <w:szCs w:val="24"/>
      </w:rPr>
    </w:pPr>
    <w: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9" name="文本框 1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1FBF595">
                          <w:pPr>
                            <w:pStyle w:val="43"/>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Cz&#10;SVju0AAAAAUBAAAPAAAAAAAAAAEAIAAAACIAAABkcnMvZG93bnJldi54bWxQSwECFAAUAAAACACH&#10;TuJA4feNIywCAABXBAAADgAAAAAAAAABACAAAAAfAQAAZHJzL2Uyb0RvYy54bWxQSwUGAAAAAAYA&#10;BgBZAQAAvQUAAAAA&#10;">
              <v:fill on="f" focussize="0,0"/>
              <v:stroke on="f" weight="0.5pt"/>
              <v:imagedata o:title=""/>
              <o:lock v:ext="edit" aspectratio="f"/>
              <v:textbox inset="0mm,0mm,0mm,0mm" style="mso-fit-shape-to-text:t;">
                <w:txbxContent>
                  <w:p w14:paraId="21FBF595">
                    <w:pPr>
                      <w:pStyle w:val="43"/>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5701CD">
    <w:pPr>
      <w:pStyle w:val="43"/>
      <w:rPr>
        <w:rFonts w:ascii="仿宋_GB2312" w:eastAsia="仿宋_GB2312"/>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20" name="文本框 2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899DFC">
                          <w:pPr>
                            <w:pStyle w:val="43"/>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LNJ&#10;WO7QAAAABQEAAA8AAAAAAAAAAQAgAAAAIgAAAGRycy9kb3ducmV2LnhtbFBLAQIUABQAAAAIAIdO&#10;4kAyUnG/KwIAAFcEAAAOAAAAAAAAAAEAIAAAAB8BAABkcnMvZTJvRG9jLnhtbFBLBQYAAAAABgAG&#10;AFkBAAC8BQAAAAA=&#10;">
              <v:fill on="f" focussize="0,0"/>
              <v:stroke on="f" weight="0.5pt"/>
              <v:imagedata o:title=""/>
              <o:lock v:ext="edit" aspectratio="f"/>
              <v:textbox inset="0mm,0mm,0mm,0mm" style="mso-fit-shape-to-text:t;">
                <w:txbxContent>
                  <w:p w14:paraId="15899DFC">
                    <w:pPr>
                      <w:pStyle w:val="43"/>
                    </w:pPr>
                    <w:r>
                      <w:fldChar w:fldCharType="begin"/>
                    </w:r>
                    <w:r>
                      <w:instrText xml:space="preserve"> PAGE  \* MERGEFORMAT </w:instrText>
                    </w:r>
                    <w:r>
                      <w:fldChar w:fldCharType="separate"/>
                    </w:r>
                    <w:r>
                      <w:t>45</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09CD21">
    <w:pPr>
      <w:pStyle w:val="61"/>
      <w:tabs>
        <w:tab w:val="center" w:pos="4535"/>
        <w:tab w:val="right" w:pos="9070"/>
      </w:tabs>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D7A7A0">
    <w:pPr>
      <w:pStyle w:val="44"/>
      <w:pBdr>
        <w:bottom w:val="none" w:color="auto" w:sz="0" w:space="0"/>
      </w:pBdr>
      <w:tabs>
        <w:tab w:val="center" w:pos="4535"/>
        <w:tab w:val="right" w:pos="9070"/>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686460">
    <w:pPr>
      <w:pStyle w:val="44"/>
      <w:pBdr>
        <w:bottom w:val="none" w:color="auto" w:sz="0" w:space="1"/>
      </w:pBdr>
      <w:jc w:val="both"/>
      <w:rPr>
        <w:rFonts w:ascii="仿宋_GB2312" w:eastAsia="仿宋_GB2312"/>
        <w:b/>
        <w:i/>
        <w:u w:val="single"/>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7AEC78">
    <w:pPr>
      <w:pStyle w:val="44"/>
      <w:pBdr>
        <w:bottom w:val="none" w:color="auto" w:sz="0" w:space="1"/>
      </w:pBdr>
      <w:jc w:val="both"/>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C3A1BD">
    <w:pPr>
      <w:pStyle w:val="44"/>
      <w:jc w:val="right"/>
      <w:rPr>
        <w:rFonts w:ascii="仿宋_GB2312" w:eastAsia="仿宋_GB2312"/>
        <w:b/>
        <w:i/>
        <w:u w:val="single"/>
      </w:rPr>
    </w:pPr>
  </w:p>
  <w:p w14:paraId="67208F1F">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9090E50">
    <w:pPr>
      <w:pStyle w:val="44"/>
      <w:pBdr>
        <w:bottom w:val="none" w:color="auto" w:sz="0" w:space="1"/>
      </w:pBdr>
      <w:jc w:val="both"/>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044F6">
    <w:pPr>
      <w:pStyle w:val="44"/>
      <w:pBdr>
        <w:bottom w:val="none" w:color="auto" w:sz="0" w:space="1"/>
      </w:pBdr>
      <w:jc w:val="both"/>
      <w:rPr>
        <w:rFonts w:ascii="仿宋_GB2312" w:eastAsia="仿宋_GB2312"/>
        <w:b/>
        <w:i/>
        <w:iCs/>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5A8EC6">
    <w:pPr>
      <w:pStyle w:val="44"/>
      <w:pBdr>
        <w:bottom w:val="none" w:color="auto" w:sz="0" w:space="1"/>
      </w:pBdr>
      <w:jc w:val="both"/>
    </w:pPr>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AD7B071"/>
    <w:multiLevelType w:val="singleLevel"/>
    <w:tmpl w:val="8AD7B071"/>
    <w:lvl w:ilvl="0" w:tentative="0">
      <w:start w:val="1"/>
      <w:numFmt w:val="decimal"/>
      <w:lvlText w:val="%1."/>
      <w:lvlJc w:val="left"/>
      <w:pPr>
        <w:tabs>
          <w:tab w:val="left" w:pos="312"/>
        </w:tabs>
      </w:pPr>
    </w:lvl>
  </w:abstractNum>
  <w:abstractNum w:abstractNumId="1">
    <w:nsid w:val="C8214E01"/>
    <w:multiLevelType w:val="singleLevel"/>
    <w:tmpl w:val="C8214E01"/>
    <w:lvl w:ilvl="0" w:tentative="0">
      <w:start w:val="5"/>
      <w:numFmt w:val="chineseCounting"/>
      <w:suff w:val="nothing"/>
      <w:lvlText w:val="%1、"/>
      <w:lvlJc w:val="left"/>
      <w:rPr>
        <w:rFonts w:hint="eastAsia"/>
      </w:rPr>
    </w:lvl>
  </w:abstractNum>
  <w:abstractNum w:abstractNumId="2">
    <w:nsid w:val="D4B7DB2A"/>
    <w:multiLevelType w:val="singleLevel"/>
    <w:tmpl w:val="D4B7DB2A"/>
    <w:lvl w:ilvl="0" w:tentative="0">
      <w:start w:val="1"/>
      <w:numFmt w:val="decimalEnclosedCircleChinese"/>
      <w:suff w:val="nothing"/>
      <w:lvlText w:val="%1　"/>
      <w:lvlJc w:val="left"/>
      <w:pPr>
        <w:ind w:left="0" w:firstLine="400"/>
      </w:pPr>
      <w:rPr>
        <w:rFonts w:hint="eastAsia"/>
      </w:rPr>
    </w:lvl>
  </w:abstractNum>
  <w:abstractNum w:abstractNumId="3">
    <w:nsid w:val="F722F0DE"/>
    <w:multiLevelType w:val="singleLevel"/>
    <w:tmpl w:val="F722F0DE"/>
    <w:lvl w:ilvl="0" w:tentative="0">
      <w:start w:val="2"/>
      <w:numFmt w:val="chineseCounting"/>
      <w:suff w:val="nothing"/>
      <w:lvlText w:val="%1、"/>
      <w:lvlJc w:val="left"/>
      <w:rPr>
        <w:rFonts w:hint="eastAsia"/>
      </w:rPr>
    </w:lvl>
  </w:abstractNum>
  <w:abstractNum w:abstractNumId="4">
    <w:nsid w:val="FC834FBE"/>
    <w:multiLevelType w:val="singleLevel"/>
    <w:tmpl w:val="FC834FBE"/>
    <w:lvl w:ilvl="0" w:tentative="0">
      <w:start w:val="1"/>
      <w:numFmt w:val="decimal"/>
      <w:suff w:val="nothing"/>
      <w:lvlText w:val="%1、"/>
      <w:lvlJc w:val="left"/>
    </w:lvl>
  </w:abstractNum>
  <w:abstractNum w:abstractNumId="5">
    <w:nsid w:val="332E1B6B"/>
    <w:multiLevelType w:val="singleLevel"/>
    <w:tmpl w:val="332E1B6B"/>
    <w:lvl w:ilvl="0" w:tentative="0">
      <w:start w:val="1"/>
      <w:numFmt w:val="decimal"/>
      <w:lvlText w:val="%1."/>
      <w:lvlJc w:val="left"/>
      <w:pPr>
        <w:ind w:left="425" w:hanging="425"/>
      </w:pPr>
      <w:rPr>
        <w:rFonts w:hint="default"/>
      </w:rPr>
    </w:lvl>
  </w:abstractNum>
  <w:abstractNum w:abstractNumId="6">
    <w:nsid w:val="34D0F6B9"/>
    <w:multiLevelType w:val="singleLevel"/>
    <w:tmpl w:val="34D0F6B9"/>
    <w:lvl w:ilvl="0" w:tentative="0">
      <w:start w:val="1"/>
      <w:numFmt w:val="decimal"/>
      <w:lvlText w:val="%1."/>
      <w:lvlJc w:val="left"/>
      <w:pPr>
        <w:ind w:left="425" w:hanging="425"/>
      </w:pPr>
      <w:rPr>
        <w:rFonts w:hint="default"/>
      </w:rPr>
    </w:lvl>
  </w:abstractNum>
  <w:abstractNum w:abstractNumId="7">
    <w:nsid w:val="6DB420A7"/>
    <w:multiLevelType w:val="singleLevel"/>
    <w:tmpl w:val="6DB420A7"/>
    <w:lvl w:ilvl="0" w:tentative="0">
      <w:start w:val="1"/>
      <w:numFmt w:val="decimal"/>
      <w:lvlText w:val="%1."/>
      <w:lvlJc w:val="left"/>
      <w:pPr>
        <w:ind w:left="425" w:hanging="425"/>
      </w:pPr>
      <w:rPr>
        <w:rFonts w:hint="default"/>
      </w:rPr>
    </w:lvl>
  </w:abstractNum>
  <w:num w:numId="1">
    <w:abstractNumId w:val="3"/>
  </w:num>
  <w:num w:numId="2">
    <w:abstractNumId w:val="6"/>
  </w:num>
  <w:num w:numId="3">
    <w:abstractNumId w:val="7"/>
  </w:num>
  <w:num w:numId="4">
    <w:abstractNumId w:val="5"/>
  </w:num>
  <w:num w:numId="5">
    <w:abstractNumId w:val="2"/>
  </w:num>
  <w:num w:numId="6">
    <w:abstractNumId w:val="0"/>
  </w:num>
  <w:num w:numId="7">
    <w:abstractNumId w:val="4"/>
  </w:num>
  <w:num w:numId="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documentProtection w:enforcement="0"/>
  <w:defaultTabStop w:val="0"/>
  <w:drawingGridHorizontalSpacing w:val="105"/>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Tc0MTdhNzAxYTkwZGZmMDUyNTQwOWU3NzQwMmViMTMifQ=="/>
    <w:docVar w:name="KSO_WPS_MARK_KEY" w:val="efa83b71-4182-4c12-acdd-c278ac153df4"/>
  </w:docVars>
  <w:rsids>
    <w:rsidRoot w:val="00172A27"/>
    <w:rsid w:val="00000451"/>
    <w:rsid w:val="0000108B"/>
    <w:rsid w:val="0000133D"/>
    <w:rsid w:val="00001509"/>
    <w:rsid w:val="000031DB"/>
    <w:rsid w:val="000032B2"/>
    <w:rsid w:val="0000363B"/>
    <w:rsid w:val="000058BD"/>
    <w:rsid w:val="00006109"/>
    <w:rsid w:val="00006150"/>
    <w:rsid w:val="000063E8"/>
    <w:rsid w:val="00006725"/>
    <w:rsid w:val="0000675E"/>
    <w:rsid w:val="00007CAA"/>
    <w:rsid w:val="00010FE9"/>
    <w:rsid w:val="0001122F"/>
    <w:rsid w:val="00011670"/>
    <w:rsid w:val="00011A4B"/>
    <w:rsid w:val="00012251"/>
    <w:rsid w:val="0001337C"/>
    <w:rsid w:val="000138C4"/>
    <w:rsid w:val="00013C1F"/>
    <w:rsid w:val="00013F31"/>
    <w:rsid w:val="000140D8"/>
    <w:rsid w:val="00014530"/>
    <w:rsid w:val="00014BBC"/>
    <w:rsid w:val="000150EE"/>
    <w:rsid w:val="000163EF"/>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27E8C"/>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73E"/>
    <w:rsid w:val="00043907"/>
    <w:rsid w:val="00044F48"/>
    <w:rsid w:val="00047354"/>
    <w:rsid w:val="00047C40"/>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0BB7"/>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2D"/>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965"/>
    <w:rsid w:val="00091B4E"/>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ED1"/>
    <w:rsid w:val="000B268D"/>
    <w:rsid w:val="000B291B"/>
    <w:rsid w:val="000B456C"/>
    <w:rsid w:val="000B45B9"/>
    <w:rsid w:val="000B47CE"/>
    <w:rsid w:val="000B4B56"/>
    <w:rsid w:val="000B4C62"/>
    <w:rsid w:val="000B541D"/>
    <w:rsid w:val="000B54C1"/>
    <w:rsid w:val="000B5553"/>
    <w:rsid w:val="000B5FE8"/>
    <w:rsid w:val="000B666E"/>
    <w:rsid w:val="000B77E6"/>
    <w:rsid w:val="000C0A43"/>
    <w:rsid w:val="000C0CB1"/>
    <w:rsid w:val="000C1411"/>
    <w:rsid w:val="000C1ADE"/>
    <w:rsid w:val="000C1C38"/>
    <w:rsid w:val="000C21DC"/>
    <w:rsid w:val="000C2264"/>
    <w:rsid w:val="000C256B"/>
    <w:rsid w:val="000C3970"/>
    <w:rsid w:val="000C3B1A"/>
    <w:rsid w:val="000C4727"/>
    <w:rsid w:val="000C47AE"/>
    <w:rsid w:val="000C50BD"/>
    <w:rsid w:val="000C51AD"/>
    <w:rsid w:val="000C5374"/>
    <w:rsid w:val="000C5EC0"/>
    <w:rsid w:val="000C6162"/>
    <w:rsid w:val="000C64CC"/>
    <w:rsid w:val="000C6688"/>
    <w:rsid w:val="000C692E"/>
    <w:rsid w:val="000C6B28"/>
    <w:rsid w:val="000C726D"/>
    <w:rsid w:val="000C7BEB"/>
    <w:rsid w:val="000D0124"/>
    <w:rsid w:val="000D04AF"/>
    <w:rsid w:val="000D11E5"/>
    <w:rsid w:val="000D19E8"/>
    <w:rsid w:val="000D1FA1"/>
    <w:rsid w:val="000D259A"/>
    <w:rsid w:val="000D2834"/>
    <w:rsid w:val="000D2CAC"/>
    <w:rsid w:val="000D33F9"/>
    <w:rsid w:val="000D34C8"/>
    <w:rsid w:val="000D34FD"/>
    <w:rsid w:val="000D3BE5"/>
    <w:rsid w:val="000D3C37"/>
    <w:rsid w:val="000D453A"/>
    <w:rsid w:val="000D4AFA"/>
    <w:rsid w:val="000D5155"/>
    <w:rsid w:val="000D5EA6"/>
    <w:rsid w:val="000D5F00"/>
    <w:rsid w:val="000D6C9F"/>
    <w:rsid w:val="000D6E3B"/>
    <w:rsid w:val="000D6F30"/>
    <w:rsid w:val="000D74E4"/>
    <w:rsid w:val="000D7AAF"/>
    <w:rsid w:val="000D7C9D"/>
    <w:rsid w:val="000D7CE0"/>
    <w:rsid w:val="000E0B00"/>
    <w:rsid w:val="000E20D4"/>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9D7"/>
    <w:rsid w:val="000F5DDB"/>
    <w:rsid w:val="000F628E"/>
    <w:rsid w:val="000F68A0"/>
    <w:rsid w:val="000F6A52"/>
    <w:rsid w:val="000F6CC2"/>
    <w:rsid w:val="000F729C"/>
    <w:rsid w:val="000F7BE7"/>
    <w:rsid w:val="000F7D4B"/>
    <w:rsid w:val="0010118C"/>
    <w:rsid w:val="0010125E"/>
    <w:rsid w:val="001015F8"/>
    <w:rsid w:val="00101967"/>
    <w:rsid w:val="00103251"/>
    <w:rsid w:val="00103509"/>
    <w:rsid w:val="0010393D"/>
    <w:rsid w:val="00103EBD"/>
    <w:rsid w:val="00104699"/>
    <w:rsid w:val="0010496A"/>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4CD2"/>
    <w:rsid w:val="0011585B"/>
    <w:rsid w:val="00115B1A"/>
    <w:rsid w:val="001160FF"/>
    <w:rsid w:val="001164F4"/>
    <w:rsid w:val="001168F8"/>
    <w:rsid w:val="001176FF"/>
    <w:rsid w:val="00120958"/>
    <w:rsid w:val="0012153F"/>
    <w:rsid w:val="0012159D"/>
    <w:rsid w:val="00121804"/>
    <w:rsid w:val="00121EC9"/>
    <w:rsid w:val="001224FE"/>
    <w:rsid w:val="001231D3"/>
    <w:rsid w:val="001232A7"/>
    <w:rsid w:val="00123F7C"/>
    <w:rsid w:val="0012419E"/>
    <w:rsid w:val="001248EF"/>
    <w:rsid w:val="00124AC0"/>
    <w:rsid w:val="00124FC4"/>
    <w:rsid w:val="001253AB"/>
    <w:rsid w:val="001255BA"/>
    <w:rsid w:val="0012574C"/>
    <w:rsid w:val="001259B8"/>
    <w:rsid w:val="001264B9"/>
    <w:rsid w:val="0012693E"/>
    <w:rsid w:val="00126A3A"/>
    <w:rsid w:val="00127060"/>
    <w:rsid w:val="00127B83"/>
    <w:rsid w:val="00131C2D"/>
    <w:rsid w:val="0013202C"/>
    <w:rsid w:val="00132704"/>
    <w:rsid w:val="00132CBF"/>
    <w:rsid w:val="00133707"/>
    <w:rsid w:val="00133742"/>
    <w:rsid w:val="00133B70"/>
    <w:rsid w:val="00133E97"/>
    <w:rsid w:val="00134BB7"/>
    <w:rsid w:val="00134DF9"/>
    <w:rsid w:val="001350F7"/>
    <w:rsid w:val="00135769"/>
    <w:rsid w:val="00135BE9"/>
    <w:rsid w:val="00135E5C"/>
    <w:rsid w:val="001364DD"/>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4CE5"/>
    <w:rsid w:val="00145022"/>
    <w:rsid w:val="00145662"/>
    <w:rsid w:val="00145C6D"/>
    <w:rsid w:val="001460FC"/>
    <w:rsid w:val="00146151"/>
    <w:rsid w:val="00146326"/>
    <w:rsid w:val="00147032"/>
    <w:rsid w:val="0014762D"/>
    <w:rsid w:val="0014774C"/>
    <w:rsid w:val="00147EA7"/>
    <w:rsid w:val="00151820"/>
    <w:rsid w:val="00151B2F"/>
    <w:rsid w:val="001524DC"/>
    <w:rsid w:val="001525E5"/>
    <w:rsid w:val="00152A9D"/>
    <w:rsid w:val="00153859"/>
    <w:rsid w:val="00153915"/>
    <w:rsid w:val="001539F0"/>
    <w:rsid w:val="00154BBA"/>
    <w:rsid w:val="00155B95"/>
    <w:rsid w:val="00156853"/>
    <w:rsid w:val="00157432"/>
    <w:rsid w:val="00161185"/>
    <w:rsid w:val="001620BA"/>
    <w:rsid w:val="001623AC"/>
    <w:rsid w:val="001628EB"/>
    <w:rsid w:val="00162BAA"/>
    <w:rsid w:val="00163C40"/>
    <w:rsid w:val="0016488B"/>
    <w:rsid w:val="00164968"/>
    <w:rsid w:val="00165758"/>
    <w:rsid w:val="00165A65"/>
    <w:rsid w:val="00166317"/>
    <w:rsid w:val="00167478"/>
    <w:rsid w:val="00167594"/>
    <w:rsid w:val="001702BE"/>
    <w:rsid w:val="001704B3"/>
    <w:rsid w:val="0017059C"/>
    <w:rsid w:val="0017094E"/>
    <w:rsid w:val="0017105C"/>
    <w:rsid w:val="00171622"/>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5C7A"/>
    <w:rsid w:val="0017610B"/>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620A"/>
    <w:rsid w:val="00186BDC"/>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537"/>
    <w:rsid w:val="00192991"/>
    <w:rsid w:val="00193470"/>
    <w:rsid w:val="00193B94"/>
    <w:rsid w:val="001940A7"/>
    <w:rsid w:val="00194BB1"/>
    <w:rsid w:val="00194BC6"/>
    <w:rsid w:val="00195070"/>
    <w:rsid w:val="00195245"/>
    <w:rsid w:val="0019526D"/>
    <w:rsid w:val="0019553F"/>
    <w:rsid w:val="001956BE"/>
    <w:rsid w:val="0019602C"/>
    <w:rsid w:val="0019660D"/>
    <w:rsid w:val="001969F2"/>
    <w:rsid w:val="00196A21"/>
    <w:rsid w:val="00196CD6"/>
    <w:rsid w:val="0019756A"/>
    <w:rsid w:val="001A0480"/>
    <w:rsid w:val="001A0632"/>
    <w:rsid w:val="001A06B5"/>
    <w:rsid w:val="001A07F8"/>
    <w:rsid w:val="001A0A23"/>
    <w:rsid w:val="001A0C98"/>
    <w:rsid w:val="001A128B"/>
    <w:rsid w:val="001A1475"/>
    <w:rsid w:val="001A1F0E"/>
    <w:rsid w:val="001A3335"/>
    <w:rsid w:val="001A473A"/>
    <w:rsid w:val="001A4ED9"/>
    <w:rsid w:val="001A5649"/>
    <w:rsid w:val="001A5785"/>
    <w:rsid w:val="001A5FD7"/>
    <w:rsid w:val="001A64B6"/>
    <w:rsid w:val="001A66A6"/>
    <w:rsid w:val="001A6BAF"/>
    <w:rsid w:val="001A6BBB"/>
    <w:rsid w:val="001A79A2"/>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490D"/>
    <w:rsid w:val="001C6047"/>
    <w:rsid w:val="001C6226"/>
    <w:rsid w:val="001C6698"/>
    <w:rsid w:val="001C6C33"/>
    <w:rsid w:val="001C6C5B"/>
    <w:rsid w:val="001C7399"/>
    <w:rsid w:val="001C7CE0"/>
    <w:rsid w:val="001D005B"/>
    <w:rsid w:val="001D00C1"/>
    <w:rsid w:val="001D0947"/>
    <w:rsid w:val="001D16F5"/>
    <w:rsid w:val="001D1970"/>
    <w:rsid w:val="001D1D55"/>
    <w:rsid w:val="001D21EF"/>
    <w:rsid w:val="001D29A4"/>
    <w:rsid w:val="001D2B73"/>
    <w:rsid w:val="001D2D03"/>
    <w:rsid w:val="001D3136"/>
    <w:rsid w:val="001D330D"/>
    <w:rsid w:val="001D4AB6"/>
    <w:rsid w:val="001D4AD3"/>
    <w:rsid w:val="001D5281"/>
    <w:rsid w:val="001D7A7C"/>
    <w:rsid w:val="001E0A69"/>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76C"/>
    <w:rsid w:val="001F19D1"/>
    <w:rsid w:val="001F1CB9"/>
    <w:rsid w:val="001F1F18"/>
    <w:rsid w:val="001F2F92"/>
    <w:rsid w:val="001F462E"/>
    <w:rsid w:val="001F50BF"/>
    <w:rsid w:val="001F5DA1"/>
    <w:rsid w:val="001F612E"/>
    <w:rsid w:val="001F6A92"/>
    <w:rsid w:val="001F77E8"/>
    <w:rsid w:val="001F79F0"/>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093"/>
    <w:rsid w:val="00211185"/>
    <w:rsid w:val="00211A94"/>
    <w:rsid w:val="002126F2"/>
    <w:rsid w:val="00213326"/>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C65"/>
    <w:rsid w:val="00216E7B"/>
    <w:rsid w:val="00217E1F"/>
    <w:rsid w:val="002201B9"/>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284"/>
    <w:rsid w:val="00231B0B"/>
    <w:rsid w:val="00231BBD"/>
    <w:rsid w:val="00232555"/>
    <w:rsid w:val="00233538"/>
    <w:rsid w:val="00234180"/>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5C75"/>
    <w:rsid w:val="0025631F"/>
    <w:rsid w:val="00256986"/>
    <w:rsid w:val="00256D61"/>
    <w:rsid w:val="00256E23"/>
    <w:rsid w:val="00257246"/>
    <w:rsid w:val="00257438"/>
    <w:rsid w:val="002576AE"/>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4C46"/>
    <w:rsid w:val="002751CA"/>
    <w:rsid w:val="0027544D"/>
    <w:rsid w:val="00277196"/>
    <w:rsid w:val="002775ED"/>
    <w:rsid w:val="002778AB"/>
    <w:rsid w:val="002802A5"/>
    <w:rsid w:val="00280CFB"/>
    <w:rsid w:val="00280D24"/>
    <w:rsid w:val="002815C4"/>
    <w:rsid w:val="00281BCB"/>
    <w:rsid w:val="00281C76"/>
    <w:rsid w:val="0028316D"/>
    <w:rsid w:val="00283296"/>
    <w:rsid w:val="00285119"/>
    <w:rsid w:val="0028583E"/>
    <w:rsid w:val="00285853"/>
    <w:rsid w:val="00285AED"/>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868"/>
    <w:rsid w:val="002A4A05"/>
    <w:rsid w:val="002A4EB3"/>
    <w:rsid w:val="002A51D9"/>
    <w:rsid w:val="002A525A"/>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561"/>
    <w:rsid w:val="002B2906"/>
    <w:rsid w:val="002B2C66"/>
    <w:rsid w:val="002B302D"/>
    <w:rsid w:val="002B34E3"/>
    <w:rsid w:val="002B3B27"/>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553"/>
    <w:rsid w:val="002C66B8"/>
    <w:rsid w:val="002C70E7"/>
    <w:rsid w:val="002D0C27"/>
    <w:rsid w:val="002D0E88"/>
    <w:rsid w:val="002D0EA7"/>
    <w:rsid w:val="002D0F31"/>
    <w:rsid w:val="002D1593"/>
    <w:rsid w:val="002D1A1E"/>
    <w:rsid w:val="002D22A6"/>
    <w:rsid w:val="002D2695"/>
    <w:rsid w:val="002D2819"/>
    <w:rsid w:val="002D2CD6"/>
    <w:rsid w:val="002D2F81"/>
    <w:rsid w:val="002D38A3"/>
    <w:rsid w:val="002D3BA3"/>
    <w:rsid w:val="002D43EE"/>
    <w:rsid w:val="002D44C3"/>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5F3F"/>
    <w:rsid w:val="002E672A"/>
    <w:rsid w:val="002E682C"/>
    <w:rsid w:val="002E6853"/>
    <w:rsid w:val="002E7EC1"/>
    <w:rsid w:val="002E7EE5"/>
    <w:rsid w:val="002F0323"/>
    <w:rsid w:val="002F0DFB"/>
    <w:rsid w:val="002F134F"/>
    <w:rsid w:val="002F1D0B"/>
    <w:rsid w:val="002F1E1D"/>
    <w:rsid w:val="002F1F02"/>
    <w:rsid w:val="002F238E"/>
    <w:rsid w:val="002F27E5"/>
    <w:rsid w:val="002F2D81"/>
    <w:rsid w:val="002F2F66"/>
    <w:rsid w:val="002F3163"/>
    <w:rsid w:val="002F39D4"/>
    <w:rsid w:val="002F4BA9"/>
    <w:rsid w:val="002F50D7"/>
    <w:rsid w:val="002F541B"/>
    <w:rsid w:val="002F5BFE"/>
    <w:rsid w:val="002F5DA5"/>
    <w:rsid w:val="002F5E17"/>
    <w:rsid w:val="002F647C"/>
    <w:rsid w:val="002F6C6B"/>
    <w:rsid w:val="002F6CB0"/>
    <w:rsid w:val="002F6EFF"/>
    <w:rsid w:val="002F7342"/>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8DE"/>
    <w:rsid w:val="00306AD6"/>
    <w:rsid w:val="003077F4"/>
    <w:rsid w:val="00307DC7"/>
    <w:rsid w:val="00307FF2"/>
    <w:rsid w:val="00310EDB"/>
    <w:rsid w:val="00311C51"/>
    <w:rsid w:val="00311D56"/>
    <w:rsid w:val="00312016"/>
    <w:rsid w:val="00312340"/>
    <w:rsid w:val="00312C99"/>
    <w:rsid w:val="00312DFC"/>
    <w:rsid w:val="0031318C"/>
    <w:rsid w:val="00313720"/>
    <w:rsid w:val="00313C9D"/>
    <w:rsid w:val="0031430C"/>
    <w:rsid w:val="00314919"/>
    <w:rsid w:val="00314C5A"/>
    <w:rsid w:val="0031531A"/>
    <w:rsid w:val="00315394"/>
    <w:rsid w:val="00315D77"/>
    <w:rsid w:val="00315D8E"/>
    <w:rsid w:val="00316002"/>
    <w:rsid w:val="00316BA8"/>
    <w:rsid w:val="00316CDE"/>
    <w:rsid w:val="0031752D"/>
    <w:rsid w:val="00317709"/>
    <w:rsid w:val="00320167"/>
    <w:rsid w:val="00320688"/>
    <w:rsid w:val="00320A34"/>
    <w:rsid w:val="00320B75"/>
    <w:rsid w:val="00321DB7"/>
    <w:rsid w:val="00321E7A"/>
    <w:rsid w:val="0032226D"/>
    <w:rsid w:val="003222C5"/>
    <w:rsid w:val="003235E6"/>
    <w:rsid w:val="00324038"/>
    <w:rsid w:val="003243AF"/>
    <w:rsid w:val="00324951"/>
    <w:rsid w:val="003249F6"/>
    <w:rsid w:val="00324B2F"/>
    <w:rsid w:val="00325FCC"/>
    <w:rsid w:val="00326106"/>
    <w:rsid w:val="00326440"/>
    <w:rsid w:val="00326805"/>
    <w:rsid w:val="003269B7"/>
    <w:rsid w:val="00326C0E"/>
    <w:rsid w:val="003272A3"/>
    <w:rsid w:val="003272E4"/>
    <w:rsid w:val="00327B71"/>
    <w:rsid w:val="0033127B"/>
    <w:rsid w:val="00331461"/>
    <w:rsid w:val="003316A8"/>
    <w:rsid w:val="00331C80"/>
    <w:rsid w:val="00331CC9"/>
    <w:rsid w:val="003320D7"/>
    <w:rsid w:val="00332265"/>
    <w:rsid w:val="00332862"/>
    <w:rsid w:val="00332D52"/>
    <w:rsid w:val="00332FBC"/>
    <w:rsid w:val="00333337"/>
    <w:rsid w:val="00333A28"/>
    <w:rsid w:val="00333B6C"/>
    <w:rsid w:val="00333BD0"/>
    <w:rsid w:val="00334927"/>
    <w:rsid w:val="003360AD"/>
    <w:rsid w:val="0033631D"/>
    <w:rsid w:val="003369C7"/>
    <w:rsid w:val="003373A6"/>
    <w:rsid w:val="00337409"/>
    <w:rsid w:val="00337E18"/>
    <w:rsid w:val="003405AF"/>
    <w:rsid w:val="0034088F"/>
    <w:rsid w:val="00340B3E"/>
    <w:rsid w:val="003411F3"/>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356C"/>
    <w:rsid w:val="0035455F"/>
    <w:rsid w:val="00354EFB"/>
    <w:rsid w:val="00355D75"/>
    <w:rsid w:val="00355D8F"/>
    <w:rsid w:val="00356A73"/>
    <w:rsid w:val="00356FF0"/>
    <w:rsid w:val="003577EF"/>
    <w:rsid w:val="00357A60"/>
    <w:rsid w:val="00360304"/>
    <w:rsid w:val="00360A78"/>
    <w:rsid w:val="00361750"/>
    <w:rsid w:val="00363894"/>
    <w:rsid w:val="00363B2A"/>
    <w:rsid w:val="00363BF1"/>
    <w:rsid w:val="003649E6"/>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148E"/>
    <w:rsid w:val="00372842"/>
    <w:rsid w:val="003729A5"/>
    <w:rsid w:val="00372C89"/>
    <w:rsid w:val="00372E9A"/>
    <w:rsid w:val="003735B9"/>
    <w:rsid w:val="00373634"/>
    <w:rsid w:val="00374677"/>
    <w:rsid w:val="0037510C"/>
    <w:rsid w:val="00375850"/>
    <w:rsid w:val="0037632F"/>
    <w:rsid w:val="00376FC6"/>
    <w:rsid w:val="00377B26"/>
    <w:rsid w:val="00377BB0"/>
    <w:rsid w:val="00381014"/>
    <w:rsid w:val="00381604"/>
    <w:rsid w:val="00381C68"/>
    <w:rsid w:val="00381CF2"/>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839"/>
    <w:rsid w:val="003919D9"/>
    <w:rsid w:val="00391BDD"/>
    <w:rsid w:val="003922DE"/>
    <w:rsid w:val="00392E35"/>
    <w:rsid w:val="00393247"/>
    <w:rsid w:val="00393551"/>
    <w:rsid w:val="00393816"/>
    <w:rsid w:val="00393FCD"/>
    <w:rsid w:val="00394342"/>
    <w:rsid w:val="003944EA"/>
    <w:rsid w:val="00394639"/>
    <w:rsid w:val="00394DF6"/>
    <w:rsid w:val="00394EC6"/>
    <w:rsid w:val="00395A02"/>
    <w:rsid w:val="00395CD9"/>
    <w:rsid w:val="003962E6"/>
    <w:rsid w:val="00396831"/>
    <w:rsid w:val="003971A1"/>
    <w:rsid w:val="003A0F6B"/>
    <w:rsid w:val="003A12B6"/>
    <w:rsid w:val="003A1C44"/>
    <w:rsid w:val="003A20D5"/>
    <w:rsid w:val="003A24CC"/>
    <w:rsid w:val="003A2512"/>
    <w:rsid w:val="003A2A53"/>
    <w:rsid w:val="003A2EE8"/>
    <w:rsid w:val="003A373C"/>
    <w:rsid w:val="003A5378"/>
    <w:rsid w:val="003A553C"/>
    <w:rsid w:val="003A56DF"/>
    <w:rsid w:val="003A59E6"/>
    <w:rsid w:val="003A6008"/>
    <w:rsid w:val="003A703F"/>
    <w:rsid w:val="003A7E2B"/>
    <w:rsid w:val="003A7E40"/>
    <w:rsid w:val="003B0336"/>
    <w:rsid w:val="003B0A3A"/>
    <w:rsid w:val="003B0D79"/>
    <w:rsid w:val="003B2930"/>
    <w:rsid w:val="003B31A7"/>
    <w:rsid w:val="003B34C0"/>
    <w:rsid w:val="003B414C"/>
    <w:rsid w:val="003B4587"/>
    <w:rsid w:val="003B4821"/>
    <w:rsid w:val="003B4B51"/>
    <w:rsid w:val="003B4FE1"/>
    <w:rsid w:val="003B514E"/>
    <w:rsid w:val="003B532C"/>
    <w:rsid w:val="003B5531"/>
    <w:rsid w:val="003B636A"/>
    <w:rsid w:val="003B69CE"/>
    <w:rsid w:val="003B7403"/>
    <w:rsid w:val="003C011C"/>
    <w:rsid w:val="003C0E32"/>
    <w:rsid w:val="003C11D7"/>
    <w:rsid w:val="003C16CB"/>
    <w:rsid w:val="003C1B97"/>
    <w:rsid w:val="003C247B"/>
    <w:rsid w:val="003C3292"/>
    <w:rsid w:val="003C3A2A"/>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43D"/>
    <w:rsid w:val="003D06A5"/>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5E66"/>
    <w:rsid w:val="003D6448"/>
    <w:rsid w:val="003D646C"/>
    <w:rsid w:val="003D663E"/>
    <w:rsid w:val="003D664B"/>
    <w:rsid w:val="003D6793"/>
    <w:rsid w:val="003D6B03"/>
    <w:rsid w:val="003D75D8"/>
    <w:rsid w:val="003E006E"/>
    <w:rsid w:val="003E0947"/>
    <w:rsid w:val="003E0E96"/>
    <w:rsid w:val="003E20F7"/>
    <w:rsid w:val="003E336A"/>
    <w:rsid w:val="003E3982"/>
    <w:rsid w:val="003E3E2F"/>
    <w:rsid w:val="003E4048"/>
    <w:rsid w:val="003E4863"/>
    <w:rsid w:val="003E4CE5"/>
    <w:rsid w:val="003E604C"/>
    <w:rsid w:val="003E60DA"/>
    <w:rsid w:val="003E632E"/>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8D0"/>
    <w:rsid w:val="003F5F1A"/>
    <w:rsid w:val="003F6327"/>
    <w:rsid w:val="003F6B7D"/>
    <w:rsid w:val="003F7425"/>
    <w:rsid w:val="003F749E"/>
    <w:rsid w:val="003F765B"/>
    <w:rsid w:val="003F7CB8"/>
    <w:rsid w:val="00400BA1"/>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00C"/>
    <w:rsid w:val="0041035A"/>
    <w:rsid w:val="0041060C"/>
    <w:rsid w:val="00410A12"/>
    <w:rsid w:val="00410E76"/>
    <w:rsid w:val="004112D1"/>
    <w:rsid w:val="004113C9"/>
    <w:rsid w:val="00411D1E"/>
    <w:rsid w:val="00411DF2"/>
    <w:rsid w:val="004120DF"/>
    <w:rsid w:val="004126B5"/>
    <w:rsid w:val="00414909"/>
    <w:rsid w:val="00415034"/>
    <w:rsid w:val="0041506D"/>
    <w:rsid w:val="0041533B"/>
    <w:rsid w:val="00415B1A"/>
    <w:rsid w:val="00415DFD"/>
    <w:rsid w:val="00416208"/>
    <w:rsid w:val="004163C3"/>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269"/>
    <w:rsid w:val="00425341"/>
    <w:rsid w:val="004255FE"/>
    <w:rsid w:val="00425674"/>
    <w:rsid w:val="00425A82"/>
    <w:rsid w:val="00425C60"/>
    <w:rsid w:val="0042672A"/>
    <w:rsid w:val="00426B2C"/>
    <w:rsid w:val="00427FA8"/>
    <w:rsid w:val="0043009D"/>
    <w:rsid w:val="0043026B"/>
    <w:rsid w:val="00430299"/>
    <w:rsid w:val="004306D4"/>
    <w:rsid w:val="00431336"/>
    <w:rsid w:val="00431A2A"/>
    <w:rsid w:val="00432ECA"/>
    <w:rsid w:val="0043554E"/>
    <w:rsid w:val="004355D4"/>
    <w:rsid w:val="004357B1"/>
    <w:rsid w:val="00435821"/>
    <w:rsid w:val="0043583E"/>
    <w:rsid w:val="00436CCE"/>
    <w:rsid w:val="00436EAD"/>
    <w:rsid w:val="004375E1"/>
    <w:rsid w:val="00437A2F"/>
    <w:rsid w:val="00440262"/>
    <w:rsid w:val="00440314"/>
    <w:rsid w:val="004406BF"/>
    <w:rsid w:val="00440814"/>
    <w:rsid w:val="0044105D"/>
    <w:rsid w:val="00441424"/>
    <w:rsid w:val="0044260C"/>
    <w:rsid w:val="00442731"/>
    <w:rsid w:val="00442C12"/>
    <w:rsid w:val="004434DF"/>
    <w:rsid w:val="0044354B"/>
    <w:rsid w:val="0044493E"/>
    <w:rsid w:val="00444A1F"/>
    <w:rsid w:val="00444FC6"/>
    <w:rsid w:val="00445874"/>
    <w:rsid w:val="00445C38"/>
    <w:rsid w:val="0044647C"/>
    <w:rsid w:val="0044686B"/>
    <w:rsid w:val="004475F7"/>
    <w:rsid w:val="0045057B"/>
    <w:rsid w:val="0045069B"/>
    <w:rsid w:val="00450B22"/>
    <w:rsid w:val="00451709"/>
    <w:rsid w:val="004518FA"/>
    <w:rsid w:val="00451A02"/>
    <w:rsid w:val="0045277C"/>
    <w:rsid w:val="0045332A"/>
    <w:rsid w:val="00453507"/>
    <w:rsid w:val="00453592"/>
    <w:rsid w:val="004543AB"/>
    <w:rsid w:val="004545EC"/>
    <w:rsid w:val="0045475B"/>
    <w:rsid w:val="00455967"/>
    <w:rsid w:val="00455F71"/>
    <w:rsid w:val="00456272"/>
    <w:rsid w:val="004570EF"/>
    <w:rsid w:val="00457517"/>
    <w:rsid w:val="00457C31"/>
    <w:rsid w:val="00457CF7"/>
    <w:rsid w:val="00457D37"/>
    <w:rsid w:val="0046028A"/>
    <w:rsid w:val="00460E3A"/>
    <w:rsid w:val="00460E68"/>
    <w:rsid w:val="004614BC"/>
    <w:rsid w:val="004619A5"/>
    <w:rsid w:val="00461F80"/>
    <w:rsid w:val="0046240D"/>
    <w:rsid w:val="00462898"/>
    <w:rsid w:val="00462D84"/>
    <w:rsid w:val="00463208"/>
    <w:rsid w:val="00463367"/>
    <w:rsid w:val="00463576"/>
    <w:rsid w:val="004636D6"/>
    <w:rsid w:val="0046399D"/>
    <w:rsid w:val="00463EA4"/>
    <w:rsid w:val="00465A21"/>
    <w:rsid w:val="00465DE5"/>
    <w:rsid w:val="00466978"/>
    <w:rsid w:val="00466ABA"/>
    <w:rsid w:val="004672E3"/>
    <w:rsid w:val="0046775D"/>
    <w:rsid w:val="00467823"/>
    <w:rsid w:val="004705FA"/>
    <w:rsid w:val="004708AC"/>
    <w:rsid w:val="00471387"/>
    <w:rsid w:val="0047146C"/>
    <w:rsid w:val="0047149F"/>
    <w:rsid w:val="00471963"/>
    <w:rsid w:val="00471E6A"/>
    <w:rsid w:val="004724B8"/>
    <w:rsid w:val="004728FB"/>
    <w:rsid w:val="004729AD"/>
    <w:rsid w:val="00472CA7"/>
    <w:rsid w:val="00472CEC"/>
    <w:rsid w:val="00473308"/>
    <w:rsid w:val="0047377C"/>
    <w:rsid w:val="0047471E"/>
    <w:rsid w:val="004749DA"/>
    <w:rsid w:val="00474DEF"/>
    <w:rsid w:val="00475729"/>
    <w:rsid w:val="004758E7"/>
    <w:rsid w:val="00475BAB"/>
    <w:rsid w:val="004764C6"/>
    <w:rsid w:val="00476AC1"/>
    <w:rsid w:val="00476E4D"/>
    <w:rsid w:val="00476F97"/>
    <w:rsid w:val="00477247"/>
    <w:rsid w:val="004776BB"/>
    <w:rsid w:val="004776FB"/>
    <w:rsid w:val="0048007A"/>
    <w:rsid w:val="0048055E"/>
    <w:rsid w:val="00480C2B"/>
    <w:rsid w:val="00480DC5"/>
    <w:rsid w:val="00480FD9"/>
    <w:rsid w:val="0048131D"/>
    <w:rsid w:val="00481D0B"/>
    <w:rsid w:val="004824A9"/>
    <w:rsid w:val="00483091"/>
    <w:rsid w:val="00483140"/>
    <w:rsid w:val="00483984"/>
    <w:rsid w:val="00483BC7"/>
    <w:rsid w:val="00483CF0"/>
    <w:rsid w:val="00484D4D"/>
    <w:rsid w:val="00485AF6"/>
    <w:rsid w:val="00486516"/>
    <w:rsid w:val="00486529"/>
    <w:rsid w:val="0048664F"/>
    <w:rsid w:val="004868AD"/>
    <w:rsid w:val="00486D00"/>
    <w:rsid w:val="00486F17"/>
    <w:rsid w:val="00487FE1"/>
    <w:rsid w:val="00490707"/>
    <w:rsid w:val="00490815"/>
    <w:rsid w:val="0049117E"/>
    <w:rsid w:val="00492503"/>
    <w:rsid w:val="004925C8"/>
    <w:rsid w:val="00492AF9"/>
    <w:rsid w:val="00492B76"/>
    <w:rsid w:val="0049333E"/>
    <w:rsid w:val="00493528"/>
    <w:rsid w:val="004936F0"/>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2F48"/>
    <w:rsid w:val="004A3A21"/>
    <w:rsid w:val="004A407A"/>
    <w:rsid w:val="004A4E3B"/>
    <w:rsid w:val="004A5953"/>
    <w:rsid w:val="004A5C84"/>
    <w:rsid w:val="004A6110"/>
    <w:rsid w:val="004A61B8"/>
    <w:rsid w:val="004A6415"/>
    <w:rsid w:val="004A64F9"/>
    <w:rsid w:val="004A65F4"/>
    <w:rsid w:val="004A6D2C"/>
    <w:rsid w:val="004A737D"/>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16A1"/>
    <w:rsid w:val="004C27CF"/>
    <w:rsid w:val="004C2CA7"/>
    <w:rsid w:val="004C3592"/>
    <w:rsid w:val="004C45C8"/>
    <w:rsid w:val="004C4F8F"/>
    <w:rsid w:val="004C5416"/>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51D6"/>
    <w:rsid w:val="004D56CF"/>
    <w:rsid w:val="004D6BF2"/>
    <w:rsid w:val="004D6F29"/>
    <w:rsid w:val="004D7BF5"/>
    <w:rsid w:val="004D7F9C"/>
    <w:rsid w:val="004E03F4"/>
    <w:rsid w:val="004E068F"/>
    <w:rsid w:val="004E0860"/>
    <w:rsid w:val="004E09CF"/>
    <w:rsid w:val="004E0B75"/>
    <w:rsid w:val="004E0C29"/>
    <w:rsid w:val="004E0D19"/>
    <w:rsid w:val="004E0DC4"/>
    <w:rsid w:val="004E109C"/>
    <w:rsid w:val="004E1D61"/>
    <w:rsid w:val="004E1D6F"/>
    <w:rsid w:val="004E1DE9"/>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77F"/>
    <w:rsid w:val="004E7D5D"/>
    <w:rsid w:val="004F07F2"/>
    <w:rsid w:val="004F07F9"/>
    <w:rsid w:val="004F0A50"/>
    <w:rsid w:val="004F0D1F"/>
    <w:rsid w:val="004F0E82"/>
    <w:rsid w:val="004F1523"/>
    <w:rsid w:val="004F1847"/>
    <w:rsid w:val="004F1CE1"/>
    <w:rsid w:val="004F1F9E"/>
    <w:rsid w:val="004F216A"/>
    <w:rsid w:val="004F2CB6"/>
    <w:rsid w:val="004F2E6E"/>
    <w:rsid w:val="004F3015"/>
    <w:rsid w:val="004F313F"/>
    <w:rsid w:val="004F367F"/>
    <w:rsid w:val="004F3EEF"/>
    <w:rsid w:val="004F43A7"/>
    <w:rsid w:val="004F447B"/>
    <w:rsid w:val="004F497C"/>
    <w:rsid w:val="004F4FAC"/>
    <w:rsid w:val="004F4FE8"/>
    <w:rsid w:val="004F531B"/>
    <w:rsid w:val="004F560C"/>
    <w:rsid w:val="004F595B"/>
    <w:rsid w:val="004F5DBB"/>
    <w:rsid w:val="004F60B4"/>
    <w:rsid w:val="004F61A3"/>
    <w:rsid w:val="004F62A5"/>
    <w:rsid w:val="004F6874"/>
    <w:rsid w:val="004F7922"/>
    <w:rsid w:val="004F7A1F"/>
    <w:rsid w:val="004F7B47"/>
    <w:rsid w:val="0050079C"/>
    <w:rsid w:val="0050106A"/>
    <w:rsid w:val="005010BC"/>
    <w:rsid w:val="00501848"/>
    <w:rsid w:val="00502B31"/>
    <w:rsid w:val="00503366"/>
    <w:rsid w:val="0050434C"/>
    <w:rsid w:val="0050537D"/>
    <w:rsid w:val="0050591C"/>
    <w:rsid w:val="005059BD"/>
    <w:rsid w:val="005060AE"/>
    <w:rsid w:val="005064A1"/>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63D"/>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59D"/>
    <w:rsid w:val="005326F0"/>
    <w:rsid w:val="00532764"/>
    <w:rsid w:val="00532AA5"/>
    <w:rsid w:val="00532C5F"/>
    <w:rsid w:val="00533233"/>
    <w:rsid w:val="005335A2"/>
    <w:rsid w:val="00533D13"/>
    <w:rsid w:val="00533DEC"/>
    <w:rsid w:val="00534026"/>
    <w:rsid w:val="00534D55"/>
    <w:rsid w:val="00535B53"/>
    <w:rsid w:val="00536536"/>
    <w:rsid w:val="00536B03"/>
    <w:rsid w:val="00537456"/>
    <w:rsid w:val="0053790C"/>
    <w:rsid w:val="00537B3D"/>
    <w:rsid w:val="00540401"/>
    <w:rsid w:val="005405B2"/>
    <w:rsid w:val="0054076A"/>
    <w:rsid w:val="00540D47"/>
    <w:rsid w:val="00540EE7"/>
    <w:rsid w:val="005415E0"/>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563"/>
    <w:rsid w:val="00564DA7"/>
    <w:rsid w:val="00565204"/>
    <w:rsid w:val="00565473"/>
    <w:rsid w:val="00565DAC"/>
    <w:rsid w:val="00565F0D"/>
    <w:rsid w:val="00566025"/>
    <w:rsid w:val="005662DC"/>
    <w:rsid w:val="00566329"/>
    <w:rsid w:val="005668B9"/>
    <w:rsid w:val="00566E39"/>
    <w:rsid w:val="0056704E"/>
    <w:rsid w:val="00567623"/>
    <w:rsid w:val="005701C2"/>
    <w:rsid w:val="00570763"/>
    <w:rsid w:val="00571027"/>
    <w:rsid w:val="0057200B"/>
    <w:rsid w:val="00572297"/>
    <w:rsid w:val="0057345D"/>
    <w:rsid w:val="0057347D"/>
    <w:rsid w:val="00573560"/>
    <w:rsid w:val="00574079"/>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D7B"/>
    <w:rsid w:val="005904DB"/>
    <w:rsid w:val="005905ED"/>
    <w:rsid w:val="00590D11"/>
    <w:rsid w:val="00591710"/>
    <w:rsid w:val="00591BA6"/>
    <w:rsid w:val="00592825"/>
    <w:rsid w:val="00594437"/>
    <w:rsid w:val="00594B70"/>
    <w:rsid w:val="00596CFA"/>
    <w:rsid w:val="00596EC6"/>
    <w:rsid w:val="005975CE"/>
    <w:rsid w:val="005A0088"/>
    <w:rsid w:val="005A04F6"/>
    <w:rsid w:val="005A14F0"/>
    <w:rsid w:val="005A1861"/>
    <w:rsid w:val="005A1A31"/>
    <w:rsid w:val="005A31FD"/>
    <w:rsid w:val="005A361D"/>
    <w:rsid w:val="005A36C2"/>
    <w:rsid w:val="005A3719"/>
    <w:rsid w:val="005A3DD7"/>
    <w:rsid w:val="005A40FA"/>
    <w:rsid w:val="005A4C20"/>
    <w:rsid w:val="005A4F48"/>
    <w:rsid w:val="005A54F1"/>
    <w:rsid w:val="005A57B8"/>
    <w:rsid w:val="005A5DDE"/>
    <w:rsid w:val="005A64A8"/>
    <w:rsid w:val="005A65C5"/>
    <w:rsid w:val="005A6875"/>
    <w:rsid w:val="005A6B18"/>
    <w:rsid w:val="005A7016"/>
    <w:rsid w:val="005A7A32"/>
    <w:rsid w:val="005A7F85"/>
    <w:rsid w:val="005B00DD"/>
    <w:rsid w:val="005B03B1"/>
    <w:rsid w:val="005B07D5"/>
    <w:rsid w:val="005B0EA6"/>
    <w:rsid w:val="005B1A8A"/>
    <w:rsid w:val="005B1AAB"/>
    <w:rsid w:val="005B2578"/>
    <w:rsid w:val="005B2930"/>
    <w:rsid w:val="005B2A4E"/>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A95"/>
    <w:rsid w:val="005B7F75"/>
    <w:rsid w:val="005C039B"/>
    <w:rsid w:val="005C059F"/>
    <w:rsid w:val="005C07CE"/>
    <w:rsid w:val="005C0B8F"/>
    <w:rsid w:val="005C194E"/>
    <w:rsid w:val="005C1C83"/>
    <w:rsid w:val="005C1DB1"/>
    <w:rsid w:val="005C226F"/>
    <w:rsid w:val="005C2294"/>
    <w:rsid w:val="005C2E48"/>
    <w:rsid w:val="005C3344"/>
    <w:rsid w:val="005C382C"/>
    <w:rsid w:val="005C4E4D"/>
    <w:rsid w:val="005C58F2"/>
    <w:rsid w:val="005C5A97"/>
    <w:rsid w:val="005C5F77"/>
    <w:rsid w:val="005C644E"/>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8D1"/>
    <w:rsid w:val="005D79F2"/>
    <w:rsid w:val="005D7CB1"/>
    <w:rsid w:val="005D7F57"/>
    <w:rsid w:val="005E0067"/>
    <w:rsid w:val="005E0141"/>
    <w:rsid w:val="005E09CA"/>
    <w:rsid w:val="005E1AB4"/>
    <w:rsid w:val="005E1DF5"/>
    <w:rsid w:val="005E255B"/>
    <w:rsid w:val="005E2A82"/>
    <w:rsid w:val="005E2CF7"/>
    <w:rsid w:val="005E322A"/>
    <w:rsid w:val="005E4543"/>
    <w:rsid w:val="005E4894"/>
    <w:rsid w:val="005E4A1C"/>
    <w:rsid w:val="005E56C9"/>
    <w:rsid w:val="005E5CF7"/>
    <w:rsid w:val="005E5FF0"/>
    <w:rsid w:val="005E642A"/>
    <w:rsid w:val="005E65A7"/>
    <w:rsid w:val="005E721E"/>
    <w:rsid w:val="005F0857"/>
    <w:rsid w:val="005F1470"/>
    <w:rsid w:val="005F15A9"/>
    <w:rsid w:val="005F24F4"/>
    <w:rsid w:val="005F2807"/>
    <w:rsid w:val="005F2CD5"/>
    <w:rsid w:val="005F3382"/>
    <w:rsid w:val="005F3720"/>
    <w:rsid w:val="005F5506"/>
    <w:rsid w:val="005F5A0D"/>
    <w:rsid w:val="005F60DF"/>
    <w:rsid w:val="005F615B"/>
    <w:rsid w:val="005F61DF"/>
    <w:rsid w:val="005F680A"/>
    <w:rsid w:val="005F6880"/>
    <w:rsid w:val="005F6B3E"/>
    <w:rsid w:val="005F6ED2"/>
    <w:rsid w:val="005F745B"/>
    <w:rsid w:val="005F77F8"/>
    <w:rsid w:val="005F7CA8"/>
    <w:rsid w:val="00600B5A"/>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30D0"/>
    <w:rsid w:val="0061355D"/>
    <w:rsid w:val="006139F7"/>
    <w:rsid w:val="00613AA2"/>
    <w:rsid w:val="00614906"/>
    <w:rsid w:val="00614BF0"/>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7F8"/>
    <w:rsid w:val="0063487C"/>
    <w:rsid w:val="00635B73"/>
    <w:rsid w:val="00635BB7"/>
    <w:rsid w:val="006367D0"/>
    <w:rsid w:val="00636A99"/>
    <w:rsid w:val="00636CC7"/>
    <w:rsid w:val="00637F27"/>
    <w:rsid w:val="00640297"/>
    <w:rsid w:val="006405EC"/>
    <w:rsid w:val="00640A4D"/>
    <w:rsid w:val="006418F2"/>
    <w:rsid w:val="00641A66"/>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3A3"/>
    <w:rsid w:val="00650D19"/>
    <w:rsid w:val="00651634"/>
    <w:rsid w:val="00652130"/>
    <w:rsid w:val="00652CF5"/>
    <w:rsid w:val="0065343E"/>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0DF"/>
    <w:rsid w:val="00660AF7"/>
    <w:rsid w:val="00660D3E"/>
    <w:rsid w:val="00661691"/>
    <w:rsid w:val="00662D3D"/>
    <w:rsid w:val="00662E39"/>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0B9"/>
    <w:rsid w:val="00677382"/>
    <w:rsid w:val="0067772D"/>
    <w:rsid w:val="00677991"/>
    <w:rsid w:val="00677A9B"/>
    <w:rsid w:val="00677AD2"/>
    <w:rsid w:val="00680326"/>
    <w:rsid w:val="00680714"/>
    <w:rsid w:val="0068071D"/>
    <w:rsid w:val="00680C6B"/>
    <w:rsid w:val="006811F3"/>
    <w:rsid w:val="00681240"/>
    <w:rsid w:val="00683068"/>
    <w:rsid w:val="00683DAD"/>
    <w:rsid w:val="00684592"/>
    <w:rsid w:val="00684963"/>
    <w:rsid w:val="00685033"/>
    <w:rsid w:val="0068517F"/>
    <w:rsid w:val="00685D65"/>
    <w:rsid w:val="00685FC8"/>
    <w:rsid w:val="00686E80"/>
    <w:rsid w:val="0068790B"/>
    <w:rsid w:val="00687AF2"/>
    <w:rsid w:val="006901AC"/>
    <w:rsid w:val="00690C8D"/>
    <w:rsid w:val="0069108A"/>
    <w:rsid w:val="00691890"/>
    <w:rsid w:val="0069194E"/>
    <w:rsid w:val="00691AAD"/>
    <w:rsid w:val="00692416"/>
    <w:rsid w:val="006925DF"/>
    <w:rsid w:val="00692989"/>
    <w:rsid w:val="00692AFF"/>
    <w:rsid w:val="00692D2D"/>
    <w:rsid w:val="006939A7"/>
    <w:rsid w:val="00693B73"/>
    <w:rsid w:val="006944D0"/>
    <w:rsid w:val="006945A1"/>
    <w:rsid w:val="00694A53"/>
    <w:rsid w:val="006952DE"/>
    <w:rsid w:val="00695985"/>
    <w:rsid w:val="00695C78"/>
    <w:rsid w:val="00695E6C"/>
    <w:rsid w:val="00695EAC"/>
    <w:rsid w:val="00696188"/>
    <w:rsid w:val="00696C79"/>
    <w:rsid w:val="00697068"/>
    <w:rsid w:val="006977DE"/>
    <w:rsid w:val="00697D5F"/>
    <w:rsid w:val="006A035B"/>
    <w:rsid w:val="006A0582"/>
    <w:rsid w:val="006A060C"/>
    <w:rsid w:val="006A06F8"/>
    <w:rsid w:val="006A071C"/>
    <w:rsid w:val="006A0DC7"/>
    <w:rsid w:val="006A150D"/>
    <w:rsid w:val="006A1B00"/>
    <w:rsid w:val="006A2766"/>
    <w:rsid w:val="006A278C"/>
    <w:rsid w:val="006A39D0"/>
    <w:rsid w:val="006A3E91"/>
    <w:rsid w:val="006A4321"/>
    <w:rsid w:val="006A4549"/>
    <w:rsid w:val="006A4E20"/>
    <w:rsid w:val="006A4F11"/>
    <w:rsid w:val="006A563C"/>
    <w:rsid w:val="006A5A6F"/>
    <w:rsid w:val="006A5F7E"/>
    <w:rsid w:val="006A6786"/>
    <w:rsid w:val="006A7C29"/>
    <w:rsid w:val="006B0580"/>
    <w:rsid w:val="006B05F8"/>
    <w:rsid w:val="006B0DA2"/>
    <w:rsid w:val="006B0F70"/>
    <w:rsid w:val="006B1486"/>
    <w:rsid w:val="006B169F"/>
    <w:rsid w:val="006B1BEB"/>
    <w:rsid w:val="006B1D06"/>
    <w:rsid w:val="006B2823"/>
    <w:rsid w:val="006B29DC"/>
    <w:rsid w:val="006B2F60"/>
    <w:rsid w:val="006B33DB"/>
    <w:rsid w:val="006B3669"/>
    <w:rsid w:val="006B36E5"/>
    <w:rsid w:val="006B3D00"/>
    <w:rsid w:val="006B42C7"/>
    <w:rsid w:val="006B4CF8"/>
    <w:rsid w:val="006B506B"/>
    <w:rsid w:val="006B54E8"/>
    <w:rsid w:val="006B5FBC"/>
    <w:rsid w:val="006B6A9A"/>
    <w:rsid w:val="006B6ED2"/>
    <w:rsid w:val="006B7F74"/>
    <w:rsid w:val="006C0230"/>
    <w:rsid w:val="006C05C7"/>
    <w:rsid w:val="006C24C8"/>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3911"/>
    <w:rsid w:val="006D43C1"/>
    <w:rsid w:val="006D53C1"/>
    <w:rsid w:val="006D5442"/>
    <w:rsid w:val="006D6B31"/>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168D"/>
    <w:rsid w:val="00701C36"/>
    <w:rsid w:val="007021AC"/>
    <w:rsid w:val="00702F2D"/>
    <w:rsid w:val="0070353F"/>
    <w:rsid w:val="00704108"/>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6CFC"/>
    <w:rsid w:val="007170AB"/>
    <w:rsid w:val="0071779C"/>
    <w:rsid w:val="00717808"/>
    <w:rsid w:val="007208A7"/>
    <w:rsid w:val="00720B6A"/>
    <w:rsid w:val="007210F6"/>
    <w:rsid w:val="0072129A"/>
    <w:rsid w:val="0072139F"/>
    <w:rsid w:val="0072173F"/>
    <w:rsid w:val="0072198A"/>
    <w:rsid w:val="00721AD9"/>
    <w:rsid w:val="00721FC3"/>
    <w:rsid w:val="00722A75"/>
    <w:rsid w:val="00722A86"/>
    <w:rsid w:val="00722BC6"/>
    <w:rsid w:val="00722C69"/>
    <w:rsid w:val="0072311F"/>
    <w:rsid w:val="0072388C"/>
    <w:rsid w:val="00723C3F"/>
    <w:rsid w:val="0072454E"/>
    <w:rsid w:val="007249D1"/>
    <w:rsid w:val="00724FE4"/>
    <w:rsid w:val="00725829"/>
    <w:rsid w:val="00725D6A"/>
    <w:rsid w:val="007263A2"/>
    <w:rsid w:val="007266B9"/>
    <w:rsid w:val="00727351"/>
    <w:rsid w:val="00727AC5"/>
    <w:rsid w:val="00727C0D"/>
    <w:rsid w:val="00727C65"/>
    <w:rsid w:val="007300F0"/>
    <w:rsid w:val="00730904"/>
    <w:rsid w:val="00731947"/>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1F6A"/>
    <w:rsid w:val="00742D32"/>
    <w:rsid w:val="00742E9B"/>
    <w:rsid w:val="007444E6"/>
    <w:rsid w:val="0074592C"/>
    <w:rsid w:val="00745C91"/>
    <w:rsid w:val="00746098"/>
    <w:rsid w:val="00746D58"/>
    <w:rsid w:val="00747578"/>
    <w:rsid w:val="00747F1D"/>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57A1A"/>
    <w:rsid w:val="007602D4"/>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08"/>
    <w:rsid w:val="0076497F"/>
    <w:rsid w:val="007660EC"/>
    <w:rsid w:val="007662C7"/>
    <w:rsid w:val="00766862"/>
    <w:rsid w:val="00766A5B"/>
    <w:rsid w:val="00766AD3"/>
    <w:rsid w:val="007675DD"/>
    <w:rsid w:val="007702BF"/>
    <w:rsid w:val="007705F0"/>
    <w:rsid w:val="00770DC2"/>
    <w:rsid w:val="00771CAC"/>
    <w:rsid w:val="00772036"/>
    <w:rsid w:val="00772E5E"/>
    <w:rsid w:val="00773098"/>
    <w:rsid w:val="007737DA"/>
    <w:rsid w:val="007739A3"/>
    <w:rsid w:val="00773BD9"/>
    <w:rsid w:val="00773CB0"/>
    <w:rsid w:val="00773D71"/>
    <w:rsid w:val="00775526"/>
    <w:rsid w:val="00775651"/>
    <w:rsid w:val="00775F3F"/>
    <w:rsid w:val="0077710B"/>
    <w:rsid w:val="0077765A"/>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81A"/>
    <w:rsid w:val="00794E46"/>
    <w:rsid w:val="007952DE"/>
    <w:rsid w:val="00795479"/>
    <w:rsid w:val="00796292"/>
    <w:rsid w:val="007965D9"/>
    <w:rsid w:val="00796BA2"/>
    <w:rsid w:val="007972D5"/>
    <w:rsid w:val="0079778D"/>
    <w:rsid w:val="00797D73"/>
    <w:rsid w:val="007A006C"/>
    <w:rsid w:val="007A0789"/>
    <w:rsid w:val="007A0F9D"/>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114"/>
    <w:rsid w:val="007B02C7"/>
    <w:rsid w:val="007B0306"/>
    <w:rsid w:val="007B08E4"/>
    <w:rsid w:val="007B0D86"/>
    <w:rsid w:val="007B0D88"/>
    <w:rsid w:val="007B28C3"/>
    <w:rsid w:val="007B3A8E"/>
    <w:rsid w:val="007B3C9B"/>
    <w:rsid w:val="007B4271"/>
    <w:rsid w:val="007B4349"/>
    <w:rsid w:val="007B497D"/>
    <w:rsid w:val="007B49C3"/>
    <w:rsid w:val="007B4EE9"/>
    <w:rsid w:val="007B509F"/>
    <w:rsid w:val="007B5234"/>
    <w:rsid w:val="007B54C7"/>
    <w:rsid w:val="007B5637"/>
    <w:rsid w:val="007B5DC5"/>
    <w:rsid w:val="007B5F32"/>
    <w:rsid w:val="007B63FC"/>
    <w:rsid w:val="007B6708"/>
    <w:rsid w:val="007B6C20"/>
    <w:rsid w:val="007B6E8D"/>
    <w:rsid w:val="007C0074"/>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AF5"/>
    <w:rsid w:val="007D3D74"/>
    <w:rsid w:val="007D445F"/>
    <w:rsid w:val="007D4DED"/>
    <w:rsid w:val="007D5A00"/>
    <w:rsid w:val="007D5BA2"/>
    <w:rsid w:val="007D5ED3"/>
    <w:rsid w:val="007D682F"/>
    <w:rsid w:val="007D688D"/>
    <w:rsid w:val="007D6FB9"/>
    <w:rsid w:val="007D7211"/>
    <w:rsid w:val="007E0595"/>
    <w:rsid w:val="007E0A63"/>
    <w:rsid w:val="007E0C63"/>
    <w:rsid w:val="007E0E05"/>
    <w:rsid w:val="007E0F5D"/>
    <w:rsid w:val="007E23A1"/>
    <w:rsid w:val="007E259F"/>
    <w:rsid w:val="007E2EF7"/>
    <w:rsid w:val="007E347E"/>
    <w:rsid w:val="007E41A4"/>
    <w:rsid w:val="007E43E3"/>
    <w:rsid w:val="007E54B8"/>
    <w:rsid w:val="007E5D12"/>
    <w:rsid w:val="007E6420"/>
    <w:rsid w:val="007E677F"/>
    <w:rsid w:val="007E6B25"/>
    <w:rsid w:val="007E6E06"/>
    <w:rsid w:val="007E6F4A"/>
    <w:rsid w:val="007E79CC"/>
    <w:rsid w:val="007E7DFD"/>
    <w:rsid w:val="007F1124"/>
    <w:rsid w:val="007F152D"/>
    <w:rsid w:val="007F20C4"/>
    <w:rsid w:val="007F20EE"/>
    <w:rsid w:val="007F21AC"/>
    <w:rsid w:val="007F23D8"/>
    <w:rsid w:val="007F307A"/>
    <w:rsid w:val="007F30C6"/>
    <w:rsid w:val="007F38FD"/>
    <w:rsid w:val="007F3C18"/>
    <w:rsid w:val="007F4318"/>
    <w:rsid w:val="007F4709"/>
    <w:rsid w:val="007F47DA"/>
    <w:rsid w:val="007F4E52"/>
    <w:rsid w:val="007F4F84"/>
    <w:rsid w:val="007F5382"/>
    <w:rsid w:val="007F55A4"/>
    <w:rsid w:val="007F5AAE"/>
    <w:rsid w:val="007F5D28"/>
    <w:rsid w:val="007F6260"/>
    <w:rsid w:val="007F682B"/>
    <w:rsid w:val="007F78E8"/>
    <w:rsid w:val="007F7E6A"/>
    <w:rsid w:val="007F7F8F"/>
    <w:rsid w:val="0080042E"/>
    <w:rsid w:val="00800509"/>
    <w:rsid w:val="0080078E"/>
    <w:rsid w:val="00800B7F"/>
    <w:rsid w:val="00801005"/>
    <w:rsid w:val="008012B1"/>
    <w:rsid w:val="00801D63"/>
    <w:rsid w:val="00802136"/>
    <w:rsid w:val="0080348B"/>
    <w:rsid w:val="00803D82"/>
    <w:rsid w:val="00803D98"/>
    <w:rsid w:val="008052CE"/>
    <w:rsid w:val="008058D0"/>
    <w:rsid w:val="00806A4C"/>
    <w:rsid w:val="0080705B"/>
    <w:rsid w:val="0080723C"/>
    <w:rsid w:val="00807F71"/>
    <w:rsid w:val="0081000F"/>
    <w:rsid w:val="00812657"/>
    <w:rsid w:val="00812A1A"/>
    <w:rsid w:val="00812DFF"/>
    <w:rsid w:val="0081362F"/>
    <w:rsid w:val="0081383A"/>
    <w:rsid w:val="0081497F"/>
    <w:rsid w:val="00814B90"/>
    <w:rsid w:val="00814E3B"/>
    <w:rsid w:val="00814FC7"/>
    <w:rsid w:val="0081660C"/>
    <w:rsid w:val="00817195"/>
    <w:rsid w:val="00817416"/>
    <w:rsid w:val="00817658"/>
    <w:rsid w:val="00820407"/>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1229"/>
    <w:rsid w:val="008320D2"/>
    <w:rsid w:val="008321CE"/>
    <w:rsid w:val="0083257C"/>
    <w:rsid w:val="0083261B"/>
    <w:rsid w:val="00832B44"/>
    <w:rsid w:val="00832EC9"/>
    <w:rsid w:val="00833307"/>
    <w:rsid w:val="00833583"/>
    <w:rsid w:val="00833B5B"/>
    <w:rsid w:val="00833E8B"/>
    <w:rsid w:val="00833E9A"/>
    <w:rsid w:val="00834FEF"/>
    <w:rsid w:val="00836323"/>
    <w:rsid w:val="00837D3D"/>
    <w:rsid w:val="00837E9B"/>
    <w:rsid w:val="008404AA"/>
    <w:rsid w:val="008406D7"/>
    <w:rsid w:val="0084074F"/>
    <w:rsid w:val="008407BA"/>
    <w:rsid w:val="00840AA3"/>
    <w:rsid w:val="00840AAC"/>
    <w:rsid w:val="0084101C"/>
    <w:rsid w:val="0084181B"/>
    <w:rsid w:val="00841F29"/>
    <w:rsid w:val="008425CC"/>
    <w:rsid w:val="00842DC2"/>
    <w:rsid w:val="00843281"/>
    <w:rsid w:val="0084357B"/>
    <w:rsid w:val="008465B4"/>
    <w:rsid w:val="00846D25"/>
    <w:rsid w:val="00847F5A"/>
    <w:rsid w:val="00850013"/>
    <w:rsid w:val="008500DD"/>
    <w:rsid w:val="00850A0A"/>
    <w:rsid w:val="00850A94"/>
    <w:rsid w:val="00851E96"/>
    <w:rsid w:val="00851F1C"/>
    <w:rsid w:val="00852BD4"/>
    <w:rsid w:val="00852FA5"/>
    <w:rsid w:val="00853F7D"/>
    <w:rsid w:val="00855037"/>
    <w:rsid w:val="0085517F"/>
    <w:rsid w:val="0085562D"/>
    <w:rsid w:val="00855693"/>
    <w:rsid w:val="00855A78"/>
    <w:rsid w:val="00856154"/>
    <w:rsid w:val="00856286"/>
    <w:rsid w:val="0085657E"/>
    <w:rsid w:val="00856F0E"/>
    <w:rsid w:val="008573AF"/>
    <w:rsid w:val="008576B0"/>
    <w:rsid w:val="00860296"/>
    <w:rsid w:val="008602E3"/>
    <w:rsid w:val="0086092A"/>
    <w:rsid w:val="00860DA4"/>
    <w:rsid w:val="00861146"/>
    <w:rsid w:val="00861948"/>
    <w:rsid w:val="00862011"/>
    <w:rsid w:val="00862A15"/>
    <w:rsid w:val="00862CC9"/>
    <w:rsid w:val="00862D8E"/>
    <w:rsid w:val="00862EF2"/>
    <w:rsid w:val="0086598A"/>
    <w:rsid w:val="00865C3D"/>
    <w:rsid w:val="00865F4C"/>
    <w:rsid w:val="00866453"/>
    <w:rsid w:val="00866C38"/>
    <w:rsid w:val="0086707F"/>
    <w:rsid w:val="00867501"/>
    <w:rsid w:val="00867D8E"/>
    <w:rsid w:val="008700C0"/>
    <w:rsid w:val="0087058B"/>
    <w:rsid w:val="0087099A"/>
    <w:rsid w:val="00870D79"/>
    <w:rsid w:val="00871333"/>
    <w:rsid w:val="00871952"/>
    <w:rsid w:val="00872006"/>
    <w:rsid w:val="00872386"/>
    <w:rsid w:val="00872599"/>
    <w:rsid w:val="008726D7"/>
    <w:rsid w:val="00873128"/>
    <w:rsid w:val="008735BC"/>
    <w:rsid w:val="00873AAC"/>
    <w:rsid w:val="00873C61"/>
    <w:rsid w:val="00873DFD"/>
    <w:rsid w:val="008749BF"/>
    <w:rsid w:val="00875542"/>
    <w:rsid w:val="00875E14"/>
    <w:rsid w:val="0087677E"/>
    <w:rsid w:val="00876940"/>
    <w:rsid w:val="0087712C"/>
    <w:rsid w:val="008772B9"/>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87B09"/>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2B0"/>
    <w:rsid w:val="008972B6"/>
    <w:rsid w:val="00897339"/>
    <w:rsid w:val="00897697"/>
    <w:rsid w:val="008977E1"/>
    <w:rsid w:val="00897BFA"/>
    <w:rsid w:val="00897D19"/>
    <w:rsid w:val="008A0044"/>
    <w:rsid w:val="008A0BFE"/>
    <w:rsid w:val="008A1932"/>
    <w:rsid w:val="008A21D9"/>
    <w:rsid w:val="008A232D"/>
    <w:rsid w:val="008A2F66"/>
    <w:rsid w:val="008A3182"/>
    <w:rsid w:val="008A3C76"/>
    <w:rsid w:val="008A3D54"/>
    <w:rsid w:val="008A3E10"/>
    <w:rsid w:val="008A411C"/>
    <w:rsid w:val="008A4630"/>
    <w:rsid w:val="008A47CE"/>
    <w:rsid w:val="008A4DFA"/>
    <w:rsid w:val="008A5F2F"/>
    <w:rsid w:val="008A6BAE"/>
    <w:rsid w:val="008A7350"/>
    <w:rsid w:val="008A75FC"/>
    <w:rsid w:val="008A7A72"/>
    <w:rsid w:val="008B09F3"/>
    <w:rsid w:val="008B111A"/>
    <w:rsid w:val="008B16E6"/>
    <w:rsid w:val="008B1AB2"/>
    <w:rsid w:val="008B1D9B"/>
    <w:rsid w:val="008B2042"/>
    <w:rsid w:val="008B25F1"/>
    <w:rsid w:val="008B3567"/>
    <w:rsid w:val="008B36D0"/>
    <w:rsid w:val="008B38AF"/>
    <w:rsid w:val="008B3D7F"/>
    <w:rsid w:val="008B3E1B"/>
    <w:rsid w:val="008B3E66"/>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43BC"/>
    <w:rsid w:val="008C5371"/>
    <w:rsid w:val="008C623D"/>
    <w:rsid w:val="008C65F4"/>
    <w:rsid w:val="008C6683"/>
    <w:rsid w:val="008C6E0C"/>
    <w:rsid w:val="008C7125"/>
    <w:rsid w:val="008C7273"/>
    <w:rsid w:val="008C78F8"/>
    <w:rsid w:val="008D05DF"/>
    <w:rsid w:val="008D0939"/>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2BE"/>
    <w:rsid w:val="008E13FD"/>
    <w:rsid w:val="008E1527"/>
    <w:rsid w:val="008E1C24"/>
    <w:rsid w:val="008E2626"/>
    <w:rsid w:val="008E27A9"/>
    <w:rsid w:val="008E323C"/>
    <w:rsid w:val="008E32E0"/>
    <w:rsid w:val="008E35A6"/>
    <w:rsid w:val="008E36D9"/>
    <w:rsid w:val="008E3A5C"/>
    <w:rsid w:val="008E3A9A"/>
    <w:rsid w:val="008E429E"/>
    <w:rsid w:val="008E4E11"/>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6D34"/>
    <w:rsid w:val="008F7292"/>
    <w:rsid w:val="008F76C0"/>
    <w:rsid w:val="009000F2"/>
    <w:rsid w:val="0090079D"/>
    <w:rsid w:val="0090086A"/>
    <w:rsid w:val="00900D2C"/>
    <w:rsid w:val="00901807"/>
    <w:rsid w:val="00901F0E"/>
    <w:rsid w:val="00902A26"/>
    <w:rsid w:val="00902A57"/>
    <w:rsid w:val="00902B29"/>
    <w:rsid w:val="00902BBA"/>
    <w:rsid w:val="00902D02"/>
    <w:rsid w:val="00903777"/>
    <w:rsid w:val="00903C83"/>
    <w:rsid w:val="00903D77"/>
    <w:rsid w:val="0090408F"/>
    <w:rsid w:val="0090446A"/>
    <w:rsid w:val="00904537"/>
    <w:rsid w:val="00904DC3"/>
    <w:rsid w:val="0090534A"/>
    <w:rsid w:val="00905469"/>
    <w:rsid w:val="00905E63"/>
    <w:rsid w:val="00906078"/>
    <w:rsid w:val="0090629C"/>
    <w:rsid w:val="00906EA2"/>
    <w:rsid w:val="00907278"/>
    <w:rsid w:val="00907B9E"/>
    <w:rsid w:val="00910041"/>
    <w:rsid w:val="0091112B"/>
    <w:rsid w:val="00911D61"/>
    <w:rsid w:val="0091254B"/>
    <w:rsid w:val="00912850"/>
    <w:rsid w:val="009128B8"/>
    <w:rsid w:val="0091472C"/>
    <w:rsid w:val="00914DC9"/>
    <w:rsid w:val="00915351"/>
    <w:rsid w:val="00915679"/>
    <w:rsid w:val="009159C2"/>
    <w:rsid w:val="0091627F"/>
    <w:rsid w:val="00916E45"/>
    <w:rsid w:val="0092077A"/>
    <w:rsid w:val="00920DC0"/>
    <w:rsid w:val="009218BC"/>
    <w:rsid w:val="009219F3"/>
    <w:rsid w:val="009221CB"/>
    <w:rsid w:val="00922320"/>
    <w:rsid w:val="00923643"/>
    <w:rsid w:val="009236E4"/>
    <w:rsid w:val="00923E1A"/>
    <w:rsid w:val="009245CC"/>
    <w:rsid w:val="0092490A"/>
    <w:rsid w:val="00925A3E"/>
    <w:rsid w:val="00925BC2"/>
    <w:rsid w:val="00925E42"/>
    <w:rsid w:val="009261DB"/>
    <w:rsid w:val="00926939"/>
    <w:rsid w:val="00926F4C"/>
    <w:rsid w:val="00927330"/>
    <w:rsid w:val="00927710"/>
    <w:rsid w:val="009307CA"/>
    <w:rsid w:val="009312F9"/>
    <w:rsid w:val="00931445"/>
    <w:rsid w:val="00931AB8"/>
    <w:rsid w:val="00931C19"/>
    <w:rsid w:val="00931C63"/>
    <w:rsid w:val="00931D10"/>
    <w:rsid w:val="0093218A"/>
    <w:rsid w:val="00932376"/>
    <w:rsid w:val="0093386D"/>
    <w:rsid w:val="00934C8E"/>
    <w:rsid w:val="00935194"/>
    <w:rsid w:val="00936EA5"/>
    <w:rsid w:val="00937114"/>
    <w:rsid w:val="0094015D"/>
    <w:rsid w:val="00940916"/>
    <w:rsid w:val="009412B7"/>
    <w:rsid w:val="00941B13"/>
    <w:rsid w:val="00941C9E"/>
    <w:rsid w:val="0094215C"/>
    <w:rsid w:val="00942BB5"/>
    <w:rsid w:val="00942F8E"/>
    <w:rsid w:val="00943543"/>
    <w:rsid w:val="009441DB"/>
    <w:rsid w:val="00944834"/>
    <w:rsid w:val="00946128"/>
    <w:rsid w:val="0094633F"/>
    <w:rsid w:val="00946ADA"/>
    <w:rsid w:val="00947BA5"/>
    <w:rsid w:val="00950272"/>
    <w:rsid w:val="00950805"/>
    <w:rsid w:val="00950FB3"/>
    <w:rsid w:val="00951371"/>
    <w:rsid w:val="009517E4"/>
    <w:rsid w:val="009518D4"/>
    <w:rsid w:val="009520BC"/>
    <w:rsid w:val="009521D2"/>
    <w:rsid w:val="00952403"/>
    <w:rsid w:val="00952589"/>
    <w:rsid w:val="00952BD8"/>
    <w:rsid w:val="00953573"/>
    <w:rsid w:val="009537C0"/>
    <w:rsid w:val="009557A9"/>
    <w:rsid w:val="00956647"/>
    <w:rsid w:val="00957380"/>
    <w:rsid w:val="00957409"/>
    <w:rsid w:val="00957499"/>
    <w:rsid w:val="00957ED2"/>
    <w:rsid w:val="009604AE"/>
    <w:rsid w:val="009609AF"/>
    <w:rsid w:val="00960DE4"/>
    <w:rsid w:val="009610C7"/>
    <w:rsid w:val="0096116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EB8"/>
    <w:rsid w:val="00966A21"/>
    <w:rsid w:val="00966AD2"/>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3A"/>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5D64"/>
    <w:rsid w:val="00996055"/>
    <w:rsid w:val="00996EF4"/>
    <w:rsid w:val="00997044"/>
    <w:rsid w:val="00997914"/>
    <w:rsid w:val="00997BC9"/>
    <w:rsid w:val="009A113D"/>
    <w:rsid w:val="009A1431"/>
    <w:rsid w:val="009A1ECA"/>
    <w:rsid w:val="009A1F96"/>
    <w:rsid w:val="009A2BE9"/>
    <w:rsid w:val="009A2BF3"/>
    <w:rsid w:val="009A3043"/>
    <w:rsid w:val="009A3688"/>
    <w:rsid w:val="009A3713"/>
    <w:rsid w:val="009A3C3E"/>
    <w:rsid w:val="009A4153"/>
    <w:rsid w:val="009A4C2C"/>
    <w:rsid w:val="009A5112"/>
    <w:rsid w:val="009A59B3"/>
    <w:rsid w:val="009A5FAE"/>
    <w:rsid w:val="009A6A62"/>
    <w:rsid w:val="009A6ADA"/>
    <w:rsid w:val="009A6B3A"/>
    <w:rsid w:val="009A70A3"/>
    <w:rsid w:val="009A7E7C"/>
    <w:rsid w:val="009B05D2"/>
    <w:rsid w:val="009B126B"/>
    <w:rsid w:val="009B152B"/>
    <w:rsid w:val="009B2731"/>
    <w:rsid w:val="009B2DCF"/>
    <w:rsid w:val="009B39D8"/>
    <w:rsid w:val="009B3D38"/>
    <w:rsid w:val="009B4368"/>
    <w:rsid w:val="009B4D4C"/>
    <w:rsid w:val="009B66F5"/>
    <w:rsid w:val="009B7505"/>
    <w:rsid w:val="009C0020"/>
    <w:rsid w:val="009C002F"/>
    <w:rsid w:val="009C03F7"/>
    <w:rsid w:val="009C10DA"/>
    <w:rsid w:val="009C19FC"/>
    <w:rsid w:val="009C27F7"/>
    <w:rsid w:val="009C3BC4"/>
    <w:rsid w:val="009C3C93"/>
    <w:rsid w:val="009C3E97"/>
    <w:rsid w:val="009C4017"/>
    <w:rsid w:val="009C424E"/>
    <w:rsid w:val="009C4708"/>
    <w:rsid w:val="009C4870"/>
    <w:rsid w:val="009C4C4E"/>
    <w:rsid w:val="009C4D37"/>
    <w:rsid w:val="009C53F0"/>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3EA3"/>
    <w:rsid w:val="009D4207"/>
    <w:rsid w:val="009D4E4A"/>
    <w:rsid w:val="009D5130"/>
    <w:rsid w:val="009D53D1"/>
    <w:rsid w:val="009D53FB"/>
    <w:rsid w:val="009D56A4"/>
    <w:rsid w:val="009D6081"/>
    <w:rsid w:val="009D63A6"/>
    <w:rsid w:val="009D6659"/>
    <w:rsid w:val="009D678C"/>
    <w:rsid w:val="009D681B"/>
    <w:rsid w:val="009D6B9A"/>
    <w:rsid w:val="009D6D30"/>
    <w:rsid w:val="009D7523"/>
    <w:rsid w:val="009D76B5"/>
    <w:rsid w:val="009D7AF1"/>
    <w:rsid w:val="009D7B86"/>
    <w:rsid w:val="009D7BC7"/>
    <w:rsid w:val="009D7FAC"/>
    <w:rsid w:val="009E0109"/>
    <w:rsid w:val="009E0342"/>
    <w:rsid w:val="009E098B"/>
    <w:rsid w:val="009E09AB"/>
    <w:rsid w:val="009E0D7D"/>
    <w:rsid w:val="009E0DAF"/>
    <w:rsid w:val="009E19BB"/>
    <w:rsid w:val="009E1C47"/>
    <w:rsid w:val="009E38D1"/>
    <w:rsid w:val="009E3DF1"/>
    <w:rsid w:val="009E4C3F"/>
    <w:rsid w:val="009E514A"/>
    <w:rsid w:val="009E5177"/>
    <w:rsid w:val="009E5701"/>
    <w:rsid w:val="009E5711"/>
    <w:rsid w:val="009E758E"/>
    <w:rsid w:val="009E7BFB"/>
    <w:rsid w:val="009E7D6B"/>
    <w:rsid w:val="009E7E81"/>
    <w:rsid w:val="009F020A"/>
    <w:rsid w:val="009F05AD"/>
    <w:rsid w:val="009F0659"/>
    <w:rsid w:val="009F08B2"/>
    <w:rsid w:val="009F1109"/>
    <w:rsid w:val="009F143E"/>
    <w:rsid w:val="009F1C4E"/>
    <w:rsid w:val="009F1D81"/>
    <w:rsid w:val="009F1DE8"/>
    <w:rsid w:val="009F2186"/>
    <w:rsid w:val="009F227C"/>
    <w:rsid w:val="009F28DC"/>
    <w:rsid w:val="009F2E6D"/>
    <w:rsid w:val="009F2EDB"/>
    <w:rsid w:val="009F33DC"/>
    <w:rsid w:val="009F42CC"/>
    <w:rsid w:val="009F4550"/>
    <w:rsid w:val="009F56C0"/>
    <w:rsid w:val="009F5C76"/>
    <w:rsid w:val="009F7B73"/>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6B68"/>
    <w:rsid w:val="00A176DD"/>
    <w:rsid w:val="00A21838"/>
    <w:rsid w:val="00A22C3E"/>
    <w:rsid w:val="00A22C4D"/>
    <w:rsid w:val="00A2334E"/>
    <w:rsid w:val="00A23442"/>
    <w:rsid w:val="00A249D2"/>
    <w:rsid w:val="00A2503D"/>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339"/>
    <w:rsid w:val="00A36CF6"/>
    <w:rsid w:val="00A37309"/>
    <w:rsid w:val="00A37329"/>
    <w:rsid w:val="00A37558"/>
    <w:rsid w:val="00A3786A"/>
    <w:rsid w:val="00A4008C"/>
    <w:rsid w:val="00A402A8"/>
    <w:rsid w:val="00A40685"/>
    <w:rsid w:val="00A406FE"/>
    <w:rsid w:val="00A40E2F"/>
    <w:rsid w:val="00A41092"/>
    <w:rsid w:val="00A41819"/>
    <w:rsid w:val="00A41C9A"/>
    <w:rsid w:val="00A41CC1"/>
    <w:rsid w:val="00A41D73"/>
    <w:rsid w:val="00A42406"/>
    <w:rsid w:val="00A433E8"/>
    <w:rsid w:val="00A43A1D"/>
    <w:rsid w:val="00A43AB0"/>
    <w:rsid w:val="00A44854"/>
    <w:rsid w:val="00A44A45"/>
    <w:rsid w:val="00A46431"/>
    <w:rsid w:val="00A4665D"/>
    <w:rsid w:val="00A46859"/>
    <w:rsid w:val="00A46D39"/>
    <w:rsid w:val="00A47019"/>
    <w:rsid w:val="00A4705D"/>
    <w:rsid w:val="00A472B8"/>
    <w:rsid w:val="00A5004A"/>
    <w:rsid w:val="00A5017C"/>
    <w:rsid w:val="00A5021E"/>
    <w:rsid w:val="00A502D6"/>
    <w:rsid w:val="00A502F5"/>
    <w:rsid w:val="00A504F4"/>
    <w:rsid w:val="00A507C4"/>
    <w:rsid w:val="00A508AA"/>
    <w:rsid w:val="00A50EE7"/>
    <w:rsid w:val="00A526CE"/>
    <w:rsid w:val="00A54107"/>
    <w:rsid w:val="00A54449"/>
    <w:rsid w:val="00A5453B"/>
    <w:rsid w:val="00A54909"/>
    <w:rsid w:val="00A54DC0"/>
    <w:rsid w:val="00A550C9"/>
    <w:rsid w:val="00A55228"/>
    <w:rsid w:val="00A55410"/>
    <w:rsid w:val="00A55831"/>
    <w:rsid w:val="00A55A04"/>
    <w:rsid w:val="00A564DE"/>
    <w:rsid w:val="00A571B1"/>
    <w:rsid w:val="00A6054E"/>
    <w:rsid w:val="00A60799"/>
    <w:rsid w:val="00A61101"/>
    <w:rsid w:val="00A6170B"/>
    <w:rsid w:val="00A61991"/>
    <w:rsid w:val="00A61B7F"/>
    <w:rsid w:val="00A61B91"/>
    <w:rsid w:val="00A61C3A"/>
    <w:rsid w:val="00A620E8"/>
    <w:rsid w:val="00A63335"/>
    <w:rsid w:val="00A634EB"/>
    <w:rsid w:val="00A63685"/>
    <w:rsid w:val="00A63EA5"/>
    <w:rsid w:val="00A64545"/>
    <w:rsid w:val="00A645AC"/>
    <w:rsid w:val="00A64622"/>
    <w:rsid w:val="00A64C79"/>
    <w:rsid w:val="00A65EFB"/>
    <w:rsid w:val="00A66325"/>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8E2"/>
    <w:rsid w:val="00A75B89"/>
    <w:rsid w:val="00A762C7"/>
    <w:rsid w:val="00A765B1"/>
    <w:rsid w:val="00A772F2"/>
    <w:rsid w:val="00A77828"/>
    <w:rsid w:val="00A77BAA"/>
    <w:rsid w:val="00A800F9"/>
    <w:rsid w:val="00A803A6"/>
    <w:rsid w:val="00A8073D"/>
    <w:rsid w:val="00A80D02"/>
    <w:rsid w:val="00A80DF3"/>
    <w:rsid w:val="00A815FB"/>
    <w:rsid w:val="00A81AEB"/>
    <w:rsid w:val="00A82D32"/>
    <w:rsid w:val="00A82EAE"/>
    <w:rsid w:val="00A82FC7"/>
    <w:rsid w:val="00A836AB"/>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1E4"/>
    <w:rsid w:val="00A92A96"/>
    <w:rsid w:val="00A92AF0"/>
    <w:rsid w:val="00A933FE"/>
    <w:rsid w:val="00A937D5"/>
    <w:rsid w:val="00A93C70"/>
    <w:rsid w:val="00A94A32"/>
    <w:rsid w:val="00A94AFC"/>
    <w:rsid w:val="00A94BF5"/>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5DB"/>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858"/>
    <w:rsid w:val="00AC7F64"/>
    <w:rsid w:val="00AD1065"/>
    <w:rsid w:val="00AD1501"/>
    <w:rsid w:val="00AD159E"/>
    <w:rsid w:val="00AD2AB1"/>
    <w:rsid w:val="00AD3132"/>
    <w:rsid w:val="00AD3DA6"/>
    <w:rsid w:val="00AD3F3C"/>
    <w:rsid w:val="00AD447E"/>
    <w:rsid w:val="00AD4B2F"/>
    <w:rsid w:val="00AD4F10"/>
    <w:rsid w:val="00AD590E"/>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55E3"/>
    <w:rsid w:val="00AE6575"/>
    <w:rsid w:val="00AE71EE"/>
    <w:rsid w:val="00AF03CF"/>
    <w:rsid w:val="00AF0A0A"/>
    <w:rsid w:val="00AF1384"/>
    <w:rsid w:val="00AF14FC"/>
    <w:rsid w:val="00AF1ED2"/>
    <w:rsid w:val="00AF1F4E"/>
    <w:rsid w:val="00AF2302"/>
    <w:rsid w:val="00AF262A"/>
    <w:rsid w:val="00AF3557"/>
    <w:rsid w:val="00AF3F86"/>
    <w:rsid w:val="00AF4487"/>
    <w:rsid w:val="00AF4CEE"/>
    <w:rsid w:val="00AF4F4A"/>
    <w:rsid w:val="00AF584C"/>
    <w:rsid w:val="00AF5D84"/>
    <w:rsid w:val="00AF6476"/>
    <w:rsid w:val="00AF669D"/>
    <w:rsid w:val="00AF672C"/>
    <w:rsid w:val="00AF673E"/>
    <w:rsid w:val="00AF6ABE"/>
    <w:rsid w:val="00AF7389"/>
    <w:rsid w:val="00AF79DF"/>
    <w:rsid w:val="00AF7C37"/>
    <w:rsid w:val="00B00378"/>
    <w:rsid w:val="00B006F5"/>
    <w:rsid w:val="00B00D91"/>
    <w:rsid w:val="00B00E84"/>
    <w:rsid w:val="00B01DD9"/>
    <w:rsid w:val="00B01F0E"/>
    <w:rsid w:val="00B038DD"/>
    <w:rsid w:val="00B038F1"/>
    <w:rsid w:val="00B03C1B"/>
    <w:rsid w:val="00B04678"/>
    <w:rsid w:val="00B047C9"/>
    <w:rsid w:val="00B04A04"/>
    <w:rsid w:val="00B04B78"/>
    <w:rsid w:val="00B04C37"/>
    <w:rsid w:val="00B04F00"/>
    <w:rsid w:val="00B05BA6"/>
    <w:rsid w:val="00B066FE"/>
    <w:rsid w:val="00B06912"/>
    <w:rsid w:val="00B06FE5"/>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1FC0"/>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5DB0"/>
    <w:rsid w:val="00B36617"/>
    <w:rsid w:val="00B367C4"/>
    <w:rsid w:val="00B36D3E"/>
    <w:rsid w:val="00B37B8E"/>
    <w:rsid w:val="00B40222"/>
    <w:rsid w:val="00B404C3"/>
    <w:rsid w:val="00B4065C"/>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75C"/>
    <w:rsid w:val="00B47979"/>
    <w:rsid w:val="00B47A59"/>
    <w:rsid w:val="00B47D21"/>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719"/>
    <w:rsid w:val="00B55F64"/>
    <w:rsid w:val="00B56DBF"/>
    <w:rsid w:val="00B56ECA"/>
    <w:rsid w:val="00B57093"/>
    <w:rsid w:val="00B57B5D"/>
    <w:rsid w:val="00B60613"/>
    <w:rsid w:val="00B61AEC"/>
    <w:rsid w:val="00B6244C"/>
    <w:rsid w:val="00B62A2F"/>
    <w:rsid w:val="00B62B7B"/>
    <w:rsid w:val="00B62F0A"/>
    <w:rsid w:val="00B63484"/>
    <w:rsid w:val="00B634B7"/>
    <w:rsid w:val="00B634F1"/>
    <w:rsid w:val="00B637EF"/>
    <w:rsid w:val="00B6385B"/>
    <w:rsid w:val="00B63EF6"/>
    <w:rsid w:val="00B64200"/>
    <w:rsid w:val="00B6440A"/>
    <w:rsid w:val="00B656C1"/>
    <w:rsid w:val="00B65788"/>
    <w:rsid w:val="00B65844"/>
    <w:rsid w:val="00B66054"/>
    <w:rsid w:val="00B6677F"/>
    <w:rsid w:val="00B66C7A"/>
    <w:rsid w:val="00B672EA"/>
    <w:rsid w:val="00B6747B"/>
    <w:rsid w:val="00B70200"/>
    <w:rsid w:val="00B702D7"/>
    <w:rsid w:val="00B70389"/>
    <w:rsid w:val="00B7058F"/>
    <w:rsid w:val="00B70E01"/>
    <w:rsid w:val="00B7289A"/>
    <w:rsid w:val="00B72CF0"/>
    <w:rsid w:val="00B72E83"/>
    <w:rsid w:val="00B7380E"/>
    <w:rsid w:val="00B740F6"/>
    <w:rsid w:val="00B74615"/>
    <w:rsid w:val="00B74789"/>
    <w:rsid w:val="00B754C1"/>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47E"/>
    <w:rsid w:val="00B85586"/>
    <w:rsid w:val="00B86289"/>
    <w:rsid w:val="00B863B3"/>
    <w:rsid w:val="00B869D3"/>
    <w:rsid w:val="00B86CF8"/>
    <w:rsid w:val="00B86E44"/>
    <w:rsid w:val="00B87359"/>
    <w:rsid w:val="00B87B05"/>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5ED2"/>
    <w:rsid w:val="00B96DD9"/>
    <w:rsid w:val="00B96EA6"/>
    <w:rsid w:val="00B975A9"/>
    <w:rsid w:val="00B9789D"/>
    <w:rsid w:val="00B97A4C"/>
    <w:rsid w:val="00BA050E"/>
    <w:rsid w:val="00BA1289"/>
    <w:rsid w:val="00BA14B2"/>
    <w:rsid w:val="00BA15DC"/>
    <w:rsid w:val="00BA1E2F"/>
    <w:rsid w:val="00BA1EB8"/>
    <w:rsid w:val="00BA2AEE"/>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58B3"/>
    <w:rsid w:val="00BB7632"/>
    <w:rsid w:val="00BB777D"/>
    <w:rsid w:val="00BB7EC0"/>
    <w:rsid w:val="00BB7F88"/>
    <w:rsid w:val="00BC0207"/>
    <w:rsid w:val="00BC089F"/>
    <w:rsid w:val="00BC0A0C"/>
    <w:rsid w:val="00BC0A5A"/>
    <w:rsid w:val="00BC0E64"/>
    <w:rsid w:val="00BC22A4"/>
    <w:rsid w:val="00BC25D1"/>
    <w:rsid w:val="00BC2DBD"/>
    <w:rsid w:val="00BC3BCB"/>
    <w:rsid w:val="00BC3CF1"/>
    <w:rsid w:val="00BC428A"/>
    <w:rsid w:val="00BC4B11"/>
    <w:rsid w:val="00BC4C40"/>
    <w:rsid w:val="00BC5A29"/>
    <w:rsid w:val="00BC5AE3"/>
    <w:rsid w:val="00BC5BAD"/>
    <w:rsid w:val="00BC692A"/>
    <w:rsid w:val="00BC76C5"/>
    <w:rsid w:val="00BC7BB7"/>
    <w:rsid w:val="00BC7F94"/>
    <w:rsid w:val="00BD1039"/>
    <w:rsid w:val="00BD10B7"/>
    <w:rsid w:val="00BD138A"/>
    <w:rsid w:val="00BD164A"/>
    <w:rsid w:val="00BD1BDD"/>
    <w:rsid w:val="00BD1D7D"/>
    <w:rsid w:val="00BD1E27"/>
    <w:rsid w:val="00BD2585"/>
    <w:rsid w:val="00BD2B4D"/>
    <w:rsid w:val="00BD2F08"/>
    <w:rsid w:val="00BD2FB9"/>
    <w:rsid w:val="00BD31C2"/>
    <w:rsid w:val="00BD3683"/>
    <w:rsid w:val="00BD450A"/>
    <w:rsid w:val="00BD4717"/>
    <w:rsid w:val="00BD48EA"/>
    <w:rsid w:val="00BD4BA8"/>
    <w:rsid w:val="00BD5624"/>
    <w:rsid w:val="00BD62E6"/>
    <w:rsid w:val="00BD64DB"/>
    <w:rsid w:val="00BD6B0E"/>
    <w:rsid w:val="00BD734D"/>
    <w:rsid w:val="00BD7941"/>
    <w:rsid w:val="00BE0591"/>
    <w:rsid w:val="00BE06D0"/>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587F"/>
    <w:rsid w:val="00BE7EDB"/>
    <w:rsid w:val="00BE7F4D"/>
    <w:rsid w:val="00BF03C0"/>
    <w:rsid w:val="00BF0EBF"/>
    <w:rsid w:val="00BF1534"/>
    <w:rsid w:val="00BF19C3"/>
    <w:rsid w:val="00BF2021"/>
    <w:rsid w:val="00BF21D4"/>
    <w:rsid w:val="00BF2DDC"/>
    <w:rsid w:val="00BF32DE"/>
    <w:rsid w:val="00BF4A15"/>
    <w:rsid w:val="00BF4E0E"/>
    <w:rsid w:val="00BF4E27"/>
    <w:rsid w:val="00BF4F7C"/>
    <w:rsid w:val="00BF537B"/>
    <w:rsid w:val="00BF5901"/>
    <w:rsid w:val="00BF5ACE"/>
    <w:rsid w:val="00BF618E"/>
    <w:rsid w:val="00BF626A"/>
    <w:rsid w:val="00BF688E"/>
    <w:rsid w:val="00BF6D77"/>
    <w:rsid w:val="00BF739A"/>
    <w:rsid w:val="00BF7EF5"/>
    <w:rsid w:val="00C00BF6"/>
    <w:rsid w:val="00C0234A"/>
    <w:rsid w:val="00C0247B"/>
    <w:rsid w:val="00C0378E"/>
    <w:rsid w:val="00C04314"/>
    <w:rsid w:val="00C04BD0"/>
    <w:rsid w:val="00C05730"/>
    <w:rsid w:val="00C05AF4"/>
    <w:rsid w:val="00C05AFD"/>
    <w:rsid w:val="00C0661C"/>
    <w:rsid w:val="00C0675F"/>
    <w:rsid w:val="00C068EE"/>
    <w:rsid w:val="00C0702A"/>
    <w:rsid w:val="00C0724C"/>
    <w:rsid w:val="00C07C11"/>
    <w:rsid w:val="00C07E10"/>
    <w:rsid w:val="00C10015"/>
    <w:rsid w:val="00C1110A"/>
    <w:rsid w:val="00C11689"/>
    <w:rsid w:val="00C11BA4"/>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336"/>
    <w:rsid w:val="00C17AB5"/>
    <w:rsid w:val="00C20051"/>
    <w:rsid w:val="00C20B6C"/>
    <w:rsid w:val="00C20B86"/>
    <w:rsid w:val="00C21145"/>
    <w:rsid w:val="00C215ED"/>
    <w:rsid w:val="00C22350"/>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2115"/>
    <w:rsid w:val="00C332D4"/>
    <w:rsid w:val="00C33A66"/>
    <w:rsid w:val="00C33E51"/>
    <w:rsid w:val="00C34C45"/>
    <w:rsid w:val="00C34C47"/>
    <w:rsid w:val="00C34FCE"/>
    <w:rsid w:val="00C35411"/>
    <w:rsid w:val="00C35EED"/>
    <w:rsid w:val="00C36B2C"/>
    <w:rsid w:val="00C3701A"/>
    <w:rsid w:val="00C37199"/>
    <w:rsid w:val="00C379EF"/>
    <w:rsid w:val="00C37AEF"/>
    <w:rsid w:val="00C405C8"/>
    <w:rsid w:val="00C406D4"/>
    <w:rsid w:val="00C40C2F"/>
    <w:rsid w:val="00C415AC"/>
    <w:rsid w:val="00C4297A"/>
    <w:rsid w:val="00C4360C"/>
    <w:rsid w:val="00C439B8"/>
    <w:rsid w:val="00C43A0B"/>
    <w:rsid w:val="00C43EDA"/>
    <w:rsid w:val="00C43FEC"/>
    <w:rsid w:val="00C4414C"/>
    <w:rsid w:val="00C45512"/>
    <w:rsid w:val="00C4602B"/>
    <w:rsid w:val="00C46262"/>
    <w:rsid w:val="00C46564"/>
    <w:rsid w:val="00C46BFA"/>
    <w:rsid w:val="00C46DDF"/>
    <w:rsid w:val="00C476E4"/>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BB"/>
    <w:rsid w:val="00C629F3"/>
    <w:rsid w:val="00C62B88"/>
    <w:rsid w:val="00C62CD3"/>
    <w:rsid w:val="00C634F9"/>
    <w:rsid w:val="00C63CDE"/>
    <w:rsid w:val="00C63E9C"/>
    <w:rsid w:val="00C643ED"/>
    <w:rsid w:val="00C64534"/>
    <w:rsid w:val="00C64A9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205"/>
    <w:rsid w:val="00C76C0C"/>
    <w:rsid w:val="00C76EE8"/>
    <w:rsid w:val="00C76FFC"/>
    <w:rsid w:val="00C770B6"/>
    <w:rsid w:val="00C774E0"/>
    <w:rsid w:val="00C776BA"/>
    <w:rsid w:val="00C7791E"/>
    <w:rsid w:val="00C81716"/>
    <w:rsid w:val="00C832CB"/>
    <w:rsid w:val="00C83BD3"/>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97AE7"/>
    <w:rsid w:val="00CA0492"/>
    <w:rsid w:val="00CA05B0"/>
    <w:rsid w:val="00CA0632"/>
    <w:rsid w:val="00CA0A04"/>
    <w:rsid w:val="00CA2528"/>
    <w:rsid w:val="00CA3CAB"/>
    <w:rsid w:val="00CA3FC0"/>
    <w:rsid w:val="00CA5146"/>
    <w:rsid w:val="00CA5685"/>
    <w:rsid w:val="00CA6A2E"/>
    <w:rsid w:val="00CA6B56"/>
    <w:rsid w:val="00CA7D3E"/>
    <w:rsid w:val="00CA7F63"/>
    <w:rsid w:val="00CB0317"/>
    <w:rsid w:val="00CB0662"/>
    <w:rsid w:val="00CB0A82"/>
    <w:rsid w:val="00CB0F2F"/>
    <w:rsid w:val="00CB1556"/>
    <w:rsid w:val="00CB2913"/>
    <w:rsid w:val="00CB361A"/>
    <w:rsid w:val="00CB3970"/>
    <w:rsid w:val="00CB42B9"/>
    <w:rsid w:val="00CB4550"/>
    <w:rsid w:val="00CB4F39"/>
    <w:rsid w:val="00CB52A4"/>
    <w:rsid w:val="00CB537C"/>
    <w:rsid w:val="00CB5A26"/>
    <w:rsid w:val="00CB645B"/>
    <w:rsid w:val="00CB6A93"/>
    <w:rsid w:val="00CB6C79"/>
    <w:rsid w:val="00CB7150"/>
    <w:rsid w:val="00CB77C3"/>
    <w:rsid w:val="00CB7E9C"/>
    <w:rsid w:val="00CC0072"/>
    <w:rsid w:val="00CC027A"/>
    <w:rsid w:val="00CC0915"/>
    <w:rsid w:val="00CC1398"/>
    <w:rsid w:val="00CC1AF5"/>
    <w:rsid w:val="00CC1B74"/>
    <w:rsid w:val="00CC28C5"/>
    <w:rsid w:val="00CC291E"/>
    <w:rsid w:val="00CC2AD1"/>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3D62"/>
    <w:rsid w:val="00CD44FF"/>
    <w:rsid w:val="00CD46A7"/>
    <w:rsid w:val="00CD47BC"/>
    <w:rsid w:val="00CD4E50"/>
    <w:rsid w:val="00CD57CB"/>
    <w:rsid w:val="00CD64E1"/>
    <w:rsid w:val="00CD66BA"/>
    <w:rsid w:val="00CD699D"/>
    <w:rsid w:val="00CD6BA3"/>
    <w:rsid w:val="00CD6F1C"/>
    <w:rsid w:val="00CD70DB"/>
    <w:rsid w:val="00CD73BC"/>
    <w:rsid w:val="00CD7544"/>
    <w:rsid w:val="00CD78D4"/>
    <w:rsid w:val="00CD7C69"/>
    <w:rsid w:val="00CE0697"/>
    <w:rsid w:val="00CE14CB"/>
    <w:rsid w:val="00CE2E2E"/>
    <w:rsid w:val="00CE3A51"/>
    <w:rsid w:val="00CE41F9"/>
    <w:rsid w:val="00CE59F6"/>
    <w:rsid w:val="00CE6687"/>
    <w:rsid w:val="00CE66CD"/>
    <w:rsid w:val="00CE6BA9"/>
    <w:rsid w:val="00CE71C3"/>
    <w:rsid w:val="00CE727A"/>
    <w:rsid w:val="00CF029C"/>
    <w:rsid w:val="00CF0AF0"/>
    <w:rsid w:val="00CF157E"/>
    <w:rsid w:val="00CF1631"/>
    <w:rsid w:val="00CF1834"/>
    <w:rsid w:val="00CF1AAA"/>
    <w:rsid w:val="00CF1EC2"/>
    <w:rsid w:val="00CF2ACF"/>
    <w:rsid w:val="00CF345B"/>
    <w:rsid w:val="00CF4176"/>
    <w:rsid w:val="00CF475F"/>
    <w:rsid w:val="00CF5008"/>
    <w:rsid w:val="00CF5069"/>
    <w:rsid w:val="00CF5E34"/>
    <w:rsid w:val="00CF6707"/>
    <w:rsid w:val="00CF6B49"/>
    <w:rsid w:val="00CF7101"/>
    <w:rsid w:val="00CF7327"/>
    <w:rsid w:val="00CF7385"/>
    <w:rsid w:val="00CF7539"/>
    <w:rsid w:val="00CF75C6"/>
    <w:rsid w:val="00CF7B77"/>
    <w:rsid w:val="00CF7DF5"/>
    <w:rsid w:val="00D001D2"/>
    <w:rsid w:val="00D02A80"/>
    <w:rsid w:val="00D0352D"/>
    <w:rsid w:val="00D04F01"/>
    <w:rsid w:val="00D04F8B"/>
    <w:rsid w:val="00D054EF"/>
    <w:rsid w:val="00D05637"/>
    <w:rsid w:val="00D05BA9"/>
    <w:rsid w:val="00D05EB1"/>
    <w:rsid w:val="00D0650B"/>
    <w:rsid w:val="00D068AA"/>
    <w:rsid w:val="00D06E71"/>
    <w:rsid w:val="00D06E9C"/>
    <w:rsid w:val="00D0714B"/>
    <w:rsid w:val="00D0764E"/>
    <w:rsid w:val="00D07D82"/>
    <w:rsid w:val="00D10273"/>
    <w:rsid w:val="00D10327"/>
    <w:rsid w:val="00D103C9"/>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F02"/>
    <w:rsid w:val="00D32FA0"/>
    <w:rsid w:val="00D33112"/>
    <w:rsid w:val="00D331CB"/>
    <w:rsid w:val="00D3497A"/>
    <w:rsid w:val="00D3530E"/>
    <w:rsid w:val="00D35F2F"/>
    <w:rsid w:val="00D35FC6"/>
    <w:rsid w:val="00D36BB8"/>
    <w:rsid w:val="00D37021"/>
    <w:rsid w:val="00D372FE"/>
    <w:rsid w:val="00D377D4"/>
    <w:rsid w:val="00D401A1"/>
    <w:rsid w:val="00D40217"/>
    <w:rsid w:val="00D40385"/>
    <w:rsid w:val="00D404CE"/>
    <w:rsid w:val="00D40E8F"/>
    <w:rsid w:val="00D412BF"/>
    <w:rsid w:val="00D417C6"/>
    <w:rsid w:val="00D417D0"/>
    <w:rsid w:val="00D42B0C"/>
    <w:rsid w:val="00D42D6E"/>
    <w:rsid w:val="00D43DEF"/>
    <w:rsid w:val="00D44259"/>
    <w:rsid w:val="00D44C6D"/>
    <w:rsid w:val="00D45C61"/>
    <w:rsid w:val="00D45DDC"/>
    <w:rsid w:val="00D47EA4"/>
    <w:rsid w:val="00D5064C"/>
    <w:rsid w:val="00D50C94"/>
    <w:rsid w:val="00D511E7"/>
    <w:rsid w:val="00D517ED"/>
    <w:rsid w:val="00D5251C"/>
    <w:rsid w:val="00D5265E"/>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1ECF"/>
    <w:rsid w:val="00D629A4"/>
    <w:rsid w:val="00D62BDF"/>
    <w:rsid w:val="00D62EEE"/>
    <w:rsid w:val="00D64F1C"/>
    <w:rsid w:val="00D6570C"/>
    <w:rsid w:val="00D659EA"/>
    <w:rsid w:val="00D65A89"/>
    <w:rsid w:val="00D65E85"/>
    <w:rsid w:val="00D6611C"/>
    <w:rsid w:val="00D671C7"/>
    <w:rsid w:val="00D675B0"/>
    <w:rsid w:val="00D675DE"/>
    <w:rsid w:val="00D678BB"/>
    <w:rsid w:val="00D67AB1"/>
    <w:rsid w:val="00D67D81"/>
    <w:rsid w:val="00D70170"/>
    <w:rsid w:val="00D702E8"/>
    <w:rsid w:val="00D70552"/>
    <w:rsid w:val="00D70D42"/>
    <w:rsid w:val="00D71285"/>
    <w:rsid w:val="00D71ABC"/>
    <w:rsid w:val="00D71D92"/>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6435"/>
    <w:rsid w:val="00D774F4"/>
    <w:rsid w:val="00D77687"/>
    <w:rsid w:val="00D77AF6"/>
    <w:rsid w:val="00D804C5"/>
    <w:rsid w:val="00D80905"/>
    <w:rsid w:val="00D815E6"/>
    <w:rsid w:val="00D81A28"/>
    <w:rsid w:val="00D81BDE"/>
    <w:rsid w:val="00D8201D"/>
    <w:rsid w:val="00D82B00"/>
    <w:rsid w:val="00D82B04"/>
    <w:rsid w:val="00D82BE4"/>
    <w:rsid w:val="00D82E05"/>
    <w:rsid w:val="00D83C0D"/>
    <w:rsid w:val="00D83C80"/>
    <w:rsid w:val="00D83D24"/>
    <w:rsid w:val="00D83F5B"/>
    <w:rsid w:val="00D85FDE"/>
    <w:rsid w:val="00D8665E"/>
    <w:rsid w:val="00D869C1"/>
    <w:rsid w:val="00D86EC6"/>
    <w:rsid w:val="00D87418"/>
    <w:rsid w:val="00D87A39"/>
    <w:rsid w:val="00D87FE6"/>
    <w:rsid w:val="00D90BC3"/>
    <w:rsid w:val="00D90C93"/>
    <w:rsid w:val="00D90DB9"/>
    <w:rsid w:val="00D91001"/>
    <w:rsid w:val="00D910FF"/>
    <w:rsid w:val="00D91183"/>
    <w:rsid w:val="00D91337"/>
    <w:rsid w:val="00D915C9"/>
    <w:rsid w:val="00D918DA"/>
    <w:rsid w:val="00D9198F"/>
    <w:rsid w:val="00D91B29"/>
    <w:rsid w:val="00D91FCE"/>
    <w:rsid w:val="00D92078"/>
    <w:rsid w:val="00D926F0"/>
    <w:rsid w:val="00D92A73"/>
    <w:rsid w:val="00D92A87"/>
    <w:rsid w:val="00D9384E"/>
    <w:rsid w:val="00D93AEE"/>
    <w:rsid w:val="00D9413E"/>
    <w:rsid w:val="00D94778"/>
    <w:rsid w:val="00D94C8D"/>
    <w:rsid w:val="00D94CE6"/>
    <w:rsid w:val="00D95F88"/>
    <w:rsid w:val="00D96698"/>
    <w:rsid w:val="00D96876"/>
    <w:rsid w:val="00D96940"/>
    <w:rsid w:val="00D96B12"/>
    <w:rsid w:val="00D96F59"/>
    <w:rsid w:val="00DA0175"/>
    <w:rsid w:val="00DA06BC"/>
    <w:rsid w:val="00DA099C"/>
    <w:rsid w:val="00DA0F18"/>
    <w:rsid w:val="00DA2125"/>
    <w:rsid w:val="00DA21EC"/>
    <w:rsid w:val="00DA24DE"/>
    <w:rsid w:val="00DA270C"/>
    <w:rsid w:val="00DA281F"/>
    <w:rsid w:val="00DA3A03"/>
    <w:rsid w:val="00DA3C5B"/>
    <w:rsid w:val="00DA3D23"/>
    <w:rsid w:val="00DA4A61"/>
    <w:rsid w:val="00DA5AFE"/>
    <w:rsid w:val="00DA61AB"/>
    <w:rsid w:val="00DA61CD"/>
    <w:rsid w:val="00DA6EE2"/>
    <w:rsid w:val="00DA718A"/>
    <w:rsid w:val="00DA78CF"/>
    <w:rsid w:val="00DA78D5"/>
    <w:rsid w:val="00DA7A89"/>
    <w:rsid w:val="00DA7BF4"/>
    <w:rsid w:val="00DA7EBF"/>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210A"/>
    <w:rsid w:val="00DC32FC"/>
    <w:rsid w:val="00DC3D89"/>
    <w:rsid w:val="00DC4567"/>
    <w:rsid w:val="00DC4CDA"/>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1D6"/>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65E"/>
    <w:rsid w:val="00DD6CE2"/>
    <w:rsid w:val="00DD720D"/>
    <w:rsid w:val="00DD768B"/>
    <w:rsid w:val="00DE0229"/>
    <w:rsid w:val="00DE04E0"/>
    <w:rsid w:val="00DE12F1"/>
    <w:rsid w:val="00DE1A9D"/>
    <w:rsid w:val="00DE1CB1"/>
    <w:rsid w:val="00DE2073"/>
    <w:rsid w:val="00DE30AC"/>
    <w:rsid w:val="00DE38D1"/>
    <w:rsid w:val="00DE4106"/>
    <w:rsid w:val="00DE466B"/>
    <w:rsid w:val="00DE48F4"/>
    <w:rsid w:val="00DE5556"/>
    <w:rsid w:val="00DE5563"/>
    <w:rsid w:val="00DE5C19"/>
    <w:rsid w:val="00DE5D48"/>
    <w:rsid w:val="00DE6E4D"/>
    <w:rsid w:val="00DE7498"/>
    <w:rsid w:val="00DE75EF"/>
    <w:rsid w:val="00DE7611"/>
    <w:rsid w:val="00DE7D19"/>
    <w:rsid w:val="00DF05A0"/>
    <w:rsid w:val="00DF1162"/>
    <w:rsid w:val="00DF1BA8"/>
    <w:rsid w:val="00DF1F63"/>
    <w:rsid w:val="00DF2347"/>
    <w:rsid w:val="00DF28F2"/>
    <w:rsid w:val="00DF2BFF"/>
    <w:rsid w:val="00DF3798"/>
    <w:rsid w:val="00DF4FF1"/>
    <w:rsid w:val="00DF56A3"/>
    <w:rsid w:val="00DF5B33"/>
    <w:rsid w:val="00DF6B1A"/>
    <w:rsid w:val="00DF6FD2"/>
    <w:rsid w:val="00DF72EF"/>
    <w:rsid w:val="00DF743D"/>
    <w:rsid w:val="00DF7724"/>
    <w:rsid w:val="00E000D8"/>
    <w:rsid w:val="00E002F3"/>
    <w:rsid w:val="00E0082F"/>
    <w:rsid w:val="00E00C1E"/>
    <w:rsid w:val="00E00F5F"/>
    <w:rsid w:val="00E010E6"/>
    <w:rsid w:val="00E01377"/>
    <w:rsid w:val="00E014E7"/>
    <w:rsid w:val="00E0232F"/>
    <w:rsid w:val="00E026A9"/>
    <w:rsid w:val="00E029F9"/>
    <w:rsid w:val="00E0356F"/>
    <w:rsid w:val="00E03B42"/>
    <w:rsid w:val="00E03C10"/>
    <w:rsid w:val="00E0479F"/>
    <w:rsid w:val="00E04816"/>
    <w:rsid w:val="00E04982"/>
    <w:rsid w:val="00E04D6A"/>
    <w:rsid w:val="00E04DC3"/>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1D6"/>
    <w:rsid w:val="00E15D6C"/>
    <w:rsid w:val="00E1720B"/>
    <w:rsid w:val="00E203DE"/>
    <w:rsid w:val="00E20CE7"/>
    <w:rsid w:val="00E217B1"/>
    <w:rsid w:val="00E222FA"/>
    <w:rsid w:val="00E229CE"/>
    <w:rsid w:val="00E22B4A"/>
    <w:rsid w:val="00E232CB"/>
    <w:rsid w:val="00E2449B"/>
    <w:rsid w:val="00E24A62"/>
    <w:rsid w:val="00E24F52"/>
    <w:rsid w:val="00E255CC"/>
    <w:rsid w:val="00E25636"/>
    <w:rsid w:val="00E25755"/>
    <w:rsid w:val="00E258D8"/>
    <w:rsid w:val="00E25F90"/>
    <w:rsid w:val="00E266DD"/>
    <w:rsid w:val="00E26D2E"/>
    <w:rsid w:val="00E279B2"/>
    <w:rsid w:val="00E3036E"/>
    <w:rsid w:val="00E303C0"/>
    <w:rsid w:val="00E3055B"/>
    <w:rsid w:val="00E31188"/>
    <w:rsid w:val="00E31687"/>
    <w:rsid w:val="00E31699"/>
    <w:rsid w:val="00E31761"/>
    <w:rsid w:val="00E31812"/>
    <w:rsid w:val="00E31889"/>
    <w:rsid w:val="00E31CE7"/>
    <w:rsid w:val="00E330E8"/>
    <w:rsid w:val="00E333D5"/>
    <w:rsid w:val="00E3394F"/>
    <w:rsid w:val="00E33A0B"/>
    <w:rsid w:val="00E34A2F"/>
    <w:rsid w:val="00E35A45"/>
    <w:rsid w:val="00E35F7F"/>
    <w:rsid w:val="00E36392"/>
    <w:rsid w:val="00E36B32"/>
    <w:rsid w:val="00E37A6F"/>
    <w:rsid w:val="00E37A9C"/>
    <w:rsid w:val="00E40222"/>
    <w:rsid w:val="00E40406"/>
    <w:rsid w:val="00E40555"/>
    <w:rsid w:val="00E4082B"/>
    <w:rsid w:val="00E40835"/>
    <w:rsid w:val="00E40880"/>
    <w:rsid w:val="00E408EC"/>
    <w:rsid w:val="00E409B5"/>
    <w:rsid w:val="00E40BCB"/>
    <w:rsid w:val="00E4208F"/>
    <w:rsid w:val="00E42E1A"/>
    <w:rsid w:val="00E42E94"/>
    <w:rsid w:val="00E43006"/>
    <w:rsid w:val="00E4312A"/>
    <w:rsid w:val="00E4331B"/>
    <w:rsid w:val="00E43551"/>
    <w:rsid w:val="00E437BE"/>
    <w:rsid w:val="00E437FA"/>
    <w:rsid w:val="00E456E2"/>
    <w:rsid w:val="00E45A2C"/>
    <w:rsid w:val="00E46A6B"/>
    <w:rsid w:val="00E46A9C"/>
    <w:rsid w:val="00E47DB1"/>
    <w:rsid w:val="00E50BDD"/>
    <w:rsid w:val="00E510CF"/>
    <w:rsid w:val="00E513D7"/>
    <w:rsid w:val="00E519FE"/>
    <w:rsid w:val="00E5206C"/>
    <w:rsid w:val="00E52AAB"/>
    <w:rsid w:val="00E5318D"/>
    <w:rsid w:val="00E53CBA"/>
    <w:rsid w:val="00E5448E"/>
    <w:rsid w:val="00E54E0D"/>
    <w:rsid w:val="00E55247"/>
    <w:rsid w:val="00E558E5"/>
    <w:rsid w:val="00E55B3C"/>
    <w:rsid w:val="00E56795"/>
    <w:rsid w:val="00E5699C"/>
    <w:rsid w:val="00E57219"/>
    <w:rsid w:val="00E57932"/>
    <w:rsid w:val="00E606C4"/>
    <w:rsid w:val="00E60811"/>
    <w:rsid w:val="00E60AB8"/>
    <w:rsid w:val="00E6103E"/>
    <w:rsid w:val="00E6185F"/>
    <w:rsid w:val="00E61D32"/>
    <w:rsid w:val="00E63406"/>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2D02"/>
    <w:rsid w:val="00E738FA"/>
    <w:rsid w:val="00E739B6"/>
    <w:rsid w:val="00E74A2B"/>
    <w:rsid w:val="00E75667"/>
    <w:rsid w:val="00E756D3"/>
    <w:rsid w:val="00E75A5A"/>
    <w:rsid w:val="00E76004"/>
    <w:rsid w:val="00E7608F"/>
    <w:rsid w:val="00E760D7"/>
    <w:rsid w:val="00E769CC"/>
    <w:rsid w:val="00E77124"/>
    <w:rsid w:val="00E77341"/>
    <w:rsid w:val="00E77540"/>
    <w:rsid w:val="00E7783E"/>
    <w:rsid w:val="00E778B8"/>
    <w:rsid w:val="00E801C7"/>
    <w:rsid w:val="00E80AF8"/>
    <w:rsid w:val="00E80BED"/>
    <w:rsid w:val="00E816E8"/>
    <w:rsid w:val="00E82592"/>
    <w:rsid w:val="00E825ED"/>
    <w:rsid w:val="00E827BB"/>
    <w:rsid w:val="00E82D24"/>
    <w:rsid w:val="00E8357D"/>
    <w:rsid w:val="00E83C4F"/>
    <w:rsid w:val="00E84212"/>
    <w:rsid w:val="00E842F8"/>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3BD"/>
    <w:rsid w:val="00E966A6"/>
    <w:rsid w:val="00E96E91"/>
    <w:rsid w:val="00E9751D"/>
    <w:rsid w:val="00E97DC6"/>
    <w:rsid w:val="00E97F7A"/>
    <w:rsid w:val="00EA0010"/>
    <w:rsid w:val="00EA0143"/>
    <w:rsid w:val="00EA089B"/>
    <w:rsid w:val="00EA1ACC"/>
    <w:rsid w:val="00EA2E21"/>
    <w:rsid w:val="00EA2EAA"/>
    <w:rsid w:val="00EA380C"/>
    <w:rsid w:val="00EA613D"/>
    <w:rsid w:val="00EA6744"/>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8CD"/>
    <w:rsid w:val="00EB3939"/>
    <w:rsid w:val="00EB3CE6"/>
    <w:rsid w:val="00EB3E92"/>
    <w:rsid w:val="00EB4F60"/>
    <w:rsid w:val="00EB54AB"/>
    <w:rsid w:val="00EB6257"/>
    <w:rsid w:val="00EB68E6"/>
    <w:rsid w:val="00EB6AE9"/>
    <w:rsid w:val="00EB6B2D"/>
    <w:rsid w:val="00EB71C9"/>
    <w:rsid w:val="00EB763E"/>
    <w:rsid w:val="00EB7B67"/>
    <w:rsid w:val="00EC07F1"/>
    <w:rsid w:val="00EC1E8A"/>
    <w:rsid w:val="00EC328C"/>
    <w:rsid w:val="00EC32F5"/>
    <w:rsid w:val="00EC377B"/>
    <w:rsid w:val="00EC3852"/>
    <w:rsid w:val="00EC4397"/>
    <w:rsid w:val="00EC4528"/>
    <w:rsid w:val="00EC5233"/>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7AC"/>
    <w:rsid w:val="00EE13DA"/>
    <w:rsid w:val="00EE1595"/>
    <w:rsid w:val="00EE1E71"/>
    <w:rsid w:val="00EE1FB0"/>
    <w:rsid w:val="00EE2087"/>
    <w:rsid w:val="00EE20C2"/>
    <w:rsid w:val="00EE2A9D"/>
    <w:rsid w:val="00EE3384"/>
    <w:rsid w:val="00EE464E"/>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08C"/>
    <w:rsid w:val="00EF5234"/>
    <w:rsid w:val="00EF55E9"/>
    <w:rsid w:val="00EF5B41"/>
    <w:rsid w:val="00EF611C"/>
    <w:rsid w:val="00EF625F"/>
    <w:rsid w:val="00EF62C0"/>
    <w:rsid w:val="00EF6D5A"/>
    <w:rsid w:val="00EF71E6"/>
    <w:rsid w:val="00F0057C"/>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181"/>
    <w:rsid w:val="00F06340"/>
    <w:rsid w:val="00F0665D"/>
    <w:rsid w:val="00F06D42"/>
    <w:rsid w:val="00F07134"/>
    <w:rsid w:val="00F0724D"/>
    <w:rsid w:val="00F0725C"/>
    <w:rsid w:val="00F07378"/>
    <w:rsid w:val="00F10B81"/>
    <w:rsid w:val="00F10BC9"/>
    <w:rsid w:val="00F113C9"/>
    <w:rsid w:val="00F11C01"/>
    <w:rsid w:val="00F11D80"/>
    <w:rsid w:val="00F13447"/>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119"/>
    <w:rsid w:val="00F213D8"/>
    <w:rsid w:val="00F21525"/>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DCE"/>
    <w:rsid w:val="00F27E44"/>
    <w:rsid w:val="00F30313"/>
    <w:rsid w:val="00F303BC"/>
    <w:rsid w:val="00F30472"/>
    <w:rsid w:val="00F307DB"/>
    <w:rsid w:val="00F31052"/>
    <w:rsid w:val="00F318A1"/>
    <w:rsid w:val="00F31CF5"/>
    <w:rsid w:val="00F3265C"/>
    <w:rsid w:val="00F32C4A"/>
    <w:rsid w:val="00F33262"/>
    <w:rsid w:val="00F343EE"/>
    <w:rsid w:val="00F34F6C"/>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2DC"/>
    <w:rsid w:val="00F47316"/>
    <w:rsid w:val="00F47507"/>
    <w:rsid w:val="00F47A01"/>
    <w:rsid w:val="00F47CEE"/>
    <w:rsid w:val="00F5052D"/>
    <w:rsid w:val="00F51A82"/>
    <w:rsid w:val="00F51B78"/>
    <w:rsid w:val="00F51BDD"/>
    <w:rsid w:val="00F52065"/>
    <w:rsid w:val="00F521CE"/>
    <w:rsid w:val="00F5253E"/>
    <w:rsid w:val="00F5254B"/>
    <w:rsid w:val="00F52676"/>
    <w:rsid w:val="00F52CB7"/>
    <w:rsid w:val="00F53A44"/>
    <w:rsid w:val="00F54E5E"/>
    <w:rsid w:val="00F551DB"/>
    <w:rsid w:val="00F55810"/>
    <w:rsid w:val="00F559BE"/>
    <w:rsid w:val="00F56F7E"/>
    <w:rsid w:val="00F56FEF"/>
    <w:rsid w:val="00F57521"/>
    <w:rsid w:val="00F60938"/>
    <w:rsid w:val="00F60C7E"/>
    <w:rsid w:val="00F60E0A"/>
    <w:rsid w:val="00F61606"/>
    <w:rsid w:val="00F6179A"/>
    <w:rsid w:val="00F61918"/>
    <w:rsid w:val="00F62151"/>
    <w:rsid w:val="00F62517"/>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430D"/>
    <w:rsid w:val="00F85047"/>
    <w:rsid w:val="00F85329"/>
    <w:rsid w:val="00F85683"/>
    <w:rsid w:val="00F85743"/>
    <w:rsid w:val="00F85841"/>
    <w:rsid w:val="00F85B4F"/>
    <w:rsid w:val="00F86079"/>
    <w:rsid w:val="00F8610A"/>
    <w:rsid w:val="00F87282"/>
    <w:rsid w:val="00F878CD"/>
    <w:rsid w:val="00F87905"/>
    <w:rsid w:val="00F87A66"/>
    <w:rsid w:val="00F90C1F"/>
    <w:rsid w:val="00F912D9"/>
    <w:rsid w:val="00F91A44"/>
    <w:rsid w:val="00F91BFA"/>
    <w:rsid w:val="00F91F8F"/>
    <w:rsid w:val="00F9217B"/>
    <w:rsid w:val="00F93DDD"/>
    <w:rsid w:val="00F95ED0"/>
    <w:rsid w:val="00F97125"/>
    <w:rsid w:val="00F97A34"/>
    <w:rsid w:val="00F97E4A"/>
    <w:rsid w:val="00F97EA1"/>
    <w:rsid w:val="00FA003A"/>
    <w:rsid w:val="00FA05C8"/>
    <w:rsid w:val="00FA0678"/>
    <w:rsid w:val="00FA0DB6"/>
    <w:rsid w:val="00FA23F7"/>
    <w:rsid w:val="00FA26F2"/>
    <w:rsid w:val="00FA27EB"/>
    <w:rsid w:val="00FA35B6"/>
    <w:rsid w:val="00FA3EBC"/>
    <w:rsid w:val="00FA423C"/>
    <w:rsid w:val="00FA44D0"/>
    <w:rsid w:val="00FA4590"/>
    <w:rsid w:val="00FA55A2"/>
    <w:rsid w:val="00FA58AC"/>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C7CF2"/>
    <w:rsid w:val="00FD10B3"/>
    <w:rsid w:val="00FD11C3"/>
    <w:rsid w:val="00FD154E"/>
    <w:rsid w:val="00FD24D7"/>
    <w:rsid w:val="00FD29CE"/>
    <w:rsid w:val="00FD3AE2"/>
    <w:rsid w:val="00FD3D12"/>
    <w:rsid w:val="00FD3E41"/>
    <w:rsid w:val="00FD3EFA"/>
    <w:rsid w:val="00FD488B"/>
    <w:rsid w:val="00FD4C06"/>
    <w:rsid w:val="00FD54A8"/>
    <w:rsid w:val="00FD56F1"/>
    <w:rsid w:val="00FD5AE4"/>
    <w:rsid w:val="00FD5F25"/>
    <w:rsid w:val="00FD60BE"/>
    <w:rsid w:val="00FD6894"/>
    <w:rsid w:val="00FD6AF0"/>
    <w:rsid w:val="00FD704D"/>
    <w:rsid w:val="00FD74EF"/>
    <w:rsid w:val="00FD79B8"/>
    <w:rsid w:val="00FD79F6"/>
    <w:rsid w:val="00FE033F"/>
    <w:rsid w:val="00FE07A8"/>
    <w:rsid w:val="00FE0AA3"/>
    <w:rsid w:val="00FE0AD1"/>
    <w:rsid w:val="00FE0CC0"/>
    <w:rsid w:val="00FE1852"/>
    <w:rsid w:val="00FE1963"/>
    <w:rsid w:val="00FE1981"/>
    <w:rsid w:val="00FE1BF1"/>
    <w:rsid w:val="00FE2055"/>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5D585D"/>
    <w:rsid w:val="019D2DEB"/>
    <w:rsid w:val="019F7441"/>
    <w:rsid w:val="01B37585"/>
    <w:rsid w:val="01CA13BF"/>
    <w:rsid w:val="01D55165"/>
    <w:rsid w:val="01DF6BF8"/>
    <w:rsid w:val="01E943A0"/>
    <w:rsid w:val="01EC2C57"/>
    <w:rsid w:val="024C0DD3"/>
    <w:rsid w:val="024D4E7E"/>
    <w:rsid w:val="026B2E25"/>
    <w:rsid w:val="02775E4F"/>
    <w:rsid w:val="02777BFD"/>
    <w:rsid w:val="02824D4D"/>
    <w:rsid w:val="02946AEF"/>
    <w:rsid w:val="02B97AB2"/>
    <w:rsid w:val="02DC4B10"/>
    <w:rsid w:val="02DD76CE"/>
    <w:rsid w:val="02F36323"/>
    <w:rsid w:val="02F5619C"/>
    <w:rsid w:val="0326446A"/>
    <w:rsid w:val="032D5555"/>
    <w:rsid w:val="03430A87"/>
    <w:rsid w:val="036634D2"/>
    <w:rsid w:val="0374413D"/>
    <w:rsid w:val="03906A9D"/>
    <w:rsid w:val="039E11BA"/>
    <w:rsid w:val="03CF6675"/>
    <w:rsid w:val="03DD35E4"/>
    <w:rsid w:val="04076900"/>
    <w:rsid w:val="04096F7B"/>
    <w:rsid w:val="041A5A3B"/>
    <w:rsid w:val="042311BA"/>
    <w:rsid w:val="042403D7"/>
    <w:rsid w:val="042B157A"/>
    <w:rsid w:val="042C3989"/>
    <w:rsid w:val="04415EA8"/>
    <w:rsid w:val="044D3AE9"/>
    <w:rsid w:val="048F763B"/>
    <w:rsid w:val="049F330E"/>
    <w:rsid w:val="04AA775C"/>
    <w:rsid w:val="04AF1889"/>
    <w:rsid w:val="04BD2463"/>
    <w:rsid w:val="04F66F48"/>
    <w:rsid w:val="05033803"/>
    <w:rsid w:val="05084FE5"/>
    <w:rsid w:val="0521034B"/>
    <w:rsid w:val="05251E14"/>
    <w:rsid w:val="057E20C9"/>
    <w:rsid w:val="058E2628"/>
    <w:rsid w:val="05A16594"/>
    <w:rsid w:val="05A7762D"/>
    <w:rsid w:val="060E5941"/>
    <w:rsid w:val="06110FAF"/>
    <w:rsid w:val="06147E59"/>
    <w:rsid w:val="061E0E77"/>
    <w:rsid w:val="06493CA7"/>
    <w:rsid w:val="065A6178"/>
    <w:rsid w:val="06606BFB"/>
    <w:rsid w:val="066F1CF3"/>
    <w:rsid w:val="068A59BD"/>
    <w:rsid w:val="068C5C42"/>
    <w:rsid w:val="06930BB8"/>
    <w:rsid w:val="06E952F0"/>
    <w:rsid w:val="07147821"/>
    <w:rsid w:val="07245D42"/>
    <w:rsid w:val="07264C62"/>
    <w:rsid w:val="074043CB"/>
    <w:rsid w:val="07733110"/>
    <w:rsid w:val="0779354C"/>
    <w:rsid w:val="08061376"/>
    <w:rsid w:val="08161C67"/>
    <w:rsid w:val="0822060B"/>
    <w:rsid w:val="08452D77"/>
    <w:rsid w:val="084D7F74"/>
    <w:rsid w:val="086401F8"/>
    <w:rsid w:val="08677569"/>
    <w:rsid w:val="08751CAA"/>
    <w:rsid w:val="087E4C40"/>
    <w:rsid w:val="0895702F"/>
    <w:rsid w:val="08C01BD2"/>
    <w:rsid w:val="08D66AD6"/>
    <w:rsid w:val="08DA33A3"/>
    <w:rsid w:val="08E80F13"/>
    <w:rsid w:val="092D739F"/>
    <w:rsid w:val="09302681"/>
    <w:rsid w:val="09335624"/>
    <w:rsid w:val="0944690F"/>
    <w:rsid w:val="09535675"/>
    <w:rsid w:val="095F057D"/>
    <w:rsid w:val="09642282"/>
    <w:rsid w:val="09733572"/>
    <w:rsid w:val="09772C16"/>
    <w:rsid w:val="098353B5"/>
    <w:rsid w:val="09894700"/>
    <w:rsid w:val="09A247E7"/>
    <w:rsid w:val="09A92330"/>
    <w:rsid w:val="09B06B87"/>
    <w:rsid w:val="09C13146"/>
    <w:rsid w:val="09DB0962"/>
    <w:rsid w:val="09E04166"/>
    <w:rsid w:val="0A1C0718"/>
    <w:rsid w:val="0A3E7710"/>
    <w:rsid w:val="0A4240F4"/>
    <w:rsid w:val="0A5B7E63"/>
    <w:rsid w:val="0AA374A5"/>
    <w:rsid w:val="0AAB7649"/>
    <w:rsid w:val="0ABC5606"/>
    <w:rsid w:val="0AC4542D"/>
    <w:rsid w:val="0AC7549A"/>
    <w:rsid w:val="0ADE4913"/>
    <w:rsid w:val="0AF50259"/>
    <w:rsid w:val="0B1C57E6"/>
    <w:rsid w:val="0B30404E"/>
    <w:rsid w:val="0B4C6C14"/>
    <w:rsid w:val="0B631A88"/>
    <w:rsid w:val="0B683D45"/>
    <w:rsid w:val="0B7F3F11"/>
    <w:rsid w:val="0B884417"/>
    <w:rsid w:val="0BC8771C"/>
    <w:rsid w:val="0BE61950"/>
    <w:rsid w:val="0BF6188C"/>
    <w:rsid w:val="0BF73C91"/>
    <w:rsid w:val="0C170175"/>
    <w:rsid w:val="0C571A41"/>
    <w:rsid w:val="0C5C1171"/>
    <w:rsid w:val="0C5E1CBC"/>
    <w:rsid w:val="0C615B50"/>
    <w:rsid w:val="0C8445DA"/>
    <w:rsid w:val="0C87121B"/>
    <w:rsid w:val="0CC007F7"/>
    <w:rsid w:val="0CE40585"/>
    <w:rsid w:val="0CFE707A"/>
    <w:rsid w:val="0D063BDA"/>
    <w:rsid w:val="0D08375F"/>
    <w:rsid w:val="0D184CFB"/>
    <w:rsid w:val="0D2F2DF1"/>
    <w:rsid w:val="0D4A7419"/>
    <w:rsid w:val="0D827401"/>
    <w:rsid w:val="0D84094E"/>
    <w:rsid w:val="0D8A00E9"/>
    <w:rsid w:val="0D8D589E"/>
    <w:rsid w:val="0DA01C73"/>
    <w:rsid w:val="0DA9489E"/>
    <w:rsid w:val="0DAD4E1B"/>
    <w:rsid w:val="0DD63300"/>
    <w:rsid w:val="0DF50604"/>
    <w:rsid w:val="0DF702FE"/>
    <w:rsid w:val="0E060E51"/>
    <w:rsid w:val="0E1C243B"/>
    <w:rsid w:val="0E465D21"/>
    <w:rsid w:val="0E5604B2"/>
    <w:rsid w:val="0E601E8E"/>
    <w:rsid w:val="0E6D5D79"/>
    <w:rsid w:val="0E820056"/>
    <w:rsid w:val="0E8D3F4F"/>
    <w:rsid w:val="0E9D0089"/>
    <w:rsid w:val="0EAF24CD"/>
    <w:rsid w:val="0EB803EE"/>
    <w:rsid w:val="0EF94D4B"/>
    <w:rsid w:val="0F462A38"/>
    <w:rsid w:val="0F4958DC"/>
    <w:rsid w:val="0F515DF7"/>
    <w:rsid w:val="0F596BA8"/>
    <w:rsid w:val="0F6248D2"/>
    <w:rsid w:val="0F693536"/>
    <w:rsid w:val="0F7B0511"/>
    <w:rsid w:val="0F7B76D9"/>
    <w:rsid w:val="0F816ACD"/>
    <w:rsid w:val="0F9832DB"/>
    <w:rsid w:val="0FBF3FD2"/>
    <w:rsid w:val="0FBF7FF3"/>
    <w:rsid w:val="0FD4263C"/>
    <w:rsid w:val="0FDD588B"/>
    <w:rsid w:val="100D20F3"/>
    <w:rsid w:val="10592370"/>
    <w:rsid w:val="105E064F"/>
    <w:rsid w:val="10646583"/>
    <w:rsid w:val="107D4B15"/>
    <w:rsid w:val="108A3C80"/>
    <w:rsid w:val="10B13BFD"/>
    <w:rsid w:val="10C26171"/>
    <w:rsid w:val="10F33360"/>
    <w:rsid w:val="10FC16EA"/>
    <w:rsid w:val="10FD2FBB"/>
    <w:rsid w:val="1109408F"/>
    <w:rsid w:val="110F1D40"/>
    <w:rsid w:val="11266F33"/>
    <w:rsid w:val="118963A1"/>
    <w:rsid w:val="11BB27B8"/>
    <w:rsid w:val="11BD0491"/>
    <w:rsid w:val="11C6522A"/>
    <w:rsid w:val="11E104CC"/>
    <w:rsid w:val="11E20309"/>
    <w:rsid w:val="1212349F"/>
    <w:rsid w:val="12255233"/>
    <w:rsid w:val="12530213"/>
    <w:rsid w:val="125E68B5"/>
    <w:rsid w:val="127001C5"/>
    <w:rsid w:val="127723A9"/>
    <w:rsid w:val="12862074"/>
    <w:rsid w:val="12883966"/>
    <w:rsid w:val="12890055"/>
    <w:rsid w:val="129E45B4"/>
    <w:rsid w:val="12B207DE"/>
    <w:rsid w:val="12BC302A"/>
    <w:rsid w:val="12D81596"/>
    <w:rsid w:val="13072A44"/>
    <w:rsid w:val="135F4BE2"/>
    <w:rsid w:val="13693592"/>
    <w:rsid w:val="137E6912"/>
    <w:rsid w:val="139B1A0A"/>
    <w:rsid w:val="139D25C7"/>
    <w:rsid w:val="13BF3CE4"/>
    <w:rsid w:val="13D64027"/>
    <w:rsid w:val="13FB7F63"/>
    <w:rsid w:val="140E11B4"/>
    <w:rsid w:val="141008D8"/>
    <w:rsid w:val="14125FE6"/>
    <w:rsid w:val="146D271E"/>
    <w:rsid w:val="14901C9F"/>
    <w:rsid w:val="14982588"/>
    <w:rsid w:val="149A5AD9"/>
    <w:rsid w:val="14A7619D"/>
    <w:rsid w:val="14EB1BED"/>
    <w:rsid w:val="14ED3D4F"/>
    <w:rsid w:val="150536C3"/>
    <w:rsid w:val="150C1963"/>
    <w:rsid w:val="151447A0"/>
    <w:rsid w:val="153A7D3D"/>
    <w:rsid w:val="154A6454"/>
    <w:rsid w:val="156051E8"/>
    <w:rsid w:val="15762120"/>
    <w:rsid w:val="15B56598"/>
    <w:rsid w:val="161672D6"/>
    <w:rsid w:val="1648699F"/>
    <w:rsid w:val="16534086"/>
    <w:rsid w:val="16A20B69"/>
    <w:rsid w:val="16A8729C"/>
    <w:rsid w:val="16B33777"/>
    <w:rsid w:val="16BC70A7"/>
    <w:rsid w:val="16C6339E"/>
    <w:rsid w:val="16CB6312"/>
    <w:rsid w:val="16E92E10"/>
    <w:rsid w:val="172D0D7B"/>
    <w:rsid w:val="172F2D79"/>
    <w:rsid w:val="174170AE"/>
    <w:rsid w:val="17481711"/>
    <w:rsid w:val="17557BEF"/>
    <w:rsid w:val="17D349C1"/>
    <w:rsid w:val="17DC5D75"/>
    <w:rsid w:val="17FA27F7"/>
    <w:rsid w:val="1827044F"/>
    <w:rsid w:val="1830729E"/>
    <w:rsid w:val="1870062C"/>
    <w:rsid w:val="18817102"/>
    <w:rsid w:val="18830A15"/>
    <w:rsid w:val="18852B28"/>
    <w:rsid w:val="188B5321"/>
    <w:rsid w:val="18B03A11"/>
    <w:rsid w:val="18E611E1"/>
    <w:rsid w:val="191E6BCD"/>
    <w:rsid w:val="19674377"/>
    <w:rsid w:val="19932372"/>
    <w:rsid w:val="19A20DD5"/>
    <w:rsid w:val="19A47FAA"/>
    <w:rsid w:val="19AE03F1"/>
    <w:rsid w:val="1A071A03"/>
    <w:rsid w:val="1A1F16AE"/>
    <w:rsid w:val="1A3B5C77"/>
    <w:rsid w:val="1A66691F"/>
    <w:rsid w:val="1A8E78C8"/>
    <w:rsid w:val="1A984BAD"/>
    <w:rsid w:val="1AB8220E"/>
    <w:rsid w:val="1AC11F06"/>
    <w:rsid w:val="1AE4166C"/>
    <w:rsid w:val="1AE721EF"/>
    <w:rsid w:val="1AF06CFB"/>
    <w:rsid w:val="1AF11B8D"/>
    <w:rsid w:val="1B11359C"/>
    <w:rsid w:val="1B2A271F"/>
    <w:rsid w:val="1B345D42"/>
    <w:rsid w:val="1B45447D"/>
    <w:rsid w:val="1B530544"/>
    <w:rsid w:val="1B630DAB"/>
    <w:rsid w:val="1B713184"/>
    <w:rsid w:val="1B732ED7"/>
    <w:rsid w:val="1B79701D"/>
    <w:rsid w:val="1BA209CF"/>
    <w:rsid w:val="1BB4777D"/>
    <w:rsid w:val="1BC111D7"/>
    <w:rsid w:val="1BD75AB8"/>
    <w:rsid w:val="1BE16C86"/>
    <w:rsid w:val="1BED2887"/>
    <w:rsid w:val="1C0459C2"/>
    <w:rsid w:val="1C170489"/>
    <w:rsid w:val="1C1B3B4A"/>
    <w:rsid w:val="1C6A3ED7"/>
    <w:rsid w:val="1C7A5C28"/>
    <w:rsid w:val="1C7F545B"/>
    <w:rsid w:val="1C88086E"/>
    <w:rsid w:val="1CFD2F9D"/>
    <w:rsid w:val="1D266CE1"/>
    <w:rsid w:val="1D3963AF"/>
    <w:rsid w:val="1D6A673C"/>
    <w:rsid w:val="1D9247AE"/>
    <w:rsid w:val="1D97167B"/>
    <w:rsid w:val="1D994A74"/>
    <w:rsid w:val="1DB567EC"/>
    <w:rsid w:val="1DD925F6"/>
    <w:rsid w:val="1DEB4F9C"/>
    <w:rsid w:val="1DF51A98"/>
    <w:rsid w:val="1E3073D1"/>
    <w:rsid w:val="1E3D060F"/>
    <w:rsid w:val="1E3F7D2E"/>
    <w:rsid w:val="1E4134E4"/>
    <w:rsid w:val="1E5062B3"/>
    <w:rsid w:val="1E523514"/>
    <w:rsid w:val="1E714A66"/>
    <w:rsid w:val="1E802593"/>
    <w:rsid w:val="1EA35AC9"/>
    <w:rsid w:val="1EA55954"/>
    <w:rsid w:val="1EA703CC"/>
    <w:rsid w:val="1EB7330C"/>
    <w:rsid w:val="1EC024D4"/>
    <w:rsid w:val="1ED85A70"/>
    <w:rsid w:val="1F0A0FF3"/>
    <w:rsid w:val="1F2674FE"/>
    <w:rsid w:val="1F5771FF"/>
    <w:rsid w:val="1F62533A"/>
    <w:rsid w:val="1FCF6E73"/>
    <w:rsid w:val="1FE868A9"/>
    <w:rsid w:val="20034907"/>
    <w:rsid w:val="20173E4B"/>
    <w:rsid w:val="204E48BC"/>
    <w:rsid w:val="206F41B2"/>
    <w:rsid w:val="207B4F9A"/>
    <w:rsid w:val="20825C88"/>
    <w:rsid w:val="208921B3"/>
    <w:rsid w:val="20973DEB"/>
    <w:rsid w:val="20B26522"/>
    <w:rsid w:val="20B44310"/>
    <w:rsid w:val="20BD6CCC"/>
    <w:rsid w:val="20CA3197"/>
    <w:rsid w:val="20E701EC"/>
    <w:rsid w:val="210E39CB"/>
    <w:rsid w:val="211116EB"/>
    <w:rsid w:val="216133FC"/>
    <w:rsid w:val="216C637C"/>
    <w:rsid w:val="21AD48BF"/>
    <w:rsid w:val="21D56769"/>
    <w:rsid w:val="21E52EF3"/>
    <w:rsid w:val="21F54CCF"/>
    <w:rsid w:val="21FB5D7B"/>
    <w:rsid w:val="220B1C3D"/>
    <w:rsid w:val="221D1D20"/>
    <w:rsid w:val="2221328A"/>
    <w:rsid w:val="22334796"/>
    <w:rsid w:val="22334A87"/>
    <w:rsid w:val="223B259E"/>
    <w:rsid w:val="224F5F4C"/>
    <w:rsid w:val="22A243CB"/>
    <w:rsid w:val="22BE6801"/>
    <w:rsid w:val="22EA3302"/>
    <w:rsid w:val="22F73C42"/>
    <w:rsid w:val="23105E48"/>
    <w:rsid w:val="231436FB"/>
    <w:rsid w:val="23170787"/>
    <w:rsid w:val="233500BF"/>
    <w:rsid w:val="23377FF7"/>
    <w:rsid w:val="234D018A"/>
    <w:rsid w:val="236B425F"/>
    <w:rsid w:val="23782EB8"/>
    <w:rsid w:val="23836192"/>
    <w:rsid w:val="23901F29"/>
    <w:rsid w:val="239C0061"/>
    <w:rsid w:val="23B908A4"/>
    <w:rsid w:val="23C977F5"/>
    <w:rsid w:val="23DE7685"/>
    <w:rsid w:val="23E95BEF"/>
    <w:rsid w:val="23EB7FF4"/>
    <w:rsid w:val="23FD0064"/>
    <w:rsid w:val="245375B0"/>
    <w:rsid w:val="24642C0A"/>
    <w:rsid w:val="2487688A"/>
    <w:rsid w:val="248C6F23"/>
    <w:rsid w:val="24B22173"/>
    <w:rsid w:val="24B3501C"/>
    <w:rsid w:val="24B95AD9"/>
    <w:rsid w:val="24BE24DA"/>
    <w:rsid w:val="24CF5825"/>
    <w:rsid w:val="24D663E6"/>
    <w:rsid w:val="24D77F2B"/>
    <w:rsid w:val="24F84776"/>
    <w:rsid w:val="251D242F"/>
    <w:rsid w:val="251E1FFF"/>
    <w:rsid w:val="252512E3"/>
    <w:rsid w:val="25382DC5"/>
    <w:rsid w:val="258B00E2"/>
    <w:rsid w:val="25906F2A"/>
    <w:rsid w:val="25A917A6"/>
    <w:rsid w:val="25BE27CC"/>
    <w:rsid w:val="25E116AE"/>
    <w:rsid w:val="25F74A5C"/>
    <w:rsid w:val="2628662C"/>
    <w:rsid w:val="262D45DE"/>
    <w:rsid w:val="26383433"/>
    <w:rsid w:val="267B61AB"/>
    <w:rsid w:val="26867B60"/>
    <w:rsid w:val="268F4E04"/>
    <w:rsid w:val="26A526DC"/>
    <w:rsid w:val="26A53EF9"/>
    <w:rsid w:val="26A94201"/>
    <w:rsid w:val="26AC274F"/>
    <w:rsid w:val="26B3099D"/>
    <w:rsid w:val="27044A29"/>
    <w:rsid w:val="271D34C8"/>
    <w:rsid w:val="273429AD"/>
    <w:rsid w:val="274D5177"/>
    <w:rsid w:val="276142BF"/>
    <w:rsid w:val="27783712"/>
    <w:rsid w:val="27907362"/>
    <w:rsid w:val="279C3009"/>
    <w:rsid w:val="27BF014F"/>
    <w:rsid w:val="27C22E19"/>
    <w:rsid w:val="27E6523A"/>
    <w:rsid w:val="27F003EA"/>
    <w:rsid w:val="27FC632B"/>
    <w:rsid w:val="2817646A"/>
    <w:rsid w:val="28333E1D"/>
    <w:rsid w:val="28373807"/>
    <w:rsid w:val="28454BD6"/>
    <w:rsid w:val="28455253"/>
    <w:rsid w:val="28551971"/>
    <w:rsid w:val="285B1C53"/>
    <w:rsid w:val="287D3B77"/>
    <w:rsid w:val="289F7086"/>
    <w:rsid w:val="28AF46FE"/>
    <w:rsid w:val="28C32028"/>
    <w:rsid w:val="28C7479F"/>
    <w:rsid w:val="28CC490F"/>
    <w:rsid w:val="28DE40AA"/>
    <w:rsid w:val="29134581"/>
    <w:rsid w:val="29345E77"/>
    <w:rsid w:val="29392739"/>
    <w:rsid w:val="294C65AD"/>
    <w:rsid w:val="29542CFA"/>
    <w:rsid w:val="295F4405"/>
    <w:rsid w:val="295F68EE"/>
    <w:rsid w:val="29806583"/>
    <w:rsid w:val="298B3C4C"/>
    <w:rsid w:val="29944CA1"/>
    <w:rsid w:val="29F15C38"/>
    <w:rsid w:val="29F26D24"/>
    <w:rsid w:val="29F82B12"/>
    <w:rsid w:val="2A15033F"/>
    <w:rsid w:val="2A1662C1"/>
    <w:rsid w:val="2A1C7367"/>
    <w:rsid w:val="2A2815FA"/>
    <w:rsid w:val="2A6D6092"/>
    <w:rsid w:val="2A7D76B4"/>
    <w:rsid w:val="2A8D1F07"/>
    <w:rsid w:val="2AAD3CB8"/>
    <w:rsid w:val="2ABC56B1"/>
    <w:rsid w:val="2ADC0696"/>
    <w:rsid w:val="2AF31D1B"/>
    <w:rsid w:val="2B2977AB"/>
    <w:rsid w:val="2B437463"/>
    <w:rsid w:val="2B457FE9"/>
    <w:rsid w:val="2B7807EE"/>
    <w:rsid w:val="2BBE1B4A"/>
    <w:rsid w:val="2BBF00EC"/>
    <w:rsid w:val="2BC37CFD"/>
    <w:rsid w:val="2BD5237F"/>
    <w:rsid w:val="2BE536CE"/>
    <w:rsid w:val="2BE758D9"/>
    <w:rsid w:val="2C09049E"/>
    <w:rsid w:val="2C0A653C"/>
    <w:rsid w:val="2C176941"/>
    <w:rsid w:val="2C191F85"/>
    <w:rsid w:val="2C3D7F30"/>
    <w:rsid w:val="2C40598D"/>
    <w:rsid w:val="2C7A3CC3"/>
    <w:rsid w:val="2C841377"/>
    <w:rsid w:val="2C9F7BCD"/>
    <w:rsid w:val="2CE82D6F"/>
    <w:rsid w:val="2CEC3001"/>
    <w:rsid w:val="2D1B5F12"/>
    <w:rsid w:val="2D343236"/>
    <w:rsid w:val="2DA34BA2"/>
    <w:rsid w:val="2DA3549B"/>
    <w:rsid w:val="2DA74F8B"/>
    <w:rsid w:val="2DC03B59"/>
    <w:rsid w:val="2DD15014"/>
    <w:rsid w:val="2DF72DE4"/>
    <w:rsid w:val="2E0220AF"/>
    <w:rsid w:val="2E0777D8"/>
    <w:rsid w:val="2E4B082A"/>
    <w:rsid w:val="2E5D4E86"/>
    <w:rsid w:val="2E5D790B"/>
    <w:rsid w:val="2E71544D"/>
    <w:rsid w:val="2E9A3C18"/>
    <w:rsid w:val="2EBB0FEE"/>
    <w:rsid w:val="2EC63002"/>
    <w:rsid w:val="2ECD6C74"/>
    <w:rsid w:val="2EDA3EB1"/>
    <w:rsid w:val="2F0A6B38"/>
    <w:rsid w:val="2F340AA1"/>
    <w:rsid w:val="2F3C7955"/>
    <w:rsid w:val="2F671CE5"/>
    <w:rsid w:val="2F7470EF"/>
    <w:rsid w:val="2F946CCB"/>
    <w:rsid w:val="2F9B28CE"/>
    <w:rsid w:val="2FC75471"/>
    <w:rsid w:val="2FD25781"/>
    <w:rsid w:val="2FDE5E55"/>
    <w:rsid w:val="2FDF7015"/>
    <w:rsid w:val="2FE63DAE"/>
    <w:rsid w:val="2FFD7934"/>
    <w:rsid w:val="2FFF6BD2"/>
    <w:rsid w:val="300D46E6"/>
    <w:rsid w:val="30546081"/>
    <w:rsid w:val="30733ACD"/>
    <w:rsid w:val="30754DF6"/>
    <w:rsid w:val="307750E9"/>
    <w:rsid w:val="308C3862"/>
    <w:rsid w:val="309379D8"/>
    <w:rsid w:val="30A270F7"/>
    <w:rsid w:val="30BE1D1C"/>
    <w:rsid w:val="30C20B46"/>
    <w:rsid w:val="30C714A1"/>
    <w:rsid w:val="30DF1478"/>
    <w:rsid w:val="30EC586F"/>
    <w:rsid w:val="3115045E"/>
    <w:rsid w:val="311F308B"/>
    <w:rsid w:val="31666F0B"/>
    <w:rsid w:val="319C6071"/>
    <w:rsid w:val="319F5F79"/>
    <w:rsid w:val="31AC537E"/>
    <w:rsid w:val="31C204AF"/>
    <w:rsid w:val="31E3679B"/>
    <w:rsid w:val="31E732FD"/>
    <w:rsid w:val="31F92D57"/>
    <w:rsid w:val="320504D2"/>
    <w:rsid w:val="32517576"/>
    <w:rsid w:val="32582CF8"/>
    <w:rsid w:val="32592CCA"/>
    <w:rsid w:val="3268696E"/>
    <w:rsid w:val="327F266B"/>
    <w:rsid w:val="329820EC"/>
    <w:rsid w:val="32B83797"/>
    <w:rsid w:val="32BE5C2C"/>
    <w:rsid w:val="32D00AE0"/>
    <w:rsid w:val="32FB6478"/>
    <w:rsid w:val="33263B3F"/>
    <w:rsid w:val="33492333"/>
    <w:rsid w:val="336963EB"/>
    <w:rsid w:val="33784CD4"/>
    <w:rsid w:val="33816EEB"/>
    <w:rsid w:val="33934B2E"/>
    <w:rsid w:val="33C57F19"/>
    <w:rsid w:val="33EB55CD"/>
    <w:rsid w:val="33EC4C02"/>
    <w:rsid w:val="33FD7B69"/>
    <w:rsid w:val="340D2360"/>
    <w:rsid w:val="3410665D"/>
    <w:rsid w:val="34211214"/>
    <w:rsid w:val="342E63AB"/>
    <w:rsid w:val="34694A7D"/>
    <w:rsid w:val="347100A1"/>
    <w:rsid w:val="34950E68"/>
    <w:rsid w:val="34986E94"/>
    <w:rsid w:val="349938B0"/>
    <w:rsid w:val="349D271D"/>
    <w:rsid w:val="34A0681D"/>
    <w:rsid w:val="34AF62C9"/>
    <w:rsid w:val="34C55706"/>
    <w:rsid w:val="34CB4388"/>
    <w:rsid w:val="34FA6E12"/>
    <w:rsid w:val="351D1FD7"/>
    <w:rsid w:val="354220CE"/>
    <w:rsid w:val="355A6D87"/>
    <w:rsid w:val="35675000"/>
    <w:rsid w:val="357F65BC"/>
    <w:rsid w:val="3589141A"/>
    <w:rsid w:val="358D5588"/>
    <w:rsid w:val="35E623C9"/>
    <w:rsid w:val="363611DD"/>
    <w:rsid w:val="363A3B40"/>
    <w:rsid w:val="365302AE"/>
    <w:rsid w:val="36607A0A"/>
    <w:rsid w:val="366E227C"/>
    <w:rsid w:val="366F2E0D"/>
    <w:rsid w:val="367B6A5C"/>
    <w:rsid w:val="36A74ADA"/>
    <w:rsid w:val="36AD60D5"/>
    <w:rsid w:val="36B224F9"/>
    <w:rsid w:val="36C10446"/>
    <w:rsid w:val="36EC0CC9"/>
    <w:rsid w:val="370D1D24"/>
    <w:rsid w:val="37241E92"/>
    <w:rsid w:val="37284B97"/>
    <w:rsid w:val="373F410B"/>
    <w:rsid w:val="37483973"/>
    <w:rsid w:val="37495387"/>
    <w:rsid w:val="375A306E"/>
    <w:rsid w:val="37841E99"/>
    <w:rsid w:val="37EE7094"/>
    <w:rsid w:val="37F12DC2"/>
    <w:rsid w:val="37F1687E"/>
    <w:rsid w:val="37F45271"/>
    <w:rsid w:val="37FE01FA"/>
    <w:rsid w:val="38296C89"/>
    <w:rsid w:val="383002EB"/>
    <w:rsid w:val="38532E42"/>
    <w:rsid w:val="38586797"/>
    <w:rsid w:val="38B37AA7"/>
    <w:rsid w:val="38BC0149"/>
    <w:rsid w:val="38D87D1C"/>
    <w:rsid w:val="38E946AA"/>
    <w:rsid w:val="394958FD"/>
    <w:rsid w:val="39636459"/>
    <w:rsid w:val="396B7F6C"/>
    <w:rsid w:val="396D5A82"/>
    <w:rsid w:val="398126A4"/>
    <w:rsid w:val="399B02E5"/>
    <w:rsid w:val="39A46823"/>
    <w:rsid w:val="39B417A9"/>
    <w:rsid w:val="39DC420F"/>
    <w:rsid w:val="39FC5695"/>
    <w:rsid w:val="3A006D8E"/>
    <w:rsid w:val="3A3651E5"/>
    <w:rsid w:val="3A655FB2"/>
    <w:rsid w:val="3A663AD8"/>
    <w:rsid w:val="3A744481"/>
    <w:rsid w:val="3A7D77A0"/>
    <w:rsid w:val="3A8C21FC"/>
    <w:rsid w:val="3A8C7BEF"/>
    <w:rsid w:val="3A906246"/>
    <w:rsid w:val="3AAF547F"/>
    <w:rsid w:val="3B2349B7"/>
    <w:rsid w:val="3B616CFF"/>
    <w:rsid w:val="3B6259F6"/>
    <w:rsid w:val="3B8763FC"/>
    <w:rsid w:val="3B976654"/>
    <w:rsid w:val="3B996CD1"/>
    <w:rsid w:val="3BC01EFC"/>
    <w:rsid w:val="3BCA786A"/>
    <w:rsid w:val="3BD31E2F"/>
    <w:rsid w:val="3BF15831"/>
    <w:rsid w:val="3C070B8D"/>
    <w:rsid w:val="3C105946"/>
    <w:rsid w:val="3C154B1E"/>
    <w:rsid w:val="3C236125"/>
    <w:rsid w:val="3C471448"/>
    <w:rsid w:val="3C5F759A"/>
    <w:rsid w:val="3C637913"/>
    <w:rsid w:val="3C650C6F"/>
    <w:rsid w:val="3C6C525A"/>
    <w:rsid w:val="3C9C1A33"/>
    <w:rsid w:val="3CA60B04"/>
    <w:rsid w:val="3CAD59EE"/>
    <w:rsid w:val="3CCE23CB"/>
    <w:rsid w:val="3CD17D17"/>
    <w:rsid w:val="3D3C7F39"/>
    <w:rsid w:val="3D402D06"/>
    <w:rsid w:val="3D440F09"/>
    <w:rsid w:val="3D4504A0"/>
    <w:rsid w:val="3D8734BB"/>
    <w:rsid w:val="3D9A11D4"/>
    <w:rsid w:val="3DA16D89"/>
    <w:rsid w:val="3DA364BE"/>
    <w:rsid w:val="3DD13731"/>
    <w:rsid w:val="3DE041CB"/>
    <w:rsid w:val="3E0D48F6"/>
    <w:rsid w:val="3E1868B4"/>
    <w:rsid w:val="3E377251"/>
    <w:rsid w:val="3E42664B"/>
    <w:rsid w:val="3E5A7334"/>
    <w:rsid w:val="3E792FCD"/>
    <w:rsid w:val="3E7B5D6B"/>
    <w:rsid w:val="3E833AD6"/>
    <w:rsid w:val="3E843E66"/>
    <w:rsid w:val="3E8F51FE"/>
    <w:rsid w:val="3E926F87"/>
    <w:rsid w:val="3E9A59DE"/>
    <w:rsid w:val="3EA3354D"/>
    <w:rsid w:val="3EAF4836"/>
    <w:rsid w:val="3EC33DFA"/>
    <w:rsid w:val="3F060E16"/>
    <w:rsid w:val="3F1D1096"/>
    <w:rsid w:val="3F2F0234"/>
    <w:rsid w:val="3F6363FE"/>
    <w:rsid w:val="3F69551F"/>
    <w:rsid w:val="3F756B8F"/>
    <w:rsid w:val="3F95482B"/>
    <w:rsid w:val="3FA86048"/>
    <w:rsid w:val="3FAC745B"/>
    <w:rsid w:val="3FB84131"/>
    <w:rsid w:val="3FDA11F0"/>
    <w:rsid w:val="3FE73C89"/>
    <w:rsid w:val="3FFC1746"/>
    <w:rsid w:val="3FFC6AA9"/>
    <w:rsid w:val="40005137"/>
    <w:rsid w:val="4019356B"/>
    <w:rsid w:val="402043E9"/>
    <w:rsid w:val="40305CDD"/>
    <w:rsid w:val="40592157"/>
    <w:rsid w:val="406E1CAE"/>
    <w:rsid w:val="40A0133A"/>
    <w:rsid w:val="40BF1232"/>
    <w:rsid w:val="40C31A53"/>
    <w:rsid w:val="40FF545D"/>
    <w:rsid w:val="410067C8"/>
    <w:rsid w:val="41232723"/>
    <w:rsid w:val="412A1D04"/>
    <w:rsid w:val="4142704D"/>
    <w:rsid w:val="418F0D2A"/>
    <w:rsid w:val="41D01505"/>
    <w:rsid w:val="41D92CF9"/>
    <w:rsid w:val="41DD6D76"/>
    <w:rsid w:val="41F57960"/>
    <w:rsid w:val="41FB544E"/>
    <w:rsid w:val="422E7FD5"/>
    <w:rsid w:val="42474939"/>
    <w:rsid w:val="424C3C57"/>
    <w:rsid w:val="42613FF3"/>
    <w:rsid w:val="42660D96"/>
    <w:rsid w:val="42784CF1"/>
    <w:rsid w:val="427A2817"/>
    <w:rsid w:val="427A45C5"/>
    <w:rsid w:val="428667D2"/>
    <w:rsid w:val="429A6A15"/>
    <w:rsid w:val="42CD1CE0"/>
    <w:rsid w:val="42E1381E"/>
    <w:rsid w:val="42ED6459"/>
    <w:rsid w:val="42FE58DD"/>
    <w:rsid w:val="43174B3D"/>
    <w:rsid w:val="432731D2"/>
    <w:rsid w:val="434B790E"/>
    <w:rsid w:val="4360274F"/>
    <w:rsid w:val="43977AB6"/>
    <w:rsid w:val="439D67BD"/>
    <w:rsid w:val="43A3342B"/>
    <w:rsid w:val="43C77C27"/>
    <w:rsid w:val="43DE09EE"/>
    <w:rsid w:val="43F4658F"/>
    <w:rsid w:val="44002FAD"/>
    <w:rsid w:val="44196CA2"/>
    <w:rsid w:val="44416362"/>
    <w:rsid w:val="449101DD"/>
    <w:rsid w:val="449B56CA"/>
    <w:rsid w:val="44A479C5"/>
    <w:rsid w:val="44CB08EB"/>
    <w:rsid w:val="44DE1391"/>
    <w:rsid w:val="451B225C"/>
    <w:rsid w:val="452410C9"/>
    <w:rsid w:val="45317DFB"/>
    <w:rsid w:val="4554062E"/>
    <w:rsid w:val="456D3CE4"/>
    <w:rsid w:val="4579042C"/>
    <w:rsid w:val="457F0571"/>
    <w:rsid w:val="4580655D"/>
    <w:rsid w:val="45851176"/>
    <w:rsid w:val="45C63B94"/>
    <w:rsid w:val="45C75D73"/>
    <w:rsid w:val="460C210D"/>
    <w:rsid w:val="460E7DA5"/>
    <w:rsid w:val="46422483"/>
    <w:rsid w:val="4656182F"/>
    <w:rsid w:val="4659254A"/>
    <w:rsid w:val="465B0637"/>
    <w:rsid w:val="465E3F0D"/>
    <w:rsid w:val="466A16E6"/>
    <w:rsid w:val="46893F2B"/>
    <w:rsid w:val="46AB5755"/>
    <w:rsid w:val="46C4686E"/>
    <w:rsid w:val="46CB1893"/>
    <w:rsid w:val="47041FA7"/>
    <w:rsid w:val="470D1EAB"/>
    <w:rsid w:val="47295AED"/>
    <w:rsid w:val="47380B78"/>
    <w:rsid w:val="476E221E"/>
    <w:rsid w:val="4778084F"/>
    <w:rsid w:val="477B778F"/>
    <w:rsid w:val="478203EC"/>
    <w:rsid w:val="47B025FA"/>
    <w:rsid w:val="47F15329"/>
    <w:rsid w:val="4809698F"/>
    <w:rsid w:val="4811697D"/>
    <w:rsid w:val="486A0C38"/>
    <w:rsid w:val="487A3E25"/>
    <w:rsid w:val="488B5503"/>
    <w:rsid w:val="48937E21"/>
    <w:rsid w:val="489A0361"/>
    <w:rsid w:val="489C3FAB"/>
    <w:rsid w:val="48B94FF3"/>
    <w:rsid w:val="48CE566A"/>
    <w:rsid w:val="48E37AAB"/>
    <w:rsid w:val="48F7696F"/>
    <w:rsid w:val="48FD4B4C"/>
    <w:rsid w:val="490A68E0"/>
    <w:rsid w:val="491055FE"/>
    <w:rsid w:val="495F5B3E"/>
    <w:rsid w:val="496F77D7"/>
    <w:rsid w:val="497654FD"/>
    <w:rsid w:val="49B64211"/>
    <w:rsid w:val="49F25388"/>
    <w:rsid w:val="49F6167F"/>
    <w:rsid w:val="4A064FA0"/>
    <w:rsid w:val="4A1470AD"/>
    <w:rsid w:val="4A16615C"/>
    <w:rsid w:val="4A3A59A0"/>
    <w:rsid w:val="4A4424D7"/>
    <w:rsid w:val="4AB82D0F"/>
    <w:rsid w:val="4AB95081"/>
    <w:rsid w:val="4AE26D3D"/>
    <w:rsid w:val="4AEB7664"/>
    <w:rsid w:val="4AFD7C19"/>
    <w:rsid w:val="4B0567D1"/>
    <w:rsid w:val="4B0E78A9"/>
    <w:rsid w:val="4B1B26BD"/>
    <w:rsid w:val="4B236AAE"/>
    <w:rsid w:val="4B2E231E"/>
    <w:rsid w:val="4B2E23F0"/>
    <w:rsid w:val="4B425E9C"/>
    <w:rsid w:val="4B707271"/>
    <w:rsid w:val="4B9739F7"/>
    <w:rsid w:val="4BD74836"/>
    <w:rsid w:val="4BE54180"/>
    <w:rsid w:val="4BEE2503"/>
    <w:rsid w:val="4C0D2006"/>
    <w:rsid w:val="4C245A30"/>
    <w:rsid w:val="4C8D6FAC"/>
    <w:rsid w:val="4CA71F8A"/>
    <w:rsid w:val="4CB6685F"/>
    <w:rsid w:val="4CC27294"/>
    <w:rsid w:val="4CC312AD"/>
    <w:rsid w:val="4CC367FE"/>
    <w:rsid w:val="4CFC52D9"/>
    <w:rsid w:val="4D077F3C"/>
    <w:rsid w:val="4D0D7B68"/>
    <w:rsid w:val="4D123355"/>
    <w:rsid w:val="4D2A3B31"/>
    <w:rsid w:val="4D312C52"/>
    <w:rsid w:val="4D905305"/>
    <w:rsid w:val="4D964A72"/>
    <w:rsid w:val="4D9C1254"/>
    <w:rsid w:val="4DB239A2"/>
    <w:rsid w:val="4E0062C6"/>
    <w:rsid w:val="4E6342B9"/>
    <w:rsid w:val="4E793892"/>
    <w:rsid w:val="4E800872"/>
    <w:rsid w:val="4E8D55B7"/>
    <w:rsid w:val="4EA824BA"/>
    <w:rsid w:val="4EC569ED"/>
    <w:rsid w:val="4ED50EA1"/>
    <w:rsid w:val="4EEC050C"/>
    <w:rsid w:val="4EFA2326"/>
    <w:rsid w:val="4F104EC3"/>
    <w:rsid w:val="4F18038A"/>
    <w:rsid w:val="4F47354A"/>
    <w:rsid w:val="4F9114CA"/>
    <w:rsid w:val="4F911C54"/>
    <w:rsid w:val="4FA90297"/>
    <w:rsid w:val="4FE625E0"/>
    <w:rsid w:val="50202421"/>
    <w:rsid w:val="5021480F"/>
    <w:rsid w:val="505B01CD"/>
    <w:rsid w:val="50962ECB"/>
    <w:rsid w:val="50A42E38"/>
    <w:rsid w:val="50A4577F"/>
    <w:rsid w:val="50B73D1F"/>
    <w:rsid w:val="50BD5BC9"/>
    <w:rsid w:val="50C11EEE"/>
    <w:rsid w:val="50E97CFC"/>
    <w:rsid w:val="50FA4028"/>
    <w:rsid w:val="510D65B7"/>
    <w:rsid w:val="511157AB"/>
    <w:rsid w:val="512B5A23"/>
    <w:rsid w:val="5142540C"/>
    <w:rsid w:val="5144471C"/>
    <w:rsid w:val="51774E4B"/>
    <w:rsid w:val="518832C8"/>
    <w:rsid w:val="51A0432A"/>
    <w:rsid w:val="51A86090"/>
    <w:rsid w:val="51B7396D"/>
    <w:rsid w:val="51CC4711"/>
    <w:rsid w:val="51DB561C"/>
    <w:rsid w:val="522E4CC3"/>
    <w:rsid w:val="5244713B"/>
    <w:rsid w:val="525F471D"/>
    <w:rsid w:val="52615633"/>
    <w:rsid w:val="527D0214"/>
    <w:rsid w:val="5296022B"/>
    <w:rsid w:val="52977FD4"/>
    <w:rsid w:val="52A25790"/>
    <w:rsid w:val="52A96B6F"/>
    <w:rsid w:val="52B45975"/>
    <w:rsid w:val="52D94AA4"/>
    <w:rsid w:val="52EA3A62"/>
    <w:rsid w:val="52EC4D64"/>
    <w:rsid w:val="52ED493F"/>
    <w:rsid w:val="52F50BB8"/>
    <w:rsid w:val="52FC11FE"/>
    <w:rsid w:val="53097272"/>
    <w:rsid w:val="53544462"/>
    <w:rsid w:val="536966BB"/>
    <w:rsid w:val="536B49B0"/>
    <w:rsid w:val="5397158E"/>
    <w:rsid w:val="53D75D72"/>
    <w:rsid w:val="53F22178"/>
    <w:rsid w:val="54013861"/>
    <w:rsid w:val="54203CF6"/>
    <w:rsid w:val="54487265"/>
    <w:rsid w:val="544D6070"/>
    <w:rsid w:val="54605E1E"/>
    <w:rsid w:val="54790B80"/>
    <w:rsid w:val="548C06A8"/>
    <w:rsid w:val="54B3506A"/>
    <w:rsid w:val="54CA0D16"/>
    <w:rsid w:val="54DD4057"/>
    <w:rsid w:val="54E7490F"/>
    <w:rsid w:val="550764A4"/>
    <w:rsid w:val="550B2BF6"/>
    <w:rsid w:val="55101466"/>
    <w:rsid w:val="55214EB5"/>
    <w:rsid w:val="55364EFD"/>
    <w:rsid w:val="554E27EB"/>
    <w:rsid w:val="555D4828"/>
    <w:rsid w:val="557A4C8B"/>
    <w:rsid w:val="558931E1"/>
    <w:rsid w:val="55923347"/>
    <w:rsid w:val="55925180"/>
    <w:rsid w:val="55983B1B"/>
    <w:rsid w:val="559C1F84"/>
    <w:rsid w:val="55A8376B"/>
    <w:rsid w:val="55DC29B6"/>
    <w:rsid w:val="55DD4241"/>
    <w:rsid w:val="55E30278"/>
    <w:rsid w:val="55E72D6A"/>
    <w:rsid w:val="5625494B"/>
    <w:rsid w:val="56521E02"/>
    <w:rsid w:val="566B6D1E"/>
    <w:rsid w:val="56814847"/>
    <w:rsid w:val="56867584"/>
    <w:rsid w:val="569A3030"/>
    <w:rsid w:val="569C0B56"/>
    <w:rsid w:val="57032A2C"/>
    <w:rsid w:val="570F5219"/>
    <w:rsid w:val="571E59B2"/>
    <w:rsid w:val="573C7C43"/>
    <w:rsid w:val="57437223"/>
    <w:rsid w:val="575D12B5"/>
    <w:rsid w:val="57610A87"/>
    <w:rsid w:val="576176AA"/>
    <w:rsid w:val="57664CC0"/>
    <w:rsid w:val="577B1140"/>
    <w:rsid w:val="577B7F21"/>
    <w:rsid w:val="577F181B"/>
    <w:rsid w:val="57921984"/>
    <w:rsid w:val="579737F0"/>
    <w:rsid w:val="57AB7B30"/>
    <w:rsid w:val="57AF5251"/>
    <w:rsid w:val="57B26373"/>
    <w:rsid w:val="57B63F04"/>
    <w:rsid w:val="57CD20C2"/>
    <w:rsid w:val="57D675AB"/>
    <w:rsid w:val="57D95FDD"/>
    <w:rsid w:val="57E84BE9"/>
    <w:rsid w:val="57F30C49"/>
    <w:rsid w:val="57FA336F"/>
    <w:rsid w:val="584F18E4"/>
    <w:rsid w:val="58917D2F"/>
    <w:rsid w:val="58936007"/>
    <w:rsid w:val="5894085C"/>
    <w:rsid w:val="58AA4D87"/>
    <w:rsid w:val="58AE4F0C"/>
    <w:rsid w:val="58B85899"/>
    <w:rsid w:val="58E16CF4"/>
    <w:rsid w:val="58E363A9"/>
    <w:rsid w:val="594F3618"/>
    <w:rsid w:val="595E1678"/>
    <w:rsid w:val="596D5BD4"/>
    <w:rsid w:val="597E3DD8"/>
    <w:rsid w:val="59896FA9"/>
    <w:rsid w:val="59A32035"/>
    <w:rsid w:val="59B85CA7"/>
    <w:rsid w:val="59ED6182"/>
    <w:rsid w:val="59EF71EF"/>
    <w:rsid w:val="59F80043"/>
    <w:rsid w:val="5A09252F"/>
    <w:rsid w:val="5A0B2778"/>
    <w:rsid w:val="5A124512"/>
    <w:rsid w:val="5A2A7C7B"/>
    <w:rsid w:val="5A3B6FD9"/>
    <w:rsid w:val="5A3E2560"/>
    <w:rsid w:val="5A445628"/>
    <w:rsid w:val="5A5D3B6E"/>
    <w:rsid w:val="5A637A76"/>
    <w:rsid w:val="5A6D33BA"/>
    <w:rsid w:val="5A765C99"/>
    <w:rsid w:val="5A77221A"/>
    <w:rsid w:val="5A792B1F"/>
    <w:rsid w:val="5A874767"/>
    <w:rsid w:val="5A90452E"/>
    <w:rsid w:val="5A987886"/>
    <w:rsid w:val="5AAD6F28"/>
    <w:rsid w:val="5AD63A24"/>
    <w:rsid w:val="5ADE798F"/>
    <w:rsid w:val="5AF002EE"/>
    <w:rsid w:val="5B1274CF"/>
    <w:rsid w:val="5B1909C7"/>
    <w:rsid w:val="5B194477"/>
    <w:rsid w:val="5B2E1A1D"/>
    <w:rsid w:val="5B42323E"/>
    <w:rsid w:val="5B767BC7"/>
    <w:rsid w:val="5B815DA7"/>
    <w:rsid w:val="5B843A1C"/>
    <w:rsid w:val="5B8720B4"/>
    <w:rsid w:val="5B873E3F"/>
    <w:rsid w:val="5B9F0763"/>
    <w:rsid w:val="5BA06E3A"/>
    <w:rsid w:val="5BB07B5B"/>
    <w:rsid w:val="5BCB3758"/>
    <w:rsid w:val="5C02690E"/>
    <w:rsid w:val="5C0E6F4D"/>
    <w:rsid w:val="5C196DA7"/>
    <w:rsid w:val="5C211459"/>
    <w:rsid w:val="5C2A048C"/>
    <w:rsid w:val="5C311D40"/>
    <w:rsid w:val="5C3655A9"/>
    <w:rsid w:val="5C386CD7"/>
    <w:rsid w:val="5C3E075C"/>
    <w:rsid w:val="5C80234E"/>
    <w:rsid w:val="5C8A680C"/>
    <w:rsid w:val="5CA644DC"/>
    <w:rsid w:val="5CB32755"/>
    <w:rsid w:val="5CB87369"/>
    <w:rsid w:val="5CD24FA9"/>
    <w:rsid w:val="5CDE3C1A"/>
    <w:rsid w:val="5CFD5EAA"/>
    <w:rsid w:val="5D094A6B"/>
    <w:rsid w:val="5D0C4701"/>
    <w:rsid w:val="5D0F0395"/>
    <w:rsid w:val="5D221076"/>
    <w:rsid w:val="5D397964"/>
    <w:rsid w:val="5D5A13D3"/>
    <w:rsid w:val="5D5A391C"/>
    <w:rsid w:val="5D5B6947"/>
    <w:rsid w:val="5D5F10C0"/>
    <w:rsid w:val="5D891B7B"/>
    <w:rsid w:val="5D9E281B"/>
    <w:rsid w:val="5D9F6047"/>
    <w:rsid w:val="5DAD38EE"/>
    <w:rsid w:val="5DD874C1"/>
    <w:rsid w:val="5E006862"/>
    <w:rsid w:val="5E0207B9"/>
    <w:rsid w:val="5E0771FD"/>
    <w:rsid w:val="5E1834A1"/>
    <w:rsid w:val="5E261785"/>
    <w:rsid w:val="5E266C2D"/>
    <w:rsid w:val="5E2B4120"/>
    <w:rsid w:val="5E3E7949"/>
    <w:rsid w:val="5E4A7017"/>
    <w:rsid w:val="5E552BBA"/>
    <w:rsid w:val="5E611C10"/>
    <w:rsid w:val="5ED25D4D"/>
    <w:rsid w:val="5EDF0F7C"/>
    <w:rsid w:val="5EF552A7"/>
    <w:rsid w:val="5EF57055"/>
    <w:rsid w:val="5EFC7377"/>
    <w:rsid w:val="5F04138D"/>
    <w:rsid w:val="5F06174D"/>
    <w:rsid w:val="5F3A3602"/>
    <w:rsid w:val="5F6277C6"/>
    <w:rsid w:val="5F6D0B1D"/>
    <w:rsid w:val="5F864151"/>
    <w:rsid w:val="5F8C2318"/>
    <w:rsid w:val="5F8D0B82"/>
    <w:rsid w:val="5FA42829"/>
    <w:rsid w:val="5FCC5339"/>
    <w:rsid w:val="5FE34A5B"/>
    <w:rsid w:val="5FFE1E36"/>
    <w:rsid w:val="60232584"/>
    <w:rsid w:val="602B7905"/>
    <w:rsid w:val="607330CE"/>
    <w:rsid w:val="607C75A8"/>
    <w:rsid w:val="60825176"/>
    <w:rsid w:val="609F2AC4"/>
    <w:rsid w:val="60BE791B"/>
    <w:rsid w:val="60FA2EE8"/>
    <w:rsid w:val="61054A27"/>
    <w:rsid w:val="610A52BC"/>
    <w:rsid w:val="611D2366"/>
    <w:rsid w:val="613954BE"/>
    <w:rsid w:val="61421856"/>
    <w:rsid w:val="615227C4"/>
    <w:rsid w:val="61654E3F"/>
    <w:rsid w:val="6182292A"/>
    <w:rsid w:val="618648DC"/>
    <w:rsid w:val="618B1E56"/>
    <w:rsid w:val="6193770D"/>
    <w:rsid w:val="619F7F92"/>
    <w:rsid w:val="61AE798F"/>
    <w:rsid w:val="61CB32AE"/>
    <w:rsid w:val="61E93A54"/>
    <w:rsid w:val="61F57638"/>
    <w:rsid w:val="61F94C26"/>
    <w:rsid w:val="62000E56"/>
    <w:rsid w:val="621A6DD3"/>
    <w:rsid w:val="624F3E49"/>
    <w:rsid w:val="62632286"/>
    <w:rsid w:val="62885958"/>
    <w:rsid w:val="62980A4D"/>
    <w:rsid w:val="62A427ED"/>
    <w:rsid w:val="62DE6052"/>
    <w:rsid w:val="62E47B0C"/>
    <w:rsid w:val="62F40B65"/>
    <w:rsid w:val="62FC2CFE"/>
    <w:rsid w:val="63024505"/>
    <w:rsid w:val="6315263E"/>
    <w:rsid w:val="633D5518"/>
    <w:rsid w:val="635B1DB5"/>
    <w:rsid w:val="636724EC"/>
    <w:rsid w:val="63685C79"/>
    <w:rsid w:val="63711FED"/>
    <w:rsid w:val="63767A31"/>
    <w:rsid w:val="63880DDC"/>
    <w:rsid w:val="638D750D"/>
    <w:rsid w:val="63AC6CC0"/>
    <w:rsid w:val="63BC0727"/>
    <w:rsid w:val="63CA5644"/>
    <w:rsid w:val="64055776"/>
    <w:rsid w:val="64240056"/>
    <w:rsid w:val="643E143A"/>
    <w:rsid w:val="644F13EC"/>
    <w:rsid w:val="64723AC1"/>
    <w:rsid w:val="647F7489"/>
    <w:rsid w:val="648B6EEF"/>
    <w:rsid w:val="648D5F82"/>
    <w:rsid w:val="64C158BF"/>
    <w:rsid w:val="64CE2EAA"/>
    <w:rsid w:val="64D05325"/>
    <w:rsid w:val="64E210EB"/>
    <w:rsid w:val="64E9731B"/>
    <w:rsid w:val="653C3090"/>
    <w:rsid w:val="65664C4C"/>
    <w:rsid w:val="65767CBF"/>
    <w:rsid w:val="657F014C"/>
    <w:rsid w:val="65854376"/>
    <w:rsid w:val="658767BE"/>
    <w:rsid w:val="65892531"/>
    <w:rsid w:val="65A36D1C"/>
    <w:rsid w:val="65B56A72"/>
    <w:rsid w:val="65D93276"/>
    <w:rsid w:val="65DA1EC0"/>
    <w:rsid w:val="65FE51E1"/>
    <w:rsid w:val="66195831"/>
    <w:rsid w:val="662E75B1"/>
    <w:rsid w:val="66342C2E"/>
    <w:rsid w:val="663E784C"/>
    <w:rsid w:val="668A09CB"/>
    <w:rsid w:val="668B6A45"/>
    <w:rsid w:val="66A852F5"/>
    <w:rsid w:val="66E31240"/>
    <w:rsid w:val="67157571"/>
    <w:rsid w:val="672F3F24"/>
    <w:rsid w:val="673E055F"/>
    <w:rsid w:val="674E301A"/>
    <w:rsid w:val="67551CE3"/>
    <w:rsid w:val="679B231C"/>
    <w:rsid w:val="67A22552"/>
    <w:rsid w:val="67B22DCC"/>
    <w:rsid w:val="67BE71AA"/>
    <w:rsid w:val="67D90273"/>
    <w:rsid w:val="67DE5875"/>
    <w:rsid w:val="67E55852"/>
    <w:rsid w:val="67EB1AB4"/>
    <w:rsid w:val="67F87BB6"/>
    <w:rsid w:val="67FA1285"/>
    <w:rsid w:val="68551F4F"/>
    <w:rsid w:val="685B6B1A"/>
    <w:rsid w:val="68774F7F"/>
    <w:rsid w:val="687C10C9"/>
    <w:rsid w:val="68840C16"/>
    <w:rsid w:val="68876EFB"/>
    <w:rsid w:val="68884654"/>
    <w:rsid w:val="689F444F"/>
    <w:rsid w:val="68B200BE"/>
    <w:rsid w:val="68B96DBB"/>
    <w:rsid w:val="68CA2805"/>
    <w:rsid w:val="68E937A3"/>
    <w:rsid w:val="693E15D3"/>
    <w:rsid w:val="69544B38"/>
    <w:rsid w:val="69627681"/>
    <w:rsid w:val="6977531D"/>
    <w:rsid w:val="697B284D"/>
    <w:rsid w:val="69A43B52"/>
    <w:rsid w:val="69BE2739"/>
    <w:rsid w:val="69C85C24"/>
    <w:rsid w:val="69CC2BFF"/>
    <w:rsid w:val="69F17170"/>
    <w:rsid w:val="69FD55B8"/>
    <w:rsid w:val="6A0A597F"/>
    <w:rsid w:val="6A0B1C62"/>
    <w:rsid w:val="6A0E36C1"/>
    <w:rsid w:val="6A1A2624"/>
    <w:rsid w:val="6A1A3409"/>
    <w:rsid w:val="6A2406C8"/>
    <w:rsid w:val="6A396731"/>
    <w:rsid w:val="6A874E35"/>
    <w:rsid w:val="6A95793E"/>
    <w:rsid w:val="6A9E6E89"/>
    <w:rsid w:val="6AC03EA6"/>
    <w:rsid w:val="6ADE0BD1"/>
    <w:rsid w:val="6AE96859"/>
    <w:rsid w:val="6B147746"/>
    <w:rsid w:val="6B24787C"/>
    <w:rsid w:val="6B4A616F"/>
    <w:rsid w:val="6B573233"/>
    <w:rsid w:val="6B5B6274"/>
    <w:rsid w:val="6B767D81"/>
    <w:rsid w:val="6B935D53"/>
    <w:rsid w:val="6C196F71"/>
    <w:rsid w:val="6C226FCB"/>
    <w:rsid w:val="6C2849EF"/>
    <w:rsid w:val="6C2A0FC0"/>
    <w:rsid w:val="6C31226F"/>
    <w:rsid w:val="6C552F0B"/>
    <w:rsid w:val="6C624D29"/>
    <w:rsid w:val="6C8C67B7"/>
    <w:rsid w:val="6C9D744C"/>
    <w:rsid w:val="6CA976D1"/>
    <w:rsid w:val="6D167928"/>
    <w:rsid w:val="6D1D0745"/>
    <w:rsid w:val="6D26299B"/>
    <w:rsid w:val="6D4772EC"/>
    <w:rsid w:val="6D4C69DA"/>
    <w:rsid w:val="6D6249EE"/>
    <w:rsid w:val="6D6A6E60"/>
    <w:rsid w:val="6D9078AF"/>
    <w:rsid w:val="6DAA3FEF"/>
    <w:rsid w:val="6DB36A59"/>
    <w:rsid w:val="6DC0172B"/>
    <w:rsid w:val="6DCB690C"/>
    <w:rsid w:val="6DD41A5B"/>
    <w:rsid w:val="6DF43C2E"/>
    <w:rsid w:val="6DF51CA3"/>
    <w:rsid w:val="6E8335BD"/>
    <w:rsid w:val="6E8E12EF"/>
    <w:rsid w:val="6E972936"/>
    <w:rsid w:val="6EA2087C"/>
    <w:rsid w:val="6ED27E0B"/>
    <w:rsid w:val="6ED446C5"/>
    <w:rsid w:val="6F2A7D94"/>
    <w:rsid w:val="6F8331F1"/>
    <w:rsid w:val="6FAE1A09"/>
    <w:rsid w:val="6FD75BF8"/>
    <w:rsid w:val="70147047"/>
    <w:rsid w:val="7019553E"/>
    <w:rsid w:val="702D1C11"/>
    <w:rsid w:val="707723D0"/>
    <w:rsid w:val="70912956"/>
    <w:rsid w:val="709335B1"/>
    <w:rsid w:val="70E92792"/>
    <w:rsid w:val="70F5661B"/>
    <w:rsid w:val="70FB773A"/>
    <w:rsid w:val="71360107"/>
    <w:rsid w:val="713B688E"/>
    <w:rsid w:val="719E01FF"/>
    <w:rsid w:val="71C137C8"/>
    <w:rsid w:val="71D43752"/>
    <w:rsid w:val="71DB032D"/>
    <w:rsid w:val="71F1796A"/>
    <w:rsid w:val="720A6E02"/>
    <w:rsid w:val="72154626"/>
    <w:rsid w:val="72262B5D"/>
    <w:rsid w:val="72275593"/>
    <w:rsid w:val="72283FF7"/>
    <w:rsid w:val="722E7212"/>
    <w:rsid w:val="723A0474"/>
    <w:rsid w:val="724B4950"/>
    <w:rsid w:val="725923E4"/>
    <w:rsid w:val="726B7B33"/>
    <w:rsid w:val="72864BF7"/>
    <w:rsid w:val="729023FC"/>
    <w:rsid w:val="72FB3B86"/>
    <w:rsid w:val="730924B4"/>
    <w:rsid w:val="733E2357"/>
    <w:rsid w:val="7347133B"/>
    <w:rsid w:val="73836ECE"/>
    <w:rsid w:val="73C0646E"/>
    <w:rsid w:val="742222F5"/>
    <w:rsid w:val="74237BDB"/>
    <w:rsid w:val="74476126"/>
    <w:rsid w:val="74706664"/>
    <w:rsid w:val="747F3682"/>
    <w:rsid w:val="74951ED7"/>
    <w:rsid w:val="749C4185"/>
    <w:rsid w:val="74F20434"/>
    <w:rsid w:val="75067759"/>
    <w:rsid w:val="752E6DCD"/>
    <w:rsid w:val="7551380D"/>
    <w:rsid w:val="75600BE5"/>
    <w:rsid w:val="7564475C"/>
    <w:rsid w:val="7583797F"/>
    <w:rsid w:val="75970A0E"/>
    <w:rsid w:val="75A66EA3"/>
    <w:rsid w:val="75D20F1D"/>
    <w:rsid w:val="75DA2C18"/>
    <w:rsid w:val="75F329E6"/>
    <w:rsid w:val="75F54412"/>
    <w:rsid w:val="761072A4"/>
    <w:rsid w:val="761D08E0"/>
    <w:rsid w:val="762322A2"/>
    <w:rsid w:val="762D4ECF"/>
    <w:rsid w:val="765761A5"/>
    <w:rsid w:val="765D347C"/>
    <w:rsid w:val="76634D94"/>
    <w:rsid w:val="76826699"/>
    <w:rsid w:val="76BD26F7"/>
    <w:rsid w:val="76C87133"/>
    <w:rsid w:val="76CD08D5"/>
    <w:rsid w:val="76D80A0A"/>
    <w:rsid w:val="76DB4B92"/>
    <w:rsid w:val="77052AA4"/>
    <w:rsid w:val="77136511"/>
    <w:rsid w:val="771C66E8"/>
    <w:rsid w:val="77340A39"/>
    <w:rsid w:val="77351FD0"/>
    <w:rsid w:val="77472422"/>
    <w:rsid w:val="77512E3F"/>
    <w:rsid w:val="777F31F2"/>
    <w:rsid w:val="778C1A27"/>
    <w:rsid w:val="77D1700D"/>
    <w:rsid w:val="77E87688"/>
    <w:rsid w:val="77EC04CC"/>
    <w:rsid w:val="77F300A6"/>
    <w:rsid w:val="781F6A99"/>
    <w:rsid w:val="7853456D"/>
    <w:rsid w:val="78775729"/>
    <w:rsid w:val="78857244"/>
    <w:rsid w:val="789676A9"/>
    <w:rsid w:val="78A42DB0"/>
    <w:rsid w:val="78A656AB"/>
    <w:rsid w:val="78B2245C"/>
    <w:rsid w:val="78C353D5"/>
    <w:rsid w:val="78E172CC"/>
    <w:rsid w:val="78EA1D1F"/>
    <w:rsid w:val="78FB12B4"/>
    <w:rsid w:val="7904172F"/>
    <w:rsid w:val="790F7E27"/>
    <w:rsid w:val="791D56CF"/>
    <w:rsid w:val="791F1447"/>
    <w:rsid w:val="79294073"/>
    <w:rsid w:val="792A231A"/>
    <w:rsid w:val="79316829"/>
    <w:rsid w:val="79440FF5"/>
    <w:rsid w:val="797E66A9"/>
    <w:rsid w:val="79823784"/>
    <w:rsid w:val="79877C2A"/>
    <w:rsid w:val="79920360"/>
    <w:rsid w:val="79935991"/>
    <w:rsid w:val="79A4194C"/>
    <w:rsid w:val="79A97383"/>
    <w:rsid w:val="79DF2D87"/>
    <w:rsid w:val="79E27E8B"/>
    <w:rsid w:val="79F850CE"/>
    <w:rsid w:val="79FD443C"/>
    <w:rsid w:val="7A1D1975"/>
    <w:rsid w:val="7A236D15"/>
    <w:rsid w:val="7A3E5150"/>
    <w:rsid w:val="7A4670D6"/>
    <w:rsid w:val="7A534B63"/>
    <w:rsid w:val="7A5471AB"/>
    <w:rsid w:val="7A615382"/>
    <w:rsid w:val="7A67303B"/>
    <w:rsid w:val="7AAB1D04"/>
    <w:rsid w:val="7AB61937"/>
    <w:rsid w:val="7ABA4368"/>
    <w:rsid w:val="7AD05746"/>
    <w:rsid w:val="7B257FFD"/>
    <w:rsid w:val="7B343476"/>
    <w:rsid w:val="7B5A2978"/>
    <w:rsid w:val="7B5A7E4C"/>
    <w:rsid w:val="7B667AF9"/>
    <w:rsid w:val="7B7468F8"/>
    <w:rsid w:val="7B982A3A"/>
    <w:rsid w:val="7B9A30C1"/>
    <w:rsid w:val="7BEE0103"/>
    <w:rsid w:val="7BF64882"/>
    <w:rsid w:val="7C0A0FE4"/>
    <w:rsid w:val="7C254906"/>
    <w:rsid w:val="7C3074C7"/>
    <w:rsid w:val="7C590818"/>
    <w:rsid w:val="7C6E49F8"/>
    <w:rsid w:val="7C7C10F6"/>
    <w:rsid w:val="7C853BEA"/>
    <w:rsid w:val="7C881368"/>
    <w:rsid w:val="7CA4541E"/>
    <w:rsid w:val="7CE27788"/>
    <w:rsid w:val="7CE71440"/>
    <w:rsid w:val="7D072175"/>
    <w:rsid w:val="7D0C32F1"/>
    <w:rsid w:val="7D0F408D"/>
    <w:rsid w:val="7D382AD7"/>
    <w:rsid w:val="7D442589"/>
    <w:rsid w:val="7D491C6C"/>
    <w:rsid w:val="7D5429C0"/>
    <w:rsid w:val="7D6E6D43"/>
    <w:rsid w:val="7D93563B"/>
    <w:rsid w:val="7DB57A34"/>
    <w:rsid w:val="7DCF4ABD"/>
    <w:rsid w:val="7DE60973"/>
    <w:rsid w:val="7DE84174"/>
    <w:rsid w:val="7DEF0916"/>
    <w:rsid w:val="7E0C6649"/>
    <w:rsid w:val="7E17348D"/>
    <w:rsid w:val="7E1E5218"/>
    <w:rsid w:val="7E3F359E"/>
    <w:rsid w:val="7E9A4E1F"/>
    <w:rsid w:val="7EA7723A"/>
    <w:rsid w:val="7EBE525E"/>
    <w:rsid w:val="7EC87E8B"/>
    <w:rsid w:val="7ED4682F"/>
    <w:rsid w:val="7EF56FBB"/>
    <w:rsid w:val="7F0768EB"/>
    <w:rsid w:val="7F107725"/>
    <w:rsid w:val="7F143BEC"/>
    <w:rsid w:val="7F5C05D3"/>
    <w:rsid w:val="7F6776A3"/>
    <w:rsid w:val="7F715AF2"/>
    <w:rsid w:val="7F8813C8"/>
    <w:rsid w:val="7F886E69"/>
    <w:rsid w:val="7FD04749"/>
    <w:rsid w:val="7FF50CD9"/>
    <w:rsid w:val="7FF679F4"/>
    <w:rsid w:val="BB7FA927"/>
    <w:rsid w:val="F5FFD31F"/>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uiPriority="0" w:name="macro"/>
    <w:lsdException w:qFormat="1" w:uiPriority="99"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99"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99"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1"/>
    <w:qFormat/>
    <w:uiPriority w:val="0"/>
    <w:pPr>
      <w:keepNext/>
      <w:keepLines/>
      <w:tabs>
        <w:tab w:val="left" w:pos="900"/>
      </w:tabs>
      <w:spacing w:before="260" w:after="260" w:line="416" w:lineRule="auto"/>
      <w:ind w:left="900" w:hanging="720"/>
      <w:outlineLvl w:val="2"/>
    </w:pPr>
    <w:rPr>
      <w:b/>
      <w:bCs/>
      <w:sz w:val="32"/>
      <w:szCs w:val="32"/>
    </w:rPr>
  </w:style>
  <w:style w:type="paragraph" w:styleId="5">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6">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7">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8">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9">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0">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2">
    <w:name w:val="Default Paragraph Font"/>
    <w:semiHidden/>
    <w:unhideWhenUsed/>
    <w:qFormat/>
    <w:uiPriority w:val="1"/>
  </w:style>
  <w:style w:type="table" w:default="1" w:styleId="65">
    <w:name w:val="Normal Table"/>
    <w:semiHidden/>
    <w:unhideWhenUsed/>
    <w:qFormat/>
    <w:uiPriority w:val="99"/>
    <w:tblPr>
      <w:tblCellMar>
        <w:top w:w="0" w:type="dxa"/>
        <w:left w:w="108" w:type="dxa"/>
        <w:bottom w:w="0" w:type="dxa"/>
        <w:right w:w="108" w:type="dxa"/>
      </w:tblCellMar>
    </w:tblPr>
  </w:style>
  <w:style w:type="paragraph" w:styleId="11">
    <w:name w:val="toc 7"/>
    <w:basedOn w:val="1"/>
    <w:next w:val="1"/>
    <w:qFormat/>
    <w:uiPriority w:val="0"/>
    <w:pPr>
      <w:ind w:left="2520" w:leftChars="1200"/>
    </w:pPr>
  </w:style>
  <w:style w:type="paragraph" w:styleId="12">
    <w:name w:val="List Number 2"/>
    <w:basedOn w:val="1"/>
    <w:qFormat/>
    <w:uiPriority w:val="0"/>
    <w:pPr>
      <w:widowControl/>
      <w:tabs>
        <w:tab w:val="left" w:pos="1697"/>
      </w:tabs>
      <w:adjustRightInd/>
      <w:spacing w:afterLines="50"/>
      <w:ind w:left="1697" w:hanging="420"/>
      <w:jc w:val="left"/>
    </w:pPr>
    <w:rPr>
      <w:kern w:val="0"/>
      <w:sz w:val="24"/>
      <w:szCs w:val="20"/>
    </w:rPr>
  </w:style>
  <w:style w:type="paragraph" w:styleId="13">
    <w:name w:val="table of authorities"/>
    <w:basedOn w:val="1"/>
    <w:next w:val="1"/>
    <w:qFormat/>
    <w:uiPriority w:val="0"/>
    <w:pPr>
      <w:ind w:left="420" w:leftChars="200"/>
    </w:p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next w:val="16"/>
    <w:qFormat/>
    <w:uiPriority w:val="0"/>
    <w:pPr>
      <w:widowControl/>
      <w:tabs>
        <w:tab w:val="left" w:pos="390"/>
        <w:tab w:val="left" w:pos="454"/>
      </w:tabs>
      <w:adjustRightInd/>
      <w:spacing w:afterLines="50"/>
      <w:ind w:left="454" w:hanging="284"/>
      <w:jc w:val="left"/>
    </w:pPr>
    <w:rPr>
      <w:kern w:val="0"/>
      <w:sz w:val="24"/>
      <w:szCs w:val="20"/>
    </w:rPr>
  </w:style>
  <w:style w:type="paragraph" w:styleId="16">
    <w:name w:val="Balloon Text"/>
    <w:basedOn w:val="1"/>
    <w:next w:val="17"/>
    <w:link w:val="188"/>
    <w:qFormat/>
    <w:uiPriority w:val="0"/>
    <w:rPr>
      <w:sz w:val="18"/>
      <w:szCs w:val="18"/>
    </w:rPr>
  </w:style>
  <w:style w:type="paragraph" w:styleId="17">
    <w:name w:val="toc 8"/>
    <w:basedOn w:val="1"/>
    <w:next w:val="1"/>
    <w:qFormat/>
    <w:uiPriority w:val="0"/>
    <w:pPr>
      <w:ind w:left="2940" w:leftChars="1400"/>
    </w:pPr>
  </w:style>
  <w:style w:type="paragraph" w:styleId="18">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9">
    <w:name w:val="caption"/>
    <w:basedOn w:val="1"/>
    <w:next w:val="1"/>
    <w:link w:val="229"/>
    <w:qFormat/>
    <w:uiPriority w:val="0"/>
    <w:rPr>
      <w:b/>
      <w:sz w:val="28"/>
      <w:szCs w:val="20"/>
    </w:rPr>
  </w:style>
  <w:style w:type="paragraph" w:styleId="20">
    <w:name w:val="index 5"/>
    <w:basedOn w:val="1"/>
    <w:next w:val="1"/>
    <w:qFormat/>
    <w:uiPriority w:val="0"/>
    <w:pPr>
      <w:adjustRightInd/>
      <w:ind w:left="800" w:leftChars="800" w:firstLine="200" w:firstLineChars="200"/>
    </w:pPr>
  </w:style>
  <w:style w:type="paragraph" w:styleId="21">
    <w:name w:val="Document Map"/>
    <w:basedOn w:val="1"/>
    <w:link w:val="202"/>
    <w:qFormat/>
    <w:uiPriority w:val="0"/>
    <w:pPr>
      <w:shd w:val="clear" w:color="auto" w:fill="000080"/>
    </w:pPr>
  </w:style>
  <w:style w:type="paragraph" w:styleId="22">
    <w:name w:val="toa heading"/>
    <w:basedOn w:val="1"/>
    <w:next w:val="1"/>
    <w:unhideWhenUsed/>
    <w:qFormat/>
    <w:uiPriority w:val="99"/>
    <w:pPr>
      <w:spacing w:before="120" w:line="360" w:lineRule="auto"/>
    </w:pPr>
    <w:rPr>
      <w:rFonts w:ascii="Cambria" w:hAnsi="Cambria"/>
      <w:sz w:val="24"/>
    </w:rPr>
  </w:style>
  <w:style w:type="paragraph" w:styleId="23">
    <w:name w:val="annotation text"/>
    <w:basedOn w:val="1"/>
    <w:link w:val="344"/>
    <w:qFormat/>
    <w:uiPriority w:val="99"/>
    <w:pPr>
      <w:jc w:val="left"/>
    </w:pPr>
  </w:style>
  <w:style w:type="paragraph" w:styleId="24">
    <w:name w:val="Salutation"/>
    <w:basedOn w:val="1"/>
    <w:next w:val="1"/>
    <w:link w:val="298"/>
    <w:qFormat/>
    <w:uiPriority w:val="0"/>
    <w:rPr>
      <w:rFonts w:ascii="仿宋_GB2312" w:eastAsia="仿宋_GB2312"/>
      <w:sz w:val="28"/>
      <w:szCs w:val="20"/>
    </w:rPr>
  </w:style>
  <w:style w:type="paragraph" w:styleId="25">
    <w:name w:val="Body Text 3"/>
    <w:basedOn w:val="1"/>
    <w:link w:val="330"/>
    <w:qFormat/>
    <w:uiPriority w:val="0"/>
    <w:pPr>
      <w:jc w:val="center"/>
    </w:pPr>
    <w:rPr>
      <w:szCs w:val="20"/>
    </w:rPr>
  </w:style>
  <w:style w:type="paragraph" w:styleId="26">
    <w:name w:val="List Bullet 3"/>
    <w:basedOn w:val="1"/>
    <w:unhideWhenUsed/>
    <w:qFormat/>
    <w:uiPriority w:val="0"/>
    <w:pPr>
      <w:snapToGrid w:val="0"/>
      <w:spacing w:line="360" w:lineRule="auto"/>
      <w:ind w:left="360" w:right="238" w:hanging="360"/>
      <w:contextualSpacing/>
    </w:pPr>
    <w:rPr>
      <w:sz w:val="24"/>
    </w:rPr>
  </w:style>
  <w:style w:type="paragraph" w:styleId="27">
    <w:name w:val="Body Text"/>
    <w:basedOn w:val="1"/>
    <w:next w:val="28"/>
    <w:link w:val="430"/>
    <w:qFormat/>
    <w:uiPriority w:val="0"/>
    <w:pPr>
      <w:autoSpaceDE w:val="0"/>
      <w:autoSpaceDN w:val="0"/>
      <w:spacing w:line="360" w:lineRule="auto"/>
    </w:pPr>
    <w:rPr>
      <w:rFonts w:ascii="宋体" w:hAnsi="Arial" w:cs="Arial"/>
      <w:snapToGrid w:val="0"/>
      <w:sz w:val="24"/>
      <w:szCs w:val="21"/>
      <w:lang w:val="zh-CN"/>
    </w:rPr>
  </w:style>
  <w:style w:type="paragraph" w:styleId="28">
    <w:name w:val="Body Text First Indent"/>
    <w:basedOn w:val="27"/>
    <w:next w:val="29"/>
    <w:link w:val="321"/>
    <w:qFormat/>
    <w:uiPriority w:val="0"/>
    <w:pPr>
      <w:ind w:firstLine="420"/>
    </w:pPr>
    <w:rPr>
      <w:rFonts w:hAnsi="Calibri" w:cs="Times New Roman"/>
      <w:snapToGrid/>
      <w:szCs w:val="20"/>
    </w:rPr>
  </w:style>
  <w:style w:type="paragraph" w:styleId="29">
    <w:name w:val="toc 6"/>
    <w:basedOn w:val="1"/>
    <w:next w:val="1"/>
    <w:qFormat/>
    <w:uiPriority w:val="0"/>
    <w:pPr>
      <w:ind w:left="2100" w:leftChars="1000"/>
    </w:pPr>
  </w:style>
  <w:style w:type="paragraph" w:styleId="30">
    <w:name w:val="Body Text Indent"/>
    <w:basedOn w:val="1"/>
    <w:next w:val="1"/>
    <w:link w:val="265"/>
    <w:qFormat/>
    <w:uiPriority w:val="0"/>
    <w:pPr>
      <w:spacing w:line="480" w:lineRule="exact"/>
      <w:ind w:firstLine="480" w:firstLineChars="200"/>
    </w:pPr>
    <w:rPr>
      <w:rFonts w:ascii="宋体" w:hAnsi="宋体"/>
      <w:sz w:val="24"/>
    </w:rPr>
  </w:style>
  <w:style w:type="paragraph" w:styleId="31">
    <w:name w:val="List Number 3"/>
    <w:basedOn w:val="1"/>
    <w:qFormat/>
    <w:uiPriority w:val="0"/>
    <w:pPr>
      <w:widowControl/>
      <w:tabs>
        <w:tab w:val="left" w:pos="360"/>
        <w:tab w:val="left" w:pos="482"/>
      </w:tabs>
      <w:adjustRightInd/>
      <w:spacing w:afterLines="50"/>
      <w:ind w:left="482" w:hanging="340"/>
      <w:jc w:val="left"/>
    </w:pPr>
    <w:rPr>
      <w:kern w:val="0"/>
      <w:sz w:val="24"/>
      <w:szCs w:val="20"/>
    </w:rPr>
  </w:style>
  <w:style w:type="paragraph" w:styleId="32">
    <w:name w:val="List 2"/>
    <w:basedOn w:val="1"/>
    <w:qFormat/>
    <w:uiPriority w:val="0"/>
    <w:pPr>
      <w:adjustRightInd/>
      <w:spacing w:line="360" w:lineRule="auto"/>
      <w:ind w:left="100" w:leftChars="200" w:hanging="200" w:hangingChars="200"/>
    </w:pPr>
    <w:rPr>
      <w:rFonts w:eastAsia="微软雅黑"/>
    </w:rPr>
  </w:style>
  <w:style w:type="paragraph" w:styleId="33">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4">
    <w:name w:val="List Bullet 2"/>
    <w:basedOn w:val="1"/>
    <w:qFormat/>
    <w:uiPriority w:val="0"/>
    <w:pPr>
      <w:autoSpaceDE w:val="0"/>
      <w:autoSpaceDN w:val="0"/>
      <w:ind w:left="420"/>
      <w:jc w:val="left"/>
    </w:pPr>
    <w:rPr>
      <w:rFonts w:ascii="宋体" w:hAnsi="宋体"/>
      <w:color w:val="000000"/>
      <w:kern w:val="0"/>
      <w:sz w:val="24"/>
      <w:szCs w:val="20"/>
    </w:rPr>
  </w:style>
  <w:style w:type="paragraph" w:styleId="35">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6">
    <w:name w:val="toc 5"/>
    <w:basedOn w:val="1"/>
    <w:next w:val="1"/>
    <w:qFormat/>
    <w:uiPriority w:val="0"/>
    <w:pPr>
      <w:ind w:left="1680" w:leftChars="800"/>
    </w:pPr>
  </w:style>
  <w:style w:type="paragraph" w:styleId="37">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8">
    <w:name w:val="Plain Text"/>
    <w:basedOn w:val="1"/>
    <w:next w:val="1"/>
    <w:link w:val="125"/>
    <w:qFormat/>
    <w:uiPriority w:val="0"/>
    <w:rPr>
      <w:rFonts w:ascii="宋体" w:hAnsi="Courier New" w:cs="Arial"/>
      <w:snapToGrid w:val="0"/>
      <w:szCs w:val="21"/>
    </w:rPr>
  </w:style>
  <w:style w:type="paragraph" w:styleId="39">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40">
    <w:name w:val="Date"/>
    <w:basedOn w:val="1"/>
    <w:next w:val="1"/>
    <w:link w:val="181"/>
    <w:qFormat/>
    <w:uiPriority w:val="0"/>
    <w:pPr>
      <w:ind w:left="100" w:leftChars="2500"/>
    </w:pPr>
    <w:rPr>
      <w:rFonts w:ascii="宋体"/>
      <w:sz w:val="24"/>
      <w:szCs w:val="21"/>
      <w:lang w:val="zh-CN"/>
    </w:rPr>
  </w:style>
  <w:style w:type="paragraph" w:styleId="41">
    <w:name w:val="Body Text Indent 2"/>
    <w:basedOn w:val="1"/>
    <w:link w:val="308"/>
    <w:qFormat/>
    <w:uiPriority w:val="0"/>
    <w:pPr>
      <w:spacing w:line="360" w:lineRule="auto"/>
      <w:ind w:firstLine="601"/>
      <w:textAlignment w:val="baseline"/>
    </w:pPr>
    <w:rPr>
      <w:rFonts w:ascii="宋体"/>
      <w:kern w:val="0"/>
      <w:sz w:val="28"/>
      <w:szCs w:val="20"/>
    </w:rPr>
  </w:style>
  <w:style w:type="paragraph" w:styleId="42">
    <w:name w:val="endnote text"/>
    <w:basedOn w:val="1"/>
    <w:link w:val="933"/>
    <w:qFormat/>
    <w:uiPriority w:val="0"/>
    <w:rPr>
      <w:lang w:val="zh-CN"/>
    </w:rPr>
  </w:style>
  <w:style w:type="paragraph" w:styleId="43">
    <w:name w:val="footer"/>
    <w:basedOn w:val="1"/>
    <w:link w:val="383"/>
    <w:qFormat/>
    <w:uiPriority w:val="99"/>
    <w:pPr>
      <w:tabs>
        <w:tab w:val="center" w:pos="4153"/>
        <w:tab w:val="right" w:pos="8306"/>
      </w:tabs>
      <w:snapToGrid w:val="0"/>
      <w:jc w:val="left"/>
    </w:pPr>
    <w:rPr>
      <w:sz w:val="18"/>
      <w:szCs w:val="18"/>
    </w:rPr>
  </w:style>
  <w:style w:type="paragraph" w:styleId="44">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5">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6">
    <w:name w:val="toc 1"/>
    <w:basedOn w:val="1"/>
    <w:next w:val="1"/>
    <w:qFormat/>
    <w:uiPriority w:val="0"/>
  </w:style>
  <w:style w:type="paragraph" w:styleId="47">
    <w:name w:val="toc 4"/>
    <w:basedOn w:val="1"/>
    <w:next w:val="1"/>
    <w:qFormat/>
    <w:uiPriority w:val="0"/>
    <w:pPr>
      <w:ind w:left="1260" w:leftChars="600"/>
    </w:pPr>
  </w:style>
  <w:style w:type="paragraph" w:styleId="48">
    <w:name w:val="index heading"/>
    <w:basedOn w:val="1"/>
    <w:next w:val="49"/>
    <w:qFormat/>
    <w:uiPriority w:val="0"/>
    <w:pPr>
      <w:adjustRightInd/>
      <w:ind w:firstLine="200" w:firstLineChars="200"/>
    </w:pPr>
  </w:style>
  <w:style w:type="paragraph" w:styleId="49">
    <w:name w:val="index 1"/>
    <w:basedOn w:val="1"/>
    <w:next w:val="1"/>
    <w:qFormat/>
    <w:uiPriority w:val="0"/>
    <w:pPr>
      <w:adjustRightInd/>
      <w:spacing w:line="360" w:lineRule="auto"/>
      <w:ind w:firstLine="200" w:firstLineChars="200"/>
      <w:jc w:val="center"/>
    </w:pPr>
    <w:rPr>
      <w:sz w:val="24"/>
      <w:szCs w:val="20"/>
    </w:rPr>
  </w:style>
  <w:style w:type="paragraph" w:styleId="50">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51">
    <w:name w:val="List Number 5"/>
    <w:basedOn w:val="1"/>
    <w:qFormat/>
    <w:uiPriority w:val="0"/>
    <w:pPr>
      <w:tabs>
        <w:tab w:val="left" w:pos="902"/>
      </w:tabs>
      <w:adjustRightInd/>
      <w:spacing w:line="400" w:lineRule="exact"/>
      <w:ind w:left="902" w:hanging="420"/>
    </w:pPr>
    <w:rPr>
      <w:sz w:val="24"/>
      <w:szCs w:val="20"/>
    </w:rPr>
  </w:style>
  <w:style w:type="paragraph" w:styleId="52">
    <w:name w:val="List"/>
    <w:basedOn w:val="1"/>
    <w:qFormat/>
    <w:uiPriority w:val="0"/>
    <w:pPr>
      <w:ind w:left="200" w:hanging="200" w:hangingChars="200"/>
    </w:pPr>
  </w:style>
  <w:style w:type="paragraph" w:styleId="53">
    <w:name w:val="footnote text"/>
    <w:basedOn w:val="18"/>
    <w:link w:val="310"/>
    <w:qFormat/>
    <w:uiPriority w:val="0"/>
    <w:pPr>
      <w:adjustRightInd/>
      <w:snapToGrid/>
      <w:spacing w:before="60" w:after="60" w:line="300" w:lineRule="exact"/>
      <w:ind w:firstLine="0"/>
    </w:pPr>
    <w:rPr>
      <w:rFonts w:ascii="Calibri"/>
      <w:snapToGrid/>
      <w:color w:val="0000FF"/>
      <w:kern w:val="0"/>
      <w:sz w:val="21"/>
    </w:rPr>
  </w:style>
  <w:style w:type="paragraph" w:styleId="54">
    <w:name w:val="List 5"/>
    <w:basedOn w:val="1"/>
    <w:qFormat/>
    <w:uiPriority w:val="0"/>
    <w:pPr>
      <w:adjustRightInd/>
      <w:ind w:left="100" w:leftChars="800" w:hanging="200" w:hangingChars="200"/>
    </w:pPr>
  </w:style>
  <w:style w:type="paragraph" w:styleId="55">
    <w:name w:val="Body Text Indent 3"/>
    <w:basedOn w:val="1"/>
    <w:link w:val="375"/>
    <w:qFormat/>
    <w:uiPriority w:val="0"/>
    <w:pPr>
      <w:spacing w:line="360" w:lineRule="auto"/>
      <w:ind w:firstLine="420"/>
    </w:pPr>
    <w:rPr>
      <w:sz w:val="24"/>
      <w:szCs w:val="20"/>
    </w:rPr>
  </w:style>
  <w:style w:type="paragraph" w:styleId="56">
    <w:name w:val="toc 2"/>
    <w:basedOn w:val="1"/>
    <w:next w:val="1"/>
    <w:qFormat/>
    <w:uiPriority w:val="0"/>
    <w:pPr>
      <w:ind w:left="420" w:leftChars="200"/>
    </w:pPr>
  </w:style>
  <w:style w:type="paragraph" w:styleId="57">
    <w:name w:val="toc 9"/>
    <w:basedOn w:val="1"/>
    <w:next w:val="1"/>
    <w:qFormat/>
    <w:uiPriority w:val="0"/>
    <w:pPr>
      <w:ind w:left="3360" w:leftChars="1600"/>
    </w:pPr>
  </w:style>
  <w:style w:type="paragraph" w:styleId="58">
    <w:name w:val="Body Text 2"/>
    <w:basedOn w:val="1"/>
    <w:link w:val="302"/>
    <w:qFormat/>
    <w:uiPriority w:val="0"/>
    <w:pPr>
      <w:spacing w:after="120" w:line="480" w:lineRule="auto"/>
    </w:pPr>
  </w:style>
  <w:style w:type="paragraph" w:styleId="59">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60">
    <w:name w:val="Normal (Web)"/>
    <w:basedOn w:val="1"/>
    <w:qFormat/>
    <w:uiPriority w:val="99"/>
    <w:pPr>
      <w:widowControl/>
      <w:spacing w:before="100" w:beforeAutospacing="1" w:after="100" w:afterAutospacing="1"/>
      <w:jc w:val="left"/>
    </w:pPr>
    <w:rPr>
      <w:rFonts w:ascii="宋体" w:hAnsi="宋体"/>
      <w:kern w:val="0"/>
      <w:sz w:val="24"/>
    </w:rPr>
  </w:style>
  <w:style w:type="paragraph" w:styleId="61">
    <w:name w:val="Title"/>
    <w:basedOn w:val="1"/>
    <w:next w:val="1"/>
    <w:link w:val="286"/>
    <w:qFormat/>
    <w:uiPriority w:val="10"/>
    <w:pPr>
      <w:widowControl/>
      <w:overflowPunct w:val="0"/>
      <w:autoSpaceDE w:val="0"/>
      <w:autoSpaceDN w:val="0"/>
      <w:jc w:val="center"/>
      <w:textAlignment w:val="baseline"/>
    </w:pPr>
    <w:rPr>
      <w:b/>
      <w:kern w:val="0"/>
      <w:sz w:val="24"/>
      <w:szCs w:val="20"/>
      <w:lang w:val="en-GB"/>
    </w:rPr>
  </w:style>
  <w:style w:type="paragraph" w:styleId="62">
    <w:name w:val="annotation subject"/>
    <w:basedOn w:val="23"/>
    <w:next w:val="23"/>
    <w:link w:val="96"/>
    <w:qFormat/>
    <w:uiPriority w:val="0"/>
    <w:rPr>
      <w:b/>
      <w:bCs/>
    </w:rPr>
  </w:style>
  <w:style w:type="paragraph" w:styleId="63">
    <w:name w:val="Body Text First Indent 2"/>
    <w:basedOn w:val="30"/>
    <w:next w:val="64"/>
    <w:link w:val="121"/>
    <w:qFormat/>
    <w:uiPriority w:val="0"/>
    <w:pPr>
      <w:adjustRightInd/>
      <w:spacing w:after="120" w:line="240" w:lineRule="auto"/>
      <w:ind w:left="420" w:leftChars="200" w:firstLine="210"/>
    </w:pPr>
    <w:rPr>
      <w:sz w:val="21"/>
    </w:rPr>
  </w:style>
  <w:style w:type="paragraph" w:customStyle="1" w:styleId="64">
    <w:name w:val="xl53"/>
    <w:basedOn w:val="1"/>
    <w:next w:val="1"/>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rPr>
  </w:style>
  <w:style w:type="table" w:styleId="66">
    <w:name w:val="Table Grid"/>
    <w:basedOn w:val="6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7">
    <w:name w:val="Table Theme"/>
    <w:basedOn w:val="65"/>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8">
    <w:name w:val="Table Elegant"/>
    <w:basedOn w:val="65"/>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Grid 5"/>
    <w:basedOn w:val="65"/>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70">
    <w:name w:val="Table Grid 8"/>
    <w:basedOn w:val="65"/>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1">
    <w:name w:val="Table Professional"/>
    <w:basedOn w:val="65"/>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3">
    <w:name w:val="Strong"/>
    <w:basedOn w:val="72"/>
    <w:qFormat/>
    <w:uiPriority w:val="99"/>
    <w:rPr>
      <w:b/>
      <w:bCs/>
    </w:rPr>
  </w:style>
  <w:style w:type="character" w:styleId="74">
    <w:name w:val="endnote reference"/>
    <w:qFormat/>
    <w:uiPriority w:val="0"/>
    <w:rPr>
      <w:vertAlign w:val="superscript"/>
    </w:rPr>
  </w:style>
  <w:style w:type="character" w:styleId="75">
    <w:name w:val="page number"/>
    <w:basedOn w:val="72"/>
    <w:qFormat/>
    <w:uiPriority w:val="0"/>
    <w:rPr>
      <w:rFonts w:ascii="Arial" w:hAnsi="Arial" w:eastAsia="黑体" w:cs="Arial"/>
      <w:snapToGrid w:val="0"/>
      <w:kern w:val="0"/>
      <w:szCs w:val="21"/>
    </w:rPr>
  </w:style>
  <w:style w:type="character" w:styleId="76">
    <w:name w:val="FollowedHyperlink"/>
    <w:qFormat/>
    <w:uiPriority w:val="99"/>
    <w:rPr>
      <w:rFonts w:ascii="Arial" w:hAnsi="Arial" w:eastAsia="黑体" w:cs="Arial"/>
      <w:snapToGrid w:val="0"/>
      <w:color w:val="000000"/>
      <w:kern w:val="0"/>
      <w:sz w:val="18"/>
      <w:szCs w:val="18"/>
      <w:u w:val="none"/>
    </w:rPr>
  </w:style>
  <w:style w:type="character" w:styleId="77">
    <w:name w:val="Emphasis"/>
    <w:qFormat/>
    <w:uiPriority w:val="20"/>
    <w:rPr>
      <w:color w:val="CC0033"/>
    </w:rPr>
  </w:style>
  <w:style w:type="character" w:styleId="78">
    <w:name w:val="line number"/>
    <w:basedOn w:val="72"/>
    <w:qFormat/>
    <w:uiPriority w:val="0"/>
    <w:rPr>
      <w:rFonts w:ascii="Arial" w:hAnsi="Arial" w:eastAsia="黑体" w:cs="Arial"/>
      <w:snapToGrid w:val="0"/>
      <w:kern w:val="0"/>
      <w:szCs w:val="21"/>
    </w:rPr>
  </w:style>
  <w:style w:type="character" w:styleId="79">
    <w:name w:val="Hyperlink"/>
    <w:qFormat/>
    <w:uiPriority w:val="99"/>
    <w:rPr>
      <w:rFonts w:ascii="Arial" w:hAnsi="Arial" w:eastAsia="黑体" w:cs="Arial"/>
      <w:snapToGrid w:val="0"/>
      <w:color w:val="000000"/>
      <w:kern w:val="0"/>
      <w:sz w:val="18"/>
      <w:szCs w:val="18"/>
      <w:u w:val="none"/>
    </w:rPr>
  </w:style>
  <w:style w:type="character" w:styleId="80">
    <w:name w:val="HTML Code"/>
    <w:qFormat/>
    <w:uiPriority w:val="0"/>
    <w:rPr>
      <w:rFonts w:ascii="黑体" w:hAnsi="Courier New" w:eastAsia="黑体" w:cs="楷体_GB2312"/>
      <w:sz w:val="20"/>
      <w:szCs w:val="20"/>
    </w:rPr>
  </w:style>
  <w:style w:type="character" w:styleId="81">
    <w:name w:val="annotation reference"/>
    <w:qFormat/>
    <w:uiPriority w:val="99"/>
    <w:rPr>
      <w:sz w:val="21"/>
      <w:szCs w:val="21"/>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字符"/>
    <w:link w:val="62"/>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文本首行缩进 2 字符"/>
    <w:link w:val="63"/>
    <w:qFormat/>
    <w:uiPriority w:val="0"/>
    <w:rPr>
      <w:rFonts w:ascii="宋体" w:hAnsi="宋体"/>
      <w:kern w:val="2"/>
      <w:sz w:val="21"/>
      <w:szCs w:val="24"/>
    </w:rPr>
  </w:style>
  <w:style w:type="character" w:customStyle="1" w:styleId="122">
    <w:name w:val="font11"/>
    <w:basedOn w:val="72"/>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2"/>
    <w:qFormat/>
    <w:uiPriority w:val="0"/>
    <w:rPr>
      <w:rFonts w:ascii="Arial" w:hAnsi="Arial" w:eastAsia="黑体" w:cs="Arial"/>
      <w:snapToGrid w:val="0"/>
      <w:kern w:val="0"/>
      <w:szCs w:val="21"/>
    </w:rPr>
  </w:style>
  <w:style w:type="character" w:customStyle="1" w:styleId="125">
    <w:name w:val="纯文本 字符1"/>
    <w:link w:val="38"/>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字符"/>
    <w:link w:val="50"/>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字符"/>
    <w:link w:val="7"/>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99"/>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字符"/>
    <w:link w:val="40"/>
    <w:qFormat/>
    <w:uiPriority w:val="0"/>
    <w:rPr>
      <w:rFonts w:ascii="宋体"/>
      <w:kern w:val="2"/>
      <w:sz w:val="24"/>
      <w:szCs w:val="21"/>
      <w:lang w:val="zh-CN"/>
    </w:rPr>
  </w:style>
  <w:style w:type="character" w:customStyle="1" w:styleId="182">
    <w:name w:val="标题 9 字符"/>
    <w:link w:val="10"/>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99"/>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字符1"/>
    <w:link w:val="16"/>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字符2"/>
    <w:link w:val="18"/>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字符"/>
    <w:link w:val="21"/>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2"/>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字符"/>
    <w:link w:val="35"/>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5"/>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字符"/>
    <w:link w:val="19"/>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字符1"/>
    <w:link w:val="30"/>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qFormat/>
    <w:uiPriority w:val="0"/>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字符1"/>
    <w:link w:val="2"/>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字符"/>
    <w:link w:val="61"/>
    <w:qFormat/>
    <w:uiPriority w:val="10"/>
    <w:rPr>
      <w:b/>
      <w:sz w:val="24"/>
      <w:lang w:val="en-GB"/>
    </w:rPr>
  </w:style>
  <w:style w:type="character" w:customStyle="1" w:styleId="287">
    <w:name w:val="font81"/>
    <w:basedOn w:val="72"/>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字符"/>
    <w:link w:val="6"/>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字符"/>
    <w:link w:val="24"/>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字符"/>
    <w:link w:val="59"/>
    <w:qFormat/>
    <w:uiPriority w:val="0"/>
    <w:rPr>
      <w:rFonts w:ascii="黑体" w:hAnsi="Courier New" w:eastAsia="黑体"/>
    </w:rPr>
  </w:style>
  <w:style w:type="character" w:customStyle="1" w:styleId="302">
    <w:name w:val="正文文本 2 字符1"/>
    <w:link w:val="58"/>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5"/>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字符"/>
    <w:link w:val="8"/>
    <w:qFormat/>
    <w:uiPriority w:val="0"/>
    <w:rPr>
      <w:b/>
      <w:bCs/>
      <w:kern w:val="2"/>
      <w:sz w:val="24"/>
      <w:szCs w:val="24"/>
    </w:rPr>
  </w:style>
  <w:style w:type="character" w:customStyle="1" w:styleId="308">
    <w:name w:val="正文文本缩进 2 字符"/>
    <w:link w:val="41"/>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字符"/>
    <w:link w:val="53"/>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文本首行缩进 字符"/>
    <w:link w:val="28"/>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字符1"/>
    <w:link w:val="5"/>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字符"/>
    <w:link w:val="25"/>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字符1"/>
    <w:link w:val="23"/>
    <w:qFormat/>
    <w:uiPriority w:val="0"/>
    <w:rPr>
      <w:kern w:val="2"/>
      <w:sz w:val="21"/>
      <w:szCs w:val="24"/>
    </w:rPr>
  </w:style>
  <w:style w:type="character" w:customStyle="1" w:styleId="345">
    <w:name w:val="签名 字符"/>
    <w:link w:val="45"/>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字符"/>
    <w:link w:val="9"/>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basedOn w:val="72"/>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字符"/>
    <w:link w:val="55"/>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字符2"/>
    <w:link w:val="43"/>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字符2"/>
    <w:link w:val="44"/>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2"/>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18"/>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字符"/>
    <w:link w:val="27"/>
    <w:qFormat/>
    <w:uiPriority w:val="0"/>
    <w:rPr>
      <w:rFonts w:ascii="宋体" w:hAnsi="Arial" w:eastAsia="宋体" w:cs="Arial"/>
      <w:snapToGrid w:val="0"/>
      <w:kern w:val="2"/>
      <w:sz w:val="24"/>
      <w:szCs w:val="21"/>
      <w:lang w:val="zh-CN" w:eastAsia="zh-CN" w:bidi="ar-SA"/>
    </w:rPr>
  </w:style>
  <w:style w:type="character" w:customStyle="1" w:styleId="431">
    <w:name w:val="gray6"/>
    <w:basedOn w:val="72"/>
    <w:qFormat/>
    <w:uiPriority w:val="0"/>
    <w:rPr>
      <w:rFonts w:ascii="Arial" w:hAnsi="Arial" w:eastAsia="黑体" w:cs="Arial"/>
      <w:snapToGrid w:val="0"/>
      <w:kern w:val="0"/>
      <w:szCs w:val="21"/>
    </w:rPr>
  </w:style>
  <w:style w:type="character" w:customStyle="1" w:styleId="432">
    <w:name w:val="hui"/>
    <w:basedOn w:val="72"/>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30"/>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5"/>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Lines="800"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Lines="100"/>
      <w:jc w:val="left"/>
    </w:pPr>
  </w:style>
  <w:style w:type="paragraph" w:customStyle="1" w:styleId="460">
    <w:name w:val="样式2"/>
    <w:basedOn w:val="27"/>
    <w:qFormat/>
    <w:uiPriority w:val="0"/>
    <w:pPr>
      <w:tabs>
        <w:tab w:val="left" w:pos="2790"/>
        <w:tab w:val="left" w:pos="4230"/>
      </w:tabs>
      <w:snapToGrid w:val="0"/>
      <w:jc w:val="center"/>
      <w:outlineLvl w:val="1"/>
    </w:pPr>
    <w:rPr>
      <w:rFonts w:ascii="仿宋_GB2312" w:hAnsi="仿宋" w:eastAsia="仿宋_GB2312"/>
      <w:b/>
      <w:bCs/>
      <w:kern w:val="0"/>
      <w:sz w:val="32"/>
      <w:szCs w:val="30"/>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3"/>
    <w:qFormat/>
    <w:uiPriority w:val="0"/>
    <w:pPr>
      <w:keepLines w:val="0"/>
      <w:widowControl/>
      <w:tabs>
        <w:tab w:val="left" w:pos="840"/>
        <w:tab w:val="clear" w:pos="432"/>
      </w:tabs>
      <w:adjustRightInd w:val="0"/>
      <w:snapToGrid w:val="0"/>
      <w:spacing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outlineLvl w:val="5"/>
    </w:pPr>
  </w:style>
  <w:style w:type="paragraph" w:customStyle="1" w:styleId="474">
    <w:name w:val="5级标题"/>
    <w:basedOn w:val="475"/>
    <w:qFormat/>
    <w:uiPriority w:val="0"/>
    <w:pPr>
      <w:keepLines w:val="0"/>
      <w:tabs>
        <w:tab w:val="left" w:pos="360"/>
      </w:tabs>
      <w:spacing w:beforeLines="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7"/>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3">
    <w:name w:val="No Spacing"/>
    <w:basedOn w:val="1"/>
    <w:link w:val="934"/>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3"/>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4"/>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6"/>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4"/>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18"/>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1"/>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28"/>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5"/>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Lines="50"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18"/>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30"/>
    <w:qFormat/>
    <w:uiPriority w:val="0"/>
    <w:pPr>
      <w:widowControl/>
      <w:tabs>
        <w:tab w:val="left" w:pos="840"/>
      </w:tabs>
      <w:overflowPunct w:val="0"/>
      <w:autoSpaceDE w:val="0"/>
      <w:autoSpaceDN w:val="0"/>
      <w:spacing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8"/>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30"/>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8"/>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Lines="100" w:line="360" w:lineRule="auto"/>
      <w:jc w:val="left"/>
    </w:pPr>
    <w:rPr>
      <w:rFonts w:ascii="Arial" w:hAnsi="Arial" w:eastAsia="仿宋_GB2312"/>
      <w:bCs/>
      <w:sz w:val="28"/>
    </w:rPr>
  </w:style>
  <w:style w:type="paragraph" w:customStyle="1" w:styleId="606">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2"/>
    <w:qFormat/>
    <w:uiPriority w:val="0"/>
    <w:pPr>
      <w:tabs>
        <w:tab w:val="left" w:pos="840"/>
      </w:tabs>
      <w:adjustRightInd/>
      <w:ind w:left="840" w:hanging="420"/>
    </w:pPr>
  </w:style>
  <w:style w:type="paragraph" w:customStyle="1" w:styleId="626">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5"/>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4"/>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Lines="0" w:afterLines="0"/>
      <w:ind w:left="1680"/>
      <w:outlineLvl w:val="2"/>
    </w:pPr>
  </w:style>
  <w:style w:type="paragraph" w:customStyle="1" w:styleId="658">
    <w:name w:val="章标题"/>
    <w:next w:val="640"/>
    <w:qFormat/>
    <w:uiPriority w:val="0"/>
    <w:pPr>
      <w:tabs>
        <w:tab w:val="left" w:pos="1260"/>
      </w:tabs>
      <w:spacing w:beforeLines="50"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Lines="10"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5"/>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Lines="50"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7"/>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Lines="50"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30"/>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41"/>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4"/>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Lines="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9"/>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Lines="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Lines="50"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7"/>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1"/>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30"/>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18"/>
    <w:qFormat/>
    <w:uiPriority w:val="0"/>
    <w:pPr>
      <w:adjustRightInd/>
      <w:snapToGrid/>
      <w:spacing w:before="100" w:beforeAutospacing="1"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Lines="50"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4"/>
    <w:next w:val="55"/>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Lines="50"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7"/>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5"/>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41"/>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7"/>
    <w:next w:val="841"/>
    <w:qFormat/>
    <w:uiPriority w:val="0"/>
    <w:pPr>
      <w:ind w:left="0" w:leftChars="0" w:firstLine="480" w:firstLineChars="200"/>
    </w:pPr>
    <w:rPr>
      <w:rFonts w:ascii="仿宋_GB2312" w:hAnsi="Courier New" w:eastAsia="仿宋_GB2312"/>
      <w:kern w:val="28"/>
      <w:sz w:val="24"/>
    </w:rPr>
  </w:style>
  <w:style w:type="paragraph" w:customStyle="1" w:styleId="841">
    <w:name w:val="正文文本1"/>
    <w:basedOn w:val="840"/>
    <w:next w:val="840"/>
    <w:qFormat/>
    <w:uiPriority w:val="99"/>
    <w:rPr>
      <w:rFonts w:ascii="Calibri" w:hAnsi="Calibri"/>
      <w:sz w:val="21"/>
    </w:rPr>
  </w:style>
  <w:style w:type="paragraph" w:customStyle="1" w:styleId="842">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3">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4">
    <w:name w:val="模板普通正文"/>
    <w:basedOn w:val="30"/>
    <w:qFormat/>
    <w:uiPriority w:val="0"/>
    <w:pPr>
      <w:adjustRightInd/>
      <w:spacing w:beforeLines="50" w:after="10" w:line="360" w:lineRule="auto"/>
      <w:ind w:firstLine="175" w:firstLineChars="175"/>
      <w:jc w:val="left"/>
    </w:pPr>
    <w:rPr>
      <w:rFonts w:ascii="Times New Roman" w:hAnsi="Times New Roman"/>
    </w:rPr>
  </w:style>
  <w:style w:type="paragraph" w:customStyle="1" w:styleId="845">
    <w:name w:val="Char Char1 Char Char Char Char Char Char"/>
    <w:basedOn w:val="1"/>
    <w:qFormat/>
    <w:uiPriority w:val="0"/>
    <w:rPr>
      <w:rFonts w:ascii="仿宋_GB2312" w:eastAsia="仿宋_GB2312"/>
      <w:b/>
      <w:sz w:val="32"/>
      <w:szCs w:val="20"/>
    </w:rPr>
  </w:style>
  <w:style w:type="paragraph" w:customStyle="1" w:styleId="846">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7">
    <w:name w:val="Char Char1 Char Char Char Char Char Char2"/>
    <w:basedOn w:val="1"/>
    <w:qFormat/>
    <w:uiPriority w:val="0"/>
    <w:rPr>
      <w:rFonts w:ascii="仿宋_GB2312" w:eastAsia="仿宋_GB2312"/>
      <w:b/>
      <w:sz w:val="32"/>
      <w:szCs w:val="20"/>
    </w:rPr>
  </w:style>
  <w:style w:type="paragraph" w:customStyle="1" w:styleId="848">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9">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50">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1">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2">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3">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4">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5">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6">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7">
    <w:name w:val="Char31"/>
    <w:basedOn w:val="1"/>
    <w:qFormat/>
    <w:uiPriority w:val="0"/>
    <w:pPr>
      <w:adjustRightInd/>
    </w:pPr>
    <w:rPr>
      <w:rFonts w:ascii="仿宋_GB2312" w:eastAsia="仿宋_GB2312"/>
      <w:b/>
      <w:sz w:val="32"/>
      <w:szCs w:val="32"/>
    </w:rPr>
  </w:style>
  <w:style w:type="paragraph" w:customStyle="1" w:styleId="858">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9">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60">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1">
    <w:name w:val="Char Char1"/>
    <w:basedOn w:val="1"/>
    <w:qFormat/>
    <w:uiPriority w:val="0"/>
    <w:pPr>
      <w:widowControl/>
      <w:spacing w:after="160" w:line="240" w:lineRule="exact"/>
      <w:jc w:val="left"/>
    </w:pPr>
    <w:rPr>
      <w:rFonts w:eastAsia="仿宋_GB2312"/>
      <w:sz w:val="28"/>
    </w:rPr>
  </w:style>
  <w:style w:type="paragraph" w:customStyle="1" w:styleId="862">
    <w:name w:val="Char21"/>
    <w:basedOn w:val="1"/>
    <w:qFormat/>
    <w:uiPriority w:val="0"/>
    <w:pPr>
      <w:adjustRightInd/>
      <w:ind w:firstLine="200" w:firstLineChars="200"/>
    </w:pPr>
    <w:rPr>
      <w:rFonts w:ascii="仿宋_GB2312" w:eastAsia="仿宋_GB2312"/>
      <w:b/>
      <w:sz w:val="32"/>
      <w:szCs w:val="32"/>
    </w:rPr>
  </w:style>
  <w:style w:type="paragraph" w:customStyle="1" w:styleId="863">
    <w:name w:val="列表段落1"/>
    <w:basedOn w:val="1"/>
    <w:qFormat/>
    <w:uiPriority w:val="34"/>
    <w:pPr>
      <w:adjustRightInd/>
      <w:ind w:right="238" w:firstLine="420"/>
    </w:pPr>
    <w:rPr>
      <w:rFonts w:ascii="Calibri" w:hAnsi="Calibri"/>
      <w:sz w:val="24"/>
    </w:rPr>
  </w:style>
  <w:style w:type="paragraph" w:customStyle="1" w:styleId="864">
    <w:name w:val="Char Char110"/>
    <w:basedOn w:val="1"/>
    <w:qFormat/>
    <w:uiPriority w:val="6"/>
    <w:pPr>
      <w:spacing w:line="360" w:lineRule="auto"/>
    </w:pPr>
    <w:rPr>
      <w:rFonts w:ascii="Tahoma" w:hAnsi="Tahoma"/>
      <w:sz w:val="24"/>
      <w:szCs w:val="20"/>
    </w:rPr>
  </w:style>
  <w:style w:type="paragraph" w:customStyle="1" w:styleId="865">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6">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7">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8">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9">
    <w:name w:val="Char Char Char Char Char Char Char Char Char Char Char Char1 Char2"/>
    <w:basedOn w:val="1"/>
    <w:qFormat/>
    <w:uiPriority w:val="0"/>
    <w:rPr>
      <w:rFonts w:ascii="Tahoma" w:hAnsi="Tahoma" w:cs="仿宋_GB2312"/>
      <w:sz w:val="24"/>
      <w:szCs w:val="20"/>
    </w:rPr>
  </w:style>
  <w:style w:type="paragraph" w:customStyle="1" w:styleId="870">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1">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2">
    <w:name w:val="样式 列表编号 + 段后: 0.5 行"/>
    <w:basedOn w:val="15"/>
    <w:qFormat/>
    <w:uiPriority w:val="2"/>
    <w:pPr>
      <w:tabs>
        <w:tab w:val="clear" w:pos="390"/>
        <w:tab w:val="clear" w:pos="454"/>
      </w:tabs>
      <w:ind w:left="840" w:hanging="420"/>
      <w:contextualSpacing/>
    </w:pPr>
    <w:rPr>
      <w:rFonts w:cs="宋体"/>
    </w:rPr>
  </w:style>
  <w:style w:type="paragraph" w:customStyle="1" w:styleId="873">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4">
    <w:name w:val="_Style 12"/>
    <w:basedOn w:val="21"/>
    <w:qFormat/>
    <w:uiPriority w:val="0"/>
    <w:pPr>
      <w:snapToGrid w:val="0"/>
      <w:spacing w:line="360" w:lineRule="auto"/>
    </w:pPr>
  </w:style>
  <w:style w:type="paragraph" w:customStyle="1" w:styleId="875">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6">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7">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8">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9">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80">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1">
    <w:name w:val="3级标题"/>
    <w:basedOn w:val="672"/>
    <w:qFormat/>
    <w:uiPriority w:val="0"/>
    <w:pPr>
      <w:outlineLvl w:val="2"/>
    </w:pPr>
  </w:style>
  <w:style w:type="paragraph" w:customStyle="1" w:styleId="882">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3">
    <w:name w:val="Char1 Char Char Char3"/>
    <w:basedOn w:val="1"/>
    <w:qFormat/>
    <w:uiPriority w:val="0"/>
    <w:pPr>
      <w:adjustRightInd/>
      <w:ind w:firstLine="200" w:firstLineChars="200"/>
    </w:pPr>
    <w:rPr>
      <w:rFonts w:ascii="Tahoma" w:hAnsi="Tahoma"/>
      <w:sz w:val="24"/>
      <w:szCs w:val="20"/>
    </w:rPr>
  </w:style>
  <w:style w:type="paragraph" w:customStyle="1" w:styleId="884">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5">
    <w:name w:val="MM Empty"/>
    <w:basedOn w:val="1"/>
    <w:qFormat/>
    <w:uiPriority w:val="0"/>
    <w:pPr>
      <w:adjustRightInd/>
    </w:pPr>
  </w:style>
  <w:style w:type="paragraph" w:customStyle="1" w:styleId="886">
    <w:name w:val="Char24"/>
    <w:basedOn w:val="1"/>
    <w:qFormat/>
    <w:uiPriority w:val="0"/>
    <w:rPr>
      <w:rFonts w:ascii="仿宋_GB2312" w:eastAsia="仿宋_GB2312"/>
      <w:b/>
      <w:sz w:val="32"/>
      <w:szCs w:val="32"/>
    </w:rPr>
  </w:style>
  <w:style w:type="paragraph" w:customStyle="1" w:styleId="887">
    <w:name w:val="正文箭头"/>
    <w:basedOn w:val="538"/>
    <w:qFormat/>
    <w:uiPriority w:val="0"/>
  </w:style>
  <w:style w:type="paragraph" w:customStyle="1" w:styleId="888">
    <w:name w:val="U_编号2"/>
    <w:basedOn w:val="1"/>
    <w:qFormat/>
    <w:uiPriority w:val="0"/>
    <w:pPr>
      <w:tabs>
        <w:tab w:val="left" w:pos="785"/>
      </w:tabs>
      <w:adjustRightInd/>
      <w:spacing w:beforeLines="10" w:afterLines="10" w:line="300" w:lineRule="auto"/>
    </w:pPr>
    <w:rPr>
      <w:sz w:val="24"/>
    </w:rPr>
  </w:style>
  <w:style w:type="paragraph" w:customStyle="1" w:styleId="889">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90">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1">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2">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3">
    <w:name w:val="_Style 1"/>
    <w:basedOn w:val="1"/>
    <w:qFormat/>
    <w:uiPriority w:val="34"/>
    <w:pPr>
      <w:adjustRightInd/>
      <w:ind w:firstLine="420" w:firstLineChars="200"/>
    </w:pPr>
    <w:rPr>
      <w:rFonts w:eastAsia="仿宋_GB2312"/>
      <w:sz w:val="28"/>
    </w:rPr>
  </w:style>
  <w:style w:type="paragraph" w:customStyle="1" w:styleId="894">
    <w:name w:val="表格 内容"/>
    <w:basedOn w:val="729"/>
    <w:qFormat/>
    <w:uiPriority w:val="0"/>
    <w:rPr>
      <w:b w:val="0"/>
      <w:sz w:val="20"/>
    </w:rPr>
  </w:style>
  <w:style w:type="paragraph" w:customStyle="1" w:styleId="895">
    <w:name w:val="正文首行缩进1"/>
    <w:basedOn w:val="841"/>
    <w:qFormat/>
    <w:uiPriority w:val="0"/>
    <w:pPr>
      <w:suppressAutoHyphens/>
      <w:adjustRightInd/>
      <w:spacing w:after="120" w:line="240" w:lineRule="auto"/>
      <w:ind w:firstLine="420"/>
      <w:jc w:val="left"/>
    </w:pPr>
    <w:rPr>
      <w:rFonts w:ascii="Times New Roman"/>
      <w:kern w:val="1"/>
      <w:sz w:val="28"/>
      <w:lang w:eastAsia="ar-SA"/>
    </w:rPr>
  </w:style>
  <w:style w:type="paragraph" w:customStyle="1" w:styleId="896">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7">
    <w:name w:val="数字标题5"/>
    <w:basedOn w:val="6"/>
    <w:next w:val="1"/>
    <w:qFormat/>
    <w:uiPriority w:val="0"/>
    <w:pPr>
      <w:tabs>
        <w:tab w:val="left" w:pos="1080"/>
      </w:tabs>
      <w:ind w:left="1080" w:hanging="1080"/>
    </w:pPr>
  </w:style>
  <w:style w:type="paragraph" w:customStyle="1" w:styleId="898">
    <w:name w:val="数字标题1"/>
    <w:basedOn w:val="2"/>
    <w:next w:val="1"/>
    <w:qFormat/>
    <w:uiPriority w:val="0"/>
    <w:pPr>
      <w:tabs>
        <w:tab w:val="left" w:pos="480"/>
      </w:tabs>
      <w:ind w:left="480" w:hanging="480"/>
    </w:pPr>
  </w:style>
  <w:style w:type="paragraph" w:customStyle="1" w:styleId="899">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900">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1">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2">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3">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4">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5">
    <w:name w:val="0"/>
    <w:basedOn w:val="1"/>
    <w:qFormat/>
    <w:uiPriority w:val="0"/>
    <w:pPr>
      <w:widowControl/>
    </w:pPr>
    <w:rPr>
      <w:kern w:val="0"/>
      <w:sz w:val="24"/>
      <w:szCs w:val="20"/>
    </w:rPr>
  </w:style>
  <w:style w:type="paragraph" w:customStyle="1" w:styleId="906">
    <w:name w:val="Char Char113"/>
    <w:basedOn w:val="1"/>
    <w:qFormat/>
    <w:uiPriority w:val="0"/>
    <w:pPr>
      <w:widowControl/>
      <w:spacing w:after="160" w:line="240" w:lineRule="exact"/>
      <w:jc w:val="left"/>
    </w:pPr>
    <w:rPr>
      <w:rFonts w:eastAsia="仿宋_GB2312"/>
      <w:sz w:val="28"/>
    </w:rPr>
  </w:style>
  <w:style w:type="paragraph" w:customStyle="1" w:styleId="907">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8">
    <w:name w:val="_Style 8"/>
    <w:basedOn w:val="1"/>
    <w:qFormat/>
    <w:uiPriority w:val="34"/>
    <w:pPr>
      <w:adjustRightInd/>
      <w:ind w:firstLine="420" w:firstLineChars="200"/>
    </w:pPr>
    <w:rPr>
      <w:rFonts w:eastAsia="仿宋_GB2312"/>
      <w:sz w:val="28"/>
    </w:rPr>
  </w:style>
  <w:style w:type="paragraph" w:customStyle="1" w:styleId="909">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10">
    <w:name w:val="正文样式 首行缩进:  0.74 厘米"/>
    <w:basedOn w:val="1"/>
    <w:qFormat/>
    <w:uiPriority w:val="0"/>
    <w:pPr>
      <w:adjustRightInd/>
      <w:spacing w:beforeLines="50" w:line="360" w:lineRule="auto"/>
      <w:ind w:firstLine="420"/>
    </w:pPr>
    <w:rPr>
      <w:rFonts w:cs="宋体"/>
      <w:sz w:val="24"/>
      <w:szCs w:val="20"/>
    </w:rPr>
  </w:style>
  <w:style w:type="paragraph" w:customStyle="1" w:styleId="911">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2">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3">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4">
    <w:name w:val="Char Char112"/>
    <w:basedOn w:val="1"/>
    <w:qFormat/>
    <w:uiPriority w:val="6"/>
    <w:pPr>
      <w:widowControl/>
      <w:spacing w:after="160" w:line="240" w:lineRule="exact"/>
      <w:jc w:val="left"/>
    </w:pPr>
    <w:rPr>
      <w:rFonts w:eastAsia="仿宋_GB2312"/>
      <w:sz w:val="28"/>
    </w:rPr>
  </w:style>
  <w:style w:type="paragraph" w:customStyle="1" w:styleId="915">
    <w:name w:val="正文 图"/>
    <w:basedOn w:val="443"/>
    <w:qFormat/>
    <w:uiPriority w:val="0"/>
    <w:pPr>
      <w:adjustRightInd/>
      <w:spacing w:before="0"/>
      <w:ind w:firstLine="0"/>
      <w:jc w:val="center"/>
    </w:pPr>
    <w:rPr>
      <w:rFonts w:ascii="微软雅黑" w:hAnsi="微软雅黑"/>
    </w:rPr>
  </w:style>
  <w:style w:type="paragraph" w:customStyle="1" w:styleId="916">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7">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8">
    <w:name w:val="Thf"/>
    <w:basedOn w:val="562"/>
    <w:qFormat/>
    <w:uiPriority w:val="0"/>
    <w:pPr>
      <w:ind w:left="0"/>
    </w:pPr>
  </w:style>
  <w:style w:type="paragraph" w:customStyle="1" w:styleId="919">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20">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1">
    <w:name w:val="注释"/>
    <w:basedOn w:val="1"/>
    <w:qFormat/>
    <w:uiPriority w:val="0"/>
    <w:pPr>
      <w:adjustRightInd/>
      <w:spacing w:line="360" w:lineRule="auto"/>
      <w:ind w:firstLine="480"/>
    </w:pPr>
    <w:rPr>
      <w:sz w:val="24"/>
    </w:rPr>
  </w:style>
  <w:style w:type="table" w:customStyle="1" w:styleId="922">
    <w:name w:val="网格型2"/>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1"/>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6"/>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3"/>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6">
    <w:name w:val="网格型4"/>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7">
    <w:name w:val="网格型5"/>
    <w:basedOn w:val="65"/>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8">
    <w:name w:val="列出段落111"/>
    <w:basedOn w:val="1"/>
    <w:qFormat/>
    <w:uiPriority w:val="34"/>
    <w:pPr>
      <w:ind w:firstLine="420" w:firstLineChars="200"/>
    </w:pPr>
  </w:style>
  <w:style w:type="character" w:customStyle="1" w:styleId="929">
    <w:name w:val="交叉引用"/>
    <w:qFormat/>
    <w:uiPriority w:val="1"/>
    <w:rPr>
      <w:rFonts w:ascii="Arial" w:hAnsi="Arial" w:eastAsia="黑体"/>
      <w:snapToGrid w:val="0"/>
      <w:color w:val="0000FF"/>
      <w:kern w:val="0"/>
      <w:sz w:val="20"/>
      <w:szCs w:val="21"/>
      <w:u w:val="single"/>
      <w:lang w:val="en-US" w:eastAsia="zh-CN"/>
    </w:rPr>
  </w:style>
  <w:style w:type="character" w:customStyle="1" w:styleId="930">
    <w:name w:val="正文缩进 字符1"/>
    <w:qFormat/>
    <w:uiPriority w:val="0"/>
    <w:rPr>
      <w:rFonts w:ascii="宋体" w:eastAsia="宋体"/>
      <w:snapToGrid w:val="0"/>
      <w:color w:val="000000"/>
      <w:kern w:val="28"/>
      <w:sz w:val="28"/>
      <w:lang w:val="en-US" w:eastAsia="zh-CN" w:bidi="ar-SA"/>
    </w:rPr>
  </w:style>
  <w:style w:type="character" w:customStyle="1" w:styleId="931">
    <w:name w:val="页脚 字符1"/>
    <w:qFormat/>
    <w:locked/>
    <w:uiPriority w:val="99"/>
    <w:rPr>
      <w:kern w:val="2"/>
      <w:sz w:val="18"/>
      <w:szCs w:val="18"/>
    </w:rPr>
  </w:style>
  <w:style w:type="character" w:customStyle="1" w:styleId="932">
    <w:name w:val="页眉 字符1"/>
    <w:qFormat/>
    <w:uiPriority w:val="99"/>
    <w:rPr>
      <w:kern w:val="2"/>
      <w:sz w:val="18"/>
      <w:szCs w:val="18"/>
    </w:rPr>
  </w:style>
  <w:style w:type="character" w:customStyle="1" w:styleId="933">
    <w:name w:val="尾注文本 字符"/>
    <w:link w:val="42"/>
    <w:qFormat/>
    <w:uiPriority w:val="0"/>
    <w:rPr>
      <w:kern w:val="2"/>
      <w:sz w:val="21"/>
      <w:szCs w:val="24"/>
      <w:lang w:val="zh-CN"/>
    </w:rPr>
  </w:style>
  <w:style w:type="character" w:customStyle="1" w:styleId="934">
    <w:name w:val="无间隔 字符"/>
    <w:link w:val="483"/>
    <w:qFormat/>
    <w:uiPriority w:val="99"/>
    <w:rPr>
      <w:kern w:val="2"/>
      <w:sz w:val="21"/>
      <w:szCs w:val="22"/>
    </w:rPr>
  </w:style>
  <w:style w:type="character" w:customStyle="1" w:styleId="935">
    <w:name w:val="标准文本 Char Char"/>
    <w:link w:val="936"/>
    <w:qFormat/>
    <w:uiPriority w:val="0"/>
    <w:rPr>
      <w:rFonts w:cs="宋体"/>
      <w:kern w:val="2"/>
      <w:sz w:val="24"/>
    </w:rPr>
  </w:style>
  <w:style w:type="paragraph" w:customStyle="1" w:styleId="936">
    <w:name w:val="标准文本"/>
    <w:basedOn w:val="1"/>
    <w:link w:val="935"/>
    <w:qFormat/>
    <w:uiPriority w:val="0"/>
    <w:pPr>
      <w:adjustRightInd/>
      <w:spacing w:line="360" w:lineRule="auto"/>
      <w:ind w:firstLine="480" w:firstLineChars="200"/>
    </w:pPr>
    <w:rPr>
      <w:rFonts w:cs="宋体"/>
      <w:sz w:val="24"/>
      <w:szCs w:val="20"/>
    </w:rPr>
  </w:style>
  <w:style w:type="character" w:customStyle="1" w:styleId="937">
    <w:name w:val="Char Char213"/>
    <w:qFormat/>
    <w:uiPriority w:val="0"/>
    <w:rPr>
      <w:rFonts w:eastAsia="Century Gothic"/>
      <w:b/>
      <w:bCs/>
      <w:kern w:val="44"/>
      <w:sz w:val="32"/>
      <w:szCs w:val="44"/>
      <w:lang w:val="en-US" w:eastAsia="zh-CN" w:bidi="ar-SA"/>
    </w:rPr>
  </w:style>
  <w:style w:type="character" w:customStyle="1" w:styleId="938">
    <w:name w:val="apple-style-span"/>
    <w:qFormat/>
    <w:uiPriority w:val="0"/>
    <w:rPr>
      <w:rFonts w:ascii="Arial" w:hAnsi="Arial" w:eastAsia="黑体" w:cs="Arial"/>
      <w:snapToGrid w:val="0"/>
      <w:kern w:val="0"/>
      <w:szCs w:val="21"/>
    </w:rPr>
  </w:style>
  <w:style w:type="character" w:customStyle="1" w:styleId="939">
    <w:name w:val="15"/>
    <w:qFormat/>
    <w:uiPriority w:val="0"/>
    <w:rPr>
      <w:rFonts w:hint="default" w:ascii="Calibri" w:hAnsi="Calibri"/>
      <w:color w:val="0000FF"/>
      <w:u w:val="single"/>
    </w:rPr>
  </w:style>
  <w:style w:type="character" w:customStyle="1" w:styleId="940">
    <w:name w:val="16"/>
    <w:qFormat/>
    <w:uiPriority w:val="0"/>
    <w:rPr>
      <w:rFonts w:hint="eastAsia" w:ascii="宋体" w:hAnsi="宋体" w:eastAsia="宋体"/>
      <w:color w:val="000000"/>
      <w:sz w:val="20"/>
      <w:szCs w:val="20"/>
    </w:rPr>
  </w:style>
  <w:style w:type="character" w:customStyle="1" w:styleId="941">
    <w:name w:val="edui-unclickable"/>
    <w:qFormat/>
    <w:uiPriority w:val="0"/>
    <w:rPr>
      <w:color w:val="808080"/>
    </w:rPr>
  </w:style>
  <w:style w:type="character" w:customStyle="1" w:styleId="942">
    <w:name w:val="tpc_content1"/>
    <w:qFormat/>
    <w:uiPriority w:val="0"/>
    <w:rPr>
      <w:sz w:val="20"/>
      <w:szCs w:val="20"/>
    </w:rPr>
  </w:style>
  <w:style w:type="character" w:customStyle="1" w:styleId="943">
    <w:name w:val="正文文本缩进 字符"/>
    <w:qFormat/>
    <w:uiPriority w:val="0"/>
    <w:rPr>
      <w:rFonts w:ascii="Century Gothic" w:hAnsi="Century Gothic" w:eastAsia="Century Gothic"/>
      <w:kern w:val="2"/>
      <w:sz w:val="24"/>
      <w:lang w:val="en-US" w:eastAsia="zh-CN" w:bidi="ar-SA"/>
    </w:rPr>
  </w:style>
  <w:style w:type="character" w:customStyle="1" w:styleId="944">
    <w:name w:val="正文文本 2 字符"/>
    <w:qFormat/>
    <w:uiPriority w:val="0"/>
    <w:rPr>
      <w:rFonts w:ascii="Arial" w:hAnsi="Arial" w:eastAsia="宋体"/>
      <w:kern w:val="2"/>
      <w:sz w:val="24"/>
      <w:szCs w:val="24"/>
      <w:lang w:val="en-US" w:eastAsia="zh-CN" w:bidi="ar-SA"/>
    </w:rPr>
  </w:style>
  <w:style w:type="character" w:customStyle="1" w:styleId="945">
    <w:name w:val="edui-clickable2"/>
    <w:qFormat/>
    <w:uiPriority w:val="0"/>
    <w:rPr>
      <w:color w:val="0000FF"/>
      <w:u w:val="single"/>
    </w:rPr>
  </w:style>
  <w:style w:type="character" w:customStyle="1" w:styleId="946">
    <w:name w:val="style1"/>
    <w:qFormat/>
    <w:uiPriority w:val="0"/>
    <w:rPr>
      <w:rFonts w:ascii="Arial" w:hAnsi="Arial" w:eastAsia="黑体" w:cs="Arial"/>
      <w:snapToGrid w:val="0"/>
      <w:kern w:val="0"/>
      <w:szCs w:val="21"/>
    </w:rPr>
  </w:style>
  <w:style w:type="character" w:customStyle="1" w:styleId="947">
    <w:name w:val="zbggtop11 style5"/>
    <w:qFormat/>
    <w:uiPriority w:val="0"/>
    <w:rPr>
      <w:rFonts w:ascii="Arial" w:hAnsi="Arial" w:eastAsia="黑体" w:cs="Arial"/>
      <w:snapToGrid w:val="0"/>
      <w:kern w:val="0"/>
      <w:szCs w:val="21"/>
    </w:rPr>
  </w:style>
  <w:style w:type="character" w:customStyle="1" w:styleId="948">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9">
    <w:name w:val="bulletintext1"/>
    <w:qFormat/>
    <w:uiPriority w:val="0"/>
    <w:rPr>
      <w:color w:val="000000"/>
      <w:sz w:val="18"/>
    </w:rPr>
  </w:style>
  <w:style w:type="paragraph" w:customStyle="1" w:styleId="950">
    <w:name w:val="_Style 947"/>
    <w:basedOn w:val="1"/>
    <w:next w:val="258"/>
    <w:qFormat/>
    <w:uiPriority w:val="34"/>
    <w:pPr>
      <w:adjustRightInd/>
      <w:ind w:firstLine="420" w:firstLineChars="200"/>
    </w:pPr>
  </w:style>
  <w:style w:type="paragraph" w:customStyle="1" w:styleId="951">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2">
    <w:name w:val="纯文本2"/>
    <w:basedOn w:val="1"/>
    <w:qFormat/>
    <w:uiPriority w:val="0"/>
    <w:pPr>
      <w:adjustRightInd/>
      <w:snapToGrid w:val="0"/>
      <w:jc w:val="left"/>
    </w:pPr>
    <w:rPr>
      <w:rFonts w:ascii="Century Gothic" w:hAnsi="楷体_GB2312" w:eastAsia="Century Gothic"/>
      <w:szCs w:val="20"/>
    </w:rPr>
  </w:style>
  <w:style w:type="paragraph" w:customStyle="1" w:styleId="953">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4">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5">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6">
    <w:name w:val="Blockquote"/>
    <w:basedOn w:val="1"/>
    <w:qFormat/>
    <w:uiPriority w:val="0"/>
    <w:pPr>
      <w:autoSpaceDE w:val="0"/>
      <w:autoSpaceDN w:val="0"/>
      <w:spacing w:before="100" w:after="100"/>
      <w:ind w:left="360" w:right="360"/>
      <w:jc w:val="left"/>
    </w:pPr>
    <w:rPr>
      <w:kern w:val="0"/>
      <w:sz w:val="24"/>
      <w:szCs w:val="20"/>
    </w:rPr>
  </w:style>
  <w:style w:type="paragraph" w:customStyle="1" w:styleId="957">
    <w:name w:val="p1"/>
    <w:basedOn w:val="1"/>
    <w:qFormat/>
    <w:uiPriority w:val="0"/>
    <w:pPr>
      <w:widowControl/>
      <w:adjustRightInd/>
      <w:jc w:val="left"/>
    </w:pPr>
    <w:rPr>
      <w:rFonts w:ascii=".PingFang SC" w:eastAsia=".PingFang SC"/>
      <w:color w:val="454545"/>
      <w:kern w:val="0"/>
      <w:sz w:val="18"/>
      <w:szCs w:val="18"/>
    </w:rPr>
  </w:style>
  <w:style w:type="paragraph" w:customStyle="1" w:styleId="958">
    <w:name w:val="Table Paragraph"/>
    <w:basedOn w:val="1"/>
    <w:qFormat/>
    <w:uiPriority w:val="0"/>
    <w:pPr>
      <w:adjustRightInd/>
      <w:jc w:val="left"/>
    </w:pPr>
    <w:rPr>
      <w:rFonts w:ascii="Calibri" w:hAnsi="Calibri"/>
      <w:kern w:val="0"/>
      <w:sz w:val="22"/>
      <w:szCs w:val="22"/>
      <w:lang w:eastAsia="en-US"/>
    </w:rPr>
  </w:style>
  <w:style w:type="paragraph" w:customStyle="1" w:styleId="959">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60">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1">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2">
    <w:name w:val="ksfind_class_select1"/>
    <w:basedOn w:val="72"/>
    <w:qFormat/>
    <w:uiPriority w:val="0"/>
    <w:rPr>
      <w:color w:val="000000"/>
      <w:shd w:val="clear" w:color="auto" w:fill="EFD200"/>
    </w:rPr>
  </w:style>
  <w:style w:type="character" w:customStyle="1" w:styleId="963">
    <w:name w:val="font71"/>
    <w:qFormat/>
    <w:uiPriority w:val="0"/>
    <w:rPr>
      <w:rFonts w:hint="eastAsia" w:ascii="宋体" w:hAnsi="宋体" w:eastAsia="宋体" w:cs="宋体"/>
      <w:color w:val="000000"/>
      <w:sz w:val="22"/>
      <w:szCs w:val="22"/>
      <w:u w:val="none"/>
    </w:rPr>
  </w:style>
  <w:style w:type="character" w:customStyle="1" w:styleId="964">
    <w:name w:val="font91"/>
    <w:basedOn w:val="72"/>
    <w:qFormat/>
    <w:uiPriority w:val="0"/>
    <w:rPr>
      <w:rFonts w:hint="eastAsia" w:ascii="仿宋" w:hAnsi="仿宋" w:eastAsia="仿宋" w:cs="仿宋"/>
      <w:color w:val="000000"/>
      <w:sz w:val="22"/>
      <w:szCs w:val="22"/>
      <w:u w:val="none"/>
    </w:rPr>
  </w:style>
  <w:style w:type="character" w:customStyle="1" w:styleId="965">
    <w:name w:val="NormalCharacter"/>
    <w:link w:val="966"/>
    <w:qFormat/>
    <w:uiPriority w:val="0"/>
    <w:rPr>
      <w:rFonts w:ascii="Tahoma" w:hAnsi="Tahoma"/>
      <w:kern w:val="2"/>
      <w:sz w:val="24"/>
      <w:szCs w:val="24"/>
    </w:rPr>
  </w:style>
  <w:style w:type="paragraph" w:customStyle="1" w:styleId="966">
    <w:name w:val="UserStyle_13"/>
    <w:basedOn w:val="1"/>
    <w:link w:val="965"/>
    <w:qFormat/>
    <w:uiPriority w:val="0"/>
    <w:pPr>
      <w:widowControl/>
      <w:adjustRightInd/>
      <w:spacing w:line="360" w:lineRule="auto"/>
      <w:ind w:firstLine="200" w:firstLineChars="200"/>
    </w:pPr>
    <w:rPr>
      <w:rFonts w:ascii="Tahoma" w:hAnsi="Tahoma"/>
      <w:sz w:val="24"/>
    </w:rPr>
  </w:style>
  <w:style w:type="character" w:customStyle="1" w:styleId="967">
    <w:name w:val="招标-主标题 字符"/>
    <w:link w:val="968"/>
    <w:qFormat/>
    <w:uiPriority w:val="0"/>
    <w:rPr>
      <w:rFonts w:ascii="宋体" w:hAnsi="宋体"/>
      <w:b/>
      <w:sz w:val="32"/>
    </w:rPr>
  </w:style>
  <w:style w:type="paragraph" w:customStyle="1" w:styleId="968">
    <w:name w:val="招标-主标题"/>
    <w:basedOn w:val="1"/>
    <w:link w:val="967"/>
    <w:qFormat/>
    <w:uiPriority w:val="0"/>
    <w:pPr>
      <w:tabs>
        <w:tab w:val="left" w:pos="1620"/>
        <w:tab w:val="left" w:pos="1800"/>
        <w:tab w:val="left" w:pos="1980"/>
      </w:tabs>
      <w:adjustRightInd/>
      <w:spacing w:line="768" w:lineRule="auto"/>
      <w:jc w:val="center"/>
    </w:pPr>
    <w:rPr>
      <w:rFonts w:ascii="宋体" w:hAnsi="宋体"/>
      <w:b/>
      <w:kern w:val="0"/>
      <w:sz w:val="32"/>
      <w:szCs w:val="20"/>
    </w:rPr>
  </w:style>
  <w:style w:type="paragraph" w:customStyle="1" w:styleId="969">
    <w:name w:val="Heading5"/>
    <w:basedOn w:val="1"/>
    <w:next w:val="1"/>
    <w:qFormat/>
    <w:uiPriority w:val="0"/>
    <w:pPr>
      <w:keepNext/>
      <w:keepLines/>
      <w:spacing w:after="120"/>
      <w:textAlignment w:val="baseline"/>
    </w:pPr>
    <w:rPr>
      <w:rFonts w:eastAsia="微软雅黑"/>
      <w:b/>
      <w:bCs/>
    </w:rPr>
  </w:style>
  <w:style w:type="character" w:customStyle="1" w:styleId="970">
    <w:name w:val="font151"/>
    <w:basedOn w:val="72"/>
    <w:qFormat/>
    <w:uiPriority w:val="0"/>
    <w:rPr>
      <w:rFonts w:hint="eastAsia" w:ascii="宋体" w:hAnsi="宋体" w:eastAsia="宋体" w:cs="宋体"/>
      <w:color w:val="000000"/>
      <w:sz w:val="22"/>
      <w:szCs w:val="22"/>
      <w:u w:val="none"/>
    </w:rPr>
  </w:style>
  <w:style w:type="character" w:customStyle="1" w:styleId="971">
    <w:name w:val="font261"/>
    <w:basedOn w:val="72"/>
    <w:qFormat/>
    <w:uiPriority w:val="0"/>
    <w:rPr>
      <w:rFonts w:ascii="PingFang SC" w:hAnsi="PingFang SC" w:eastAsia="PingFang SC" w:cs="PingFang SC"/>
      <w:b/>
      <w:bCs/>
      <w:color w:val="000000"/>
      <w:sz w:val="20"/>
      <w:szCs w:val="20"/>
      <w:u w:val="none"/>
    </w:rPr>
  </w:style>
  <w:style w:type="character" w:customStyle="1" w:styleId="972">
    <w:name w:val="font271"/>
    <w:basedOn w:val="72"/>
    <w:qFormat/>
    <w:uiPriority w:val="0"/>
    <w:rPr>
      <w:rFonts w:hint="eastAsia" w:ascii="宋体" w:hAnsi="宋体" w:eastAsia="宋体" w:cs="宋体"/>
      <w:b/>
      <w:bCs/>
      <w:color w:val="000000"/>
      <w:sz w:val="20"/>
      <w:szCs w:val="20"/>
      <w:u w:val="none"/>
    </w:rPr>
  </w:style>
  <w:style w:type="paragraph" w:customStyle="1" w:styleId="973">
    <w:name w:val="Normal Indent1"/>
    <w:basedOn w:val="1"/>
    <w:qFormat/>
    <w:uiPriority w:val="0"/>
    <w:pPr>
      <w:ind w:firstLine="420"/>
    </w:pPr>
    <w:rPr>
      <w:szCs w:val="20"/>
    </w:rPr>
  </w:style>
  <w:style w:type="paragraph" w:customStyle="1" w:styleId="974">
    <w:name w:val="正文首行缩进 21"/>
    <w:basedOn w:val="975"/>
    <w:qFormat/>
    <w:uiPriority w:val="0"/>
    <w:pPr>
      <w:spacing w:line="360" w:lineRule="auto"/>
      <w:ind w:firstLine="420" w:firstLineChars="200"/>
      <w:textAlignment w:val="baseline"/>
    </w:pPr>
    <w:rPr>
      <w:rFonts w:eastAsia="仿宋"/>
      <w:kern w:val="0"/>
      <w:sz w:val="24"/>
      <w:szCs w:val="24"/>
    </w:rPr>
  </w:style>
  <w:style w:type="paragraph" w:customStyle="1" w:styleId="975">
    <w:name w:val="Body Text Indent1"/>
    <w:basedOn w:val="1"/>
    <w:next w:val="1"/>
    <w:qFormat/>
    <w:uiPriority w:val="0"/>
    <w:pPr>
      <w:spacing w:after="120"/>
      <w:ind w:left="420" w:leftChars="200"/>
    </w:pPr>
    <w:rPr>
      <w:color w:val="000000"/>
      <w:szCs w:val="21"/>
    </w:rPr>
  </w:style>
  <w:style w:type="paragraph" w:customStyle="1" w:styleId="976">
    <w:name w:val="标书正文"/>
    <w:basedOn w:val="1"/>
    <w:qFormat/>
    <w:uiPriority w:val="0"/>
    <w:pPr>
      <w:spacing w:line="360" w:lineRule="auto"/>
      <w:ind w:firstLine="200" w:firstLineChars="200"/>
      <w:jc w:val="left"/>
    </w:pPr>
    <w:rPr>
      <w:color w:val="000000"/>
      <w:sz w:val="24"/>
      <w:szCs w:val="20"/>
    </w:rPr>
  </w:style>
  <w:style w:type="paragraph" w:customStyle="1" w:styleId="977">
    <w:name w:val="修订4"/>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image" Target="media/image1.jpeg"/><Relationship Id="rId21" Type="http://schemas.openxmlformats.org/officeDocument/2006/relationships/theme" Target="theme/theme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footer" Target="footer9.xml"/><Relationship Id="rId18" Type="http://schemas.openxmlformats.org/officeDocument/2006/relationships/header" Target="header8.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header" Target="header6.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127</Pages>
  <Words>14612</Words>
  <Characters>16043</Characters>
  <Lines>915</Lines>
  <Paragraphs>257</Paragraphs>
  <TotalTime>2</TotalTime>
  <ScaleCrop>false</ScaleCrop>
  <LinksUpToDate>false</LinksUpToDate>
  <CharactersWithSpaces>16430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2024-11-21T08:14:00Z</dcterms:created>
  <dc:creator>Administrator.20180320-173244</dc:creator>
  <cp:lastModifiedBy>隐形的翅膀</cp:lastModifiedBy>
  <cp:lastPrinted>2024-10-14T01:51:00Z</cp:lastPrinted>
  <dcterms:modified xsi:type="dcterms:W3CDTF">2025-03-04T13:20:15Z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757C40D5A01742A6945BD9350E166216_13</vt:lpwstr>
  </property>
  <property fmtid="{D5CDD505-2E9C-101B-9397-08002B2CF9AE}" pid="5" name="KSOTemplateDocerSaveRecord">
    <vt:lpwstr>eyJoZGlkIjoiYjJjOTQxYzhjODMyMDAzZmE0MDJkMWFkNmJlNDkwYTUiLCJ1c2VySWQiOiI0MDI3MDMzOTcifQ==</vt:lpwstr>
  </property>
</Properties>
</file>