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F8CE0C">
      <w:pPr>
        <w:adjustRightInd/>
        <w:spacing w:line="360" w:lineRule="auto"/>
        <w:jc w:val="center"/>
        <w:rPr>
          <w:rFonts w:hint="eastAsia" w:ascii="宋体" w:hAnsi="宋体" w:eastAsia="宋体" w:cs="宋体"/>
          <w:sz w:val="36"/>
          <w:szCs w:val="36"/>
          <w:highlight w:val="none"/>
          <w:lang w:eastAsia="zh-CN"/>
        </w:rPr>
      </w:pPr>
    </w:p>
    <w:p w14:paraId="0BF38D52">
      <w:pPr>
        <w:adjustRightInd/>
        <w:spacing w:line="360" w:lineRule="auto"/>
        <w:jc w:val="center"/>
        <w:rPr>
          <w:rFonts w:hint="eastAsia" w:ascii="宋体" w:hAnsi="宋体" w:cs="宋体"/>
          <w:sz w:val="48"/>
          <w:szCs w:val="48"/>
          <w:highlight w:val="none"/>
          <w:lang w:eastAsia="zh-CN"/>
        </w:rPr>
      </w:pPr>
      <w:r>
        <w:rPr>
          <w:rFonts w:hint="eastAsia" w:ascii="宋体" w:hAnsi="宋体" w:cs="宋体"/>
          <w:sz w:val="48"/>
          <w:szCs w:val="48"/>
          <w:highlight w:val="none"/>
          <w:lang w:eastAsia="zh-CN"/>
        </w:rPr>
        <w:t>桐庐县方埠小学改扩建工程厨房设备</w:t>
      </w:r>
    </w:p>
    <w:p w14:paraId="51350407">
      <w:pPr>
        <w:adjustRightInd/>
        <w:spacing w:line="360" w:lineRule="auto"/>
        <w:jc w:val="center"/>
        <w:rPr>
          <w:rFonts w:hint="eastAsia" w:ascii="宋体" w:hAnsi="宋体" w:eastAsia="宋体" w:cs="宋体"/>
          <w:sz w:val="44"/>
          <w:szCs w:val="44"/>
          <w:highlight w:val="none"/>
        </w:rPr>
      </w:pPr>
      <w:r>
        <w:rPr>
          <w:rFonts w:hint="eastAsia" w:ascii="宋体" w:hAnsi="宋体" w:cs="宋体"/>
          <w:sz w:val="48"/>
          <w:szCs w:val="48"/>
          <w:highlight w:val="none"/>
          <w:lang w:eastAsia="zh-CN"/>
        </w:rPr>
        <w:t>（第</w:t>
      </w:r>
      <w:r>
        <w:rPr>
          <w:rFonts w:hint="eastAsia" w:ascii="宋体" w:hAnsi="宋体" w:cs="宋体"/>
          <w:sz w:val="48"/>
          <w:szCs w:val="48"/>
          <w:highlight w:val="none"/>
          <w:lang w:val="en-US" w:eastAsia="zh-CN"/>
        </w:rPr>
        <w:t>四</w:t>
      </w:r>
      <w:r>
        <w:rPr>
          <w:rFonts w:hint="eastAsia" w:ascii="宋体" w:hAnsi="宋体" w:cs="宋体"/>
          <w:sz w:val="48"/>
          <w:szCs w:val="48"/>
          <w:highlight w:val="none"/>
          <w:lang w:eastAsia="zh-CN"/>
        </w:rPr>
        <w:t>次）</w:t>
      </w:r>
    </w:p>
    <w:p w14:paraId="730B1BE8">
      <w:pPr>
        <w:adjustRightInd/>
        <w:spacing w:line="360" w:lineRule="auto"/>
        <w:jc w:val="center"/>
        <w:rPr>
          <w:rFonts w:hint="eastAsia" w:ascii="宋体" w:hAnsi="宋体" w:eastAsia="宋体" w:cs="宋体"/>
          <w:sz w:val="48"/>
          <w:szCs w:val="48"/>
          <w:highlight w:val="none"/>
        </w:rPr>
      </w:pPr>
    </w:p>
    <w:p w14:paraId="009BEE25">
      <w:pPr>
        <w:adjustRightInd/>
        <w:spacing w:line="360" w:lineRule="auto"/>
        <w:jc w:val="center"/>
        <w:rPr>
          <w:rFonts w:hint="eastAsia" w:ascii="宋体" w:hAnsi="宋体" w:eastAsia="宋体" w:cs="宋体"/>
          <w:highlight w:val="none"/>
        </w:rPr>
      </w:pPr>
      <w:r>
        <w:rPr>
          <w:rFonts w:hint="eastAsia" w:ascii="宋体" w:hAnsi="宋体" w:eastAsia="宋体" w:cs="宋体"/>
          <w:sz w:val="48"/>
          <w:szCs w:val="48"/>
          <w:highlight w:val="none"/>
        </w:rPr>
        <w:t>招标文件</w:t>
      </w:r>
    </w:p>
    <w:p w14:paraId="3A75FB7E">
      <w:pPr>
        <w:adjustRightInd/>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 xml:space="preserve"> （电子招投标）</w:t>
      </w:r>
    </w:p>
    <w:p w14:paraId="4BC4450A">
      <w:pPr>
        <w:snapToGrid w:val="0"/>
        <w:spacing w:line="36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采购编号:</w:t>
      </w:r>
      <w:r>
        <w:rPr>
          <w:rFonts w:hint="eastAsia" w:ascii="宋体" w:hAnsi="宋体" w:cs="宋体"/>
          <w:sz w:val="30"/>
          <w:szCs w:val="30"/>
          <w:highlight w:val="none"/>
          <w:lang w:eastAsia="zh-CN"/>
        </w:rPr>
        <w:t>ZHZFCG2024-GK-006-1-1-1</w:t>
      </w:r>
    </w:p>
    <w:p w14:paraId="7C8BA0D7">
      <w:pPr>
        <w:adjustRightInd/>
        <w:spacing w:line="360" w:lineRule="auto"/>
        <w:rPr>
          <w:rFonts w:hint="eastAsia" w:ascii="宋体" w:hAnsi="宋体" w:eastAsia="宋体" w:cs="宋体"/>
          <w:sz w:val="28"/>
          <w:szCs w:val="20"/>
          <w:highlight w:val="none"/>
        </w:rPr>
      </w:pPr>
    </w:p>
    <w:p w14:paraId="58CC65A7">
      <w:pPr>
        <w:spacing w:line="360" w:lineRule="auto"/>
        <w:jc w:val="center"/>
        <w:rPr>
          <w:rFonts w:hint="eastAsia" w:ascii="宋体" w:hAnsi="宋体" w:eastAsia="宋体" w:cs="宋体"/>
          <w:b/>
          <w:sz w:val="44"/>
          <w:szCs w:val="44"/>
          <w:highlight w:val="none"/>
        </w:rPr>
      </w:pPr>
    </w:p>
    <w:p w14:paraId="78F2C538">
      <w:pPr>
        <w:spacing w:line="360" w:lineRule="auto"/>
        <w:jc w:val="both"/>
        <w:rPr>
          <w:rFonts w:hint="eastAsia" w:ascii="宋体" w:hAnsi="宋体" w:eastAsia="宋体" w:cs="宋体"/>
          <w:sz w:val="24"/>
          <w:highlight w:val="none"/>
        </w:rPr>
      </w:pPr>
    </w:p>
    <w:p w14:paraId="029ECD95">
      <w:pPr>
        <w:spacing w:line="360" w:lineRule="auto"/>
        <w:jc w:val="center"/>
        <w:rPr>
          <w:rFonts w:hint="eastAsia" w:ascii="宋体" w:hAnsi="宋体" w:eastAsia="宋体" w:cs="宋体"/>
          <w:sz w:val="24"/>
          <w:highlight w:val="none"/>
        </w:rPr>
      </w:pPr>
    </w:p>
    <w:p w14:paraId="743E0659">
      <w:pPr>
        <w:spacing w:line="360" w:lineRule="auto"/>
        <w:rPr>
          <w:rFonts w:hint="eastAsia" w:ascii="宋体" w:hAnsi="宋体" w:eastAsia="宋体" w:cs="宋体"/>
          <w:sz w:val="32"/>
          <w:szCs w:val="32"/>
          <w:highlight w:val="none"/>
        </w:rPr>
      </w:pPr>
    </w:p>
    <w:p w14:paraId="4BDBE198">
      <w:pPr>
        <w:spacing w:line="48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采购人：</w:t>
      </w:r>
      <w:r>
        <w:rPr>
          <w:rFonts w:hint="eastAsia" w:ascii="宋体" w:hAnsi="宋体" w:cs="宋体"/>
          <w:sz w:val="32"/>
          <w:szCs w:val="32"/>
          <w:highlight w:val="none"/>
          <w:lang w:eastAsia="zh-CN"/>
        </w:rPr>
        <w:t>桐庐县方埠小学</w:t>
      </w:r>
    </w:p>
    <w:p w14:paraId="5F438ECE">
      <w:pPr>
        <w:spacing w:line="480" w:lineRule="auto"/>
        <w:jc w:val="center"/>
        <w:rPr>
          <w:rFonts w:hint="eastAsia" w:ascii="宋体" w:hAnsi="宋体" w:eastAsia="宋体" w:cs="宋体"/>
          <w:bCs/>
          <w:sz w:val="32"/>
          <w:szCs w:val="32"/>
          <w:highlight w:val="none"/>
          <w:lang w:eastAsia="zh-CN"/>
        </w:rPr>
      </w:pPr>
      <w:r>
        <w:rPr>
          <w:rFonts w:hint="eastAsia" w:ascii="宋体" w:hAnsi="宋体" w:eastAsia="宋体" w:cs="宋体"/>
          <w:bCs/>
          <w:sz w:val="32"/>
          <w:szCs w:val="32"/>
          <w:highlight w:val="none"/>
        </w:rPr>
        <w:t>采购代理机构：</w:t>
      </w:r>
      <w:r>
        <w:rPr>
          <w:rFonts w:hint="eastAsia" w:ascii="宋体" w:hAnsi="宋体" w:cs="宋体"/>
          <w:bCs/>
          <w:sz w:val="32"/>
          <w:szCs w:val="32"/>
          <w:highlight w:val="none"/>
          <w:lang w:eastAsia="zh-CN"/>
        </w:rPr>
        <w:t>杭州桐庐正宏建设管理有限公司</w:t>
      </w:r>
    </w:p>
    <w:p w14:paraId="3B941DE2">
      <w:pPr>
        <w:snapToGrid w:val="0"/>
        <w:spacing w:line="360" w:lineRule="auto"/>
        <w:jc w:val="center"/>
        <w:rPr>
          <w:rFonts w:hint="eastAsia" w:ascii="宋体" w:hAnsi="宋体" w:eastAsia="宋体" w:cs="宋体"/>
          <w:bCs/>
          <w:sz w:val="32"/>
          <w:szCs w:val="32"/>
          <w:highlight w:val="none"/>
        </w:rPr>
      </w:pPr>
    </w:p>
    <w:p w14:paraId="5805BD70">
      <w:pPr>
        <w:snapToGrid w:val="0"/>
        <w:spacing w:line="360" w:lineRule="auto"/>
        <w:jc w:val="center"/>
        <w:rPr>
          <w:rFonts w:hint="eastAsia" w:ascii="宋体" w:hAnsi="宋体" w:eastAsia="宋体" w:cs="宋体"/>
          <w:bCs/>
          <w:sz w:val="32"/>
          <w:szCs w:val="32"/>
          <w:highlight w:val="none"/>
        </w:rPr>
      </w:pPr>
      <w:r>
        <w:rPr>
          <w:rFonts w:hint="eastAsia" w:ascii="宋体" w:hAnsi="宋体" w:eastAsia="宋体" w:cs="宋体"/>
          <w:bCs/>
          <w:sz w:val="32"/>
          <w:szCs w:val="32"/>
          <w:highlight w:val="none"/>
        </w:rPr>
        <w:t>202</w:t>
      </w:r>
      <w:r>
        <w:rPr>
          <w:rFonts w:hint="eastAsia" w:ascii="宋体" w:hAnsi="宋体" w:cs="宋体"/>
          <w:bCs/>
          <w:sz w:val="32"/>
          <w:szCs w:val="32"/>
          <w:highlight w:val="none"/>
          <w:lang w:val="en-US" w:eastAsia="zh-CN"/>
        </w:rPr>
        <w:t>5</w:t>
      </w:r>
      <w:r>
        <w:rPr>
          <w:rFonts w:hint="eastAsia" w:ascii="宋体" w:hAnsi="宋体" w:eastAsia="宋体" w:cs="宋体"/>
          <w:bCs/>
          <w:sz w:val="32"/>
          <w:szCs w:val="32"/>
          <w:highlight w:val="none"/>
        </w:rPr>
        <w:t>年</w:t>
      </w:r>
      <w:r>
        <w:rPr>
          <w:rFonts w:hint="eastAsia" w:ascii="宋体" w:hAnsi="宋体" w:cs="宋体"/>
          <w:bCs/>
          <w:sz w:val="32"/>
          <w:szCs w:val="32"/>
          <w:highlight w:val="none"/>
          <w:lang w:val="en-US" w:eastAsia="zh-CN"/>
        </w:rPr>
        <w:t>03</w:t>
      </w:r>
      <w:r>
        <w:rPr>
          <w:rFonts w:hint="eastAsia" w:ascii="宋体" w:hAnsi="宋体" w:eastAsia="宋体" w:cs="宋体"/>
          <w:bCs/>
          <w:sz w:val="32"/>
          <w:szCs w:val="32"/>
          <w:highlight w:val="none"/>
        </w:rPr>
        <w:t>月</w:t>
      </w:r>
    </w:p>
    <w:p w14:paraId="2F24124F">
      <w:pPr>
        <w:spacing w:line="360" w:lineRule="auto"/>
        <w:jc w:val="center"/>
        <w:rPr>
          <w:rFonts w:hint="eastAsia" w:ascii="宋体" w:hAnsi="宋体" w:eastAsia="宋体" w:cs="宋体"/>
          <w:b/>
          <w:sz w:val="48"/>
          <w:szCs w:val="48"/>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0" w:num="1"/>
          <w:titlePg/>
          <w:docGrid w:linePitch="312" w:charSpace="0"/>
        </w:sectPr>
      </w:pPr>
    </w:p>
    <w:p w14:paraId="0D0D067C">
      <w:pPr>
        <w:spacing w:line="360" w:lineRule="auto"/>
        <w:jc w:val="center"/>
        <w:rPr>
          <w:rFonts w:hint="eastAsia" w:ascii="宋体" w:hAnsi="宋体" w:eastAsia="宋体" w:cs="宋体"/>
          <w:b/>
          <w:sz w:val="48"/>
          <w:szCs w:val="48"/>
          <w:highlight w:val="none"/>
        </w:rPr>
      </w:pPr>
      <w:r>
        <w:rPr>
          <w:rFonts w:hint="eastAsia" w:ascii="宋体" w:hAnsi="宋体" w:eastAsia="宋体" w:cs="宋体"/>
          <w:b/>
          <w:sz w:val="48"/>
          <w:szCs w:val="48"/>
          <w:highlight w:val="none"/>
        </w:rPr>
        <w:t>目  录</w:t>
      </w:r>
    </w:p>
    <w:p w14:paraId="74EC12A9">
      <w:pPr>
        <w:spacing w:line="360" w:lineRule="auto"/>
        <w:rPr>
          <w:rFonts w:hint="eastAsia" w:ascii="宋体" w:hAnsi="宋体" w:eastAsia="宋体" w:cs="宋体"/>
          <w:sz w:val="32"/>
          <w:szCs w:val="32"/>
          <w:highlight w:val="none"/>
        </w:rPr>
      </w:pPr>
    </w:p>
    <w:p w14:paraId="713B3DEF">
      <w:pPr>
        <w:spacing w:line="360" w:lineRule="auto"/>
        <w:rPr>
          <w:rFonts w:hint="eastAsia" w:ascii="宋体" w:hAnsi="宋体" w:eastAsia="宋体" w:cs="宋体"/>
          <w:sz w:val="32"/>
          <w:szCs w:val="32"/>
          <w:highlight w:val="none"/>
        </w:rPr>
      </w:pPr>
    </w:p>
    <w:p w14:paraId="28373740">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招标公告</w:t>
      </w:r>
    </w:p>
    <w:p w14:paraId="752C3D60">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投标人须知</w:t>
      </w:r>
    </w:p>
    <w:p w14:paraId="56C01D45">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14:paraId="6FF2CD89">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14:paraId="3BC0B42E">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14:paraId="12304E81">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14:paraId="09BBFB4E">
      <w:pPr>
        <w:adjustRightInd/>
        <w:spacing w:line="360" w:lineRule="auto"/>
        <w:jc w:val="center"/>
        <w:outlineLvl w:val="0"/>
        <w:rPr>
          <w:rFonts w:hint="eastAsia" w:ascii="宋体" w:hAnsi="宋体" w:eastAsia="宋体" w:cs="宋体"/>
          <w:b/>
          <w:sz w:val="36"/>
          <w:szCs w:val="20"/>
          <w:highlight w:val="none"/>
        </w:rPr>
        <w:sectPr>
          <w:footerReference r:id="rId10" w:type="first"/>
          <w:footerReference r:id="rId9" w:type="default"/>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0" w:num="1"/>
          <w:titlePg/>
          <w:docGrid w:linePitch="312" w:charSpace="0"/>
        </w:sectPr>
      </w:pPr>
      <w:bookmarkStart w:id="0" w:name="_Hlt91233176"/>
      <w:bookmarkEnd w:id="0"/>
      <w:bookmarkStart w:id="1" w:name="第二部分"/>
      <w:bookmarkStart w:id="2" w:name="_Toc91899870"/>
      <w:bookmarkStart w:id="3" w:name="_Toc91899871"/>
    </w:p>
    <w:p w14:paraId="57570870">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第一部分 招标公告</w:t>
      </w:r>
    </w:p>
    <w:p w14:paraId="4F25507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项目概况</w:t>
      </w:r>
    </w:p>
    <w:p w14:paraId="4AC00D2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u w:val="single"/>
        </w:rPr>
      </w:pPr>
      <w:r>
        <w:rPr>
          <w:rFonts w:hint="eastAsia" w:ascii="宋体" w:hAnsi="宋体" w:cs="宋体"/>
          <w:sz w:val="24"/>
          <w:highlight w:val="none"/>
          <w:u w:val="single"/>
          <w:lang w:eastAsia="zh-CN"/>
        </w:rPr>
        <w:t>桐庐县方埠小学改扩建工程厨房设备（第四次）</w:t>
      </w:r>
      <w:r>
        <w:rPr>
          <w:rFonts w:hint="eastAsia" w:ascii="宋体" w:hAnsi="宋体" w:eastAsia="宋体" w:cs="宋体"/>
          <w:sz w:val="24"/>
          <w:highlight w:val="none"/>
        </w:rPr>
        <w:t>的潜在投标人应在政采云平台（</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"https://www.zcygov.cn/）获取（下载）招标文件，并于2021年" </w:instrText>
      </w:r>
      <w:r>
        <w:rPr>
          <w:rFonts w:hint="eastAsia" w:ascii="宋体" w:hAnsi="宋体" w:eastAsia="宋体" w:cs="宋体"/>
          <w:highlight w:val="none"/>
        </w:rPr>
        <w:fldChar w:fldCharType="separate"/>
      </w:r>
      <w:r>
        <w:rPr>
          <w:rStyle w:val="80"/>
          <w:rFonts w:hint="eastAsia" w:ascii="宋体" w:hAnsi="宋体" w:eastAsia="宋体" w:cs="宋体"/>
          <w:snapToGrid/>
          <w:color w:val="auto"/>
          <w:kern w:val="2"/>
          <w:sz w:val="24"/>
          <w:szCs w:val="24"/>
          <w:highlight w:val="none"/>
        </w:rPr>
        <w:t>https://www.zcygov.cn/）获取（下载）招标文件，并于</w:t>
      </w:r>
      <w:r>
        <w:rPr>
          <w:rFonts w:hint="eastAsia" w:ascii="宋体" w:hAnsi="宋体" w:eastAsia="宋体" w:cs="宋体"/>
          <w:color w:val="FF0000"/>
          <w:sz w:val="24"/>
          <w:highlight w:val="none"/>
          <w:u w:val="single"/>
          <w:lang w:eastAsia="zh-CN"/>
        </w:rPr>
        <w:t>202</w:t>
      </w:r>
      <w:r>
        <w:rPr>
          <w:rFonts w:hint="eastAsia" w:ascii="宋体" w:hAnsi="宋体" w:cs="宋体"/>
          <w:color w:val="FF0000"/>
          <w:sz w:val="24"/>
          <w:highlight w:val="none"/>
          <w:u w:val="single"/>
          <w:lang w:val="en-US" w:eastAsia="zh-CN"/>
        </w:rPr>
        <w:t>5</w:t>
      </w:r>
      <w:r>
        <w:rPr>
          <w:rFonts w:hint="eastAsia" w:ascii="宋体" w:hAnsi="宋体" w:eastAsia="宋体" w:cs="宋体"/>
          <w:color w:val="FF0000"/>
          <w:sz w:val="24"/>
          <w:highlight w:val="none"/>
          <w:u w:val="single"/>
          <w:lang w:eastAsia="zh-CN"/>
        </w:rPr>
        <w:t>年</w:t>
      </w:r>
      <w:r>
        <w:rPr>
          <w:rFonts w:hint="eastAsia" w:ascii="宋体" w:hAnsi="宋体" w:cs="宋体"/>
          <w:color w:val="FF0000"/>
          <w:sz w:val="24"/>
          <w:highlight w:val="none"/>
          <w:u w:val="single"/>
          <w:lang w:val="en-US" w:eastAsia="zh-CN"/>
        </w:rPr>
        <w:t>03</w:t>
      </w:r>
      <w:r>
        <w:rPr>
          <w:rFonts w:hint="eastAsia" w:ascii="宋体" w:hAnsi="宋体" w:eastAsia="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 xml:space="preserve"> 26 </w:t>
      </w:r>
      <w:r>
        <w:rPr>
          <w:rFonts w:hint="eastAsia" w:ascii="宋体" w:hAnsi="宋体" w:eastAsia="宋体" w:cs="宋体"/>
          <w:color w:val="FF0000"/>
          <w:sz w:val="24"/>
          <w:highlight w:val="none"/>
          <w:u w:val="single"/>
          <w:lang w:eastAsia="zh-CN"/>
        </w:rPr>
        <w:t>日</w:t>
      </w:r>
      <w:r>
        <w:rPr>
          <w:rFonts w:hint="eastAsia" w:ascii="宋体" w:hAnsi="宋体" w:cs="宋体"/>
          <w:color w:val="FF0000"/>
          <w:sz w:val="24"/>
          <w:highlight w:val="none"/>
          <w:u w:val="single"/>
          <w:lang w:val="en-US" w:eastAsia="zh-CN"/>
        </w:rPr>
        <w:t xml:space="preserve"> 10 </w:t>
      </w:r>
      <w:r>
        <w:rPr>
          <w:rFonts w:hint="eastAsia" w:ascii="宋体" w:hAnsi="宋体" w:eastAsia="宋体" w:cs="宋体"/>
          <w:color w:val="FF0000"/>
          <w:sz w:val="24"/>
          <w:highlight w:val="none"/>
          <w:u w:val="single"/>
          <w:lang w:eastAsia="zh-CN"/>
        </w:rPr>
        <w:t>点</w:t>
      </w:r>
      <w:r>
        <w:rPr>
          <w:rFonts w:hint="eastAsia" w:ascii="宋体" w:hAnsi="宋体" w:cs="宋体"/>
          <w:color w:val="FF0000"/>
          <w:sz w:val="24"/>
          <w:highlight w:val="none"/>
          <w:u w:val="single"/>
          <w:lang w:val="en-US" w:eastAsia="zh-CN"/>
        </w:rPr>
        <w:t xml:space="preserve">00 </w:t>
      </w:r>
      <w:r>
        <w:rPr>
          <w:rFonts w:hint="eastAsia" w:ascii="宋体" w:hAnsi="宋体" w:eastAsia="宋体" w:cs="宋体"/>
          <w:color w:val="FF0000"/>
          <w:sz w:val="24"/>
          <w:highlight w:val="none"/>
          <w:u w:val="single"/>
          <w:lang w:eastAsia="zh-CN"/>
        </w:rPr>
        <w:t>分</w:t>
      </w:r>
      <w:r>
        <w:rPr>
          <w:rFonts w:hint="eastAsia" w:ascii="宋体" w:hAnsi="宋体" w:eastAsia="宋体" w:cs="宋体"/>
          <w:sz w:val="24"/>
          <w:highlight w:val="none"/>
          <w:u w:val="single"/>
        </w:rPr>
        <w:fldChar w:fldCharType="end"/>
      </w:r>
      <w:r>
        <w:rPr>
          <w:rFonts w:hint="eastAsia" w:ascii="宋体" w:hAnsi="宋体" w:eastAsia="宋体" w:cs="宋体"/>
          <w:bCs/>
          <w:sz w:val="24"/>
          <w:highlight w:val="none"/>
        </w:rPr>
        <w:t>（北京时间）前</w:t>
      </w:r>
      <w:r>
        <w:rPr>
          <w:rFonts w:hint="eastAsia" w:ascii="宋体" w:hAnsi="宋体" w:eastAsia="宋体" w:cs="宋体"/>
          <w:sz w:val="24"/>
          <w:highlight w:val="none"/>
        </w:rPr>
        <w:t>递交（上传）投标文件。</w:t>
      </w:r>
    </w:p>
    <w:p w14:paraId="014FB816">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一、项目基本情况                                            </w:t>
      </w:r>
    </w:p>
    <w:p w14:paraId="17954DC4">
      <w:pPr>
        <w:spacing w:line="360" w:lineRule="auto"/>
        <w:ind w:firstLine="482" w:firstLineChars="200"/>
        <w:rPr>
          <w:rFonts w:hint="default" w:ascii="宋体" w:hAnsi="宋体" w:eastAsia="宋体" w:cs="宋体"/>
          <w:sz w:val="24"/>
          <w:highlight w:val="none"/>
          <w:lang w:val="en-US" w:eastAsia="zh-CN"/>
        </w:rPr>
      </w:pPr>
      <w:r>
        <w:rPr>
          <w:rFonts w:hint="eastAsia" w:ascii="宋体" w:hAnsi="宋体" w:eastAsia="宋体" w:cs="宋体"/>
          <w:b/>
          <w:sz w:val="24"/>
          <w:highlight w:val="none"/>
        </w:rPr>
        <w:t>项目编号：</w:t>
      </w:r>
      <w:r>
        <w:rPr>
          <w:rFonts w:hint="eastAsia" w:ascii="宋体" w:hAnsi="宋体" w:cs="宋体"/>
          <w:sz w:val="24"/>
          <w:highlight w:val="none"/>
          <w:lang w:eastAsia="zh-CN"/>
        </w:rPr>
        <w:t>ZHZFCG2024-GK-006-1-1-1</w:t>
      </w:r>
    </w:p>
    <w:p w14:paraId="0D154181">
      <w:p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sz w:val="24"/>
          <w:highlight w:val="none"/>
        </w:rPr>
        <w:t>项目名称：</w:t>
      </w:r>
      <w:r>
        <w:rPr>
          <w:rFonts w:hint="eastAsia" w:ascii="宋体" w:hAnsi="宋体" w:cs="宋体"/>
          <w:b w:val="0"/>
          <w:bCs/>
          <w:sz w:val="24"/>
          <w:highlight w:val="none"/>
          <w:lang w:eastAsia="zh-CN"/>
        </w:rPr>
        <w:t>桐庐县方埠小学改扩建工程厨房设备（第四次）</w:t>
      </w:r>
    </w:p>
    <w:p w14:paraId="558C8774">
      <w:pPr>
        <w:spacing w:line="360" w:lineRule="auto"/>
        <w:ind w:firstLine="480"/>
        <w:rPr>
          <w:rFonts w:hint="default" w:ascii="宋体" w:hAnsi="宋体" w:eastAsia="宋体" w:cs="宋体"/>
          <w:sz w:val="24"/>
          <w:highlight w:val="none"/>
          <w:lang w:val="en-US"/>
        </w:rPr>
      </w:pPr>
      <w:r>
        <w:rPr>
          <w:rFonts w:hint="eastAsia" w:ascii="宋体" w:hAnsi="宋体" w:eastAsia="宋体" w:cs="宋体"/>
          <w:b/>
          <w:sz w:val="24"/>
          <w:highlight w:val="none"/>
        </w:rPr>
        <w:t>预算金额（元）：</w:t>
      </w:r>
      <w:r>
        <w:rPr>
          <w:rFonts w:hint="eastAsia" w:ascii="宋体" w:hAnsi="宋体" w:cs="宋体"/>
          <w:bCs/>
          <w:sz w:val="24"/>
          <w:highlight w:val="none"/>
          <w:lang w:val="en-US" w:eastAsia="zh-CN"/>
        </w:rPr>
        <w:t>600000</w:t>
      </w:r>
    </w:p>
    <w:p w14:paraId="18E419E6">
      <w:pPr>
        <w:spacing w:line="360" w:lineRule="auto"/>
        <w:ind w:firstLine="480"/>
        <w:rPr>
          <w:rFonts w:hint="default" w:ascii="宋体" w:hAnsi="宋体" w:eastAsia="宋体" w:cs="宋体"/>
          <w:sz w:val="24"/>
          <w:highlight w:val="none"/>
          <w:lang w:val="en-US"/>
        </w:rPr>
      </w:pPr>
      <w:r>
        <w:rPr>
          <w:rFonts w:hint="eastAsia" w:ascii="宋体" w:hAnsi="宋体" w:eastAsia="宋体" w:cs="宋体"/>
          <w:b/>
          <w:sz w:val="24"/>
          <w:highlight w:val="none"/>
        </w:rPr>
        <w:t>最高限价（元）：</w:t>
      </w:r>
      <w:r>
        <w:rPr>
          <w:rFonts w:hint="eastAsia" w:ascii="宋体" w:hAnsi="宋体" w:cs="宋体"/>
          <w:bCs/>
          <w:sz w:val="24"/>
          <w:highlight w:val="none"/>
          <w:lang w:val="en-US" w:eastAsia="zh-CN"/>
        </w:rPr>
        <w:t>600000</w:t>
      </w:r>
    </w:p>
    <w:p w14:paraId="7A0AC827">
      <w:pPr>
        <w:spacing w:line="360" w:lineRule="auto"/>
        <w:ind w:firstLine="482" w:firstLineChars="200"/>
        <w:rPr>
          <w:rFonts w:hint="eastAsia" w:ascii="宋体" w:hAnsi="宋体" w:eastAsia="宋体" w:cs="宋体"/>
          <w:b w:val="0"/>
          <w:bCs/>
          <w:sz w:val="24"/>
          <w:highlight w:val="none"/>
        </w:rPr>
      </w:pPr>
      <w:r>
        <w:rPr>
          <w:rFonts w:hint="eastAsia" w:ascii="宋体" w:hAnsi="宋体" w:eastAsia="宋体" w:cs="宋体"/>
          <w:b/>
          <w:sz w:val="24"/>
          <w:highlight w:val="none"/>
        </w:rPr>
        <w:t>采购需求：</w:t>
      </w:r>
      <w:r>
        <w:rPr>
          <w:rFonts w:hint="eastAsia" w:ascii="宋体" w:hAnsi="宋体" w:cs="宋体"/>
          <w:b w:val="0"/>
          <w:bCs/>
          <w:sz w:val="24"/>
          <w:highlight w:val="none"/>
          <w:lang w:eastAsia="zh-CN"/>
        </w:rPr>
        <w:t>详见招标文件第三部分采购需求</w:t>
      </w:r>
      <w:r>
        <w:rPr>
          <w:rFonts w:hint="eastAsia" w:ascii="宋体" w:hAnsi="宋体" w:eastAsia="宋体" w:cs="宋体"/>
          <w:b w:val="0"/>
          <w:bCs/>
          <w:sz w:val="24"/>
          <w:highlight w:val="none"/>
        </w:rPr>
        <w:t>。</w:t>
      </w:r>
    </w:p>
    <w:p w14:paraId="2B5F942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sz w:val="24"/>
          <w:highlight w:val="none"/>
        </w:rPr>
        <w:t>合同履约期限</w:t>
      </w:r>
      <w:r>
        <w:rPr>
          <w:rFonts w:hint="eastAsia" w:ascii="宋体" w:hAnsi="宋体" w:eastAsia="宋体" w:cs="宋体"/>
          <w:bCs/>
          <w:sz w:val="24"/>
          <w:highlight w:val="none"/>
        </w:rPr>
        <w:t>：</w:t>
      </w:r>
      <w:r>
        <w:rPr>
          <w:rFonts w:hint="eastAsia" w:ascii="宋体" w:hAnsi="宋体" w:cs="宋体"/>
          <w:strike w:val="0"/>
          <w:dstrike w:val="0"/>
          <w:sz w:val="24"/>
          <w:highlight w:val="none"/>
          <w:lang w:eastAsia="zh-CN"/>
        </w:rPr>
        <w:t>合同签订后30天完成供货安装调试</w:t>
      </w:r>
      <w:r>
        <w:rPr>
          <w:rFonts w:hint="eastAsia" w:ascii="宋体" w:hAnsi="宋体" w:eastAsia="宋体" w:cs="宋体"/>
          <w:bCs/>
          <w:color w:val="auto"/>
          <w:sz w:val="24"/>
          <w:highlight w:val="none"/>
        </w:rPr>
        <w:t>。</w:t>
      </w:r>
    </w:p>
    <w:p w14:paraId="08C504ED">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本项目接受联合体投标：</w:t>
      </w:r>
      <w:sdt>
        <w:sdtPr>
          <w:rPr>
            <w:rFonts w:hint="eastAsia" w:ascii="宋体" w:hAnsi="宋体" w:eastAsia="宋体" w:cs="宋体"/>
            <w:kern w:val="0"/>
            <w:sz w:val="24"/>
            <w:highlight w:val="none"/>
          </w:rPr>
          <w:id w:val="2035453831"/>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 xml:space="preserve"> </w:t>
          </w:r>
          <w:sdt>
            <w:sdtPr>
              <w:rPr>
                <w:rFonts w:hint="eastAsia" w:ascii="宋体" w:hAnsi="宋体" w:eastAsia="宋体" w:cs="宋体"/>
                <w:kern w:val="0"/>
                <w:sz w:val="24"/>
                <w:highlight w:val="none"/>
              </w:rPr>
              <w:id w:val="786974422"/>
            </w:sdtPr>
            <w:sdtEndPr>
              <w:rPr>
                <w:rFonts w:hint="eastAsia" w:ascii="宋体" w:hAnsi="宋体" w:eastAsia="宋体" w:cs="宋体"/>
                <w:kern w:val="0"/>
                <w:sz w:val="24"/>
                <w:highlight w:val="none"/>
              </w:rPr>
            </w:sdtEndPr>
            <w:sdtContent>
              <w:r>
                <w:rPr>
                  <w:rFonts w:hint="eastAsia" w:ascii="宋体" w:hAnsi="宋体" w:eastAsia="宋体" w:cs="宋体"/>
                  <w:snapToGrid w:val="0"/>
                  <w:kern w:val="0"/>
                  <w:sz w:val="24"/>
                  <w:szCs w:val="20"/>
                  <w:highlight w:val="none"/>
                </w:rPr>
                <w:t>☐</w:t>
              </w:r>
            </w:sdtContent>
          </w:sdt>
        </w:sdtContent>
      </w:sdt>
      <w:r>
        <w:rPr>
          <w:rFonts w:hint="eastAsia" w:ascii="宋体" w:hAnsi="宋体" w:eastAsia="宋体" w:cs="宋体"/>
          <w:b/>
          <w:sz w:val="24"/>
          <w:highlight w:val="none"/>
        </w:rPr>
        <w:t>是，</w:t>
      </w:r>
      <w:sdt>
        <w:sdtPr>
          <w:rPr>
            <w:rFonts w:hint="eastAsia" w:ascii="宋体" w:hAnsi="宋体" w:eastAsia="宋体" w:cs="宋体"/>
            <w:kern w:val="0"/>
            <w:sz w:val="24"/>
            <w:highlight w:val="none"/>
          </w:rPr>
          <w:id w:val="-1765526721"/>
        </w:sdtPr>
        <w:sdtEndPr>
          <w:rPr>
            <w:rFonts w:hint="eastAsia" w:ascii="宋体" w:hAnsi="宋体" w:eastAsia="宋体" w:cs="宋体"/>
            <w:kern w:val="0"/>
            <w:sz w:val="24"/>
            <w:highlight w:val="none"/>
          </w:rPr>
        </w:sdtEndPr>
        <w:sdtContent>
          <w:sdt>
            <w:sdtPr>
              <w:rPr>
                <w:rFonts w:hint="eastAsia" w:ascii="宋体" w:hAnsi="宋体" w:eastAsia="宋体" w:cs="宋体"/>
                <w:kern w:val="0"/>
                <w:sz w:val="24"/>
                <w:highlight w:val="none"/>
              </w:rPr>
              <w:id w:val="348868422"/>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 xml:space="preserve"> </w:t>
              </w:r>
              <w:sdt>
                <w:sdtPr>
                  <w:rPr>
                    <w:rFonts w:hint="eastAsia" w:ascii="宋体" w:hAnsi="宋体" w:eastAsia="宋体" w:cs="宋体"/>
                    <w:kern w:val="0"/>
                    <w:sz w:val="24"/>
                    <w:highlight w:val="none"/>
                  </w:rPr>
                  <w:id w:val="523964096"/>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sym w:font="Wingdings" w:char="00FE"/>
                  </w:r>
                </w:sdtContent>
              </w:sdt>
            </w:sdtContent>
          </w:sdt>
        </w:sdtContent>
      </w:sdt>
      <w:r>
        <w:rPr>
          <w:rFonts w:hint="eastAsia" w:ascii="宋体" w:hAnsi="宋体" w:eastAsia="宋体" w:cs="宋体"/>
          <w:b/>
          <w:sz w:val="24"/>
          <w:highlight w:val="none"/>
        </w:rPr>
        <w:t>否</w:t>
      </w:r>
      <w:r>
        <w:rPr>
          <w:rFonts w:hint="eastAsia" w:ascii="宋体" w:hAnsi="宋体" w:eastAsia="宋体" w:cs="宋体"/>
          <w:kern w:val="0"/>
          <w:sz w:val="24"/>
          <w:highlight w:val="none"/>
        </w:rPr>
        <w:t>。</w:t>
      </w:r>
    </w:p>
    <w:p w14:paraId="7B1BC6B7">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二、申请人的资格要求：</w:t>
      </w:r>
    </w:p>
    <w:p w14:paraId="51CB8960">
      <w:pPr>
        <w:spacing w:line="360" w:lineRule="auto"/>
        <w:ind w:firstLine="48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F874B28">
      <w:pPr>
        <w:spacing w:line="360" w:lineRule="auto"/>
        <w:ind w:firstLine="48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2.落实政府采购政策需满足的资格要求：</w:t>
      </w:r>
    </w:p>
    <w:p w14:paraId="3516702F">
      <w:pPr>
        <w:spacing w:line="360" w:lineRule="auto"/>
        <w:ind w:firstLine="480" w:firstLineChars="200"/>
        <w:rPr>
          <w:rFonts w:hint="eastAsia" w:ascii="宋体" w:hAnsi="宋体" w:eastAsia="宋体" w:cs="宋体"/>
          <w:sz w:val="24"/>
          <w:highlight w:val="none"/>
        </w:rPr>
      </w:pPr>
      <w:sdt>
        <w:sdtPr>
          <w:rPr>
            <w:rFonts w:hint="eastAsia" w:ascii="宋体" w:hAnsi="宋体" w:eastAsia="宋体" w:cs="宋体"/>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eastAsia="宋体" w:cs="宋体"/>
          <w:sz w:val="24"/>
          <w:highlight w:val="none"/>
        </w:rPr>
        <w:t>无；</w:t>
      </w:r>
    </w:p>
    <w:p w14:paraId="2377FBE0">
      <w:pPr>
        <w:spacing w:line="360" w:lineRule="auto"/>
        <w:ind w:firstLine="480" w:firstLineChars="200"/>
        <w:rPr>
          <w:rFonts w:hint="eastAsia" w:ascii="宋体" w:hAnsi="宋体" w:eastAsia="宋体" w:cs="宋体"/>
          <w:sz w:val="24"/>
          <w:highlight w:val="none"/>
        </w:rPr>
      </w:pPr>
      <w:sdt>
        <w:sdtPr>
          <w:rPr>
            <w:rFonts w:hint="eastAsia" w:ascii="宋体" w:hAnsi="宋体" w:eastAsia="宋体" w:cs="宋体"/>
            <w:kern w:val="0"/>
            <w:sz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eastAsia="宋体" w:cs="宋体"/>
          <w:kern w:val="0"/>
          <w:sz w:val="24"/>
          <w:highlight w:val="none"/>
        </w:rPr>
        <w:t>专</w:t>
      </w:r>
      <w:r>
        <w:rPr>
          <w:rFonts w:hint="eastAsia" w:ascii="宋体" w:hAnsi="宋体" w:eastAsia="宋体" w:cs="宋体"/>
          <w:sz w:val="24"/>
          <w:highlight w:val="none"/>
        </w:rPr>
        <w:t>门面向中小企业</w:t>
      </w:r>
    </w:p>
    <w:p w14:paraId="17DDEFCA">
      <w:pPr>
        <w:spacing w:line="360" w:lineRule="auto"/>
        <w:ind w:firstLine="480" w:firstLineChars="200"/>
        <w:rPr>
          <w:rFonts w:hint="eastAsia" w:ascii="宋体" w:hAnsi="宋体" w:eastAsia="宋体" w:cs="宋体"/>
          <w:sz w:val="24"/>
          <w:highlight w:val="none"/>
          <w:u w:val="single"/>
        </w:rPr>
      </w:pPr>
      <w:sdt>
        <w:sdtPr>
          <w:rPr>
            <w:rFonts w:hint="eastAsia" w:ascii="宋体" w:hAnsi="宋体" w:eastAsia="宋体" w:cs="宋体"/>
            <w:kern w:val="0"/>
            <w:sz w:val="24"/>
            <w:highlight w:val="none"/>
          </w:rPr>
          <w:id w:val="-924730588"/>
          <w14:checkbox>
            <w14:checked w14:val="1"/>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eastAsia="宋体" w:cs="宋体"/>
          <w:sz w:val="24"/>
          <w:highlight w:val="none"/>
        </w:rPr>
        <w:t>货物全部由符合政策要求的中小企业制造，提供中小企业声明函；</w:t>
      </w:r>
    </w:p>
    <w:p w14:paraId="3AF82526">
      <w:pPr>
        <w:spacing w:line="360" w:lineRule="auto"/>
        <w:ind w:firstLine="480" w:firstLineChars="200"/>
        <w:rPr>
          <w:rFonts w:hint="eastAsia" w:ascii="宋体" w:hAnsi="宋体" w:eastAsia="宋体" w:cs="宋体"/>
          <w:highlight w:val="none"/>
        </w:rPr>
      </w:pPr>
      <w:sdt>
        <w:sdtPr>
          <w:rPr>
            <w:rFonts w:hint="eastAsia" w:ascii="宋体" w:hAnsi="宋体" w:eastAsia="宋体" w:cs="宋体"/>
            <w:kern w:val="0"/>
            <w:sz w:val="24"/>
            <w:highlight w:val="none"/>
          </w:rPr>
          <w:id w:val="-1152604937"/>
          <w14:checkbox>
            <w14:checked w14:val="1"/>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eastAsia="宋体" w:cs="宋体"/>
          <w:sz w:val="24"/>
          <w:highlight w:val="none"/>
        </w:rPr>
        <w:t>货物全部由符合政策要求的小微企业制造，提供中小企业声明函；</w:t>
      </w:r>
    </w:p>
    <w:p w14:paraId="143F0E39">
      <w:pPr>
        <w:spacing w:line="360" w:lineRule="auto"/>
        <w:ind w:firstLine="480" w:firstLineChars="200"/>
        <w:rPr>
          <w:rFonts w:hint="eastAsia" w:ascii="宋体" w:hAnsi="宋体" w:eastAsia="宋体" w:cs="宋体"/>
          <w:sz w:val="24"/>
          <w:highlight w:val="none"/>
        </w:rPr>
      </w:pPr>
      <w:sdt>
        <w:sdtPr>
          <w:rPr>
            <w:rFonts w:hint="eastAsia" w:ascii="宋体" w:hAnsi="宋体" w:eastAsia="宋体" w:cs="宋体"/>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w:t>
          </w:r>
        </w:sdtContent>
      </w:sdt>
      <w:r>
        <w:rPr>
          <w:rFonts w:hint="eastAsia" w:ascii="宋体" w:hAnsi="宋体" w:eastAsia="宋体" w:cs="宋体"/>
          <w:sz w:val="24"/>
          <w:highlight w:val="none"/>
        </w:rPr>
        <w:t>要求以联合体形式参加，提供联合协议和中小企业声明函，联合协议中中小企业合同金额应当达到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%，小微企业合同金额应当达到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w:t>
      </w:r>
      <w:r>
        <w:rPr>
          <w:rFonts w:hint="eastAsia" w:ascii="宋体" w:hAnsi="宋体" w:eastAsia="宋体" w:cs="宋体"/>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sz w:val="24"/>
          <w:highlight w:val="none"/>
        </w:rPr>
        <w:t>；</w:t>
      </w:r>
    </w:p>
    <w:p w14:paraId="1F56EEA9">
      <w:pPr>
        <w:spacing w:line="360" w:lineRule="auto"/>
        <w:ind w:firstLine="480" w:firstLineChars="200"/>
        <w:rPr>
          <w:rFonts w:hint="eastAsia" w:ascii="宋体" w:hAnsi="宋体" w:eastAsia="宋体" w:cs="宋体"/>
          <w:sz w:val="24"/>
          <w:highlight w:val="none"/>
        </w:rPr>
      </w:pPr>
      <w:sdt>
        <w:sdtPr>
          <w:rPr>
            <w:rFonts w:hint="eastAsia" w:ascii="宋体" w:hAnsi="宋体" w:eastAsia="宋体" w:cs="宋体"/>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w:t>
          </w:r>
        </w:sdtContent>
      </w:sdt>
      <w:r>
        <w:rPr>
          <w:rFonts w:hint="eastAsia" w:ascii="宋体" w:hAnsi="宋体" w:eastAsia="宋体" w:cs="宋体"/>
          <w:sz w:val="24"/>
          <w:highlight w:val="none"/>
        </w:rPr>
        <w:t>要求合同分包，提供分包意向协议和中小企业声明函，分包意向协议中中小企业合同金额应当达到达到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，小微企业合同金额应当达到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 ;</w:t>
      </w:r>
      <w:r>
        <w:rPr>
          <w:rFonts w:hint="eastAsia" w:ascii="宋体" w:hAnsi="宋体" w:eastAsia="宋体" w:cs="宋体"/>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eastAsia="宋体" w:cs="宋体"/>
          <w:sz w:val="24"/>
          <w:highlight w:val="none"/>
        </w:rPr>
        <w:t>；</w:t>
      </w:r>
    </w:p>
    <w:p w14:paraId="7385EB35">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3.本项目的特定资格要</w:t>
      </w:r>
      <w:r>
        <w:rPr>
          <w:rFonts w:hint="eastAsia" w:ascii="宋体" w:hAnsi="宋体" w:eastAsia="宋体" w:cs="宋体"/>
          <w:color w:val="auto"/>
          <w:spacing w:val="8"/>
          <w:kern w:val="0"/>
          <w:sz w:val="24"/>
          <w:highlight w:val="none"/>
        </w:rPr>
        <w:t>求</w:t>
      </w:r>
      <w:r>
        <w:rPr>
          <w:rFonts w:hint="eastAsia" w:ascii="宋体" w:hAnsi="宋体" w:eastAsia="宋体" w:cs="宋体"/>
          <w:color w:val="auto"/>
          <w:spacing w:val="8"/>
          <w:kern w:val="0"/>
          <w:sz w:val="24"/>
          <w:highlight w:val="none"/>
          <w:lang w:eastAsia="zh-CN"/>
        </w:rPr>
        <w:t>：</w:t>
      </w:r>
      <w:r>
        <w:rPr>
          <w:rFonts w:hint="eastAsia" w:ascii="宋体" w:hAnsi="宋体" w:eastAsia="宋体" w:cs="宋体"/>
          <w:color w:val="auto"/>
          <w:spacing w:val="8"/>
          <w:kern w:val="0"/>
          <w:sz w:val="24"/>
          <w:highlight w:val="none"/>
          <w:lang w:val="en-US" w:eastAsia="zh-CN"/>
        </w:rPr>
        <w:t>无</w:t>
      </w:r>
    </w:p>
    <w:p w14:paraId="7F1B1B60">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BA8D261">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三、获取招标文件 </w:t>
      </w:r>
    </w:p>
    <w:p w14:paraId="6342C419">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时间：</w:t>
      </w:r>
      <w:r>
        <w:rPr>
          <w:rFonts w:hint="eastAsia" w:ascii="宋体" w:hAnsi="宋体" w:eastAsia="宋体" w:cs="宋体"/>
          <w:sz w:val="24"/>
          <w:highlight w:val="none"/>
        </w:rPr>
        <w:t>/</w:t>
      </w:r>
      <w:r>
        <w:rPr>
          <w:rFonts w:hint="eastAsia" w:ascii="宋体" w:hAnsi="宋体" w:eastAsia="宋体" w:cs="宋体"/>
          <w:color w:val="FF0000"/>
          <w:sz w:val="24"/>
          <w:highlight w:val="none"/>
        </w:rPr>
        <w:t>至</w:t>
      </w:r>
      <w:r>
        <w:rPr>
          <w:rFonts w:hint="eastAsia" w:ascii="宋体" w:hAnsi="宋体" w:eastAsia="宋体" w:cs="宋体"/>
          <w:color w:val="FF0000"/>
          <w:sz w:val="24"/>
          <w:highlight w:val="none"/>
          <w:u w:val="single"/>
        </w:rPr>
        <w:t>202</w:t>
      </w:r>
      <w:r>
        <w:rPr>
          <w:rFonts w:hint="eastAsia" w:ascii="宋体" w:hAnsi="宋体" w:cs="宋体"/>
          <w:color w:val="FF0000"/>
          <w:sz w:val="24"/>
          <w:highlight w:val="none"/>
          <w:u w:val="single"/>
          <w:lang w:val="en-US" w:eastAsia="zh-CN"/>
        </w:rPr>
        <w:t>5</w:t>
      </w:r>
      <w:r>
        <w:rPr>
          <w:rFonts w:hint="eastAsia" w:ascii="宋体" w:hAnsi="宋体" w:eastAsia="宋体" w:cs="宋体"/>
          <w:color w:val="FF0000"/>
          <w:sz w:val="24"/>
          <w:highlight w:val="none"/>
          <w:u w:val="single"/>
        </w:rPr>
        <w:t>年</w:t>
      </w:r>
      <w:r>
        <w:rPr>
          <w:rFonts w:hint="eastAsia" w:ascii="宋体" w:hAnsi="宋体" w:cs="宋体"/>
          <w:color w:val="FF0000"/>
          <w:sz w:val="24"/>
          <w:highlight w:val="none"/>
          <w:u w:val="single"/>
          <w:lang w:val="en-US" w:eastAsia="zh-CN"/>
        </w:rPr>
        <w:t>03</w:t>
      </w:r>
      <w:r>
        <w:rPr>
          <w:rFonts w:hint="eastAsia" w:ascii="宋体" w:hAnsi="宋体" w:eastAsia="宋体" w:cs="宋体"/>
          <w:color w:val="FF0000"/>
          <w:sz w:val="24"/>
          <w:highlight w:val="none"/>
          <w:u w:val="single"/>
          <w:lang w:val="en-US" w:eastAsia="zh-CN"/>
        </w:rPr>
        <w:t>月</w:t>
      </w:r>
      <w:r>
        <w:rPr>
          <w:rFonts w:hint="eastAsia" w:ascii="宋体" w:hAnsi="宋体" w:cs="宋体"/>
          <w:color w:val="FF0000"/>
          <w:sz w:val="24"/>
          <w:highlight w:val="none"/>
          <w:u w:val="single"/>
          <w:lang w:val="en-US" w:eastAsia="zh-CN"/>
        </w:rPr>
        <w:t xml:space="preserve">26 </w:t>
      </w:r>
      <w:r>
        <w:rPr>
          <w:rFonts w:hint="eastAsia" w:ascii="宋体" w:hAnsi="宋体" w:eastAsia="宋体" w:cs="宋体"/>
          <w:color w:val="FF0000"/>
          <w:sz w:val="24"/>
          <w:highlight w:val="none"/>
          <w:u w:val="single"/>
          <w:lang w:val="en-US" w:eastAsia="zh-CN"/>
        </w:rPr>
        <w:t>日</w:t>
      </w:r>
      <w:r>
        <w:rPr>
          <w:rFonts w:hint="eastAsia" w:ascii="宋体" w:hAnsi="宋体" w:eastAsia="宋体" w:cs="宋体"/>
          <w:sz w:val="24"/>
          <w:highlight w:val="none"/>
        </w:rPr>
        <w:t>，每天上午00:00至12:00 ，下午12:00至23:59（北京时间，线上获取法定节假日均可，线下获取文件法定节假日除外）</w:t>
      </w:r>
    </w:p>
    <w:p w14:paraId="12B20C8E">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地点（网址）：</w:t>
      </w:r>
      <w:r>
        <w:rPr>
          <w:rFonts w:hint="eastAsia" w:ascii="宋体" w:hAnsi="宋体" w:eastAsia="宋体" w:cs="宋体"/>
          <w:sz w:val="24"/>
          <w:highlight w:val="none"/>
        </w:rPr>
        <w:t xml:space="preserve">政采云平台（https://www.zcygov.cn/） </w:t>
      </w:r>
    </w:p>
    <w:p w14:paraId="5CE610A5">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方式：</w:t>
      </w:r>
      <w:r>
        <w:rPr>
          <w:rFonts w:hint="eastAsia" w:ascii="宋体" w:hAnsi="宋体" w:eastAsia="宋体" w:cs="宋体"/>
          <w:sz w:val="24"/>
          <w:highlight w:val="none"/>
        </w:rPr>
        <w:t xml:space="preserve">供应商登录政采云平台https://www.zcygov.cn/在线申请获取采购文件（进入“项目采购”应用，在获取采购文件菜单中选择项目，申请获取采购文件）。 </w:t>
      </w:r>
    </w:p>
    <w:p w14:paraId="413F01E6">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售价（元）：</w:t>
      </w:r>
      <w:r>
        <w:rPr>
          <w:rFonts w:hint="eastAsia" w:ascii="宋体" w:hAnsi="宋体" w:eastAsia="宋体" w:cs="宋体"/>
          <w:sz w:val="24"/>
          <w:highlight w:val="none"/>
        </w:rPr>
        <w:t xml:space="preserve">0 </w:t>
      </w:r>
      <w:r>
        <w:rPr>
          <w:rFonts w:hint="eastAsia" w:ascii="宋体" w:hAnsi="宋体" w:eastAsia="宋体" w:cs="宋体"/>
          <w:sz w:val="24"/>
          <w:highlight w:val="none"/>
        </w:rPr>
        <w:tab/>
      </w:r>
    </w:p>
    <w:p w14:paraId="76B440AC">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四、提交投标文件截止时间、开标时间和地点</w:t>
      </w:r>
    </w:p>
    <w:p w14:paraId="2FD2F0EE">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提交投标文件截止时间：</w:t>
      </w:r>
      <w:r>
        <w:rPr>
          <w:rFonts w:hint="eastAsia" w:ascii="宋体" w:hAnsi="宋体" w:eastAsia="宋体" w:cs="宋体"/>
          <w:color w:val="FF0000"/>
          <w:sz w:val="24"/>
          <w:highlight w:val="none"/>
          <w:u w:val="single"/>
          <w:lang w:eastAsia="zh-CN"/>
        </w:rPr>
        <w:t>202</w:t>
      </w:r>
      <w:r>
        <w:rPr>
          <w:rFonts w:hint="eastAsia" w:ascii="宋体" w:hAnsi="宋体" w:cs="宋体"/>
          <w:color w:val="FF0000"/>
          <w:sz w:val="24"/>
          <w:highlight w:val="none"/>
          <w:u w:val="single"/>
          <w:lang w:val="en-US" w:eastAsia="zh-CN"/>
        </w:rPr>
        <w:t>5</w:t>
      </w:r>
      <w:r>
        <w:rPr>
          <w:rFonts w:hint="eastAsia" w:ascii="宋体" w:hAnsi="宋体" w:eastAsia="宋体" w:cs="宋体"/>
          <w:color w:val="FF0000"/>
          <w:sz w:val="24"/>
          <w:highlight w:val="none"/>
          <w:u w:val="single"/>
          <w:lang w:eastAsia="zh-CN"/>
        </w:rPr>
        <w:t>年</w:t>
      </w:r>
      <w:r>
        <w:rPr>
          <w:rFonts w:hint="eastAsia" w:ascii="宋体" w:hAnsi="宋体" w:cs="宋体"/>
          <w:color w:val="FF0000"/>
          <w:sz w:val="24"/>
          <w:highlight w:val="none"/>
          <w:u w:val="single"/>
          <w:lang w:val="en-US" w:eastAsia="zh-CN"/>
        </w:rPr>
        <w:t>03</w:t>
      </w:r>
      <w:r>
        <w:rPr>
          <w:rFonts w:hint="eastAsia" w:ascii="宋体" w:hAnsi="宋体" w:eastAsia="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 xml:space="preserve">26 </w:t>
      </w:r>
      <w:r>
        <w:rPr>
          <w:rFonts w:hint="eastAsia" w:ascii="宋体" w:hAnsi="宋体" w:eastAsia="宋体" w:cs="宋体"/>
          <w:color w:val="FF0000"/>
          <w:sz w:val="24"/>
          <w:highlight w:val="none"/>
          <w:u w:val="single"/>
          <w:lang w:eastAsia="zh-CN"/>
        </w:rPr>
        <w:t>日</w:t>
      </w:r>
      <w:r>
        <w:rPr>
          <w:rFonts w:hint="eastAsia" w:ascii="宋体" w:hAnsi="宋体" w:cs="宋体"/>
          <w:color w:val="FF0000"/>
          <w:sz w:val="24"/>
          <w:highlight w:val="none"/>
          <w:u w:val="single"/>
          <w:lang w:val="en-US" w:eastAsia="zh-CN"/>
        </w:rPr>
        <w:t xml:space="preserve">10 </w:t>
      </w:r>
      <w:r>
        <w:rPr>
          <w:rFonts w:hint="eastAsia" w:ascii="宋体" w:hAnsi="宋体" w:eastAsia="宋体" w:cs="宋体"/>
          <w:color w:val="FF0000"/>
          <w:sz w:val="24"/>
          <w:highlight w:val="none"/>
          <w:u w:val="single"/>
          <w:lang w:eastAsia="zh-CN"/>
        </w:rPr>
        <w:t>点</w:t>
      </w:r>
      <w:r>
        <w:rPr>
          <w:rFonts w:hint="eastAsia" w:ascii="宋体" w:hAnsi="宋体" w:cs="宋体"/>
          <w:color w:val="FF0000"/>
          <w:sz w:val="24"/>
          <w:highlight w:val="none"/>
          <w:u w:val="single"/>
          <w:lang w:val="en-US" w:eastAsia="zh-CN"/>
        </w:rPr>
        <w:t>00</w:t>
      </w:r>
      <w:r>
        <w:rPr>
          <w:rFonts w:hint="eastAsia" w:ascii="宋体" w:hAnsi="宋体" w:eastAsia="宋体" w:cs="宋体"/>
          <w:color w:val="FF0000"/>
          <w:sz w:val="24"/>
          <w:highlight w:val="none"/>
          <w:u w:val="single"/>
          <w:lang w:eastAsia="zh-CN"/>
        </w:rPr>
        <w:t>分</w:t>
      </w:r>
      <w:r>
        <w:rPr>
          <w:rFonts w:hint="eastAsia" w:ascii="宋体" w:hAnsi="宋体" w:eastAsia="宋体" w:cs="宋体"/>
          <w:sz w:val="24"/>
          <w:highlight w:val="none"/>
        </w:rPr>
        <w:t>（北京时间）</w:t>
      </w:r>
    </w:p>
    <w:p w14:paraId="24F7F8E4">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投标地点（网址）：</w:t>
      </w:r>
      <w:r>
        <w:rPr>
          <w:rFonts w:hint="eastAsia" w:ascii="宋体" w:hAnsi="宋体" w:eastAsia="宋体" w:cs="宋体"/>
          <w:sz w:val="24"/>
          <w:highlight w:val="none"/>
        </w:rPr>
        <w:t xml:space="preserve">政采云平台（https://www.zcygov.cn/） </w:t>
      </w:r>
    </w:p>
    <w:p w14:paraId="2AB60672">
      <w:pPr>
        <w:spacing w:line="360" w:lineRule="auto"/>
        <w:ind w:firstLine="482" w:firstLineChars="200"/>
        <w:rPr>
          <w:rFonts w:hint="eastAsia" w:ascii="宋体" w:hAnsi="宋体" w:eastAsia="宋体" w:cs="宋体"/>
          <w:color w:val="FF0000"/>
          <w:sz w:val="24"/>
          <w:highlight w:val="none"/>
          <w:u w:val="single"/>
          <w:lang w:eastAsia="zh-CN"/>
        </w:rPr>
      </w:pPr>
      <w:r>
        <w:rPr>
          <w:rFonts w:hint="eastAsia" w:ascii="宋体" w:hAnsi="宋体" w:eastAsia="宋体" w:cs="宋体"/>
          <w:b/>
          <w:sz w:val="24"/>
          <w:highlight w:val="none"/>
        </w:rPr>
        <w:t>开标时间：</w:t>
      </w:r>
      <w:r>
        <w:rPr>
          <w:rFonts w:hint="eastAsia" w:ascii="宋体" w:hAnsi="宋体" w:eastAsia="宋体" w:cs="宋体"/>
          <w:color w:val="FF0000"/>
          <w:sz w:val="24"/>
          <w:highlight w:val="none"/>
          <w:u w:val="single"/>
          <w:lang w:eastAsia="zh-CN"/>
        </w:rPr>
        <w:t>202</w:t>
      </w:r>
      <w:r>
        <w:rPr>
          <w:rFonts w:hint="eastAsia" w:ascii="宋体" w:hAnsi="宋体" w:cs="宋体"/>
          <w:color w:val="FF0000"/>
          <w:sz w:val="24"/>
          <w:highlight w:val="none"/>
          <w:u w:val="single"/>
          <w:lang w:val="en-US" w:eastAsia="zh-CN"/>
        </w:rPr>
        <w:t>5</w:t>
      </w:r>
      <w:r>
        <w:rPr>
          <w:rFonts w:hint="eastAsia" w:ascii="宋体" w:hAnsi="宋体" w:eastAsia="宋体" w:cs="宋体"/>
          <w:color w:val="FF0000"/>
          <w:sz w:val="24"/>
          <w:highlight w:val="none"/>
          <w:u w:val="single"/>
          <w:lang w:eastAsia="zh-CN"/>
        </w:rPr>
        <w:t>年</w:t>
      </w:r>
      <w:r>
        <w:rPr>
          <w:rFonts w:hint="eastAsia" w:ascii="宋体" w:hAnsi="宋体" w:cs="宋体"/>
          <w:color w:val="FF0000"/>
          <w:sz w:val="24"/>
          <w:highlight w:val="none"/>
          <w:u w:val="single"/>
          <w:lang w:val="en-US" w:eastAsia="zh-CN"/>
        </w:rPr>
        <w:t>03</w:t>
      </w:r>
      <w:r>
        <w:rPr>
          <w:rFonts w:hint="eastAsia" w:ascii="宋体" w:hAnsi="宋体" w:eastAsia="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 xml:space="preserve">26 </w:t>
      </w:r>
      <w:r>
        <w:rPr>
          <w:rFonts w:hint="eastAsia" w:ascii="宋体" w:hAnsi="宋体" w:eastAsia="宋体" w:cs="宋体"/>
          <w:color w:val="FF0000"/>
          <w:sz w:val="24"/>
          <w:highlight w:val="none"/>
          <w:u w:val="single"/>
          <w:lang w:eastAsia="zh-CN"/>
        </w:rPr>
        <w:t>日</w:t>
      </w:r>
      <w:r>
        <w:rPr>
          <w:rFonts w:hint="eastAsia" w:ascii="宋体" w:hAnsi="宋体" w:cs="宋体"/>
          <w:color w:val="FF0000"/>
          <w:sz w:val="24"/>
          <w:highlight w:val="none"/>
          <w:u w:val="single"/>
          <w:lang w:val="en-US" w:eastAsia="zh-CN"/>
        </w:rPr>
        <w:t xml:space="preserve">10 </w:t>
      </w:r>
      <w:r>
        <w:rPr>
          <w:rFonts w:hint="eastAsia" w:ascii="宋体" w:hAnsi="宋体" w:eastAsia="宋体" w:cs="宋体"/>
          <w:color w:val="FF0000"/>
          <w:sz w:val="24"/>
          <w:highlight w:val="none"/>
          <w:u w:val="single"/>
          <w:lang w:eastAsia="zh-CN"/>
        </w:rPr>
        <w:t>点</w:t>
      </w:r>
      <w:r>
        <w:rPr>
          <w:rFonts w:hint="eastAsia" w:ascii="宋体" w:hAnsi="宋体" w:cs="宋体"/>
          <w:color w:val="FF0000"/>
          <w:sz w:val="24"/>
          <w:highlight w:val="none"/>
          <w:u w:val="single"/>
          <w:lang w:val="en-US" w:eastAsia="zh-CN"/>
        </w:rPr>
        <w:t>00</w:t>
      </w:r>
      <w:r>
        <w:rPr>
          <w:rFonts w:hint="eastAsia" w:ascii="宋体" w:hAnsi="宋体" w:eastAsia="宋体" w:cs="宋体"/>
          <w:color w:val="FF0000"/>
          <w:sz w:val="24"/>
          <w:highlight w:val="none"/>
          <w:u w:val="single"/>
          <w:lang w:eastAsia="zh-CN"/>
        </w:rPr>
        <w:t>分</w:t>
      </w:r>
    </w:p>
    <w:p w14:paraId="74EB247D">
      <w:pPr>
        <w:spacing w:line="360" w:lineRule="auto"/>
        <w:ind w:firstLine="482" w:firstLineChars="200"/>
        <w:rPr>
          <w:rFonts w:hint="eastAsia" w:ascii="宋体" w:hAnsi="宋体" w:eastAsia="宋体" w:cs="宋体"/>
          <w:sz w:val="24"/>
          <w:highlight w:val="none"/>
        </w:rPr>
      </w:pPr>
      <w:bookmarkStart w:id="542" w:name="_GoBack"/>
      <w:bookmarkEnd w:id="542"/>
      <w:r>
        <w:rPr>
          <w:rFonts w:hint="eastAsia" w:ascii="宋体" w:hAnsi="宋体" w:eastAsia="宋体" w:cs="宋体"/>
          <w:b/>
          <w:sz w:val="24"/>
          <w:highlight w:val="none"/>
        </w:rPr>
        <w:t>开标地点（网址）：</w:t>
      </w:r>
      <w:r>
        <w:rPr>
          <w:rFonts w:hint="eastAsia" w:ascii="宋体" w:hAnsi="宋体" w:eastAsia="宋体" w:cs="宋体"/>
          <w:sz w:val="24"/>
          <w:highlight w:val="none"/>
        </w:rPr>
        <w:t>政采云平台（https://www.zcygov.cn/）</w:t>
      </w:r>
    </w:p>
    <w:p w14:paraId="262B2703">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五、采购意向公开链接</w:t>
      </w:r>
    </w:p>
    <w:p w14:paraId="2B7AB3E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fldChar w:fldCharType="begin"/>
      </w:r>
      <w:r>
        <w:rPr>
          <w:rFonts w:hint="eastAsia" w:ascii="宋体" w:hAnsi="宋体" w:eastAsia="宋体" w:cs="宋体"/>
          <w:sz w:val="24"/>
          <w:highlight w:val="none"/>
        </w:rPr>
        <w:instrText xml:space="preserve"> HYPERLINK "https://zfcg.czt.zj.gov.cn/site/detail?parentId=600007&amp;articleId=IRxzorlCzfo97pKhYoxIuw%3D%3D" </w:instrText>
      </w:r>
      <w:r>
        <w:rPr>
          <w:rFonts w:hint="eastAsia" w:ascii="宋体" w:hAnsi="宋体" w:eastAsia="宋体" w:cs="宋体"/>
          <w:sz w:val="24"/>
          <w:highlight w:val="none"/>
        </w:rPr>
        <w:fldChar w:fldCharType="separate"/>
      </w:r>
      <w:r>
        <w:rPr>
          <w:rStyle w:val="80"/>
          <w:rFonts w:hint="eastAsia" w:ascii="宋体" w:hAnsi="宋体" w:eastAsia="宋体" w:cs="宋体"/>
          <w:sz w:val="24"/>
          <w:highlight w:val="none"/>
        </w:rPr>
        <w:t>https://zfcg.czt.zj.gov.cn/site/detail?parentId=600007&amp;articleId=IRxzorlCzfo97pKhYoxIuw%3D%3D</w:t>
      </w:r>
      <w:r>
        <w:rPr>
          <w:rFonts w:hint="eastAsia" w:ascii="宋体" w:hAnsi="宋体" w:eastAsia="宋体" w:cs="宋体"/>
          <w:sz w:val="24"/>
          <w:highlight w:val="none"/>
        </w:rPr>
        <w:fldChar w:fldCharType="end"/>
      </w:r>
    </w:p>
    <w:p w14:paraId="096899D1">
      <w:pPr>
        <w:spacing w:line="360" w:lineRule="auto"/>
        <w:rPr>
          <w:rFonts w:hint="eastAsia" w:ascii="宋体" w:hAnsi="宋体" w:eastAsia="宋体" w:cs="宋体"/>
          <w:sz w:val="24"/>
          <w:highlight w:val="none"/>
        </w:rPr>
      </w:pPr>
      <w:r>
        <w:rPr>
          <w:rFonts w:hint="eastAsia" w:ascii="宋体" w:hAnsi="宋体" w:cs="宋体"/>
          <w:b/>
          <w:sz w:val="24"/>
          <w:highlight w:val="none"/>
          <w:lang w:val="en-US" w:eastAsia="zh-CN"/>
        </w:rPr>
        <w:t>六</w:t>
      </w:r>
      <w:r>
        <w:rPr>
          <w:rFonts w:hint="eastAsia" w:ascii="宋体" w:hAnsi="宋体" w:eastAsia="宋体" w:cs="宋体"/>
          <w:b/>
          <w:sz w:val="24"/>
          <w:highlight w:val="none"/>
        </w:rPr>
        <w:t xml:space="preserve">、公告期限 </w:t>
      </w:r>
    </w:p>
    <w:p w14:paraId="056AE5D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自本公告发布之日起5个工作日。</w:t>
      </w:r>
    </w:p>
    <w:p w14:paraId="7E2119D2">
      <w:pPr>
        <w:spacing w:line="360" w:lineRule="auto"/>
        <w:rPr>
          <w:rFonts w:hint="eastAsia" w:ascii="宋体" w:hAnsi="宋体" w:eastAsia="宋体" w:cs="宋体"/>
          <w:b/>
          <w:sz w:val="24"/>
          <w:highlight w:val="none"/>
        </w:rPr>
      </w:pPr>
      <w:r>
        <w:rPr>
          <w:rFonts w:hint="eastAsia" w:ascii="宋体" w:hAnsi="宋体" w:cs="宋体"/>
          <w:b/>
          <w:sz w:val="24"/>
          <w:highlight w:val="none"/>
          <w:lang w:val="en-US" w:eastAsia="zh-CN"/>
        </w:rPr>
        <w:t>七</w:t>
      </w:r>
      <w:r>
        <w:rPr>
          <w:rFonts w:hint="eastAsia" w:ascii="宋体" w:hAnsi="宋体" w:eastAsia="宋体" w:cs="宋体"/>
          <w:b/>
          <w:sz w:val="24"/>
          <w:highlight w:val="none"/>
        </w:rPr>
        <w:t>、其他补充事宜</w:t>
      </w:r>
    </w:p>
    <w:p w14:paraId="0D23371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2949F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64F29516">
      <w:pPr>
        <w:spacing w:line="360" w:lineRule="auto"/>
        <w:rPr>
          <w:rFonts w:hint="eastAsia" w:ascii="宋体" w:hAnsi="宋体" w:eastAsia="宋体" w:cs="宋体"/>
          <w:b/>
          <w:sz w:val="24"/>
          <w:highlight w:val="none"/>
        </w:rPr>
      </w:pPr>
      <w:r>
        <w:rPr>
          <w:rFonts w:hint="eastAsia" w:ascii="宋体" w:hAnsi="宋体" w:cs="宋体"/>
          <w:b/>
          <w:sz w:val="24"/>
          <w:highlight w:val="none"/>
          <w:lang w:val="en-US" w:eastAsia="zh-CN"/>
        </w:rPr>
        <w:t>八</w:t>
      </w:r>
      <w:r>
        <w:rPr>
          <w:rFonts w:hint="eastAsia" w:ascii="宋体" w:hAnsi="宋体" w:eastAsia="宋体" w:cs="宋体"/>
          <w:b/>
          <w:sz w:val="24"/>
          <w:highlight w:val="none"/>
        </w:rPr>
        <w:t>、对本次采购提出询问、质疑、投诉，请按以下方式联系</w:t>
      </w:r>
    </w:p>
    <w:p w14:paraId="65FEB195">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14:paraId="5F79CAB5">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名    称：</w:t>
      </w:r>
      <w:r>
        <w:rPr>
          <w:rFonts w:hint="eastAsia" w:ascii="宋体" w:hAnsi="宋体" w:cs="宋体"/>
          <w:sz w:val="24"/>
          <w:highlight w:val="none"/>
          <w:lang w:eastAsia="zh-CN"/>
        </w:rPr>
        <w:t>桐庐县方埠小学</w:t>
      </w:r>
      <w:r>
        <w:rPr>
          <w:rFonts w:hint="eastAsia" w:ascii="宋体" w:hAnsi="宋体" w:eastAsia="宋体" w:cs="宋体"/>
          <w:sz w:val="24"/>
          <w:highlight w:val="none"/>
        </w:rPr>
        <w:t xml:space="preserve"> </w:t>
      </w:r>
    </w:p>
    <w:p w14:paraId="422B58EA">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地    址：</w:t>
      </w:r>
      <w:r>
        <w:rPr>
          <w:rFonts w:hint="eastAsia" w:ascii="宋体" w:hAnsi="宋体" w:cs="宋体"/>
          <w:sz w:val="24"/>
          <w:highlight w:val="none"/>
          <w:lang w:eastAsia="zh-CN"/>
        </w:rPr>
        <w:t>桐庐县横村镇城东村双湖桐千1328号</w:t>
      </w:r>
      <w:r>
        <w:rPr>
          <w:rFonts w:hint="eastAsia" w:ascii="宋体" w:hAnsi="宋体" w:eastAsia="宋体" w:cs="宋体"/>
          <w:sz w:val="24"/>
          <w:highlight w:val="none"/>
        </w:rPr>
        <w:t xml:space="preserve">  </w:t>
      </w:r>
    </w:p>
    <w:p w14:paraId="4676F88F">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项目联系人（询问）：</w:t>
      </w:r>
      <w:r>
        <w:rPr>
          <w:rFonts w:hint="eastAsia" w:ascii="宋体" w:hAnsi="宋体" w:cs="宋体"/>
          <w:sz w:val="24"/>
          <w:highlight w:val="none"/>
          <w:lang w:eastAsia="zh-CN"/>
        </w:rPr>
        <w:t>张文勤</w:t>
      </w:r>
    </w:p>
    <w:p w14:paraId="7F5C160E">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cs="宋体"/>
          <w:sz w:val="24"/>
          <w:highlight w:val="none"/>
          <w:lang w:eastAsia="zh-CN"/>
        </w:rPr>
        <w:t>13968120763</w:t>
      </w:r>
    </w:p>
    <w:p w14:paraId="09AB5FE3">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质疑联系人：</w:t>
      </w:r>
      <w:r>
        <w:rPr>
          <w:rFonts w:hint="eastAsia" w:ascii="宋体" w:hAnsi="宋体" w:cs="宋体"/>
          <w:sz w:val="24"/>
          <w:highlight w:val="none"/>
          <w:lang w:eastAsia="zh-CN"/>
        </w:rPr>
        <w:t>练春高</w:t>
      </w:r>
    </w:p>
    <w:p w14:paraId="29F415C8">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rPr>
        <w:t xml:space="preserve">    质疑联系方式：</w:t>
      </w:r>
      <w:r>
        <w:rPr>
          <w:rFonts w:hint="eastAsia" w:ascii="宋体" w:hAnsi="宋体" w:cs="宋体"/>
          <w:sz w:val="24"/>
          <w:highlight w:val="none"/>
          <w:lang w:eastAsia="zh-CN"/>
        </w:rPr>
        <w:t>0571-58501730</w:t>
      </w:r>
    </w:p>
    <w:p w14:paraId="257AE5C9">
      <w:pPr>
        <w:spacing w:line="360" w:lineRule="auto"/>
        <w:rPr>
          <w:rFonts w:hint="eastAsia" w:ascii="宋体" w:hAnsi="宋体" w:eastAsia="宋体" w:cs="宋体"/>
          <w:sz w:val="24"/>
          <w:highlight w:val="none"/>
        </w:rPr>
      </w:pPr>
    </w:p>
    <w:p w14:paraId="5B6179C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2.采购代理机构信息            </w:t>
      </w:r>
    </w:p>
    <w:p w14:paraId="783C91A6">
      <w:pPr>
        <w:spacing w:line="360" w:lineRule="auto"/>
        <w:ind w:firstLine="480"/>
        <w:rPr>
          <w:rFonts w:hint="eastAsia" w:ascii="宋体" w:hAnsi="宋体" w:eastAsia="宋体" w:cs="宋体"/>
          <w:sz w:val="24"/>
          <w:highlight w:val="none"/>
          <w:lang w:eastAsia="zh-CN"/>
        </w:rPr>
      </w:pPr>
      <w:r>
        <w:rPr>
          <w:rFonts w:hint="eastAsia" w:ascii="宋体" w:hAnsi="宋体" w:eastAsia="宋体" w:cs="宋体"/>
          <w:sz w:val="24"/>
          <w:highlight w:val="none"/>
        </w:rPr>
        <w:t>名    称：</w:t>
      </w:r>
      <w:r>
        <w:rPr>
          <w:rFonts w:hint="eastAsia" w:ascii="宋体" w:hAnsi="宋体" w:cs="宋体"/>
          <w:sz w:val="24"/>
          <w:highlight w:val="none"/>
          <w:lang w:eastAsia="zh-CN"/>
        </w:rPr>
        <w:t>杭州桐庐正宏建设管理有限公司</w:t>
      </w:r>
    </w:p>
    <w:p w14:paraId="2176756C">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地    址：</w:t>
      </w:r>
      <w:r>
        <w:rPr>
          <w:rFonts w:hint="eastAsia" w:ascii="宋体" w:hAnsi="宋体" w:cs="宋体"/>
          <w:sz w:val="24"/>
          <w:highlight w:val="none"/>
          <w:lang w:eastAsia="zh-CN"/>
        </w:rPr>
        <w:t xml:space="preserve">桐庐县迎春南路88号桦桐大厦1101室 </w:t>
      </w:r>
      <w:r>
        <w:rPr>
          <w:rFonts w:hint="eastAsia" w:ascii="宋体" w:hAnsi="宋体" w:eastAsia="宋体" w:cs="宋体"/>
          <w:sz w:val="24"/>
          <w:highlight w:val="none"/>
        </w:rPr>
        <w:t xml:space="preserve">           </w:t>
      </w:r>
    </w:p>
    <w:p w14:paraId="190571FC">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项目联系人（询问）：</w:t>
      </w:r>
      <w:r>
        <w:rPr>
          <w:rFonts w:hint="eastAsia" w:ascii="宋体" w:hAnsi="宋体" w:cs="宋体"/>
          <w:sz w:val="24"/>
          <w:highlight w:val="none"/>
          <w:lang w:eastAsia="zh-CN"/>
        </w:rPr>
        <w:t>陶张水</w:t>
      </w:r>
      <w:r>
        <w:rPr>
          <w:rFonts w:hint="eastAsia" w:ascii="宋体" w:hAnsi="宋体" w:eastAsia="宋体" w:cs="宋体"/>
          <w:sz w:val="24"/>
          <w:highlight w:val="none"/>
        </w:rPr>
        <w:t xml:space="preserve">         </w:t>
      </w:r>
    </w:p>
    <w:p w14:paraId="07A900C3">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项目联系方式（询问）：</w:t>
      </w:r>
      <w:r>
        <w:rPr>
          <w:rFonts w:hint="eastAsia" w:ascii="宋体" w:hAnsi="宋体" w:cs="宋体"/>
          <w:sz w:val="24"/>
          <w:highlight w:val="none"/>
          <w:lang w:val="en-US" w:eastAsia="zh-CN"/>
        </w:rPr>
        <w:t>0571-64217869</w:t>
      </w:r>
    </w:p>
    <w:p w14:paraId="5CE75C24">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质疑联系人：</w:t>
      </w:r>
      <w:r>
        <w:rPr>
          <w:rFonts w:hint="eastAsia" w:ascii="宋体" w:hAnsi="宋体" w:cs="宋体"/>
          <w:sz w:val="24"/>
          <w:highlight w:val="none"/>
          <w:lang w:eastAsia="zh-CN"/>
        </w:rPr>
        <w:t>吴正洪</w:t>
      </w:r>
      <w:r>
        <w:rPr>
          <w:rFonts w:hint="eastAsia" w:ascii="宋体" w:hAnsi="宋体" w:eastAsia="宋体" w:cs="宋体"/>
          <w:sz w:val="24"/>
          <w:highlight w:val="none"/>
        </w:rPr>
        <w:t xml:space="preserve">             </w:t>
      </w:r>
    </w:p>
    <w:p w14:paraId="1AAD25C8">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质疑联系方式：</w:t>
      </w:r>
      <w:r>
        <w:rPr>
          <w:rFonts w:hint="eastAsia" w:ascii="宋体" w:hAnsi="宋体" w:cs="宋体"/>
          <w:sz w:val="24"/>
          <w:highlight w:val="none"/>
          <w:lang w:eastAsia="zh-CN"/>
        </w:rPr>
        <w:t>0571-64217869</w:t>
      </w:r>
    </w:p>
    <w:p w14:paraId="1CC91CD6">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p>
    <w:p w14:paraId="2AA8760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3.同级政府采购监督管理部门            </w:t>
      </w:r>
    </w:p>
    <w:p w14:paraId="5CC14AF1">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名    称：</w:t>
      </w:r>
      <w:r>
        <w:rPr>
          <w:rFonts w:hint="eastAsia" w:ascii="宋体" w:hAnsi="宋体" w:eastAsia="宋体" w:cs="宋体"/>
          <w:sz w:val="24"/>
          <w:highlight w:val="none"/>
          <w:lang w:eastAsia="zh-CN"/>
        </w:rPr>
        <w:t>桐庐县财政局、浙江省政府采购行政裁决服务中心（杭州）</w:t>
      </w:r>
    </w:p>
    <w:p w14:paraId="07C9F937">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rPr>
        <w:t xml:space="preserve">    地    址：</w:t>
      </w:r>
      <w:r>
        <w:rPr>
          <w:rFonts w:hint="eastAsia" w:ascii="宋体" w:hAnsi="宋体" w:eastAsia="宋体" w:cs="宋体"/>
          <w:sz w:val="24"/>
          <w:highlight w:val="none"/>
          <w:lang w:eastAsia="zh-CN"/>
        </w:rPr>
        <w:t>杭州市上城区清泰街549号城建综合大楼11楼（快递仅限ems或顺丰）</w:t>
      </w:r>
    </w:p>
    <w:p w14:paraId="44F304E5">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联系人 ：</w:t>
      </w:r>
      <w:r>
        <w:rPr>
          <w:rFonts w:hint="eastAsia" w:ascii="宋体" w:hAnsi="宋体" w:eastAsia="宋体" w:cs="宋体"/>
          <w:sz w:val="24"/>
          <w:highlight w:val="none"/>
          <w:lang w:eastAsia="zh-CN"/>
        </w:rPr>
        <w:t>朱女士、王女士</w:t>
      </w:r>
      <w:r>
        <w:rPr>
          <w:rFonts w:hint="eastAsia" w:ascii="宋体" w:hAnsi="宋体" w:eastAsia="宋体" w:cs="宋体"/>
          <w:sz w:val="24"/>
          <w:highlight w:val="none"/>
        </w:rPr>
        <w:t xml:space="preserve">  </w:t>
      </w:r>
    </w:p>
    <w:p w14:paraId="0228DEB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监督投诉电话：0571-87227671,0571-87800218         </w:t>
      </w:r>
    </w:p>
    <w:p w14:paraId="1586772E">
      <w:pPr>
        <w:spacing w:line="360" w:lineRule="auto"/>
        <w:ind w:firstLine="480" w:firstLineChars="200"/>
        <w:rPr>
          <w:rFonts w:hint="eastAsia" w:ascii="宋体" w:hAnsi="宋体" w:eastAsia="宋体" w:cs="宋体"/>
          <w:sz w:val="24"/>
          <w:highlight w:val="none"/>
        </w:rPr>
      </w:pPr>
    </w:p>
    <w:p w14:paraId="2B44E33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lang w:eastAsia="zh-CN"/>
        </w:rPr>
        <w:t>95763</w:t>
      </w:r>
      <w:r>
        <w:rPr>
          <w:rFonts w:hint="eastAsia" w:ascii="宋体" w:hAnsi="宋体" w:eastAsia="宋体" w:cs="宋体"/>
          <w:sz w:val="24"/>
          <w:highlight w:val="none"/>
        </w:rPr>
        <w:t>获取热线服务帮助。</w:t>
      </w:r>
    </w:p>
    <w:p w14:paraId="56B82B7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CA问题联系电话（人工）：汇信CA 400-888-4636；天谷CA 400-087-8198。</w:t>
      </w:r>
    </w:p>
    <w:p w14:paraId="0DE69E6B">
      <w:pPr>
        <w:pStyle w:val="39"/>
        <w:spacing w:line="360" w:lineRule="auto"/>
        <w:ind w:firstLine="480" w:firstLineChars="200"/>
        <w:rPr>
          <w:rFonts w:hint="eastAsia" w:ascii="宋体" w:hAnsi="宋体" w:eastAsia="宋体" w:cs="宋体"/>
          <w:sz w:val="24"/>
          <w:szCs w:val="24"/>
          <w:highlight w:val="none"/>
        </w:rPr>
      </w:pPr>
    </w:p>
    <w:p w14:paraId="2BBE6097">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br w:type="page"/>
      </w:r>
      <w:r>
        <w:rPr>
          <w:rFonts w:hint="eastAsia" w:ascii="宋体" w:hAnsi="宋体" w:eastAsia="宋体" w:cs="宋体"/>
          <w:b/>
          <w:sz w:val="36"/>
          <w:szCs w:val="20"/>
          <w:highlight w:val="none"/>
        </w:rPr>
        <w:t>第二部分</w:t>
      </w:r>
      <w:bookmarkEnd w:id="1"/>
      <w:r>
        <w:rPr>
          <w:rFonts w:hint="eastAsia" w:ascii="宋体" w:hAnsi="宋体" w:eastAsia="宋体" w:cs="宋体"/>
          <w:b/>
          <w:sz w:val="36"/>
          <w:szCs w:val="20"/>
          <w:highlight w:val="none"/>
        </w:rPr>
        <w:t xml:space="preserve"> 投标人须知</w:t>
      </w:r>
      <w:bookmarkEnd w:id="2"/>
    </w:p>
    <w:p w14:paraId="3E4FC5B2">
      <w:pPr>
        <w:snapToGrid w:val="0"/>
        <w:spacing w:line="360" w:lineRule="auto"/>
        <w:jc w:val="center"/>
        <w:rPr>
          <w:rFonts w:hint="eastAsia" w:ascii="宋体" w:hAnsi="宋体" w:eastAsia="宋体" w:cs="宋体"/>
          <w:b/>
          <w:sz w:val="32"/>
          <w:szCs w:val="20"/>
          <w:highlight w:val="none"/>
        </w:rPr>
      </w:pPr>
      <w:r>
        <w:rPr>
          <w:rFonts w:hint="eastAsia" w:ascii="宋体" w:hAnsi="宋体" w:eastAsia="宋体" w:cs="宋体"/>
          <w:b/>
          <w:sz w:val="32"/>
          <w:szCs w:val="20"/>
          <w:highlight w:val="none"/>
        </w:rPr>
        <w:t>前附表</w:t>
      </w:r>
    </w:p>
    <w:tbl>
      <w:tblPr>
        <w:tblStyle w:val="66"/>
        <w:tblW w:w="9178"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6"/>
        <w:gridCol w:w="1838"/>
        <w:gridCol w:w="6714"/>
      </w:tblGrid>
      <w:tr w14:paraId="23E238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312" w:hRule="atLeast"/>
          <w:jc w:val="center"/>
        </w:trPr>
        <w:tc>
          <w:tcPr>
            <w:tcW w:w="626" w:type="dxa"/>
            <w:tcBorders>
              <w:tl2br w:val="nil"/>
              <w:tr2bl w:val="nil"/>
            </w:tcBorders>
          </w:tcPr>
          <w:p w14:paraId="73ABA840">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838" w:type="dxa"/>
            <w:tcBorders>
              <w:tl2br w:val="nil"/>
              <w:tr2bl w:val="nil"/>
            </w:tcBorders>
            <w:vAlign w:val="center"/>
          </w:tcPr>
          <w:p w14:paraId="14167DA9">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事项</w:t>
            </w:r>
          </w:p>
        </w:tc>
        <w:tc>
          <w:tcPr>
            <w:tcW w:w="6714" w:type="dxa"/>
            <w:tcBorders>
              <w:tl2br w:val="nil"/>
              <w:tr2bl w:val="nil"/>
            </w:tcBorders>
            <w:vAlign w:val="center"/>
          </w:tcPr>
          <w:p w14:paraId="6882D260">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本项目的特别规定</w:t>
            </w:r>
          </w:p>
        </w:tc>
      </w:tr>
      <w:tr w14:paraId="482319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3301" w:hRule="atLeast"/>
          <w:jc w:val="center"/>
        </w:trPr>
        <w:tc>
          <w:tcPr>
            <w:tcW w:w="626" w:type="dxa"/>
            <w:tcBorders>
              <w:tl2br w:val="nil"/>
              <w:tr2bl w:val="nil"/>
            </w:tcBorders>
            <w:vAlign w:val="center"/>
          </w:tcPr>
          <w:p w14:paraId="6BB4DDAE">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838" w:type="dxa"/>
            <w:tcBorders>
              <w:tl2br w:val="nil"/>
              <w:tr2bl w:val="nil"/>
            </w:tcBorders>
            <w:vAlign w:val="center"/>
          </w:tcPr>
          <w:p w14:paraId="6866E6A1">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报价要求</w:t>
            </w:r>
          </w:p>
        </w:tc>
        <w:tc>
          <w:tcPr>
            <w:tcW w:w="6714" w:type="dxa"/>
            <w:tcBorders>
              <w:tl2br w:val="nil"/>
              <w:tr2bl w:val="nil"/>
            </w:tcBorders>
            <w:vAlign w:val="center"/>
          </w:tcPr>
          <w:p w14:paraId="57FA1928">
            <w:pPr>
              <w:keepNext w:val="0"/>
              <w:keepLines w:val="0"/>
              <w:pageBreakBefore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b/>
                <w:kern w:val="0"/>
                <w:sz w:val="24"/>
                <w:szCs w:val="24"/>
                <w:highlight w:val="none"/>
                <w:lang w:val="zh-CN"/>
              </w:rPr>
            </w:pPr>
            <w:r>
              <w:rPr>
                <w:rFonts w:hint="eastAsia" w:ascii="宋体" w:hAnsi="宋体" w:eastAsia="宋体" w:cs="宋体"/>
                <w:kern w:val="0"/>
                <w:sz w:val="24"/>
                <w:szCs w:val="24"/>
                <w:highlight w:val="none"/>
                <w:lang w:val="zh-CN"/>
              </w:rPr>
              <w:t>有关本项目实施所需的所有费用（含税费）均计入报价。</w:t>
            </w:r>
            <w:r>
              <w:rPr>
                <w:rFonts w:hint="eastAsia" w:ascii="宋体" w:hAnsi="宋体" w:eastAsia="宋体" w:cs="宋体"/>
                <w:sz w:val="24"/>
                <w:szCs w:val="24"/>
                <w:highlight w:val="none"/>
              </w:rPr>
              <w:t>开标一览表（报价表）是报价的唯一载体</w:t>
            </w:r>
            <w:r>
              <w:rPr>
                <w:rFonts w:hint="eastAsia" w:ascii="宋体" w:hAnsi="宋体" w:eastAsia="宋体" w:cs="宋体"/>
                <w:kern w:val="0"/>
                <w:sz w:val="24"/>
                <w:szCs w:val="24"/>
                <w:highlight w:val="none"/>
                <w:lang w:val="zh-CN"/>
              </w:rPr>
              <w:t>。投标文件中价格全部采用人民币报价。招标文件未列明，而投标人认为必需的费用也需列入报价。</w:t>
            </w:r>
          </w:p>
          <w:p w14:paraId="12CCEE18">
            <w:pPr>
              <w:keepNext w:val="0"/>
              <w:keepLines w:val="0"/>
              <w:pageBreakBefore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b/>
                <w:kern w:val="0"/>
                <w:sz w:val="24"/>
                <w:szCs w:val="24"/>
                <w:highlight w:val="none"/>
                <w:lang w:val="zh-CN"/>
              </w:rPr>
            </w:pPr>
            <w:r>
              <w:rPr>
                <w:rFonts w:hint="eastAsia" w:ascii="宋体" w:hAnsi="宋体" w:eastAsia="宋体" w:cs="宋体"/>
                <w:b/>
                <w:kern w:val="0"/>
                <w:sz w:val="24"/>
                <w:szCs w:val="24"/>
                <w:highlight w:val="none"/>
                <w:lang w:val="zh-CN"/>
              </w:rPr>
              <w:t>投标报价出现下列情形的，投标无效：</w:t>
            </w:r>
          </w:p>
          <w:p w14:paraId="4405CAA8">
            <w:pPr>
              <w:keepNext w:val="0"/>
              <w:keepLines w:val="0"/>
              <w:pageBreakBefore w:val="0"/>
              <w:kinsoku/>
              <w:wordWrap/>
              <w:overflowPunct/>
              <w:topLinePunct w:val="0"/>
              <w:autoSpaceDE/>
              <w:autoSpaceDN/>
              <w:bidi w:val="0"/>
              <w:adjustRightInd w:val="0"/>
              <w:snapToGrid w:val="0"/>
              <w:spacing w:line="440" w:lineRule="exact"/>
              <w:ind w:firstLine="241" w:firstLineChars="100"/>
              <w:jc w:val="left"/>
              <w:textAlignment w:val="auto"/>
              <w:rPr>
                <w:rFonts w:hint="eastAsia" w:ascii="宋体" w:hAnsi="宋体" w:eastAsia="宋体" w:cs="宋体"/>
                <w:b/>
                <w:kern w:val="0"/>
                <w:sz w:val="24"/>
                <w:szCs w:val="24"/>
                <w:highlight w:val="none"/>
                <w:lang w:val="zh-CN"/>
              </w:rPr>
            </w:pPr>
            <w:r>
              <w:rPr>
                <w:rFonts w:hint="eastAsia" w:ascii="宋体" w:hAnsi="宋体" w:eastAsia="宋体" w:cs="宋体"/>
                <w:b/>
                <w:kern w:val="0"/>
                <w:sz w:val="24"/>
                <w:szCs w:val="24"/>
                <w:highlight w:val="none"/>
                <w:lang w:val="zh-CN"/>
              </w:rPr>
              <w:t>投标文件出现不是唯一的、有选择性投标报价的；</w:t>
            </w:r>
          </w:p>
          <w:p w14:paraId="3AD0E1AD">
            <w:pPr>
              <w:keepNext w:val="0"/>
              <w:keepLines w:val="0"/>
              <w:pageBreakBefore w:val="0"/>
              <w:kinsoku/>
              <w:wordWrap/>
              <w:overflowPunct/>
              <w:topLinePunct w:val="0"/>
              <w:autoSpaceDE/>
              <w:autoSpaceDN/>
              <w:bidi w:val="0"/>
              <w:adjustRightInd w:val="0"/>
              <w:snapToGrid w:val="0"/>
              <w:spacing w:line="440" w:lineRule="exact"/>
              <w:ind w:firstLine="241" w:firstLineChars="100"/>
              <w:jc w:val="left"/>
              <w:textAlignment w:val="auto"/>
              <w:rPr>
                <w:rFonts w:hint="eastAsia" w:ascii="宋体" w:hAnsi="宋体" w:eastAsia="宋体" w:cs="宋体"/>
                <w:kern w:val="0"/>
                <w:sz w:val="24"/>
                <w:szCs w:val="24"/>
                <w:highlight w:val="none"/>
                <w:lang w:val="zh-CN"/>
              </w:rPr>
            </w:pPr>
            <w:r>
              <w:rPr>
                <w:rFonts w:hint="eastAsia" w:ascii="宋体" w:hAnsi="宋体" w:eastAsia="宋体" w:cs="宋体"/>
                <w:b/>
                <w:kern w:val="0"/>
                <w:sz w:val="24"/>
                <w:szCs w:val="24"/>
                <w:highlight w:val="none"/>
                <w:lang w:val="zh-CN"/>
              </w:rPr>
              <w:t>投标报价超过招标文件中规定的预算金额或者最高限价的;</w:t>
            </w:r>
          </w:p>
          <w:p w14:paraId="24344C9F">
            <w:pPr>
              <w:keepNext w:val="0"/>
              <w:keepLines w:val="0"/>
              <w:pageBreakBefore w:val="0"/>
              <w:kinsoku/>
              <w:wordWrap/>
              <w:overflowPunct/>
              <w:topLinePunct w:val="0"/>
              <w:autoSpaceDE/>
              <w:autoSpaceDN/>
              <w:bidi w:val="0"/>
              <w:adjustRightInd w:val="0"/>
              <w:spacing w:line="440" w:lineRule="exact"/>
              <w:ind w:firstLine="241" w:firstLineChars="100"/>
              <w:textAlignment w:val="auto"/>
              <w:rPr>
                <w:rFonts w:hint="eastAsia" w:ascii="宋体" w:hAnsi="宋体" w:eastAsia="宋体" w:cs="宋体"/>
                <w:b/>
                <w:sz w:val="24"/>
                <w:szCs w:val="24"/>
                <w:highlight w:val="none"/>
                <w:lang w:eastAsia="zh-CN"/>
              </w:rPr>
            </w:pPr>
            <w:r>
              <w:rPr>
                <w:rFonts w:hint="eastAsia" w:ascii="宋体" w:hAnsi="宋体" w:eastAsia="宋体" w:cs="宋体"/>
                <w:b/>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 w:val="24"/>
                <w:szCs w:val="24"/>
                <w:highlight w:val="none"/>
                <w:lang w:eastAsia="zh-CN"/>
              </w:rPr>
              <w:t>；</w:t>
            </w:r>
          </w:p>
          <w:p w14:paraId="7BEF7100">
            <w:pPr>
              <w:keepNext w:val="0"/>
              <w:keepLines w:val="0"/>
              <w:pageBreakBefore w:val="0"/>
              <w:kinsoku/>
              <w:wordWrap/>
              <w:overflowPunct/>
              <w:topLinePunct w:val="0"/>
              <w:autoSpaceDE/>
              <w:autoSpaceDN/>
              <w:bidi w:val="0"/>
              <w:adjustRightInd w:val="0"/>
              <w:spacing w:line="440" w:lineRule="exact"/>
              <w:ind w:firstLine="241" w:firstLineChars="100"/>
              <w:textAlignment w:val="auto"/>
              <w:rPr>
                <w:rFonts w:hint="eastAsia" w:ascii="宋体" w:hAnsi="宋体" w:eastAsia="宋体" w:cs="宋体"/>
                <w:sz w:val="24"/>
                <w:szCs w:val="24"/>
                <w:highlight w:val="none"/>
              </w:rPr>
            </w:pPr>
            <w:r>
              <w:rPr>
                <w:rFonts w:hint="eastAsia" w:ascii="宋体" w:hAnsi="宋体" w:eastAsia="宋体" w:cs="宋体"/>
                <w:b/>
                <w:kern w:val="0"/>
                <w:sz w:val="24"/>
                <w:szCs w:val="24"/>
                <w:highlight w:val="none"/>
              </w:rPr>
              <w:t>投标人对根据修正原则修正后的报价不确认的</w:t>
            </w:r>
            <w:r>
              <w:rPr>
                <w:rFonts w:hint="eastAsia" w:ascii="宋体" w:hAnsi="宋体" w:eastAsia="宋体" w:cs="宋体"/>
                <w:b/>
                <w:sz w:val="24"/>
                <w:szCs w:val="24"/>
                <w:highlight w:val="none"/>
              </w:rPr>
              <w:t>。</w:t>
            </w:r>
          </w:p>
        </w:tc>
      </w:tr>
      <w:tr w14:paraId="036036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0976177F">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838" w:type="dxa"/>
            <w:tcBorders>
              <w:tl2br w:val="nil"/>
              <w:tr2bl w:val="nil"/>
            </w:tcBorders>
            <w:vAlign w:val="center"/>
          </w:tcPr>
          <w:p w14:paraId="5047E6FF">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分包</w:t>
            </w:r>
          </w:p>
        </w:tc>
        <w:tc>
          <w:tcPr>
            <w:tcW w:w="6714" w:type="dxa"/>
            <w:tcBorders>
              <w:tl2br w:val="nil"/>
              <w:tr2bl w:val="nil"/>
            </w:tcBorders>
            <w:vAlign w:val="center"/>
          </w:tcPr>
          <w:p w14:paraId="0F2300D1">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sdt>
              <w:sdtPr>
                <w:rPr>
                  <w:rFonts w:hint="eastAsia" w:ascii="宋体" w:hAnsi="宋体" w:eastAsia="宋体" w:cs="宋体"/>
                  <w:kern w:val="0"/>
                  <w:sz w:val="24"/>
                  <w:szCs w:val="24"/>
                  <w:highlight w:val="none"/>
                </w:rPr>
                <w:id w:val="-1477286927"/>
              </w:sdtPr>
              <w:sdtEndPr>
                <w:rPr>
                  <w:rFonts w:hint="eastAsia" w:ascii="宋体" w:hAnsi="宋体" w:eastAsia="宋体" w:cs="宋体"/>
                  <w:kern w:val="0"/>
                  <w:sz w:val="24"/>
                  <w:szCs w:val="24"/>
                  <w:highlight w:val="none"/>
                </w:rPr>
              </w:sdtEndPr>
              <w:sdtContent>
                <w:r>
                  <w:rPr>
                    <w:rFonts w:hint="eastAsia" w:ascii="宋体" w:hAnsi="宋体" w:eastAsia="宋体" w:cs="宋体"/>
                    <w:kern w:val="0"/>
                    <w:sz w:val="24"/>
                    <w:szCs w:val="24"/>
                    <w:highlight w:val="none"/>
                  </w:rPr>
                  <w:t>☐</w:t>
                </w:r>
              </w:sdtContent>
            </w:sdt>
            <w:r>
              <w:rPr>
                <w:rFonts w:hint="eastAsia" w:ascii="宋体" w:hAnsi="宋体" w:eastAsia="宋体" w:cs="宋体"/>
                <w:kern w:val="0"/>
                <w:sz w:val="24"/>
                <w:szCs w:val="24"/>
                <w:highlight w:val="none"/>
              </w:rPr>
              <w:t xml:space="preserve"> A</w:t>
            </w:r>
            <w:r>
              <w:rPr>
                <w:rFonts w:hint="eastAsia" w:ascii="宋体" w:hAnsi="宋体" w:eastAsia="宋体" w:cs="宋体"/>
                <w:sz w:val="24"/>
                <w:szCs w:val="24"/>
                <w:highlight w:val="none"/>
              </w:rPr>
              <w:t>同意将非主体、非关键性的工作分包。</w:t>
            </w:r>
          </w:p>
          <w:p w14:paraId="71F4F8D9">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sdt>
              <w:sdtPr>
                <w:rPr>
                  <w:rFonts w:hint="eastAsia" w:ascii="宋体" w:hAnsi="宋体" w:eastAsia="宋体" w:cs="宋体"/>
                  <w:kern w:val="0"/>
                  <w:sz w:val="24"/>
                  <w:szCs w:val="24"/>
                  <w:highlight w:val="none"/>
                </w:rPr>
                <w:id w:val="-1276331357"/>
              </w:sdtPr>
              <w:sdtEndPr>
                <w:rPr>
                  <w:rFonts w:hint="eastAsia" w:ascii="宋体" w:hAnsi="宋体" w:eastAsia="宋体" w:cs="宋体"/>
                  <w:kern w:val="0"/>
                  <w:sz w:val="24"/>
                  <w:szCs w:val="24"/>
                  <w:highlight w:val="none"/>
                </w:rPr>
              </w:sdtEndPr>
              <w:sdtContent>
                <w:sdt>
                  <w:sdtPr>
                    <w:rPr>
                      <w:rFonts w:hint="eastAsia" w:ascii="宋体" w:hAnsi="宋体" w:eastAsia="宋体" w:cs="宋体"/>
                      <w:kern w:val="0"/>
                      <w:sz w:val="24"/>
                      <w:szCs w:val="24"/>
                      <w:highlight w:val="none"/>
                    </w:rPr>
                    <w:id w:val="348868423"/>
                  </w:sdtPr>
                  <w:sdtEndPr>
                    <w:rPr>
                      <w:rFonts w:hint="eastAsia" w:ascii="宋体" w:hAnsi="宋体" w:eastAsia="宋体" w:cs="宋体"/>
                      <w:kern w:val="0"/>
                      <w:sz w:val="24"/>
                      <w:szCs w:val="24"/>
                      <w:highlight w:val="none"/>
                    </w:rPr>
                  </w:sdtEndPr>
                  <w:sdtContent>
                    <w:r>
                      <w:rPr>
                        <w:rFonts w:hint="eastAsia" w:ascii="宋体" w:hAnsi="宋体" w:eastAsia="宋体" w:cs="宋体"/>
                        <w:kern w:val="0"/>
                        <w:sz w:val="24"/>
                        <w:szCs w:val="24"/>
                        <w:highlight w:val="none"/>
                      </w:rPr>
                      <w:sym w:font="Wingdings" w:char="F0FE"/>
                    </w:r>
                  </w:sdtContent>
                </w:sdt>
              </w:sdtContent>
            </w:sdt>
            <w:r>
              <w:rPr>
                <w:rFonts w:hint="eastAsia" w:ascii="宋体" w:hAnsi="宋体" w:eastAsia="宋体" w:cs="宋体"/>
                <w:kern w:val="0"/>
                <w:sz w:val="24"/>
                <w:szCs w:val="24"/>
                <w:highlight w:val="none"/>
              </w:rPr>
              <w:t xml:space="preserve"> B</w:t>
            </w:r>
            <w:r>
              <w:rPr>
                <w:rFonts w:hint="eastAsia" w:ascii="宋体" w:hAnsi="宋体" w:eastAsia="宋体" w:cs="宋体"/>
                <w:sz w:val="24"/>
                <w:szCs w:val="24"/>
                <w:highlight w:val="none"/>
              </w:rPr>
              <w:t>不同意分包。</w:t>
            </w:r>
          </w:p>
        </w:tc>
      </w:tr>
      <w:tr w14:paraId="3E3D5F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10" w:hRule="atLeast"/>
          <w:jc w:val="center"/>
        </w:trPr>
        <w:tc>
          <w:tcPr>
            <w:tcW w:w="626" w:type="dxa"/>
            <w:vMerge w:val="restart"/>
            <w:tcBorders>
              <w:tl2br w:val="nil"/>
              <w:tr2bl w:val="nil"/>
            </w:tcBorders>
            <w:vAlign w:val="center"/>
          </w:tcPr>
          <w:p w14:paraId="7EE389B1">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838" w:type="dxa"/>
            <w:vMerge w:val="restart"/>
            <w:tcBorders>
              <w:tl2br w:val="nil"/>
              <w:tr2bl w:val="nil"/>
            </w:tcBorders>
            <w:vAlign w:val="center"/>
          </w:tcPr>
          <w:p w14:paraId="18E6C263">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投标人应当提供的资格、资信证明文件</w:t>
            </w:r>
          </w:p>
        </w:tc>
        <w:tc>
          <w:tcPr>
            <w:tcW w:w="6714" w:type="dxa"/>
            <w:tcBorders>
              <w:tl2br w:val="nil"/>
              <w:tr2bl w:val="nil"/>
            </w:tcBorders>
            <w:vAlign w:val="center"/>
          </w:tcPr>
          <w:p w14:paraId="6CE132FA">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（1）资格证明文件：见招标文件第二部分11.1。</w:t>
            </w:r>
          </w:p>
          <w:p w14:paraId="19A4F93E">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napToGrid w:val="0"/>
                <w:kern w:val="0"/>
                <w:sz w:val="24"/>
                <w:szCs w:val="24"/>
                <w:highlight w:val="none"/>
              </w:rPr>
            </w:pPr>
            <w:r>
              <w:rPr>
                <w:rFonts w:hint="eastAsia" w:ascii="宋体" w:hAnsi="宋体" w:eastAsia="宋体" w:cs="宋体"/>
                <w:kern w:val="0"/>
                <w:sz w:val="24"/>
                <w:szCs w:val="24"/>
                <w:highlight w:val="none"/>
                <w:lang w:val="zh-CN"/>
              </w:rPr>
              <w:t>投标人未提供有效的资格证明文件的，视为投标人不具备招标文件中规定的资格要求，投标无效。</w:t>
            </w:r>
          </w:p>
        </w:tc>
      </w:tr>
      <w:tr w14:paraId="7BDFB7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312" w:hRule="atLeast"/>
          <w:jc w:val="center"/>
        </w:trPr>
        <w:tc>
          <w:tcPr>
            <w:tcW w:w="626" w:type="dxa"/>
            <w:vMerge w:val="continue"/>
            <w:tcBorders>
              <w:tl2br w:val="nil"/>
              <w:tr2bl w:val="nil"/>
            </w:tcBorders>
            <w:vAlign w:val="center"/>
          </w:tcPr>
          <w:p w14:paraId="63EF4D4D">
            <w:pPr>
              <w:snapToGrid w:val="0"/>
              <w:spacing w:line="360" w:lineRule="auto"/>
              <w:jc w:val="center"/>
              <w:rPr>
                <w:rFonts w:hint="eastAsia" w:ascii="宋体" w:hAnsi="宋体" w:eastAsia="宋体" w:cs="宋体"/>
                <w:sz w:val="24"/>
                <w:highlight w:val="none"/>
              </w:rPr>
            </w:pPr>
          </w:p>
        </w:tc>
        <w:tc>
          <w:tcPr>
            <w:tcW w:w="1838" w:type="dxa"/>
            <w:vMerge w:val="continue"/>
            <w:tcBorders>
              <w:tl2br w:val="nil"/>
              <w:tr2bl w:val="nil"/>
            </w:tcBorders>
            <w:vAlign w:val="center"/>
          </w:tcPr>
          <w:p w14:paraId="74349C5C">
            <w:pPr>
              <w:snapToGrid w:val="0"/>
              <w:spacing w:line="360" w:lineRule="auto"/>
              <w:jc w:val="center"/>
              <w:rPr>
                <w:rFonts w:hint="eastAsia" w:ascii="宋体" w:hAnsi="宋体" w:eastAsia="宋体" w:cs="宋体"/>
                <w:b/>
                <w:sz w:val="24"/>
                <w:highlight w:val="none"/>
              </w:rPr>
            </w:pPr>
          </w:p>
        </w:tc>
        <w:tc>
          <w:tcPr>
            <w:tcW w:w="6714" w:type="dxa"/>
            <w:tcBorders>
              <w:tl2br w:val="nil"/>
              <w:tr2bl w:val="nil"/>
            </w:tcBorders>
            <w:vAlign w:val="center"/>
          </w:tcPr>
          <w:p w14:paraId="7843D625">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（2）资信证明文件：根据招标文件第四部分评标标准提供。</w:t>
            </w:r>
          </w:p>
        </w:tc>
      </w:tr>
      <w:tr w14:paraId="08BC9E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1D25CBC1">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1838" w:type="dxa"/>
            <w:tcBorders>
              <w:tl2br w:val="nil"/>
              <w:tr2bl w:val="nil"/>
            </w:tcBorders>
            <w:vAlign w:val="center"/>
          </w:tcPr>
          <w:p w14:paraId="7B819CBD">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开标前答疑会或现场考察</w:t>
            </w:r>
          </w:p>
        </w:tc>
        <w:tc>
          <w:tcPr>
            <w:tcW w:w="6714" w:type="dxa"/>
            <w:tcBorders>
              <w:tl2br w:val="nil"/>
              <w:tr2bl w:val="nil"/>
            </w:tcBorders>
            <w:vAlign w:val="center"/>
          </w:tcPr>
          <w:p w14:paraId="024F69A8">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sdt>
              <w:sdtPr>
                <w:rPr>
                  <w:rFonts w:hint="eastAsia" w:ascii="宋体" w:hAnsi="宋体" w:eastAsia="宋体" w:cs="宋体"/>
                  <w:kern w:val="0"/>
                  <w:sz w:val="24"/>
                  <w:szCs w:val="24"/>
                  <w:highlight w:val="none"/>
                </w:rPr>
                <w:id w:val="-212966419"/>
              </w:sdtPr>
              <w:sdtEndPr>
                <w:rPr>
                  <w:rFonts w:hint="eastAsia" w:ascii="宋体" w:hAnsi="宋体" w:eastAsia="宋体" w:cs="宋体"/>
                  <w:kern w:val="0"/>
                  <w:sz w:val="24"/>
                  <w:szCs w:val="24"/>
                  <w:highlight w:val="none"/>
                </w:rPr>
              </w:sdtEndPr>
              <w:sdtContent>
                <w:r>
                  <w:rPr>
                    <w:rFonts w:hint="eastAsia" w:ascii="宋体" w:hAnsi="宋体" w:eastAsia="宋体" w:cs="宋体"/>
                    <w:kern w:val="0"/>
                    <w:sz w:val="24"/>
                    <w:szCs w:val="24"/>
                    <w:highlight w:val="none"/>
                  </w:rPr>
                  <w:sym w:font="Wingdings" w:char="00FE"/>
                </w:r>
              </w:sdtContent>
            </w:sdt>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不组织。</w:t>
            </w:r>
          </w:p>
        </w:tc>
      </w:tr>
      <w:tr w14:paraId="2AB693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312" w:hRule="atLeast"/>
          <w:jc w:val="center"/>
        </w:trPr>
        <w:tc>
          <w:tcPr>
            <w:tcW w:w="626" w:type="dxa"/>
            <w:tcBorders>
              <w:tl2br w:val="nil"/>
              <w:tr2bl w:val="nil"/>
            </w:tcBorders>
            <w:vAlign w:val="center"/>
          </w:tcPr>
          <w:p w14:paraId="76F63943">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1838" w:type="dxa"/>
            <w:tcBorders>
              <w:tl2br w:val="nil"/>
              <w:tr2bl w:val="nil"/>
            </w:tcBorders>
            <w:vAlign w:val="center"/>
          </w:tcPr>
          <w:p w14:paraId="227EE4D4">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样品提供</w:t>
            </w:r>
          </w:p>
        </w:tc>
        <w:tc>
          <w:tcPr>
            <w:tcW w:w="6714" w:type="dxa"/>
            <w:tcBorders>
              <w:tl2br w:val="nil"/>
              <w:tr2bl w:val="nil"/>
            </w:tcBorders>
            <w:vAlign w:val="center"/>
          </w:tcPr>
          <w:p w14:paraId="2BF42179">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b/>
                <w:sz w:val="24"/>
                <w:szCs w:val="24"/>
                <w:highlight w:val="none"/>
              </w:rPr>
            </w:pPr>
            <w:r>
              <w:rPr>
                <w:rFonts w:hint="eastAsia" w:ascii="宋体" w:hAnsi="宋体" w:eastAsia="宋体" w:cs="宋体"/>
                <w:b w:val="0"/>
                <w:bCs w:val="0"/>
                <w:kern w:val="0"/>
                <w:sz w:val="24"/>
                <w:szCs w:val="24"/>
                <w:highlight w:val="none"/>
              </w:rPr>
              <w:sym w:font="Wingdings" w:char="00FE"/>
            </w:r>
            <w:r>
              <w:rPr>
                <w:rFonts w:hint="eastAsia" w:ascii="宋体" w:hAnsi="宋体" w:eastAsia="宋体" w:cs="宋体"/>
                <w:kern w:val="0"/>
                <w:sz w:val="24"/>
                <w:szCs w:val="24"/>
                <w:highlight w:val="none"/>
              </w:rPr>
              <w:t>A 不要求提供。</w:t>
            </w:r>
          </w:p>
        </w:tc>
      </w:tr>
      <w:tr w14:paraId="2A3A0C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312" w:hRule="atLeast"/>
          <w:jc w:val="center"/>
        </w:trPr>
        <w:tc>
          <w:tcPr>
            <w:tcW w:w="626" w:type="dxa"/>
            <w:tcBorders>
              <w:tl2br w:val="nil"/>
              <w:tr2bl w:val="nil"/>
            </w:tcBorders>
            <w:vAlign w:val="center"/>
          </w:tcPr>
          <w:p w14:paraId="3B35AE44">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6</w:t>
            </w:r>
          </w:p>
        </w:tc>
        <w:tc>
          <w:tcPr>
            <w:tcW w:w="1838" w:type="dxa"/>
            <w:tcBorders>
              <w:tl2br w:val="nil"/>
              <w:tr2bl w:val="nil"/>
            </w:tcBorders>
            <w:vAlign w:val="center"/>
          </w:tcPr>
          <w:p w14:paraId="388797F3">
            <w:pPr>
              <w:snapToGrid w:val="0"/>
              <w:spacing w:line="360" w:lineRule="auto"/>
              <w:jc w:val="center"/>
              <w:rPr>
                <w:rFonts w:hint="eastAsia" w:ascii="宋体" w:hAnsi="宋体" w:eastAsia="宋体" w:cs="宋体"/>
                <w:bCs/>
                <w:sz w:val="24"/>
                <w:highlight w:val="none"/>
              </w:rPr>
            </w:pPr>
            <w:r>
              <w:rPr>
                <w:rFonts w:hint="eastAsia" w:ascii="宋体" w:hAnsi="宋体" w:eastAsia="宋体" w:cs="宋体"/>
                <w:b/>
                <w:sz w:val="24"/>
                <w:highlight w:val="none"/>
              </w:rPr>
              <w:t>方案讲解演示</w:t>
            </w:r>
          </w:p>
        </w:tc>
        <w:tc>
          <w:tcPr>
            <w:tcW w:w="6714" w:type="dxa"/>
            <w:tcBorders>
              <w:tl2br w:val="nil"/>
              <w:tr2bl w:val="nil"/>
            </w:tcBorders>
            <w:vAlign w:val="center"/>
          </w:tcPr>
          <w:p w14:paraId="0D07CEEA">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b/>
                <w:kern w:val="0"/>
                <w:sz w:val="24"/>
                <w:szCs w:val="24"/>
                <w:highlight w:val="none"/>
                <w:lang w:val="zh-CN"/>
              </w:rPr>
            </w:pPr>
            <w:sdt>
              <w:sdtPr>
                <w:rPr>
                  <w:rFonts w:hint="eastAsia" w:ascii="宋体" w:hAnsi="宋体" w:eastAsia="宋体" w:cs="宋体"/>
                  <w:kern w:val="0"/>
                  <w:sz w:val="24"/>
                  <w:szCs w:val="24"/>
                  <w:highlight w:val="none"/>
                </w:rPr>
                <w:id w:val="147475194"/>
                <w14:checkbox>
                  <w14:checked w14:val="1"/>
                  <w14:checkedState w14:val="00FE" w14:font="Wingdings"/>
                  <w14:uncheckedState w14:val="2610" w14:font="MS Gothic"/>
                </w14:checkbox>
              </w:sdtPr>
              <w:sdtEndPr>
                <w:rPr>
                  <w:rFonts w:hint="eastAsia" w:ascii="宋体" w:hAnsi="宋体" w:eastAsia="宋体" w:cs="宋体"/>
                  <w:kern w:val="0"/>
                  <w:sz w:val="24"/>
                  <w:szCs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eastAsia="宋体" w:cs="宋体"/>
                <w:kern w:val="0"/>
                <w:sz w:val="24"/>
                <w:szCs w:val="24"/>
                <w:highlight w:val="none"/>
              </w:rPr>
              <w:t>A</w:t>
            </w:r>
            <w:r>
              <w:rPr>
                <w:rFonts w:hint="eastAsia" w:ascii="宋体" w:hAnsi="宋体" w:eastAsia="宋体" w:cs="宋体"/>
                <w:sz w:val="24"/>
                <w:szCs w:val="24"/>
                <w:highlight w:val="none"/>
              </w:rPr>
              <w:t>不组织。</w:t>
            </w:r>
          </w:p>
        </w:tc>
      </w:tr>
      <w:tr w14:paraId="0E6094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3FA44CE0">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7</w:t>
            </w:r>
          </w:p>
        </w:tc>
        <w:tc>
          <w:tcPr>
            <w:tcW w:w="1838" w:type="dxa"/>
            <w:tcBorders>
              <w:tl2br w:val="nil"/>
              <w:tr2bl w:val="nil"/>
            </w:tcBorders>
            <w:vAlign w:val="center"/>
          </w:tcPr>
          <w:p w14:paraId="3A399F85">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是否允许采购进口产品</w:t>
            </w:r>
          </w:p>
        </w:tc>
        <w:tc>
          <w:tcPr>
            <w:tcW w:w="6714" w:type="dxa"/>
            <w:tcBorders>
              <w:tl2br w:val="nil"/>
              <w:tr2bl w:val="nil"/>
            </w:tcBorders>
            <w:vAlign w:val="center"/>
          </w:tcPr>
          <w:p w14:paraId="281285E9">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sdt>
              <w:sdtPr>
                <w:rPr>
                  <w:rFonts w:hint="eastAsia" w:ascii="宋体" w:hAnsi="宋体" w:eastAsia="宋体" w:cs="宋体"/>
                  <w:kern w:val="0"/>
                  <w:sz w:val="24"/>
                  <w:szCs w:val="24"/>
                  <w:highlight w:val="none"/>
                </w:rPr>
                <w:id w:val="-1828425707"/>
              </w:sdtPr>
              <w:sdtEndPr>
                <w:rPr>
                  <w:rFonts w:hint="eastAsia" w:ascii="宋体" w:hAnsi="宋体" w:eastAsia="宋体" w:cs="宋体"/>
                  <w:kern w:val="0"/>
                  <w:sz w:val="24"/>
                  <w:szCs w:val="24"/>
                  <w:highlight w:val="none"/>
                </w:rPr>
              </w:sdtEndPr>
              <w:sdtContent>
                <w:r>
                  <w:rPr>
                    <w:rFonts w:hint="eastAsia" w:ascii="宋体" w:hAnsi="宋体" w:eastAsia="宋体" w:cs="宋体"/>
                    <w:kern w:val="0"/>
                    <w:sz w:val="24"/>
                    <w:szCs w:val="24"/>
                    <w:highlight w:val="none"/>
                  </w:rPr>
                  <w:sym w:font="Wingdings" w:char="F0FE"/>
                </w:r>
              </w:sdtContent>
            </w:sdt>
            <w:r>
              <w:rPr>
                <w:rFonts w:hint="eastAsia" w:ascii="宋体" w:hAnsi="宋体" w:eastAsia="宋体" w:cs="宋体"/>
                <w:kern w:val="0"/>
                <w:sz w:val="24"/>
                <w:szCs w:val="24"/>
                <w:highlight w:val="none"/>
              </w:rPr>
              <w:t>本项目不允许采购进口产品。</w:t>
            </w:r>
          </w:p>
        </w:tc>
      </w:tr>
      <w:tr w14:paraId="767B77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109EC3BB">
            <w:pPr>
              <w:snapToGrid w:val="0"/>
              <w:spacing w:line="360" w:lineRule="auto"/>
              <w:jc w:val="center"/>
              <w:rPr>
                <w:rFonts w:hint="eastAsia" w:ascii="宋体" w:hAnsi="宋体" w:eastAsia="宋体" w:cs="宋体"/>
                <w:sz w:val="24"/>
                <w:highlight w:val="none"/>
              </w:rPr>
            </w:pPr>
          </w:p>
          <w:p w14:paraId="3B67DA40">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8</w:t>
            </w:r>
          </w:p>
        </w:tc>
        <w:tc>
          <w:tcPr>
            <w:tcW w:w="1838" w:type="dxa"/>
            <w:tcBorders>
              <w:tl2br w:val="nil"/>
              <w:tr2bl w:val="nil"/>
            </w:tcBorders>
            <w:vAlign w:val="center"/>
          </w:tcPr>
          <w:p w14:paraId="519BBA9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714" w:type="dxa"/>
            <w:tcBorders>
              <w:tl2br w:val="nil"/>
              <w:tr2bl w:val="nil"/>
            </w:tcBorders>
            <w:vAlign w:val="center"/>
          </w:tcPr>
          <w:p w14:paraId="0D86B591">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18727868"/>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349968548"/>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货物类，单一产品或</w:t>
            </w:r>
            <w:r>
              <w:rPr>
                <w:rFonts w:hint="eastAsia" w:ascii="宋体" w:hAnsi="宋体" w:eastAsia="宋体" w:cs="宋体"/>
                <w:color w:val="auto"/>
                <w:kern w:val="0"/>
                <w:sz w:val="24"/>
                <w:szCs w:val="24"/>
                <w:highlight w:val="none"/>
              </w:rPr>
              <w:t>核心产品为：</w:t>
            </w:r>
            <w:r>
              <w:rPr>
                <w:rFonts w:hint="eastAsia" w:ascii="宋体" w:hAnsi="宋体" w:eastAsia="宋体" w:cs="宋体"/>
                <w:color w:val="auto"/>
                <w:kern w:val="0"/>
                <w:sz w:val="24"/>
                <w:szCs w:val="24"/>
                <w:highlight w:val="none"/>
                <w:u w:val="single"/>
                <w:lang w:val="en-US" w:eastAsia="zh-CN"/>
              </w:rPr>
              <w:t xml:space="preserve">   /  。</w:t>
            </w:r>
          </w:p>
          <w:p w14:paraId="0FFE4F05">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474885559"/>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76726"/>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r>
              <w:rPr>
                <w:rFonts w:hint="eastAsia" w:ascii="宋体" w:hAnsi="宋体" w:eastAsia="宋体" w:cs="宋体"/>
                <w:color w:val="auto"/>
                <w:kern w:val="0"/>
                <w:sz w:val="24"/>
                <w:szCs w:val="24"/>
                <w:highlight w:val="none"/>
              </w:rPr>
              <w:t>B</w:t>
            </w:r>
            <w:r>
              <w:rPr>
                <w:rFonts w:hint="eastAsia" w:ascii="宋体" w:hAnsi="宋体" w:eastAsia="宋体" w:cs="宋体"/>
                <w:color w:val="auto"/>
                <w:sz w:val="24"/>
                <w:szCs w:val="24"/>
                <w:highlight w:val="none"/>
              </w:rPr>
              <w:t>服务类。</w:t>
            </w:r>
          </w:p>
        </w:tc>
      </w:tr>
      <w:tr w14:paraId="0BFBF8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4ABB1786">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9</w:t>
            </w:r>
          </w:p>
        </w:tc>
        <w:tc>
          <w:tcPr>
            <w:tcW w:w="1838" w:type="dxa"/>
            <w:tcBorders>
              <w:tl2br w:val="nil"/>
              <w:tr2bl w:val="nil"/>
            </w:tcBorders>
            <w:vAlign w:val="center"/>
          </w:tcPr>
          <w:p w14:paraId="000AA6B8">
            <w:pPr>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采购标的对应的中小企业划分标准所属行业</w:t>
            </w:r>
          </w:p>
        </w:tc>
        <w:tc>
          <w:tcPr>
            <w:tcW w:w="6714" w:type="dxa"/>
            <w:tcBorders>
              <w:tl2br w:val="nil"/>
              <w:tr2bl w:val="nil"/>
            </w:tcBorders>
            <w:vAlign w:val="center"/>
          </w:tcPr>
          <w:p w14:paraId="4338CE60">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（1）标的：</w:t>
            </w:r>
            <w:r>
              <w:rPr>
                <w:rFonts w:hint="eastAsia" w:ascii="宋体" w:hAnsi="宋体" w:cs="宋体"/>
                <w:kern w:val="0"/>
                <w:sz w:val="24"/>
                <w:szCs w:val="24"/>
                <w:highlight w:val="none"/>
                <w:u w:val="single"/>
                <w:lang w:eastAsia="zh-CN"/>
              </w:rPr>
              <w:t>桐庐县方埠小学改扩建工程厨房设备（第四次）</w:t>
            </w:r>
            <w:r>
              <w:rPr>
                <w:rFonts w:hint="eastAsia" w:ascii="宋体" w:hAnsi="宋体" w:eastAsia="宋体" w:cs="宋体"/>
                <w:kern w:val="0"/>
                <w:sz w:val="24"/>
                <w:szCs w:val="24"/>
                <w:highlight w:val="none"/>
                <w:u w:val="none"/>
                <w:lang w:eastAsia="zh-CN"/>
              </w:rPr>
              <w:t>，</w:t>
            </w:r>
            <w:r>
              <w:rPr>
                <w:rFonts w:hint="eastAsia" w:ascii="宋体" w:hAnsi="宋体" w:eastAsia="宋体" w:cs="宋体"/>
                <w:kern w:val="0"/>
                <w:sz w:val="24"/>
                <w:szCs w:val="24"/>
                <w:highlight w:val="none"/>
              </w:rPr>
              <w:t>属于</w:t>
            </w:r>
            <w:r>
              <w:rPr>
                <w:rFonts w:hint="eastAsia" w:ascii="宋体" w:hAnsi="宋体" w:eastAsia="宋体" w:cs="宋体"/>
                <w:kern w:val="0"/>
                <w:sz w:val="24"/>
                <w:szCs w:val="24"/>
                <w:highlight w:val="none"/>
                <w:u w:val="single"/>
                <w:lang w:val="en-US" w:eastAsia="zh-CN"/>
              </w:rPr>
              <w:t xml:space="preserve">工业 </w:t>
            </w:r>
            <w:r>
              <w:rPr>
                <w:rFonts w:hint="eastAsia" w:ascii="宋体" w:hAnsi="宋体" w:eastAsia="宋体" w:cs="宋体"/>
                <w:kern w:val="0"/>
                <w:sz w:val="24"/>
                <w:szCs w:val="24"/>
                <w:highlight w:val="none"/>
              </w:rPr>
              <w:t>；</w:t>
            </w:r>
          </w:p>
          <w:p w14:paraId="28C83B70">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中小企业划型标准详见：工信部联企业〔2011〕300号</w:t>
            </w:r>
          </w:p>
        </w:tc>
      </w:tr>
      <w:tr w14:paraId="71D9D1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11" w:hRule="atLeast"/>
          <w:jc w:val="center"/>
        </w:trPr>
        <w:tc>
          <w:tcPr>
            <w:tcW w:w="626" w:type="dxa"/>
            <w:tcBorders>
              <w:tl2br w:val="nil"/>
              <w:tr2bl w:val="nil"/>
            </w:tcBorders>
            <w:vAlign w:val="center"/>
          </w:tcPr>
          <w:p w14:paraId="4B24582A">
            <w:pPr>
              <w:snapToGrid w:val="0"/>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10</w:t>
            </w:r>
          </w:p>
        </w:tc>
        <w:tc>
          <w:tcPr>
            <w:tcW w:w="1838" w:type="dxa"/>
            <w:tcBorders>
              <w:tl2br w:val="nil"/>
              <w:tr2bl w:val="nil"/>
            </w:tcBorders>
            <w:vAlign w:val="center"/>
          </w:tcPr>
          <w:p w14:paraId="34AF4CB8">
            <w:pPr>
              <w:spacing w:line="360" w:lineRule="auto"/>
              <w:jc w:val="center"/>
              <w:rPr>
                <w:rFonts w:hint="eastAsia" w:ascii="宋体" w:hAnsi="宋体" w:eastAsia="宋体" w:cs="宋体"/>
                <w:b/>
                <w:sz w:val="24"/>
                <w:highlight w:val="none"/>
              </w:rPr>
            </w:pPr>
            <w:r>
              <w:rPr>
                <w:rFonts w:hint="eastAsia" w:ascii="宋体" w:hAnsi="宋体" w:eastAsia="宋体" w:cs="宋体"/>
                <w:b/>
                <w:bCs/>
                <w:sz w:val="24"/>
                <w:highlight w:val="none"/>
              </w:rPr>
              <w:t>促进中小企业发展政策</w:t>
            </w:r>
          </w:p>
        </w:tc>
        <w:tc>
          <w:tcPr>
            <w:tcW w:w="6714" w:type="dxa"/>
            <w:tcBorders>
              <w:tl2br w:val="nil"/>
              <w:tr2bl w:val="nil"/>
            </w:tcBorders>
            <w:vAlign w:val="center"/>
          </w:tcPr>
          <w:p w14:paraId="66F09508">
            <w:pPr>
              <w:keepNext w:val="0"/>
              <w:keepLines w:val="0"/>
              <w:pageBreakBefore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b w:val="0"/>
                <w:bCs w:val="0"/>
                <w:kern w:val="0"/>
                <w:sz w:val="24"/>
                <w:szCs w:val="24"/>
                <w:highlight w:val="none"/>
              </w:rPr>
            </w:pPr>
            <w:r>
              <w:rPr>
                <w:rFonts w:hint="eastAsia" w:ascii="宋体" w:hAnsi="宋体" w:eastAsia="宋体" w:cs="宋体"/>
                <w:b w:val="0"/>
                <w:bCs w:val="0"/>
                <w:sz w:val="24"/>
                <w:szCs w:val="24"/>
                <w:highlight w:val="none"/>
              </w:rPr>
              <w:t>对于专门面向中、小、微型企业或者监狱企业或者残疾人福利性单位，符合资格条件的不再执行价格评审优惠的扶持政策。</w:t>
            </w:r>
          </w:p>
        </w:tc>
      </w:tr>
      <w:tr w14:paraId="71AF25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09" w:hRule="atLeast"/>
          <w:jc w:val="center"/>
        </w:trPr>
        <w:tc>
          <w:tcPr>
            <w:tcW w:w="626" w:type="dxa"/>
            <w:tcBorders>
              <w:tl2br w:val="nil"/>
              <w:tr2bl w:val="nil"/>
            </w:tcBorders>
            <w:vAlign w:val="center"/>
          </w:tcPr>
          <w:p w14:paraId="5110EAED">
            <w:pPr>
              <w:snapToGrid w:val="0"/>
              <w:spacing w:line="360" w:lineRule="auto"/>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1</w:t>
            </w:r>
          </w:p>
        </w:tc>
        <w:tc>
          <w:tcPr>
            <w:tcW w:w="1838" w:type="dxa"/>
            <w:tcBorders>
              <w:tl2br w:val="nil"/>
              <w:tr2bl w:val="nil"/>
            </w:tcBorders>
            <w:vAlign w:val="center"/>
          </w:tcPr>
          <w:p w14:paraId="63766A0E">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节能产品、环境标志产品</w:t>
            </w:r>
          </w:p>
        </w:tc>
        <w:tc>
          <w:tcPr>
            <w:tcW w:w="6714" w:type="dxa"/>
            <w:tcBorders>
              <w:tl2br w:val="nil"/>
              <w:tr2bl w:val="nil"/>
            </w:tcBorders>
            <w:vAlign w:val="center"/>
          </w:tcPr>
          <w:p w14:paraId="09199048">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3A666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807" w:hRule="atLeast"/>
          <w:jc w:val="center"/>
        </w:trPr>
        <w:tc>
          <w:tcPr>
            <w:tcW w:w="626" w:type="dxa"/>
            <w:vMerge w:val="restart"/>
            <w:tcBorders>
              <w:tl2br w:val="nil"/>
              <w:tr2bl w:val="nil"/>
            </w:tcBorders>
            <w:vAlign w:val="center"/>
          </w:tcPr>
          <w:p w14:paraId="338B8E06">
            <w:pPr>
              <w:snapToGrid w:val="0"/>
              <w:spacing w:line="360" w:lineRule="auto"/>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2</w:t>
            </w:r>
          </w:p>
        </w:tc>
        <w:tc>
          <w:tcPr>
            <w:tcW w:w="1838" w:type="dxa"/>
            <w:vMerge w:val="restart"/>
            <w:tcBorders>
              <w:tl2br w:val="nil"/>
              <w:tr2bl w:val="nil"/>
            </w:tcBorders>
            <w:vAlign w:val="center"/>
          </w:tcPr>
          <w:p w14:paraId="01E200C3">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中小企业信用融资</w:t>
            </w:r>
          </w:p>
        </w:tc>
        <w:tc>
          <w:tcPr>
            <w:tcW w:w="6714" w:type="dxa"/>
            <w:tcBorders>
              <w:tl2br w:val="nil"/>
              <w:tr2bl w:val="nil"/>
            </w:tcBorders>
            <w:vAlign w:val="center"/>
          </w:tcPr>
          <w:p w14:paraId="5BDB355B">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z w:val="24"/>
                <w:szCs w:val="24"/>
                <w:highlight w:val="none"/>
              </w:rPr>
            </w:pPr>
            <w:r>
              <w:rPr>
                <w:rFonts w:hint="eastAsia" w:ascii="宋体" w:hAnsi="宋体" w:eastAsia="宋体" w:cs="宋体"/>
                <w:snapToGrid w:val="0"/>
                <w:kern w:val="28"/>
                <w:sz w:val="24"/>
                <w:szCs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37222F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09" w:hRule="atLeast"/>
          <w:jc w:val="center"/>
        </w:trPr>
        <w:tc>
          <w:tcPr>
            <w:tcW w:w="626" w:type="dxa"/>
            <w:vMerge w:val="continue"/>
            <w:tcBorders>
              <w:tl2br w:val="nil"/>
              <w:tr2bl w:val="nil"/>
            </w:tcBorders>
            <w:vAlign w:val="center"/>
          </w:tcPr>
          <w:p w14:paraId="41F4241F">
            <w:pPr>
              <w:spacing w:line="360" w:lineRule="auto"/>
              <w:ind w:firstLine="420" w:firstLineChars="200"/>
              <w:jc w:val="center"/>
              <w:rPr>
                <w:rFonts w:hint="eastAsia" w:ascii="宋体" w:hAnsi="宋体" w:eastAsia="宋体" w:cs="宋体"/>
                <w:highlight w:val="none"/>
              </w:rPr>
            </w:pPr>
          </w:p>
        </w:tc>
        <w:tc>
          <w:tcPr>
            <w:tcW w:w="1838" w:type="dxa"/>
            <w:vMerge w:val="continue"/>
            <w:tcBorders>
              <w:tl2br w:val="nil"/>
              <w:tr2bl w:val="nil"/>
            </w:tcBorders>
            <w:vAlign w:val="center"/>
          </w:tcPr>
          <w:p w14:paraId="684C6D3F">
            <w:pPr>
              <w:spacing w:line="360" w:lineRule="auto"/>
              <w:ind w:firstLine="420" w:firstLineChars="200"/>
              <w:jc w:val="center"/>
              <w:rPr>
                <w:rFonts w:hint="eastAsia" w:ascii="宋体" w:hAnsi="宋体" w:eastAsia="宋体" w:cs="宋体"/>
                <w:highlight w:val="none"/>
              </w:rPr>
            </w:pPr>
          </w:p>
        </w:tc>
        <w:tc>
          <w:tcPr>
            <w:tcW w:w="6714" w:type="dxa"/>
            <w:tcBorders>
              <w:tl2br w:val="nil"/>
              <w:tr2bl w:val="nil"/>
            </w:tcBorders>
            <w:vAlign w:val="center"/>
          </w:tcPr>
          <w:p w14:paraId="2C6420CC">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snapToGrid w:val="0"/>
                <w:kern w:val="28"/>
                <w:sz w:val="24"/>
                <w:szCs w:val="24"/>
                <w:highlight w:val="none"/>
              </w:rPr>
            </w:pPr>
            <w:r>
              <w:rPr>
                <w:rFonts w:hint="eastAsia" w:ascii="宋体" w:hAnsi="宋体" w:eastAsia="宋体" w:cs="宋体"/>
                <w:snapToGrid w:val="0"/>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4653B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10" w:hRule="atLeast"/>
          <w:jc w:val="center"/>
        </w:trPr>
        <w:tc>
          <w:tcPr>
            <w:tcW w:w="626" w:type="dxa"/>
            <w:tcBorders>
              <w:tl2br w:val="nil"/>
              <w:tr2bl w:val="nil"/>
            </w:tcBorders>
            <w:vAlign w:val="center"/>
          </w:tcPr>
          <w:p w14:paraId="2961F001">
            <w:pPr>
              <w:snapToGrid w:val="0"/>
              <w:spacing w:line="360" w:lineRule="auto"/>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3</w:t>
            </w:r>
          </w:p>
        </w:tc>
        <w:tc>
          <w:tcPr>
            <w:tcW w:w="1838" w:type="dxa"/>
            <w:tcBorders>
              <w:tl2br w:val="nil"/>
              <w:tr2bl w:val="nil"/>
            </w:tcBorders>
            <w:vAlign w:val="center"/>
          </w:tcPr>
          <w:p w14:paraId="2DC16653">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备份投标文件送达地点和签收人员</w:t>
            </w:r>
          </w:p>
        </w:tc>
        <w:tc>
          <w:tcPr>
            <w:tcW w:w="6714" w:type="dxa"/>
            <w:tcBorders>
              <w:tl2br w:val="nil"/>
              <w:tr2bl w:val="nil"/>
            </w:tcBorders>
            <w:vAlign w:val="center"/>
          </w:tcPr>
          <w:p w14:paraId="43BAC975">
            <w:pPr>
              <w:pStyle w:val="39"/>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kern w:val="28"/>
                <w:sz w:val="24"/>
                <w:szCs w:val="24"/>
                <w:highlight w:val="none"/>
              </w:rPr>
            </w:pPr>
            <w:r>
              <w:rPr>
                <w:rFonts w:hint="eastAsia" w:ascii="宋体" w:hAnsi="宋体" w:eastAsia="宋体" w:cs="宋体"/>
                <w:kern w:val="28"/>
                <w:sz w:val="24"/>
                <w:szCs w:val="24"/>
                <w:highlight w:val="none"/>
              </w:rPr>
              <w:t>备份投标文件送达地点：</w:t>
            </w:r>
            <w:r>
              <w:rPr>
                <w:rFonts w:hint="eastAsia" w:ascii="宋体" w:hAnsi="宋体" w:eastAsia="宋体" w:cs="宋体"/>
                <w:sz w:val="24"/>
                <w:szCs w:val="24"/>
                <w:highlight w:val="none"/>
                <w:u w:val="single"/>
                <w:lang w:eastAsia="zh-CN"/>
              </w:rPr>
              <w:t xml:space="preserve">桐庐县迎春南路88号桦桐大厦1101室 </w:t>
            </w:r>
            <w:r>
              <w:rPr>
                <w:rFonts w:hint="eastAsia" w:ascii="宋体" w:hAnsi="宋体" w:eastAsia="宋体" w:cs="宋体"/>
                <w:kern w:val="28"/>
                <w:sz w:val="24"/>
                <w:szCs w:val="24"/>
                <w:highlight w:val="none"/>
              </w:rPr>
              <w:t>；备份投标文件签收人员</w:t>
            </w:r>
            <w:r>
              <w:rPr>
                <w:rFonts w:hint="eastAsia" w:ascii="宋体" w:hAnsi="宋体" w:eastAsia="宋体" w:cs="宋体"/>
                <w:kern w:val="28"/>
                <w:sz w:val="24"/>
                <w:szCs w:val="24"/>
                <w:highlight w:val="none"/>
                <w:lang w:eastAsia="zh-CN"/>
              </w:rPr>
              <w:t>：</w:t>
            </w:r>
            <w:r>
              <w:rPr>
                <w:rFonts w:hint="eastAsia" w:ascii="宋体" w:hAnsi="宋体" w:eastAsia="宋体" w:cs="宋体"/>
                <w:kern w:val="28"/>
                <w:sz w:val="24"/>
                <w:szCs w:val="24"/>
                <w:highlight w:val="none"/>
                <w:u w:val="single"/>
                <w:lang w:eastAsia="zh-CN"/>
              </w:rPr>
              <w:t>陶张水</w:t>
            </w:r>
            <w:r>
              <w:rPr>
                <w:rFonts w:hint="eastAsia" w:ascii="宋体" w:hAnsi="宋体" w:eastAsia="宋体" w:cs="宋体"/>
                <w:kern w:val="28"/>
                <w:sz w:val="24"/>
                <w:szCs w:val="24"/>
                <w:highlight w:val="none"/>
                <w:u w:val="none"/>
                <w:lang w:eastAsia="zh-CN"/>
              </w:rPr>
              <w:t>，</w:t>
            </w:r>
            <w:r>
              <w:rPr>
                <w:rFonts w:hint="eastAsia" w:ascii="宋体" w:hAnsi="宋体" w:eastAsia="宋体" w:cs="宋体"/>
                <w:kern w:val="28"/>
                <w:sz w:val="24"/>
                <w:szCs w:val="24"/>
                <w:highlight w:val="none"/>
              </w:rPr>
              <w:t>联系电话：</w:t>
            </w:r>
            <w:r>
              <w:rPr>
                <w:rFonts w:hint="eastAsia" w:ascii="宋体" w:hAnsi="宋体" w:eastAsia="宋体" w:cs="宋体"/>
                <w:sz w:val="24"/>
                <w:szCs w:val="24"/>
                <w:highlight w:val="none"/>
                <w:u w:val="single"/>
                <w:lang w:val="en-US" w:eastAsia="zh-CN"/>
              </w:rPr>
              <w:t>0571-64217869</w:t>
            </w:r>
            <w:r>
              <w:rPr>
                <w:rFonts w:hint="eastAsia" w:ascii="宋体" w:hAnsi="宋体" w:eastAsia="宋体" w:cs="宋体"/>
                <w:sz w:val="24"/>
                <w:szCs w:val="24"/>
                <w:highlight w:val="none"/>
              </w:rPr>
              <w:t>。</w:t>
            </w:r>
            <w:r>
              <w:rPr>
                <w:rFonts w:hint="eastAsia" w:ascii="宋体" w:hAnsi="宋体" w:eastAsia="宋体" w:cs="宋体"/>
                <w:b/>
                <w:sz w:val="24"/>
                <w:szCs w:val="24"/>
                <w:highlight w:val="none"/>
              </w:rPr>
              <w:t>采购人、采购机构不强制或变相强制投标人提交备份投标文件。</w:t>
            </w:r>
          </w:p>
        </w:tc>
      </w:tr>
      <w:tr w14:paraId="3A2CC4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405" w:hRule="atLeast"/>
          <w:jc w:val="center"/>
        </w:trPr>
        <w:tc>
          <w:tcPr>
            <w:tcW w:w="626" w:type="dxa"/>
            <w:tcBorders>
              <w:tl2br w:val="nil"/>
              <w:tr2bl w:val="nil"/>
            </w:tcBorders>
            <w:vAlign w:val="center"/>
          </w:tcPr>
          <w:p w14:paraId="4BAD2BF2">
            <w:pPr>
              <w:snapToGrid w:val="0"/>
              <w:spacing w:line="360" w:lineRule="auto"/>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4</w:t>
            </w:r>
          </w:p>
        </w:tc>
        <w:tc>
          <w:tcPr>
            <w:tcW w:w="1838" w:type="dxa"/>
            <w:tcBorders>
              <w:tl2br w:val="nil"/>
              <w:tr2bl w:val="nil"/>
            </w:tcBorders>
            <w:vAlign w:val="center"/>
          </w:tcPr>
          <w:p w14:paraId="4FDEDE46">
            <w:pPr>
              <w:spacing w:line="360" w:lineRule="auto"/>
              <w:jc w:val="center"/>
              <w:rPr>
                <w:rFonts w:hint="eastAsia" w:ascii="宋体" w:hAnsi="宋体" w:eastAsia="宋体" w:cs="宋体"/>
                <w:b/>
                <w:sz w:val="24"/>
                <w:highlight w:val="none"/>
              </w:rPr>
            </w:pPr>
            <w:r>
              <w:rPr>
                <w:rFonts w:hint="eastAsia" w:ascii="宋体" w:hAnsi="宋体" w:eastAsia="宋体" w:cs="宋体"/>
                <w:b/>
                <w:bCs/>
                <w:sz w:val="24"/>
                <w:highlight w:val="none"/>
                <w:lang w:eastAsia="zh-CN"/>
              </w:rPr>
              <w:t>代理服务费</w:t>
            </w:r>
          </w:p>
        </w:tc>
        <w:tc>
          <w:tcPr>
            <w:tcW w:w="6714" w:type="dxa"/>
            <w:tcBorders>
              <w:tl2br w:val="nil"/>
              <w:tr2bl w:val="nil"/>
            </w:tcBorders>
            <w:vAlign w:val="center"/>
          </w:tcPr>
          <w:p w14:paraId="43280BC6">
            <w:pPr>
              <w:keepNext w:val="0"/>
              <w:keepLines w:val="0"/>
              <w:pageBreakBefore w:val="0"/>
              <w:widowControl/>
              <w:kinsoku/>
              <w:wordWrap/>
              <w:overflowPunct/>
              <w:topLinePunct w:val="0"/>
              <w:autoSpaceDE/>
              <w:autoSpaceDN/>
              <w:bidi w:val="0"/>
              <w:adjustRightInd w:val="0"/>
              <w:spacing w:line="440" w:lineRule="exact"/>
              <w:jc w:val="left"/>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本次采购的招标代理服务费由成交人支付，按浙价服[2003]77号文件（货物类）收费标准计取；由中标（成交）供应商在领取中标通知书前一次性支付给代理公司</w:t>
            </w:r>
            <w:r>
              <w:rPr>
                <w:rFonts w:hint="eastAsia" w:ascii="宋体" w:hAnsi="宋体" w:eastAsia="宋体" w:cs="宋体"/>
                <w:bCs/>
                <w:sz w:val="24"/>
                <w:szCs w:val="24"/>
                <w:highlight w:val="none"/>
                <w:lang w:eastAsia="zh-CN"/>
              </w:rPr>
              <w:t>，费用应含在投标报价中（不得单独列项），供应商在投标报价中考虑上述费用</w:t>
            </w:r>
            <w:r>
              <w:rPr>
                <w:rFonts w:hint="eastAsia" w:ascii="宋体" w:hAnsi="宋体" w:eastAsia="宋体" w:cs="宋体"/>
                <w:bCs/>
                <w:sz w:val="24"/>
                <w:szCs w:val="24"/>
                <w:highlight w:val="none"/>
              </w:rPr>
              <w:t>。</w:t>
            </w:r>
          </w:p>
          <w:p w14:paraId="39BDEFC4">
            <w:pPr>
              <w:keepNext w:val="0"/>
              <w:keepLines w:val="0"/>
              <w:pageBreakBefore w:val="0"/>
              <w:widowControl/>
              <w:kinsoku/>
              <w:wordWrap/>
              <w:overflowPunct/>
              <w:topLinePunct w:val="0"/>
              <w:autoSpaceDE/>
              <w:autoSpaceDN/>
              <w:bidi w:val="0"/>
              <w:adjustRightInd w:val="0"/>
              <w:spacing w:line="440" w:lineRule="exact"/>
              <w:jc w:val="left"/>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收款单位名称：杭州桐庐正宏建设管理有限公司</w:t>
            </w:r>
          </w:p>
          <w:p w14:paraId="410A873C">
            <w:pPr>
              <w:keepNext w:val="0"/>
              <w:keepLines w:val="0"/>
              <w:pageBreakBefore w:val="0"/>
              <w:widowControl/>
              <w:kinsoku/>
              <w:wordWrap/>
              <w:overflowPunct/>
              <w:topLinePunct w:val="0"/>
              <w:autoSpaceDE/>
              <w:autoSpaceDN/>
              <w:bidi w:val="0"/>
              <w:adjustRightInd w:val="0"/>
              <w:spacing w:line="440" w:lineRule="exact"/>
              <w:jc w:val="left"/>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帐号：33001617182059828828</w:t>
            </w:r>
          </w:p>
          <w:p w14:paraId="57A98355">
            <w:pPr>
              <w:keepNext w:val="0"/>
              <w:keepLines w:val="0"/>
              <w:pageBreakBefore w:val="0"/>
              <w:widowControl/>
              <w:kinsoku/>
              <w:wordWrap/>
              <w:overflowPunct/>
              <w:topLinePunct w:val="0"/>
              <w:autoSpaceDE/>
              <w:autoSpaceDN/>
              <w:bidi w:val="0"/>
              <w:adjustRightInd w:val="0"/>
              <w:spacing w:line="440" w:lineRule="exact"/>
              <w:jc w:val="left"/>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开户行：建行桐庐江南支行</w:t>
            </w:r>
          </w:p>
          <w:p w14:paraId="17EBA66D">
            <w:pPr>
              <w:keepNext w:val="0"/>
              <w:keepLines w:val="0"/>
              <w:pageBreakBefore w:val="0"/>
              <w:widowControl/>
              <w:kinsoku/>
              <w:wordWrap/>
              <w:overflowPunct/>
              <w:topLinePunct w:val="0"/>
              <w:autoSpaceDE/>
              <w:autoSpaceDN/>
              <w:bidi w:val="0"/>
              <w:adjustRightInd w:val="0"/>
              <w:spacing w:line="440" w:lineRule="exact"/>
              <w:jc w:val="left"/>
              <w:textAlignment w:val="auto"/>
              <w:rPr>
                <w:rFonts w:hint="eastAsia" w:ascii="宋体" w:hAnsi="宋体" w:eastAsia="宋体" w:cs="宋体"/>
                <w:b/>
                <w:bCs/>
                <w:sz w:val="24"/>
                <w:szCs w:val="24"/>
                <w:highlight w:val="none"/>
                <w:lang w:eastAsia="zh-CN"/>
              </w:rPr>
            </w:pPr>
            <w:r>
              <w:rPr>
                <w:rFonts w:hint="eastAsia" w:ascii="宋体" w:hAnsi="宋体" w:eastAsia="宋体" w:cs="宋体"/>
                <w:bCs/>
                <w:sz w:val="24"/>
                <w:szCs w:val="24"/>
                <w:highlight w:val="none"/>
              </w:rPr>
              <w:t>（税号）统一社会信用代码：</w:t>
            </w:r>
            <w:r>
              <w:rPr>
                <w:rFonts w:hint="eastAsia" w:ascii="宋体" w:hAnsi="宋体" w:eastAsia="宋体" w:cs="宋体"/>
                <w:bCs/>
                <w:sz w:val="24"/>
                <w:szCs w:val="24"/>
                <w:highlight w:val="none"/>
                <w:lang w:eastAsia="zh-CN"/>
              </w:rPr>
              <w:t>91330122723632132F</w:t>
            </w:r>
          </w:p>
        </w:tc>
      </w:tr>
      <w:tr w14:paraId="30A860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23" w:hRule="atLeast"/>
          <w:jc w:val="center"/>
        </w:trPr>
        <w:tc>
          <w:tcPr>
            <w:tcW w:w="626" w:type="dxa"/>
            <w:tcBorders>
              <w:tl2br w:val="nil"/>
              <w:tr2bl w:val="nil"/>
            </w:tcBorders>
            <w:vAlign w:val="center"/>
          </w:tcPr>
          <w:p w14:paraId="023298B9">
            <w:pPr>
              <w:snapToGrid w:val="0"/>
              <w:spacing w:line="360" w:lineRule="auto"/>
              <w:jc w:val="center"/>
              <w:rPr>
                <w:rFonts w:hint="eastAsia" w:ascii="宋体" w:hAnsi="宋体" w:eastAsia="宋体" w:cs="宋体"/>
                <w:sz w:val="24"/>
                <w:highlight w:val="none"/>
                <w:lang w:eastAsia="zh-CN"/>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5</w:t>
            </w:r>
          </w:p>
        </w:tc>
        <w:tc>
          <w:tcPr>
            <w:tcW w:w="1838" w:type="dxa"/>
            <w:tcBorders>
              <w:tl2br w:val="nil"/>
              <w:tr2bl w:val="nil"/>
            </w:tcBorders>
            <w:vAlign w:val="center"/>
          </w:tcPr>
          <w:p w14:paraId="58328FB6">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特别说明</w:t>
            </w:r>
          </w:p>
        </w:tc>
        <w:tc>
          <w:tcPr>
            <w:tcW w:w="6714" w:type="dxa"/>
            <w:tcBorders>
              <w:tl2br w:val="nil"/>
              <w:tr2bl w:val="nil"/>
            </w:tcBorders>
            <w:vAlign w:val="center"/>
          </w:tcPr>
          <w:p w14:paraId="033BC138">
            <w:pPr>
              <w:keepNext w:val="0"/>
              <w:keepLines w:val="0"/>
              <w:pageBreakBefore w:val="0"/>
              <w:kinsoku/>
              <w:wordWrap/>
              <w:overflowPunct/>
              <w:topLinePunct w:val="0"/>
              <w:autoSpaceDE/>
              <w:autoSpaceDN/>
              <w:bidi w:val="0"/>
              <w:adjustRightInd w:val="0"/>
              <w:spacing w:line="440" w:lineRule="exact"/>
              <w:textAlignment w:val="auto"/>
              <w:rPr>
                <w:rFonts w:hint="eastAsia" w:ascii="宋体" w:hAnsi="宋体" w:eastAsia="宋体" w:cs="宋体"/>
                <w:bCs/>
                <w:sz w:val="24"/>
                <w:szCs w:val="24"/>
                <w:highlight w:val="none"/>
              </w:rPr>
            </w:pPr>
            <w:r>
              <w:rPr>
                <w:rFonts w:hint="eastAsia" w:ascii="宋体" w:hAnsi="宋体" w:eastAsia="宋体" w:cs="宋体"/>
                <w:b w:val="0"/>
                <w:bCs w:val="0"/>
                <w:kern w:val="0"/>
                <w:sz w:val="24"/>
                <w:szCs w:val="24"/>
                <w:highlight w:val="none"/>
                <w:lang w:val="zh-CN"/>
              </w:rPr>
              <w:t>中标单位在领取中标通知书时，向采购机构提供本项目纸质投标文件（“资格文件”、“报价文件”和“商务技术文件”）</w:t>
            </w:r>
            <w:r>
              <w:rPr>
                <w:rFonts w:hint="eastAsia" w:ascii="宋体" w:hAnsi="宋体" w:eastAsia="宋体" w:cs="宋体"/>
                <w:b w:val="0"/>
                <w:bCs w:val="0"/>
                <w:kern w:val="0"/>
                <w:sz w:val="24"/>
                <w:szCs w:val="24"/>
                <w:highlight w:val="none"/>
                <w:lang w:val="en-US" w:eastAsia="zh-CN"/>
              </w:rPr>
              <w:t>三</w:t>
            </w:r>
            <w:r>
              <w:rPr>
                <w:rFonts w:hint="eastAsia" w:ascii="宋体" w:hAnsi="宋体" w:eastAsia="宋体" w:cs="宋体"/>
                <w:b w:val="0"/>
                <w:bCs w:val="0"/>
                <w:kern w:val="0"/>
                <w:sz w:val="24"/>
                <w:szCs w:val="24"/>
                <w:highlight w:val="none"/>
                <w:lang w:val="zh-CN"/>
              </w:rPr>
              <w:t>份。</w:t>
            </w:r>
          </w:p>
        </w:tc>
      </w:tr>
      <w:bookmarkEnd w:id="3"/>
    </w:tbl>
    <w:p w14:paraId="39FF1CA4">
      <w:pPr>
        <w:adjustRightInd/>
        <w:spacing w:line="360" w:lineRule="auto"/>
        <w:ind w:firstLine="3845" w:firstLineChars="1197"/>
        <w:outlineLvl w:val="0"/>
        <w:rPr>
          <w:rFonts w:hint="eastAsia" w:ascii="宋体" w:hAnsi="宋体" w:eastAsia="宋体" w:cs="宋体"/>
          <w:b/>
          <w:sz w:val="32"/>
          <w:szCs w:val="20"/>
          <w:highlight w:val="none"/>
        </w:rPr>
        <w:sectPr>
          <w:pgSz w:w="11906" w:h="16838"/>
          <w:pgMar w:top="1304" w:right="1304" w:bottom="1304" w:left="1304"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bookmarkStart w:id="4" w:name="_Toc164416483"/>
      <w:bookmarkStart w:id="5" w:name="第三部分"/>
    </w:p>
    <w:p w14:paraId="4447C246">
      <w:pPr>
        <w:adjustRightInd/>
        <w:spacing w:line="360" w:lineRule="auto"/>
        <w:jc w:val="center"/>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一、总则</w:t>
      </w:r>
    </w:p>
    <w:p w14:paraId="79E4BCFF">
      <w:pPr>
        <w:snapToGrid w:val="0"/>
        <w:spacing w:line="360" w:lineRule="auto"/>
        <w:ind w:firstLine="361" w:firstLineChars="150"/>
        <w:jc w:val="left"/>
        <w:outlineLvl w:val="1"/>
        <w:rPr>
          <w:rFonts w:hint="eastAsia" w:ascii="宋体" w:hAnsi="宋体" w:eastAsia="宋体" w:cs="宋体"/>
          <w:b/>
          <w:sz w:val="24"/>
          <w:highlight w:val="none"/>
        </w:rPr>
      </w:pPr>
      <w:r>
        <w:rPr>
          <w:rFonts w:hint="eastAsia" w:ascii="宋体" w:hAnsi="宋体" w:eastAsia="宋体" w:cs="宋体"/>
          <w:b/>
          <w:sz w:val="24"/>
          <w:highlight w:val="none"/>
        </w:rPr>
        <w:t>1. 适用范围</w:t>
      </w:r>
    </w:p>
    <w:p w14:paraId="3A766D88">
      <w:pPr>
        <w:snapToGrid w:val="0"/>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本招标文件适用于该项目的招标、投标、开标、资格审查及信用信息查询、评标、定标、合同、验收等行为（法律、法规另有规定的，从其规定）。</w:t>
      </w:r>
    </w:p>
    <w:p w14:paraId="569FDF0B">
      <w:pPr>
        <w:adjustRightInd/>
        <w:spacing w:line="360" w:lineRule="auto"/>
        <w:outlineLvl w:val="0"/>
        <w:rPr>
          <w:rFonts w:hint="eastAsia" w:ascii="宋体" w:hAnsi="宋体" w:eastAsia="宋体" w:cs="宋体"/>
          <w:b/>
          <w:sz w:val="24"/>
          <w:highlight w:val="none"/>
        </w:rPr>
      </w:pPr>
      <w:r>
        <w:rPr>
          <w:rFonts w:hint="eastAsia" w:ascii="宋体" w:hAnsi="宋体" w:eastAsia="宋体" w:cs="宋体"/>
          <w:b/>
          <w:sz w:val="24"/>
          <w:highlight w:val="none"/>
        </w:rPr>
        <w:t xml:space="preserve">   2.定义</w:t>
      </w:r>
    </w:p>
    <w:p w14:paraId="0B0E2AE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 “采购人”系指招标公告中载明的本项目的采购人。</w:t>
      </w:r>
    </w:p>
    <w:p w14:paraId="692A1E0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 “采购机构”系指招标公告中载明的本项目的采购机构。</w:t>
      </w:r>
    </w:p>
    <w:p w14:paraId="7777A74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2.3 “投标人”系指是指响应招标、参加投标竞争的法人、其他组织或者自然人。</w:t>
      </w:r>
    </w:p>
    <w:p w14:paraId="0D47C139">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2.4 “负责人”系指法人企业的法定负责人，或其他组织为法律、行政法规规定代表单位行使职权的主要负责人，或自然人本人。</w:t>
      </w:r>
    </w:p>
    <w:p w14:paraId="30E3622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32AC8B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2.6“电子交易平台”是指本项目政府采购活动所依托的政府采购云平台（https://www.zcygov.cn/）。</w:t>
      </w:r>
    </w:p>
    <w:p w14:paraId="34BEB5D0">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2.7 “▲” 系指实质性要求条款，</w:t>
      </w:r>
      <w:r>
        <w:rPr>
          <w:rFonts w:hint="eastAsia" w:asciiTheme="minorEastAsia" w:hAnsiTheme="minorEastAsia" w:eastAsiaTheme="minorEastAsia" w:cstheme="minorEastAsia"/>
          <w:sz w:val="24"/>
          <w:highlight w:val="none"/>
        </w:rPr>
        <w:t>“</w:t>
      </w:r>
      <w:sdt>
        <w:sdtPr>
          <w:rPr>
            <w:rFonts w:hint="eastAsia" w:asciiTheme="minorEastAsia" w:hAnsiTheme="minorEastAsia" w:eastAsiaTheme="minorEastAsia" w:cstheme="minorEastAsia"/>
            <w:kern w:val="0"/>
            <w:sz w:val="24"/>
            <w:highlight w:val="none"/>
          </w:rPr>
          <w:id w:val="147478220"/>
        </w:sdtPr>
        <w:sdtEndPr>
          <w:rPr>
            <w:rFonts w:hint="eastAsia" w:asciiTheme="minorEastAsia" w:hAnsiTheme="minorEastAsia" w:eastAsiaTheme="minorEastAsia" w:cstheme="minorEastAsia"/>
            <w:kern w:val="0"/>
            <w:sz w:val="24"/>
            <w:highlight w:val="none"/>
          </w:rPr>
        </w:sdtEndPr>
        <w:sdtContent>
          <w:sdt>
            <w:sdtPr>
              <w:rPr>
                <w:rFonts w:hint="eastAsia" w:ascii="宋体" w:hAnsi="宋体" w:cs="宋体"/>
                <w:kern w:val="0"/>
                <w:sz w:val="24"/>
                <w:highlight w:val="none"/>
              </w:rPr>
              <w:id w:val="147457178"/>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sdtContent>
      </w:sdt>
      <w:r>
        <w:rPr>
          <w:rFonts w:hint="eastAsia" w:asciiTheme="minorEastAsia" w:hAnsiTheme="minorEastAsia" w:eastAsiaTheme="minorEastAsia" w:cstheme="minorEastAsia"/>
          <w:sz w:val="24"/>
          <w:highlight w:val="none"/>
        </w:rPr>
        <w:t>”</w:t>
      </w:r>
      <w:r>
        <w:rPr>
          <w:rFonts w:hint="eastAsia" w:ascii="宋体" w:hAnsi="宋体" w:eastAsia="宋体" w:cs="宋体"/>
          <w:sz w:val="24"/>
          <w:highlight w:val="none"/>
        </w:rPr>
        <w:t>系指适用本项目的要求，“</w:t>
      </w:r>
      <w:sdt>
        <w:sdtPr>
          <w:rPr>
            <w:rFonts w:hint="eastAsia" w:ascii="宋体" w:hAnsi="宋体" w:eastAsia="宋体" w:cs="宋体"/>
            <w:kern w:val="0"/>
            <w:sz w:val="24"/>
            <w:highlight w:val="none"/>
          </w:rPr>
          <w:id w:val="404888855"/>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w:t>
          </w:r>
        </w:sdtContent>
      </w:sdt>
      <w:r>
        <w:rPr>
          <w:rFonts w:hint="eastAsia" w:ascii="宋体" w:hAnsi="宋体" w:eastAsia="宋体" w:cs="宋体"/>
          <w:sz w:val="24"/>
          <w:highlight w:val="none"/>
        </w:rPr>
        <w:t>” 系指不适用本项目的要求。</w:t>
      </w:r>
    </w:p>
    <w:p w14:paraId="61ACC1C0">
      <w:pPr>
        <w:spacing w:line="360" w:lineRule="auto"/>
        <w:ind w:firstLine="241" w:firstLineChars="100"/>
        <w:rPr>
          <w:rFonts w:hint="eastAsia" w:ascii="宋体" w:hAnsi="宋体" w:eastAsia="宋体" w:cs="宋体"/>
          <w:b/>
          <w:sz w:val="24"/>
          <w:highlight w:val="none"/>
        </w:rPr>
      </w:pPr>
      <w:r>
        <w:rPr>
          <w:rFonts w:hint="eastAsia" w:ascii="宋体" w:hAnsi="宋体" w:eastAsia="宋体" w:cs="宋体"/>
          <w:b/>
          <w:sz w:val="24"/>
          <w:highlight w:val="none"/>
        </w:rPr>
        <w:t>3.采购项目需要落实的政府采购政策</w:t>
      </w:r>
    </w:p>
    <w:p w14:paraId="344B630D">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91EEA58">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3.2 支持绿色发展</w:t>
      </w:r>
    </w:p>
    <w:p w14:paraId="7B060399">
      <w:pPr>
        <w:spacing w:line="360" w:lineRule="auto"/>
        <w:ind w:firstLine="480" w:firstLineChars="200"/>
        <w:rPr>
          <w:rFonts w:hint="eastAsia" w:ascii="宋体" w:hAnsi="宋体" w:eastAsia="宋体" w:cs="宋体"/>
          <w:b/>
          <w:sz w:val="24"/>
          <w:highlight w:val="none"/>
        </w:rPr>
      </w:pPr>
      <w:r>
        <w:rPr>
          <w:rFonts w:hint="eastAsia" w:ascii="宋体" w:hAnsi="宋体" w:eastAsia="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sz w:val="24"/>
          <w:highlight w:val="none"/>
        </w:rPr>
        <w:t>采购人拟采购的产品属于政府强制采购的节能产品品目清单范围的，投标人未按招标文件要求提供国家确定的认证机构出具的、处于有效期之内的节能产品认证证书的，投标无效。</w:t>
      </w:r>
    </w:p>
    <w:p w14:paraId="61B6945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3.2.2 修缮、装修类项目采购建材的，采购人应将绿色建筑和绿色建材性能、指标等作为实质性条件纳入招标文件和合同。</w:t>
      </w:r>
    </w:p>
    <w:p w14:paraId="7C0AF2A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4C8DE9A">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3.3支持中小企业发展</w:t>
      </w:r>
    </w:p>
    <w:p w14:paraId="62C2713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489E78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符合中小企业划分标准的个体工商户，在政府采购活动中视同中小企业。</w:t>
      </w:r>
    </w:p>
    <w:p w14:paraId="6224930A">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bCs/>
          <w:sz w:val="24"/>
          <w:highlight w:val="none"/>
        </w:rPr>
        <w:t>3.3.2</w:t>
      </w:r>
      <w:r>
        <w:rPr>
          <w:rFonts w:hint="eastAsia" w:ascii="宋体" w:hAnsi="宋体" w:eastAsia="宋体" w:cs="宋体"/>
          <w:kern w:val="0"/>
          <w:sz w:val="24"/>
          <w:highlight w:val="none"/>
        </w:rPr>
        <w:t>在政府采购活动中，投标人提供的货物、工程或者服务符合下列情形的，享受中小企业扶持政策：</w:t>
      </w:r>
    </w:p>
    <w:p w14:paraId="1717CFCA">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3.3.2.1在货物采购项目中，货物由中小企业制造，即货物由中小企业生产且使用该中小企业商号或者注册商标；</w:t>
      </w:r>
    </w:p>
    <w:p w14:paraId="7D784134">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3.3.2.2在工程采购项目中，工程由中小企业承建，即工程施工单位为中小企业；</w:t>
      </w:r>
    </w:p>
    <w:p w14:paraId="11AE1FCA">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3.3.2.3在服务采购项目中，服务由中小企业承接，即提供服务的人员为中小企业依照《中华人民共和国劳动合同法》订立劳动合同的从业人员。</w:t>
      </w:r>
    </w:p>
    <w:p w14:paraId="389EA403">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在货物采购项目中，投标人提供的货物既有中小企业制造货物，也有大型企业制造货物的，不享受中小企业扶持政策。</w:t>
      </w:r>
    </w:p>
    <w:p w14:paraId="0FA77881">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以联合体形式参加政府采购活动，联合体各方均为中小企业的，联合体视同中小企业。其中，联合体各方均为小微企业的，联合体视同小微企业。</w:t>
      </w:r>
    </w:p>
    <w:p w14:paraId="71FBC32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57C142E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3.3.4符合《关于促进残疾人就业政府采购政策的通知》（财库〔2017〕141号）规定的条件并提供《残疾人福利性单位声明函》（附件1）的残疾人福利性单位视同小型、微型企业；</w:t>
      </w:r>
    </w:p>
    <w:p w14:paraId="3935EC5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888157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A09A8B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3.3.7中小企业享受扶持政策获得政府采购合同的，小微企业不得将合同分包给大中型企业，中型企业不得将合同分包给大型企业。</w:t>
      </w:r>
    </w:p>
    <w:p w14:paraId="4BAAD856">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3.4</w:t>
      </w:r>
      <w:r>
        <w:rPr>
          <w:rFonts w:hint="eastAsia" w:ascii="宋体" w:hAnsi="宋体" w:eastAsia="宋体" w:cs="宋体"/>
          <w:bCs/>
          <w:sz w:val="24"/>
          <w:highlight w:val="none"/>
        </w:rPr>
        <w:t>支持创新发展</w:t>
      </w:r>
    </w:p>
    <w:p w14:paraId="1805FC1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3.4.1 采购人优先采购被认定为首台套产品和“制造精品”的自主创新产品。</w:t>
      </w:r>
    </w:p>
    <w:p w14:paraId="2A505EA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529BA6B">
      <w:pPr>
        <w:spacing w:line="360" w:lineRule="auto"/>
        <w:rPr>
          <w:rFonts w:hint="eastAsia" w:ascii="宋体" w:hAnsi="宋体" w:eastAsia="宋体" w:cs="宋体"/>
          <w:b/>
          <w:sz w:val="24"/>
          <w:highlight w:val="none"/>
        </w:rPr>
      </w:pPr>
      <w:r>
        <w:rPr>
          <w:rFonts w:hint="eastAsia" w:ascii="宋体" w:hAnsi="宋体" w:eastAsia="宋体" w:cs="宋体"/>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eastAsia="宋体" w:cs="宋体"/>
          <w:sz w:val="24"/>
          <w:highlight w:val="none"/>
        </w:rPr>
        <w:cr/>
      </w:r>
      <w:r>
        <w:rPr>
          <w:rFonts w:hint="eastAsia" w:ascii="宋体" w:hAnsi="宋体" w:eastAsia="宋体" w:cs="宋体"/>
          <w:b/>
          <w:sz w:val="24"/>
          <w:highlight w:val="none"/>
        </w:rPr>
        <w:t>4. 询问、质疑、投诉</w:t>
      </w:r>
    </w:p>
    <w:p w14:paraId="368481B4">
      <w:pPr>
        <w:autoSpaceDE w:val="0"/>
        <w:autoSpaceDN w:val="0"/>
        <w:spacing w:line="360" w:lineRule="auto"/>
        <w:ind w:firstLine="240" w:firstLineChars="1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4.1供应商询问</w:t>
      </w:r>
    </w:p>
    <w:p w14:paraId="22DA5B18">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841B552">
      <w:pPr>
        <w:autoSpaceDE w:val="0"/>
        <w:autoSpaceDN w:val="0"/>
        <w:spacing w:line="360" w:lineRule="auto"/>
        <w:ind w:firstLine="240" w:firstLineChars="1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4.2供应商质疑</w:t>
      </w:r>
    </w:p>
    <w:p w14:paraId="5E3723BE">
      <w:pPr>
        <w:pStyle w:val="39"/>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lang w:val="zh-CN"/>
        </w:rPr>
        <w:t>4.2</w:t>
      </w:r>
      <w:r>
        <w:rPr>
          <w:rFonts w:hint="eastAsia" w:ascii="宋体" w:hAnsi="宋体" w:eastAsia="宋体" w:cs="宋体"/>
          <w:sz w:val="24"/>
          <w:highlight w:val="none"/>
        </w:rPr>
        <w:t>.1提出质疑的供应商应当是参与所质疑项目采购活动的供应商。潜在供应商已依法获取其可质疑的招标文件的，可以对该文件提出质疑。</w:t>
      </w:r>
    </w:p>
    <w:p w14:paraId="00923392">
      <w:pPr>
        <w:pStyle w:val="39"/>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lang w:val="zh-CN"/>
        </w:rPr>
        <w:t>4.2</w:t>
      </w:r>
      <w:r>
        <w:rPr>
          <w:rFonts w:hint="eastAsia" w:ascii="宋体" w:hAnsi="宋体" w:eastAsia="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0EC0826">
      <w:pPr>
        <w:pStyle w:val="19"/>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4.2.2.1对招标文件提出质疑的，质疑期限为供应商获得招标文件之日或者招标文件公告期限届满之日起计算。</w:t>
      </w:r>
    </w:p>
    <w:p w14:paraId="2A87C2DF">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4.2.2.2对采购过程提出质疑的，质疑期限为各采购程序环节结束之日起计算。对同一采购程序环节的质疑，供应商须一次性提出。</w:t>
      </w:r>
    </w:p>
    <w:p w14:paraId="0E1C4E5E">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4.2.2.3对采购结果提出质疑的，质疑期限自采购结果公告期限届满之日起计算。</w:t>
      </w:r>
    </w:p>
    <w:p w14:paraId="4F1557D3">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4.2.3供应商提出质疑应当提交质疑函和必要的证明材料。质疑函应当包括下列内容：</w:t>
      </w:r>
    </w:p>
    <w:p w14:paraId="2A65312B">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4.2.3.1供应商的姓名或者名称、地址、邮编、联系人及联系电话；</w:t>
      </w:r>
    </w:p>
    <w:p w14:paraId="70F01FA5">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4.2.3.2质疑项目的名称、编号；</w:t>
      </w:r>
    </w:p>
    <w:p w14:paraId="47648E73">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4.2.3.3具体、明确的质疑事项和与质疑事项相关的请求；</w:t>
      </w:r>
    </w:p>
    <w:p w14:paraId="05286B3B">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4.2.3.4事实依据；</w:t>
      </w:r>
    </w:p>
    <w:p w14:paraId="3F5E0D33">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4.2.3.5必要的法律依据；</w:t>
      </w:r>
    </w:p>
    <w:p w14:paraId="704DE9F5">
      <w:pPr>
        <w:pStyle w:val="39"/>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4.2.3.6提出质疑的日期。</w:t>
      </w:r>
    </w:p>
    <w:p w14:paraId="23DDA055">
      <w:pPr>
        <w:pStyle w:val="39"/>
        <w:spacing w:line="360" w:lineRule="auto"/>
        <w:ind w:firstLine="480" w:firstLineChars="200"/>
        <w:rPr>
          <w:rFonts w:hint="eastAsia" w:ascii="宋体" w:hAnsi="宋体" w:eastAsia="宋体" w:cs="宋体"/>
          <w:highlight w:val="none"/>
        </w:rPr>
      </w:pPr>
      <w:r>
        <w:rPr>
          <w:rFonts w:hint="eastAsia" w:ascii="宋体" w:hAnsi="宋体" w:eastAsia="宋体" w:cs="宋体"/>
          <w:kern w:val="0"/>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16746130">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质疑函范本及制作说明详见附件2。</w:t>
      </w:r>
    </w:p>
    <w:p w14:paraId="7ADFE6FB">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620A043E">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.5询问或者质疑事项可能影响采购结果的，采购人应当暂停签订合同，已经签订合同的，应当中止履行合同。</w:t>
      </w:r>
    </w:p>
    <w:p w14:paraId="78384830">
      <w:pPr>
        <w:pStyle w:val="891"/>
        <w:shd w:val="clear" w:color="auto" w:fill="FFFFFF"/>
        <w:snapToGrid w:val="0"/>
        <w:spacing w:after="240" w:afterAutospacing="0" w:line="360" w:lineRule="auto"/>
        <w:ind w:firstLine="480" w:firstLineChars="200"/>
        <w:contextualSpacing/>
        <w:rPr>
          <w:rFonts w:hint="eastAsia" w:ascii="宋体" w:hAnsi="宋体" w:eastAsia="宋体" w:cs="宋体"/>
          <w:highlight w:val="none"/>
          <w:lang w:val="zh-CN"/>
        </w:rPr>
      </w:pPr>
      <w:r>
        <w:rPr>
          <w:rFonts w:hint="eastAsia" w:ascii="宋体" w:hAnsi="宋体" w:eastAsia="宋体" w:cs="宋体"/>
          <w:highlight w:val="none"/>
          <w:lang w:val="zh-CN"/>
        </w:rPr>
        <w:t>4.3供应商投诉</w:t>
      </w:r>
    </w:p>
    <w:p w14:paraId="33B36966">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4.3.1质疑供应商对采购人、采购机构的答复不满意或者采购人、采购机构未在规定的时间内作出答复的，可以在答复期满后十五个工作日内向同级政府采购监督管理部门提出投诉。</w:t>
      </w:r>
    </w:p>
    <w:p w14:paraId="32D72229">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w:t>
      </w:r>
      <w:r>
        <w:rPr>
          <w:rFonts w:hint="eastAsia" w:ascii="宋体" w:hAnsi="宋体" w:eastAsia="宋体" w:cs="宋体"/>
          <w:highlight w:val="none"/>
          <w:lang w:val="zh-CN"/>
        </w:rPr>
        <w:t>2</w:t>
      </w:r>
      <w:r>
        <w:rPr>
          <w:rFonts w:hint="eastAsia" w:ascii="宋体" w:hAnsi="宋体" w:eastAsia="宋体" w:cs="宋体"/>
          <w:highlight w:val="none"/>
        </w:rPr>
        <w:t>供应商投诉的事项不得超出已质疑事项的范围，基于质疑答复内容提出的投诉事项除外。</w:t>
      </w:r>
    </w:p>
    <w:p w14:paraId="1BA6721E">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4.3.3供应商投诉应当有明确的请求和必要的证明材料。</w:t>
      </w:r>
    </w:p>
    <w:p w14:paraId="2A3D21FA">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4.3.5 以联合体形式参加政府采购活动的，其投诉应当由组成联合体的所有供应商共同提出。</w:t>
      </w:r>
    </w:p>
    <w:p w14:paraId="290A820F">
      <w:pPr>
        <w:pStyle w:val="89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投诉书范本及制作说明详见附件3</w:t>
      </w:r>
    </w:p>
    <w:p w14:paraId="4921D4C7">
      <w:pPr>
        <w:adjustRightInd/>
        <w:spacing w:line="360" w:lineRule="auto"/>
        <w:jc w:val="center"/>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 xml:space="preserve">      二、招标文件的构成、澄清、修改</w:t>
      </w:r>
    </w:p>
    <w:p w14:paraId="42B4FE0D">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5．招标文件的构成</w:t>
      </w:r>
    </w:p>
    <w:p w14:paraId="21776345">
      <w:pPr>
        <w:pStyle w:val="39"/>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5.1 招标文件包括下列文件及附件：</w:t>
      </w:r>
    </w:p>
    <w:p w14:paraId="72D84A67">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5.1.1招标公告；</w:t>
      </w:r>
    </w:p>
    <w:p w14:paraId="5B5C6401">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5.1.2投标人须知；</w:t>
      </w:r>
    </w:p>
    <w:p w14:paraId="7EFABB83">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5.1.3采购需求；</w:t>
      </w:r>
    </w:p>
    <w:p w14:paraId="20D49965">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5.1.4评标办法；</w:t>
      </w:r>
    </w:p>
    <w:p w14:paraId="7213FEE6">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5.1.5拟签订的合同文本；</w:t>
      </w:r>
    </w:p>
    <w:p w14:paraId="5EE950C2">
      <w:pPr>
        <w:pStyle w:val="39"/>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highlight w:val="none"/>
        </w:rPr>
        <w:t>5.1.6</w:t>
      </w:r>
      <w:r>
        <w:rPr>
          <w:rFonts w:hint="eastAsia" w:ascii="宋体" w:hAnsi="宋体" w:eastAsia="宋体" w:cs="宋体"/>
          <w:sz w:val="24"/>
          <w:szCs w:val="24"/>
          <w:highlight w:val="none"/>
        </w:rPr>
        <w:t>应提交的有关格式范例。</w:t>
      </w:r>
    </w:p>
    <w:p w14:paraId="3570BAD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5.2与本项目有关的</w:t>
      </w:r>
      <w:r>
        <w:rPr>
          <w:rFonts w:hint="eastAsia" w:ascii="宋体" w:hAnsi="宋体" w:eastAsia="宋体" w:cs="宋体"/>
          <w:bCs/>
          <w:sz w:val="24"/>
          <w:highlight w:val="none"/>
        </w:rPr>
        <w:t>澄清或者修改的内容为招标文件的组成部分</w:t>
      </w:r>
      <w:r>
        <w:rPr>
          <w:rFonts w:hint="eastAsia" w:ascii="宋体" w:hAnsi="宋体" w:eastAsia="宋体" w:cs="宋体"/>
          <w:sz w:val="24"/>
          <w:highlight w:val="none"/>
        </w:rPr>
        <w:t>。</w:t>
      </w:r>
    </w:p>
    <w:p w14:paraId="37959FC7">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6. 招标文件的澄清、修改</w:t>
      </w:r>
    </w:p>
    <w:p w14:paraId="3407CA21">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6.1已获取招标文件的潜在投标人，若有问题需要澄清，应于投标截止时间前，以书面形式向采购机构提出。</w:t>
      </w:r>
    </w:p>
    <w:p w14:paraId="4108A872">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2FD2D88">
      <w:pPr>
        <w:adjustRightInd/>
        <w:spacing w:line="360" w:lineRule="auto"/>
        <w:jc w:val="center"/>
        <w:outlineLvl w:val="0"/>
        <w:rPr>
          <w:rFonts w:hint="eastAsia" w:ascii="宋体" w:hAnsi="宋体" w:eastAsia="宋体" w:cs="宋体"/>
          <w:b/>
          <w:sz w:val="30"/>
          <w:szCs w:val="20"/>
          <w:highlight w:val="none"/>
        </w:rPr>
      </w:pPr>
      <w:r>
        <w:rPr>
          <w:rFonts w:hint="eastAsia" w:ascii="宋体" w:hAnsi="宋体" w:eastAsia="宋体" w:cs="宋体"/>
          <w:b/>
          <w:sz w:val="30"/>
          <w:szCs w:val="20"/>
          <w:highlight w:val="none"/>
        </w:rPr>
        <w:t>三、投标</w:t>
      </w:r>
    </w:p>
    <w:p w14:paraId="25479BA3">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7. 招标文件的获取</w:t>
      </w:r>
    </w:p>
    <w:p w14:paraId="42E513F3">
      <w:pPr>
        <w:spacing w:line="360" w:lineRule="auto"/>
        <w:ind w:firstLine="480" w:firstLineChars="200"/>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详见招标公告中获取招标文件的时间期限、地点、方式及招标文件售价。</w:t>
      </w:r>
    </w:p>
    <w:p w14:paraId="4341B406">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8.开标前答疑会或现场考察</w:t>
      </w:r>
    </w:p>
    <w:p w14:paraId="17D4EDDB">
      <w:pPr>
        <w:pStyle w:val="39"/>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采购人组织潜在投标人现场考察或者召开开标前答疑会的，潜在投标人按第二部分投标人须知前附表的规定参加现场考察或者开标前答疑会。</w:t>
      </w:r>
    </w:p>
    <w:p w14:paraId="58B89214">
      <w:pPr>
        <w:pStyle w:val="39"/>
        <w:spacing w:line="360" w:lineRule="auto"/>
        <w:rPr>
          <w:rFonts w:hint="eastAsia" w:ascii="宋体" w:hAnsi="宋体" w:eastAsia="宋体" w:cs="宋体"/>
          <w:b/>
          <w:szCs w:val="24"/>
          <w:highlight w:val="none"/>
        </w:rPr>
      </w:pPr>
      <w:r>
        <w:rPr>
          <w:rFonts w:hint="eastAsia" w:ascii="宋体" w:hAnsi="宋体" w:eastAsia="宋体" w:cs="宋体"/>
          <w:b/>
          <w:kern w:val="28"/>
          <w:sz w:val="24"/>
          <w:szCs w:val="24"/>
          <w:highlight w:val="none"/>
        </w:rPr>
        <w:t>9.投标保证金</w:t>
      </w:r>
    </w:p>
    <w:p w14:paraId="17C85BF2">
      <w:pPr>
        <w:pStyle w:val="19"/>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4256EA59">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10. 投标文件的语言</w:t>
      </w:r>
    </w:p>
    <w:p w14:paraId="6FAFBEDA">
      <w:pPr>
        <w:autoSpaceDE w:val="0"/>
        <w:autoSpaceDN w:val="0"/>
        <w:spacing w:line="360" w:lineRule="auto"/>
        <w:ind w:firstLine="480" w:firstLineChars="200"/>
        <w:rPr>
          <w:rFonts w:hint="eastAsia" w:ascii="宋体" w:hAnsi="宋体" w:eastAsia="宋体" w:cs="宋体"/>
          <w:sz w:val="24"/>
          <w:highlight w:val="none"/>
          <w:lang w:val="zh-CN"/>
        </w:rPr>
      </w:pPr>
      <w:r>
        <w:rPr>
          <w:rFonts w:hint="eastAsia" w:ascii="宋体" w:hAnsi="宋体" w:eastAsia="宋体" w:cs="宋体"/>
          <w:sz w:val="24"/>
          <w:highlight w:val="none"/>
        </w:rPr>
        <w:t>投标文件及投标人与采购有关的来往通知、函件和文件均应使用中文。</w:t>
      </w:r>
    </w:p>
    <w:p w14:paraId="30B989D3">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11. 投标文件的组成</w:t>
      </w:r>
    </w:p>
    <w:p w14:paraId="379C8E57">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11.1</w:t>
      </w:r>
      <w:r>
        <w:rPr>
          <w:rFonts w:hint="eastAsia" w:ascii="宋体" w:hAnsi="宋体" w:eastAsia="宋体" w:cs="宋体"/>
          <w:b/>
          <w:sz w:val="24"/>
          <w:highlight w:val="none"/>
        </w:rPr>
        <w:t>资格文件</w:t>
      </w:r>
      <w:r>
        <w:rPr>
          <w:rFonts w:hint="eastAsia" w:ascii="宋体" w:hAnsi="宋体" w:eastAsia="宋体" w:cs="宋体"/>
          <w:sz w:val="24"/>
          <w:highlight w:val="none"/>
        </w:rPr>
        <w:t>：</w:t>
      </w:r>
    </w:p>
    <w:p w14:paraId="03D62DD4">
      <w:pPr>
        <w:snapToGrid w:val="0"/>
        <w:spacing w:line="360" w:lineRule="auto"/>
        <w:ind w:firstLine="960" w:firstLineChars="40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11.1.1提供有效的营业执照(或事业法人登记证或其他工商等登记证明材料)；</w:t>
      </w:r>
    </w:p>
    <w:p w14:paraId="2E879912">
      <w:pPr>
        <w:snapToGrid w:val="0"/>
        <w:spacing w:line="360" w:lineRule="auto"/>
        <w:ind w:firstLine="960" w:firstLineChars="4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11.1.</w:t>
      </w:r>
      <w:r>
        <w:rPr>
          <w:rFonts w:hint="eastAsia" w:asciiTheme="minorEastAsia" w:hAnsiTheme="minorEastAsia" w:eastAsiaTheme="minorEastAsia" w:cstheme="minorEastAsia"/>
          <w:sz w:val="24"/>
          <w:highlight w:val="none"/>
          <w:lang w:val="en-US" w:eastAsia="zh-CN"/>
        </w:rPr>
        <w:t>2</w:t>
      </w:r>
      <w:r>
        <w:rPr>
          <w:rFonts w:hint="eastAsia" w:asciiTheme="minorEastAsia" w:hAnsiTheme="minorEastAsia" w:eastAsiaTheme="minorEastAsia" w:cstheme="minorEastAsia"/>
          <w:sz w:val="24"/>
          <w:highlight w:val="none"/>
        </w:rPr>
        <w:t>符合参加政府采购活动应当具备的一般条件的承诺函；</w:t>
      </w:r>
    </w:p>
    <w:p w14:paraId="509DF7BA">
      <w:pPr>
        <w:snapToGrid w:val="0"/>
        <w:spacing w:line="360" w:lineRule="auto"/>
        <w:ind w:firstLine="960" w:firstLineChars="400"/>
        <w:rPr>
          <w:rFonts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11.1.</w:t>
      </w:r>
      <w:r>
        <w:rPr>
          <w:rFonts w:hint="eastAsia" w:asciiTheme="minorEastAsia" w:hAnsiTheme="minorEastAsia" w:eastAsiaTheme="minorEastAsia" w:cstheme="minorEastAsia"/>
          <w:sz w:val="24"/>
          <w:highlight w:val="none"/>
          <w:lang w:val="en-US" w:eastAsia="zh-CN"/>
        </w:rPr>
        <w:t>3</w:t>
      </w:r>
      <w:r>
        <w:rPr>
          <w:rFonts w:hint="eastAsia" w:asciiTheme="minorEastAsia" w:hAnsiTheme="minorEastAsia" w:eastAsiaTheme="minorEastAsia" w:cstheme="minorEastAsia"/>
          <w:sz w:val="24"/>
          <w:highlight w:val="none"/>
        </w:rPr>
        <w:t>落实政府采购政策需满足的资格要求；</w:t>
      </w:r>
      <w:r>
        <w:rPr>
          <w:rFonts w:hint="eastAsia" w:asciiTheme="minorEastAsia" w:hAnsiTheme="minorEastAsia" w:eastAsiaTheme="minorEastAsia" w:cstheme="minorEastAsia"/>
          <w:sz w:val="24"/>
          <w:highlight w:val="none"/>
          <w:lang w:eastAsia="zh-CN"/>
        </w:rPr>
        <w:t>（如有)</w:t>
      </w:r>
    </w:p>
    <w:p w14:paraId="0E6A428A">
      <w:pPr>
        <w:snapToGrid w:val="0"/>
        <w:spacing w:line="360" w:lineRule="auto"/>
        <w:ind w:firstLine="960" w:firstLineChars="400"/>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11.1.</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本项目的特定资格要求。</w:t>
      </w:r>
      <w:r>
        <w:rPr>
          <w:rFonts w:hint="eastAsia" w:asciiTheme="minorEastAsia" w:hAnsiTheme="minorEastAsia" w:eastAsiaTheme="minorEastAsia" w:cstheme="minorEastAsia"/>
          <w:sz w:val="24"/>
          <w:highlight w:val="none"/>
          <w:lang w:eastAsia="zh-CN"/>
        </w:rPr>
        <w:t>（如有）</w:t>
      </w:r>
    </w:p>
    <w:p w14:paraId="0C0752C1">
      <w:pPr>
        <w:snapToGrid w:val="0"/>
        <w:spacing w:line="360" w:lineRule="auto"/>
        <w:ind w:firstLine="482" w:firstLineChars="200"/>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11.</w:t>
      </w:r>
      <w:r>
        <w:rPr>
          <w:rFonts w:hint="eastAsia" w:ascii="宋体" w:hAnsi="宋体" w:eastAsia="宋体" w:cs="宋体"/>
          <w:b/>
          <w:bCs/>
          <w:sz w:val="24"/>
          <w:highlight w:val="none"/>
        </w:rPr>
        <w:t>2商务技术</w:t>
      </w:r>
      <w:r>
        <w:rPr>
          <w:rFonts w:hint="eastAsia" w:ascii="宋体" w:hAnsi="宋体" w:eastAsia="宋体" w:cs="宋体"/>
          <w:b/>
          <w:bCs/>
          <w:sz w:val="24"/>
          <w:highlight w:val="none"/>
          <w:lang w:val="zh-CN"/>
        </w:rPr>
        <w:t>文件：</w:t>
      </w:r>
    </w:p>
    <w:p w14:paraId="785985B5">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11.2.1投标函；</w:t>
      </w:r>
    </w:p>
    <w:p w14:paraId="68EF9BD9">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11.2.2授权委托书或法定代表人（单位负责人、自然人本人）身份证明；</w:t>
      </w:r>
    </w:p>
    <w:p w14:paraId="46FC9754">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hint="eastAsia" w:cs="宋体" w:asciiTheme="minorEastAsia" w:hAnsiTheme="minorEastAsia" w:eastAsiaTheme="minorEastAsia"/>
          <w:sz w:val="24"/>
          <w:highlight w:val="none"/>
          <w:lang w:val="en-US" w:eastAsia="zh-CN"/>
        </w:rPr>
        <w:t>3</w:t>
      </w:r>
      <w:r>
        <w:rPr>
          <w:rFonts w:hint="eastAsia" w:cs="宋体" w:asciiTheme="minorEastAsia" w:hAnsiTheme="minorEastAsia" w:eastAsiaTheme="minorEastAsia"/>
          <w:sz w:val="24"/>
          <w:highlight w:val="none"/>
        </w:rPr>
        <w:t>符合性审查资料；</w:t>
      </w:r>
    </w:p>
    <w:p w14:paraId="2455440C">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hint="eastAsia" w:cs="宋体" w:asciiTheme="minorEastAsia" w:hAnsiTheme="minorEastAsia" w:eastAsiaTheme="minorEastAsia"/>
          <w:sz w:val="24"/>
          <w:highlight w:val="none"/>
          <w:lang w:val="en-US" w:eastAsia="zh-CN"/>
        </w:rPr>
        <w:t>4</w:t>
      </w:r>
      <w:r>
        <w:rPr>
          <w:rFonts w:hint="eastAsia" w:cs="宋体" w:asciiTheme="minorEastAsia" w:hAnsiTheme="minorEastAsia" w:eastAsiaTheme="minorEastAsia"/>
          <w:sz w:val="24"/>
          <w:highlight w:val="none"/>
        </w:rPr>
        <w:t>评标标准相应的商务技术资料；</w:t>
      </w:r>
    </w:p>
    <w:p w14:paraId="2DE5F362">
      <w:pPr>
        <w:snapToGrid w:val="0"/>
        <w:spacing w:line="360" w:lineRule="auto"/>
        <w:ind w:firstLine="960" w:firstLineChars="400"/>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rPr>
        <w:t>11.2.</w:t>
      </w:r>
      <w:r>
        <w:rPr>
          <w:rFonts w:hint="eastAsia" w:cs="宋体" w:asciiTheme="minorEastAsia" w:hAnsiTheme="minorEastAsia" w:eastAsiaTheme="minorEastAsia"/>
          <w:sz w:val="24"/>
          <w:highlight w:val="none"/>
          <w:lang w:val="en-US" w:eastAsia="zh-CN"/>
        </w:rPr>
        <w:t>5</w:t>
      </w:r>
      <w:r>
        <w:rPr>
          <w:rFonts w:hint="eastAsia" w:cs="宋体" w:asciiTheme="minorEastAsia" w:hAnsiTheme="minorEastAsia" w:eastAsiaTheme="minorEastAsia"/>
          <w:sz w:val="24"/>
          <w:highlight w:val="none"/>
        </w:rPr>
        <w:t>投标标的清单</w:t>
      </w:r>
      <w:r>
        <w:rPr>
          <w:rFonts w:hint="eastAsia" w:cs="宋体" w:asciiTheme="minorEastAsia" w:hAnsiTheme="minorEastAsia" w:eastAsiaTheme="minorEastAsia"/>
          <w:sz w:val="24"/>
          <w:highlight w:val="none"/>
          <w:lang w:eastAsia="zh-CN"/>
        </w:rPr>
        <w:t>；</w:t>
      </w:r>
    </w:p>
    <w:p w14:paraId="78AF6D50">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hint="eastAsia" w:cs="宋体" w:asciiTheme="minorEastAsia" w:hAnsiTheme="minorEastAsia" w:eastAsiaTheme="minorEastAsia"/>
          <w:sz w:val="24"/>
          <w:highlight w:val="none"/>
          <w:lang w:val="en-US" w:eastAsia="zh-CN"/>
        </w:rPr>
        <w:t>6</w:t>
      </w:r>
      <w:r>
        <w:rPr>
          <w:rFonts w:hint="eastAsia" w:cs="宋体" w:asciiTheme="minorEastAsia" w:hAnsiTheme="minorEastAsia" w:eastAsiaTheme="minorEastAsia"/>
          <w:sz w:val="24"/>
          <w:highlight w:val="none"/>
        </w:rPr>
        <w:t>商务技术偏离表；</w:t>
      </w:r>
    </w:p>
    <w:p w14:paraId="0CB70044">
      <w:pPr>
        <w:snapToGrid w:val="0"/>
        <w:spacing w:line="360" w:lineRule="auto"/>
        <w:ind w:firstLine="960" w:firstLineChars="4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lang w:val="zh-CN"/>
        </w:rPr>
        <w:t>11.</w:t>
      </w: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hint="eastAsia" w:cs="宋体" w:asciiTheme="minorEastAsia" w:hAnsiTheme="minorEastAsia" w:eastAsiaTheme="minorEastAsia"/>
          <w:sz w:val="24"/>
          <w:highlight w:val="none"/>
          <w:lang w:val="en-US" w:eastAsia="zh-CN"/>
        </w:rPr>
        <w:t>7</w:t>
      </w:r>
      <w:r>
        <w:rPr>
          <w:rFonts w:hint="eastAsia" w:cs="宋体" w:asciiTheme="minorEastAsia" w:hAnsiTheme="minorEastAsia" w:eastAsiaTheme="minorEastAsia"/>
          <w:sz w:val="24"/>
          <w:highlight w:val="none"/>
          <w:lang w:val="zh-CN"/>
        </w:rPr>
        <w:t>政府采购供应商廉洁自律承诺书；</w:t>
      </w:r>
    </w:p>
    <w:p w14:paraId="44CCBCB5">
      <w:pPr>
        <w:snapToGrid w:val="0"/>
        <w:spacing w:line="360" w:lineRule="auto"/>
        <w:ind w:firstLine="482" w:firstLineChars="200"/>
        <w:rPr>
          <w:rFonts w:hint="eastAsia" w:ascii="宋体" w:hAnsi="宋体" w:eastAsia="宋体" w:cs="宋体"/>
          <w:sz w:val="24"/>
          <w:highlight w:val="none"/>
          <w:u w:val="single"/>
          <w:lang w:val="zh-CN"/>
        </w:rPr>
      </w:pPr>
      <w:r>
        <w:rPr>
          <w:rFonts w:hint="eastAsia" w:ascii="宋体" w:hAnsi="宋体" w:eastAsia="宋体" w:cs="宋体"/>
          <w:b/>
          <w:bCs/>
          <w:kern w:val="0"/>
          <w:sz w:val="24"/>
          <w:highlight w:val="none"/>
          <w:lang w:val="zh-CN"/>
        </w:rPr>
        <w:t>11.</w:t>
      </w:r>
      <w:r>
        <w:rPr>
          <w:rFonts w:hint="eastAsia" w:ascii="宋体" w:hAnsi="宋体" w:eastAsia="宋体" w:cs="宋体"/>
          <w:b/>
          <w:bCs/>
          <w:kern w:val="0"/>
          <w:sz w:val="24"/>
          <w:highlight w:val="none"/>
        </w:rPr>
        <w:t>3</w:t>
      </w:r>
      <w:r>
        <w:rPr>
          <w:rFonts w:hint="eastAsia" w:ascii="宋体" w:hAnsi="宋体" w:eastAsia="宋体" w:cs="宋体"/>
          <w:b/>
          <w:bCs/>
          <w:sz w:val="24"/>
          <w:highlight w:val="none"/>
        </w:rPr>
        <w:t>报价文</w:t>
      </w:r>
      <w:r>
        <w:rPr>
          <w:rFonts w:hint="eastAsia" w:ascii="宋体" w:hAnsi="宋体" w:eastAsia="宋体" w:cs="宋体"/>
          <w:b/>
          <w:sz w:val="24"/>
          <w:highlight w:val="none"/>
        </w:rPr>
        <w:t>件：</w:t>
      </w:r>
    </w:p>
    <w:p w14:paraId="5E655722">
      <w:pPr>
        <w:snapToGrid w:val="0"/>
        <w:spacing w:line="360" w:lineRule="auto"/>
        <w:ind w:firstLine="960" w:firstLineChars="400"/>
        <w:rPr>
          <w:rFonts w:hint="eastAsia" w:ascii="宋体" w:hAnsi="宋体" w:eastAsia="宋体" w:cs="宋体"/>
          <w:sz w:val="24"/>
          <w:highlight w:val="none"/>
        </w:rPr>
      </w:pPr>
      <w:r>
        <w:rPr>
          <w:rFonts w:hint="eastAsia" w:ascii="宋体" w:hAnsi="宋体" w:eastAsia="宋体" w:cs="宋体"/>
          <w:sz w:val="24"/>
          <w:highlight w:val="none"/>
        </w:rPr>
        <w:t>11.3.1开标一览表（报价表）；</w:t>
      </w:r>
    </w:p>
    <w:p w14:paraId="561A7984">
      <w:pPr>
        <w:snapToGrid w:val="0"/>
        <w:spacing w:line="360" w:lineRule="auto"/>
        <w:ind w:firstLine="960" w:firstLineChars="400"/>
        <w:rPr>
          <w:rFonts w:hint="eastAsia" w:ascii="宋体" w:hAnsi="宋体" w:eastAsia="宋体" w:cs="宋体"/>
          <w:sz w:val="24"/>
          <w:highlight w:val="none"/>
        </w:rPr>
      </w:pPr>
      <w:r>
        <w:rPr>
          <w:rFonts w:hint="eastAsia" w:ascii="宋体" w:hAnsi="宋体" w:eastAsia="宋体" w:cs="宋体"/>
          <w:sz w:val="24"/>
          <w:highlight w:val="none"/>
        </w:rPr>
        <w:t>11.3.2中小企业声明函。</w:t>
      </w:r>
    </w:p>
    <w:p w14:paraId="480AECA5">
      <w:pPr>
        <w:spacing w:line="360" w:lineRule="auto"/>
        <w:ind w:firstLine="723" w:firstLineChars="300"/>
        <w:rPr>
          <w:rFonts w:hint="eastAsia" w:ascii="宋体" w:hAnsi="宋体" w:eastAsia="宋体" w:cs="宋体"/>
          <w:b/>
          <w:sz w:val="24"/>
          <w:highlight w:val="none"/>
        </w:rPr>
      </w:pPr>
      <w:r>
        <w:rPr>
          <w:rFonts w:hint="eastAsia" w:ascii="宋体" w:hAnsi="宋体" w:eastAsia="宋体" w:cs="宋体"/>
          <w:b/>
          <w:sz w:val="24"/>
          <w:highlight w:val="none"/>
        </w:rPr>
        <w:t>投标文件含有采购人不能接受的附加条件的，投标无效；</w:t>
      </w:r>
    </w:p>
    <w:p w14:paraId="6A0498FA">
      <w:pPr>
        <w:spacing w:line="360" w:lineRule="auto"/>
        <w:ind w:firstLine="723" w:firstLineChars="300"/>
        <w:rPr>
          <w:rFonts w:hint="eastAsia" w:ascii="宋体" w:hAnsi="宋体" w:eastAsia="宋体" w:cs="宋体"/>
          <w:b/>
          <w:sz w:val="24"/>
          <w:szCs w:val="21"/>
          <w:highlight w:val="none"/>
        </w:rPr>
      </w:pPr>
      <w:r>
        <w:rPr>
          <w:rFonts w:hint="eastAsia" w:ascii="宋体" w:hAnsi="宋体" w:eastAsia="宋体" w:cs="宋体"/>
          <w:b/>
          <w:sz w:val="24"/>
          <w:highlight w:val="none"/>
        </w:rPr>
        <w:t>投标人提供虚假材料投标的，投标无效。</w:t>
      </w:r>
    </w:p>
    <w:p w14:paraId="2024D5E0">
      <w:pPr>
        <w:pStyle w:val="133"/>
        <w:snapToGrid w:val="0"/>
        <w:spacing w:before="0"/>
        <w:ind w:firstLine="0" w:firstLineChars="0"/>
        <w:outlineLvl w:val="0"/>
        <w:rPr>
          <w:rFonts w:hint="eastAsia" w:ascii="宋体" w:hAnsi="宋体" w:eastAsia="宋体" w:cs="宋体"/>
          <w:b/>
          <w:szCs w:val="24"/>
          <w:highlight w:val="none"/>
        </w:rPr>
      </w:pPr>
      <w:r>
        <w:rPr>
          <w:rFonts w:hint="eastAsia" w:ascii="宋体" w:hAnsi="宋体" w:eastAsia="宋体" w:cs="宋体"/>
          <w:b/>
          <w:szCs w:val="24"/>
          <w:highlight w:val="none"/>
        </w:rPr>
        <w:t>12</w:t>
      </w:r>
      <w:r>
        <w:rPr>
          <w:rFonts w:hint="eastAsia" w:ascii="宋体" w:hAnsi="宋体" w:eastAsia="宋体" w:cs="宋体"/>
          <w:b/>
          <w:kern w:val="0"/>
          <w:szCs w:val="24"/>
          <w:highlight w:val="none"/>
          <w:lang w:val="zh-CN"/>
        </w:rPr>
        <w:t xml:space="preserve">. </w:t>
      </w:r>
      <w:r>
        <w:rPr>
          <w:rFonts w:hint="eastAsia" w:ascii="宋体" w:hAnsi="宋体" w:eastAsia="宋体" w:cs="宋体"/>
          <w:b/>
          <w:szCs w:val="24"/>
          <w:highlight w:val="none"/>
        </w:rPr>
        <w:t>投标文件的编制</w:t>
      </w:r>
    </w:p>
    <w:p w14:paraId="317E7D55">
      <w:pPr>
        <w:spacing w:line="360" w:lineRule="auto"/>
        <w:ind w:firstLine="480" w:firstLineChars="200"/>
        <w:rPr>
          <w:rFonts w:hint="eastAsia" w:ascii="宋体" w:hAnsi="宋体" w:eastAsia="宋体" w:cs="宋体"/>
          <w:b/>
          <w:sz w:val="24"/>
          <w:highlight w:val="none"/>
        </w:rPr>
      </w:pPr>
      <w:r>
        <w:rPr>
          <w:rFonts w:hint="eastAsia" w:ascii="宋体" w:hAnsi="宋体" w:eastAsia="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eastAsia="宋体" w:cs="宋体"/>
          <w:b/>
          <w:highlight w:val="none"/>
        </w:rPr>
        <w:t>▲</w:t>
      </w:r>
      <w:r>
        <w:rPr>
          <w:rFonts w:hint="eastAsia" w:ascii="宋体" w:hAnsi="宋体" w:eastAsia="宋体" w:cs="宋体"/>
          <w:b/>
          <w:sz w:val="24"/>
          <w:szCs w:val="20"/>
          <w:highlight w:val="none"/>
        </w:rPr>
        <w:t>投标文件未按规定的格式编制的，投标无效；</w:t>
      </w:r>
    </w:p>
    <w:p w14:paraId="5C0FA61B">
      <w:pPr>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BD9DA08">
      <w:pPr>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427EE841">
      <w:pPr>
        <w:snapToGrid w:val="0"/>
        <w:spacing w:line="360" w:lineRule="auto"/>
        <w:rPr>
          <w:rFonts w:hint="eastAsia" w:ascii="宋体" w:hAnsi="宋体" w:eastAsia="宋体" w:cs="宋体"/>
          <w:b/>
          <w:sz w:val="24"/>
          <w:highlight w:val="none"/>
        </w:rPr>
      </w:pPr>
      <w:r>
        <w:rPr>
          <w:rFonts w:hint="eastAsia" w:ascii="宋体" w:hAnsi="宋体" w:eastAsia="宋体" w:cs="宋体"/>
          <w:b/>
          <w:sz w:val="24"/>
          <w:highlight w:val="none"/>
        </w:rPr>
        <w:t>13.投标文件的签署、盖章</w:t>
      </w:r>
    </w:p>
    <w:p w14:paraId="33B1397B">
      <w:pPr>
        <w:pStyle w:val="133"/>
        <w:snapToGrid w:val="0"/>
        <w:spacing w:before="0"/>
        <w:ind w:firstLine="480"/>
        <w:rPr>
          <w:rFonts w:hint="eastAsia" w:ascii="宋体" w:hAnsi="宋体" w:eastAsia="宋体" w:cs="宋体"/>
          <w:b/>
          <w:highlight w:val="none"/>
        </w:rPr>
      </w:pPr>
      <w:r>
        <w:rPr>
          <w:rFonts w:hint="eastAsia" w:ascii="宋体" w:hAnsi="宋体" w:eastAsia="宋体" w:cs="宋体"/>
          <w:szCs w:val="24"/>
          <w:highlight w:val="none"/>
        </w:rPr>
        <w:t>13.1投标文件按照招标文件第六部分格式要</w:t>
      </w:r>
      <w:r>
        <w:rPr>
          <w:rFonts w:hint="eastAsia" w:ascii="宋体" w:hAnsi="宋体" w:eastAsia="宋体" w:cs="宋体"/>
          <w:highlight w:val="none"/>
        </w:rPr>
        <w:t>求进行签署、盖章。</w:t>
      </w:r>
      <w:r>
        <w:rPr>
          <w:rFonts w:hint="eastAsia" w:ascii="宋体" w:hAnsi="宋体" w:eastAsia="宋体" w:cs="宋体"/>
          <w:b/>
          <w:highlight w:val="none"/>
        </w:rPr>
        <w:t>▲投标人的投标文件未按照招标文件要求签署、盖章的，其投标无效</w:t>
      </w:r>
      <w:r>
        <w:rPr>
          <w:rFonts w:hint="eastAsia" w:ascii="宋体" w:hAnsi="宋体" w:eastAsia="宋体" w:cs="宋体"/>
          <w:szCs w:val="24"/>
          <w:highlight w:val="none"/>
        </w:rPr>
        <w:t>。</w:t>
      </w:r>
    </w:p>
    <w:p w14:paraId="18340AC3">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5AA518BA">
      <w:pPr>
        <w:pStyle w:val="133"/>
        <w:snapToGrid w:val="0"/>
        <w:spacing w:before="0"/>
        <w:ind w:firstLine="480"/>
        <w:rPr>
          <w:rFonts w:hint="eastAsia" w:ascii="宋体" w:hAnsi="宋体" w:eastAsia="宋体" w:cs="宋体"/>
          <w:szCs w:val="24"/>
          <w:highlight w:val="none"/>
        </w:rPr>
      </w:pPr>
      <w:r>
        <w:rPr>
          <w:rFonts w:hint="eastAsia" w:ascii="宋体" w:hAnsi="宋体" w:eastAsia="宋体" w:cs="宋体"/>
          <w:highlight w:val="none"/>
        </w:rPr>
        <w:t>13.3招标文件对投标文件签署、盖章的要求适用于电子签名。</w:t>
      </w:r>
    </w:p>
    <w:p w14:paraId="1B8CFC0E">
      <w:pPr>
        <w:pStyle w:val="133"/>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14. 投标文件的提交、补充、修改、撤回</w:t>
      </w:r>
    </w:p>
    <w:p w14:paraId="660B51B1">
      <w:pPr>
        <w:pStyle w:val="133"/>
        <w:ind w:firstLine="480"/>
        <w:rPr>
          <w:rFonts w:hint="eastAsia" w:ascii="宋体" w:hAnsi="宋体" w:eastAsia="宋体" w:cs="宋体"/>
          <w:szCs w:val="24"/>
          <w:highlight w:val="none"/>
        </w:rPr>
      </w:pPr>
      <w:r>
        <w:rPr>
          <w:rFonts w:hint="eastAsia" w:ascii="宋体" w:hAnsi="宋体" w:eastAsia="宋体" w:cs="宋体"/>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1663C3D">
      <w:pPr>
        <w:pStyle w:val="133"/>
        <w:spacing w:before="0"/>
        <w:ind w:firstLine="480"/>
        <w:rPr>
          <w:rFonts w:hint="eastAsia" w:ascii="宋体" w:hAnsi="宋体" w:eastAsia="宋体" w:cs="宋体"/>
          <w:szCs w:val="24"/>
          <w:highlight w:val="none"/>
        </w:rPr>
      </w:pPr>
      <w:r>
        <w:rPr>
          <w:rFonts w:hint="eastAsia" w:ascii="宋体" w:hAnsi="宋体" w:eastAsia="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81A6FFC">
      <w:pPr>
        <w:pStyle w:val="133"/>
        <w:spacing w:before="0"/>
        <w:ind w:firstLine="480"/>
        <w:rPr>
          <w:rFonts w:hint="eastAsia" w:ascii="宋体" w:hAnsi="宋体" w:eastAsia="宋体" w:cs="宋体"/>
          <w:szCs w:val="24"/>
          <w:highlight w:val="none"/>
        </w:rPr>
      </w:pPr>
      <w:r>
        <w:rPr>
          <w:rFonts w:hint="eastAsia" w:ascii="宋体" w:hAnsi="宋体" w:eastAsia="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567A3B42">
      <w:pPr>
        <w:pStyle w:val="39"/>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15.备份投标文件</w:t>
      </w:r>
    </w:p>
    <w:p w14:paraId="783DC4A4">
      <w:pPr>
        <w:pStyle w:val="39"/>
        <w:spacing w:line="360" w:lineRule="auto"/>
        <w:ind w:firstLine="360" w:firstLineChars="150"/>
        <w:rPr>
          <w:rFonts w:hint="eastAsia" w:ascii="宋体" w:hAnsi="宋体" w:eastAsia="宋体" w:cs="宋体"/>
          <w:b/>
          <w:sz w:val="24"/>
          <w:szCs w:val="24"/>
          <w:highlight w:val="none"/>
        </w:rPr>
      </w:pPr>
      <w:r>
        <w:rPr>
          <w:rFonts w:hint="eastAsia" w:ascii="宋体" w:hAnsi="宋体" w:eastAsia="宋体" w:cs="宋体"/>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highlight w:val="none"/>
        </w:rPr>
        <w:t>但采购人、采购机构不强制或变相强制投标人提交备份投标文件。</w:t>
      </w:r>
    </w:p>
    <w:p w14:paraId="1D90E148">
      <w:pPr>
        <w:pStyle w:val="39"/>
        <w:spacing w:line="360" w:lineRule="auto"/>
        <w:ind w:firstLine="480" w:firstLineChars="200"/>
        <w:rPr>
          <w:rFonts w:hint="eastAsia" w:ascii="宋体" w:hAnsi="宋体" w:eastAsia="宋体" w:cs="宋体"/>
          <w:b/>
          <w:sz w:val="24"/>
          <w:szCs w:val="24"/>
          <w:highlight w:val="none"/>
        </w:rPr>
      </w:pPr>
      <w:r>
        <w:rPr>
          <w:rFonts w:hint="eastAsia" w:ascii="宋体" w:hAnsi="宋体" w:eastAsia="宋体" w:cs="宋体"/>
          <w:sz w:val="24"/>
          <w:szCs w:val="24"/>
          <w:highlight w:val="none"/>
        </w:rPr>
        <w:t>15.2备份投标文件须在“政采云投标客户端”制作生成，并储存在</w:t>
      </w:r>
      <w:r>
        <w:rPr>
          <w:rFonts w:hint="eastAsia" w:ascii="宋体" w:hAnsi="宋体" w:eastAsia="宋体" w:cs="宋体"/>
          <w:sz w:val="24"/>
          <w:highlight w:val="none"/>
        </w:rPr>
        <w:t>DVD光盘或U盘</w:t>
      </w:r>
      <w:r>
        <w:rPr>
          <w:rFonts w:hint="eastAsia" w:ascii="宋体" w:hAnsi="宋体" w:eastAsia="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z w:val="24"/>
          <w:highlight w:val="none"/>
        </w:rPr>
        <w:t>不符合上述制作、</w:t>
      </w:r>
      <w:r>
        <w:rPr>
          <w:rFonts w:hint="eastAsia" w:ascii="宋体" w:hAnsi="宋体" w:eastAsia="宋体" w:cs="宋体"/>
          <w:b/>
          <w:sz w:val="24"/>
          <w:szCs w:val="24"/>
          <w:highlight w:val="none"/>
        </w:rPr>
        <w:t>存储、密封规定的备份投标文件将被视为无效或者被拒绝接收。</w:t>
      </w:r>
    </w:p>
    <w:p w14:paraId="1453D8D2">
      <w:pPr>
        <w:pStyle w:val="39"/>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BBE5368">
      <w:pPr>
        <w:pStyle w:val="39"/>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sz w:val="24"/>
          <w:szCs w:val="24"/>
          <w:highlight w:val="none"/>
        </w:rPr>
        <w:t>招标文件第二部分投标人须知前附表规定的备份投标文件送达地点；</w:t>
      </w:r>
      <w:r>
        <w:rPr>
          <w:rFonts w:hint="eastAsia" w:ascii="宋体" w:hAnsi="宋体" w:eastAsia="宋体" w:cs="宋体"/>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1513FC93">
      <w:pPr>
        <w:pStyle w:val="39"/>
        <w:spacing w:line="360" w:lineRule="auto"/>
        <w:ind w:firstLine="479" w:firstLineChars="199"/>
        <w:rPr>
          <w:rFonts w:hint="eastAsia" w:ascii="宋体" w:hAnsi="宋体" w:eastAsia="宋体" w:cs="宋体"/>
          <w:b/>
          <w:sz w:val="24"/>
          <w:szCs w:val="24"/>
          <w:highlight w:val="none"/>
        </w:rPr>
      </w:pPr>
      <w:r>
        <w:rPr>
          <w:rFonts w:hint="eastAsia" w:ascii="宋体" w:hAnsi="宋体" w:eastAsia="宋体" w:cs="宋体"/>
          <w:b/>
          <w:sz w:val="24"/>
          <w:szCs w:val="24"/>
          <w:highlight w:val="none"/>
        </w:rPr>
        <w:t>15.5投标人仅提交备份投标文件，没有在电子交易平台传输递交投标文件的，投标无效。</w:t>
      </w:r>
    </w:p>
    <w:p w14:paraId="558344FB">
      <w:pPr>
        <w:pStyle w:val="133"/>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16.投标文件的无效处理</w:t>
      </w:r>
    </w:p>
    <w:p w14:paraId="58892A7D">
      <w:pPr>
        <w:pStyle w:val="31"/>
        <w:spacing w:line="360" w:lineRule="auto"/>
        <w:ind w:firstLine="360" w:firstLineChars="150"/>
        <w:rPr>
          <w:rFonts w:hint="eastAsia" w:ascii="宋体" w:hAnsi="宋体" w:eastAsia="宋体" w:cs="宋体"/>
          <w:szCs w:val="21"/>
          <w:highlight w:val="none"/>
        </w:rPr>
      </w:pPr>
      <w:r>
        <w:rPr>
          <w:rFonts w:hint="eastAsia" w:ascii="宋体" w:hAnsi="宋体" w:eastAsia="宋体" w:cs="宋体"/>
          <w:szCs w:val="21"/>
          <w:highlight w:val="none"/>
        </w:rPr>
        <w:t>有招标文件第四部分</w:t>
      </w:r>
      <w:r>
        <w:rPr>
          <w:rFonts w:hint="eastAsia" w:ascii="宋体" w:hAnsi="宋体" w:eastAsia="宋体" w:cs="宋体"/>
          <w:highlight w:val="none"/>
        </w:rPr>
        <w:t>第13项规定</w:t>
      </w:r>
      <w:r>
        <w:rPr>
          <w:rFonts w:hint="eastAsia" w:ascii="宋体" w:hAnsi="宋体" w:eastAsia="宋体" w:cs="宋体"/>
          <w:szCs w:val="21"/>
          <w:highlight w:val="none"/>
        </w:rPr>
        <w:t>的情形之一的，投标无效：</w:t>
      </w:r>
    </w:p>
    <w:p w14:paraId="12F5EA62">
      <w:pPr>
        <w:pStyle w:val="133"/>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17.投标有效期</w:t>
      </w:r>
    </w:p>
    <w:p w14:paraId="52644226">
      <w:pPr>
        <w:spacing w:line="360" w:lineRule="auto"/>
        <w:ind w:firstLine="480" w:firstLineChars="200"/>
        <w:rPr>
          <w:rFonts w:hint="eastAsia" w:ascii="宋体" w:hAnsi="宋体" w:eastAsia="宋体" w:cs="宋体"/>
          <w:b/>
          <w:sz w:val="24"/>
          <w:szCs w:val="21"/>
          <w:highlight w:val="none"/>
        </w:rPr>
      </w:pPr>
      <w:r>
        <w:rPr>
          <w:rFonts w:hint="eastAsia" w:ascii="宋体" w:hAnsi="宋体" w:eastAsia="宋体" w:cs="宋体"/>
          <w:sz w:val="24"/>
          <w:szCs w:val="20"/>
          <w:highlight w:val="none"/>
        </w:rPr>
        <w:t>17.1投标有效期为从提交投标文件的截止之日起90天。▲</w:t>
      </w:r>
      <w:r>
        <w:rPr>
          <w:rFonts w:hint="eastAsia" w:ascii="宋体" w:hAnsi="宋体" w:eastAsia="宋体" w:cs="宋体"/>
          <w:b/>
          <w:sz w:val="24"/>
          <w:szCs w:val="20"/>
          <w:highlight w:val="none"/>
        </w:rPr>
        <w:t>投标人的投标文件中承</w:t>
      </w:r>
      <w:r>
        <w:rPr>
          <w:rFonts w:hint="eastAsia" w:ascii="宋体" w:hAnsi="宋体" w:eastAsia="宋体" w:cs="宋体"/>
          <w:b/>
          <w:sz w:val="24"/>
          <w:szCs w:val="21"/>
          <w:highlight w:val="none"/>
        </w:rPr>
        <w:t>诺的投标有效期少于招标文件中载明的投标有效期的，投标无效。</w:t>
      </w:r>
    </w:p>
    <w:p w14:paraId="6DCAA777">
      <w:pPr>
        <w:pStyle w:val="133"/>
        <w:spacing w:before="0"/>
        <w:ind w:firstLine="480"/>
        <w:rPr>
          <w:rFonts w:hint="eastAsia" w:ascii="宋体" w:hAnsi="宋体" w:eastAsia="宋体" w:cs="宋体"/>
          <w:highlight w:val="none"/>
        </w:rPr>
      </w:pPr>
      <w:r>
        <w:rPr>
          <w:rFonts w:hint="eastAsia" w:ascii="宋体" w:hAnsi="宋体" w:eastAsia="宋体" w:cs="宋体"/>
          <w:highlight w:val="none"/>
        </w:rPr>
        <w:t>17.2投标文件合格投递后，自投标截止日期起，在投标有效期内有效。</w:t>
      </w:r>
    </w:p>
    <w:p w14:paraId="5C2654D4">
      <w:pPr>
        <w:pStyle w:val="133"/>
        <w:spacing w:before="0"/>
        <w:ind w:firstLine="480"/>
        <w:rPr>
          <w:rFonts w:hint="eastAsia" w:ascii="宋体" w:hAnsi="宋体" w:eastAsia="宋体" w:cs="宋体"/>
          <w:highlight w:val="none"/>
        </w:rPr>
      </w:pPr>
      <w:r>
        <w:rPr>
          <w:rFonts w:hint="eastAsia" w:ascii="宋体" w:hAnsi="宋体" w:eastAsia="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30CA37E">
      <w:pPr>
        <w:pStyle w:val="133"/>
        <w:spacing w:before="0"/>
        <w:ind w:firstLine="1928" w:firstLineChars="600"/>
        <w:rPr>
          <w:rFonts w:hint="eastAsia" w:ascii="宋体" w:hAnsi="宋体" w:eastAsia="宋体" w:cs="宋体"/>
          <w:b/>
          <w:sz w:val="32"/>
          <w:highlight w:val="none"/>
        </w:rPr>
      </w:pPr>
      <w:r>
        <w:rPr>
          <w:rFonts w:hint="eastAsia" w:ascii="宋体" w:hAnsi="宋体" w:eastAsia="宋体" w:cs="宋体"/>
          <w:b/>
          <w:sz w:val="32"/>
          <w:highlight w:val="none"/>
        </w:rPr>
        <w:t>四、开标、资格审查与信用信息查询</w:t>
      </w:r>
    </w:p>
    <w:p w14:paraId="161FB472">
      <w:pPr>
        <w:pStyle w:val="558"/>
        <w:spacing w:before="0" w:line="360" w:lineRule="auto"/>
        <w:ind w:left="0" w:firstLine="241" w:firstLineChars="100"/>
        <w:contextualSpacing/>
        <w:rPr>
          <w:rFonts w:hint="eastAsia" w:ascii="宋体" w:hAnsi="宋体" w:eastAsia="宋体" w:cs="宋体"/>
          <w:sz w:val="24"/>
          <w:highlight w:val="none"/>
        </w:rPr>
      </w:pPr>
      <w:r>
        <w:rPr>
          <w:rFonts w:hint="eastAsia" w:ascii="宋体" w:hAnsi="宋体" w:eastAsia="宋体" w:cs="宋体"/>
          <w:b/>
          <w:sz w:val="24"/>
          <w:szCs w:val="24"/>
          <w:highlight w:val="none"/>
        </w:rPr>
        <w:t>18.开标</w:t>
      </w:r>
    </w:p>
    <w:p w14:paraId="6D2FF663">
      <w:pPr>
        <w:pStyle w:val="558"/>
        <w:spacing w:before="0" w:line="360" w:lineRule="auto"/>
        <w:ind w:left="0"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18.1采购机构按照招标文件规定的时间通过电子交易平台组织开标，所有投标人均应当准时在线参加。投标人不足3家的，不得开标。</w:t>
      </w:r>
    </w:p>
    <w:p w14:paraId="47D89DD1">
      <w:pPr>
        <w:pStyle w:val="558"/>
        <w:spacing w:before="0" w:line="360" w:lineRule="auto"/>
        <w:ind w:left="0" w:firstLine="240" w:firstLineChars="100"/>
        <w:contextualSpacing/>
        <w:rPr>
          <w:rFonts w:hint="eastAsia" w:ascii="宋体" w:hAnsi="宋体" w:eastAsia="宋体" w:cs="宋体"/>
          <w:sz w:val="24"/>
          <w:highlight w:val="none"/>
        </w:rPr>
      </w:pPr>
      <w:r>
        <w:rPr>
          <w:rFonts w:hint="eastAsia" w:ascii="宋体" w:hAnsi="宋体" w:eastAsia="宋体" w:cs="宋体"/>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35233FE3">
      <w:pPr>
        <w:pStyle w:val="558"/>
        <w:spacing w:before="0" w:line="360" w:lineRule="auto"/>
        <w:ind w:left="0" w:firstLine="240" w:firstLineChars="100"/>
        <w:contextualSpacing/>
        <w:rPr>
          <w:rFonts w:hint="eastAsia" w:ascii="宋体" w:hAnsi="宋体" w:eastAsia="宋体" w:cs="宋体"/>
          <w:b/>
          <w:sz w:val="24"/>
          <w:highlight w:val="none"/>
        </w:rPr>
      </w:pPr>
      <w:r>
        <w:rPr>
          <w:rFonts w:hint="eastAsia" w:ascii="宋体" w:hAnsi="宋体" w:eastAsia="宋体" w:cs="宋体"/>
          <w:sz w:val="24"/>
          <w:highlight w:val="none"/>
        </w:rPr>
        <w:t>　18.3</w:t>
      </w:r>
      <w:r>
        <w:rPr>
          <w:rFonts w:hint="eastAsia" w:ascii="宋体" w:hAnsi="宋体" w:eastAsia="宋体" w:cs="宋体"/>
          <w:b/>
          <w:sz w:val="24"/>
          <w:highlight w:val="none"/>
        </w:rPr>
        <w:t>投标文件未按时解密，投标人提供了备份投标文件的，以备份投标文件作为依据，否则视为投标文件撤回。投标文件已按时解密的，备份投标文件自动失效。</w:t>
      </w:r>
    </w:p>
    <w:p w14:paraId="506D7D0F">
      <w:pPr>
        <w:pStyle w:val="558"/>
        <w:spacing w:before="0" w:line="360" w:lineRule="auto"/>
        <w:ind w:left="0" w:firstLine="0"/>
        <w:contextualSpacing/>
        <w:rPr>
          <w:rFonts w:hint="eastAsia" w:ascii="宋体" w:hAnsi="宋体" w:eastAsia="宋体" w:cs="宋体"/>
          <w:b/>
          <w:sz w:val="24"/>
          <w:szCs w:val="24"/>
          <w:highlight w:val="none"/>
        </w:rPr>
      </w:pPr>
      <w:r>
        <w:rPr>
          <w:rFonts w:hint="eastAsia" w:ascii="宋体" w:hAnsi="宋体" w:eastAsia="宋体" w:cs="宋体"/>
          <w:b/>
          <w:sz w:val="24"/>
          <w:szCs w:val="24"/>
          <w:highlight w:val="none"/>
        </w:rPr>
        <w:t>19、资格审查</w:t>
      </w:r>
    </w:p>
    <w:p w14:paraId="166D270B">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19.1开标后，采购人或采购机构将依法对投标人的资格进行审查。</w:t>
      </w:r>
    </w:p>
    <w:p w14:paraId="3BA9AB35">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rPr>
        <w:t>19.2</w:t>
      </w:r>
      <w:r>
        <w:rPr>
          <w:rFonts w:hint="eastAsia" w:ascii="宋体" w:hAnsi="宋体" w:eastAsia="宋体" w:cs="宋体"/>
          <w:sz w:val="24"/>
          <w:highlight w:val="none"/>
        </w:rPr>
        <w:t>采购人或采购机构依据法律法规和招标文件的规定，对投标人的基本资格条件、特定资格条件进行审查。</w:t>
      </w:r>
    </w:p>
    <w:p w14:paraId="793F3FBC">
      <w:pPr>
        <w:pStyle w:val="133"/>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19.3投标人未按照招标文件要求提供与</w:t>
      </w:r>
      <w:r>
        <w:rPr>
          <w:rFonts w:hint="eastAsia" w:ascii="宋体" w:hAnsi="宋体" w:eastAsia="宋体" w:cs="宋体"/>
          <w:highlight w:val="none"/>
        </w:rPr>
        <w:t>基本资格条件、特定资格条件相应的</w:t>
      </w:r>
      <w:r>
        <w:rPr>
          <w:rFonts w:hint="eastAsia" w:ascii="宋体" w:hAnsi="宋体" w:eastAsia="宋体" w:cs="宋体"/>
          <w:kern w:val="0"/>
          <w:szCs w:val="24"/>
          <w:highlight w:val="none"/>
        </w:rPr>
        <w:t>有效资格证明材料的，视为</w:t>
      </w:r>
      <w:r>
        <w:rPr>
          <w:rFonts w:hint="eastAsia" w:ascii="宋体" w:hAnsi="宋体" w:eastAsia="宋体" w:cs="宋体"/>
          <w:highlight w:val="none"/>
        </w:rPr>
        <w:t>投标人不具备招标文件中规定的资格要求，其投标无效。</w:t>
      </w:r>
    </w:p>
    <w:p w14:paraId="0250540C">
      <w:pPr>
        <w:pStyle w:val="133"/>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4对未通过资格审查的投标人，采购人或采购机构告知其未通过的原因。</w:t>
      </w:r>
    </w:p>
    <w:p w14:paraId="7089D72C">
      <w:pPr>
        <w:pStyle w:val="133"/>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5合格投标人不足3家的，不再评标。</w:t>
      </w:r>
    </w:p>
    <w:p w14:paraId="5C0240F2">
      <w:pPr>
        <w:pStyle w:val="133"/>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20、信用信息查询</w:t>
      </w:r>
    </w:p>
    <w:p w14:paraId="676BB1A3">
      <w:pPr>
        <w:pStyle w:val="133"/>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20.1信用信息查询渠道及截止时间：采购机构将通过“信用中国”网站(www.creditchina.gov.cn)、中国政府采购网(www.ccgp.gov.cn)渠道查询投标人投标截止时间当天的信用记录。</w:t>
      </w:r>
    </w:p>
    <w:p w14:paraId="685476D0">
      <w:pPr>
        <w:pStyle w:val="133"/>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20.2信用信息查询记录和证据留存的具体方式：现场查询的投标人的信用记录、查询结果经确认后将与采购文件一起存档。</w:t>
      </w:r>
    </w:p>
    <w:p w14:paraId="542DBF48">
      <w:pPr>
        <w:pStyle w:val="133"/>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50425288">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highlight w:val="none"/>
        </w:rPr>
        <w:t>。</w:t>
      </w:r>
    </w:p>
    <w:p w14:paraId="4DC66A74">
      <w:pPr>
        <w:snapToGrid w:val="0"/>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五、评标</w:t>
      </w:r>
    </w:p>
    <w:p w14:paraId="361E0852">
      <w:pPr>
        <w:spacing w:line="360" w:lineRule="auto"/>
        <w:rPr>
          <w:rFonts w:hint="eastAsia" w:ascii="宋体" w:hAnsi="宋体" w:eastAsia="宋体" w:cs="宋体"/>
          <w:b/>
          <w:sz w:val="24"/>
          <w:highlight w:val="none"/>
        </w:rPr>
      </w:pPr>
      <w:bookmarkStart w:id="6" w:name="_Toc91899903"/>
      <w:r>
        <w:rPr>
          <w:rFonts w:hint="eastAsia" w:ascii="宋体" w:hAnsi="宋体" w:eastAsia="宋体" w:cs="宋体"/>
          <w:b/>
          <w:sz w:val="24"/>
          <w:highlight w:val="none"/>
        </w:rPr>
        <w:t>21.</w:t>
      </w:r>
      <w:r>
        <w:rPr>
          <w:rFonts w:hint="eastAsia" w:ascii="宋体" w:hAnsi="宋体" w:eastAsia="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highlight w:val="none"/>
        </w:rPr>
        <w:t>详见招标文件第四部分评标办法。</w:t>
      </w:r>
    </w:p>
    <w:p w14:paraId="5362ED17">
      <w:pPr>
        <w:snapToGrid w:val="0"/>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六、定 标</w:t>
      </w:r>
    </w:p>
    <w:p w14:paraId="5F5AB93D">
      <w:pPr>
        <w:pStyle w:val="31"/>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22. 确定中标供应商</w:t>
      </w:r>
    </w:p>
    <w:p w14:paraId="5CC6A7E6">
      <w:pPr>
        <w:pStyle w:val="133"/>
        <w:snapToGrid w:val="0"/>
        <w:spacing w:before="0"/>
        <w:ind w:firstLine="480"/>
        <w:rPr>
          <w:rFonts w:hint="eastAsia" w:ascii="宋体" w:hAnsi="宋体" w:eastAsia="宋体" w:cs="宋体"/>
          <w:b/>
          <w:szCs w:val="24"/>
          <w:highlight w:val="none"/>
        </w:rPr>
      </w:pPr>
      <w:r>
        <w:rPr>
          <w:rFonts w:hint="eastAsia" w:ascii="宋体" w:hAnsi="宋体" w:eastAsia="宋体" w:cs="宋体"/>
          <w:szCs w:val="24"/>
          <w:highlight w:val="none"/>
        </w:rPr>
        <w:t>采购人将自收到评审报告之日起5个工作日内通过电子交易平台在评审报告推荐的中标候选人中按顺序确定中标供应商。</w:t>
      </w:r>
    </w:p>
    <w:p w14:paraId="3143BBED">
      <w:pPr>
        <w:pStyle w:val="133"/>
        <w:snapToGrid w:val="0"/>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23. 中标通知与中标结果公告</w:t>
      </w:r>
    </w:p>
    <w:p w14:paraId="6C9C22BF">
      <w:pPr>
        <w:widowControl/>
        <w:shd w:val="clear" w:color="auto" w:fill="FFFFFF"/>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3CE1B8A4">
      <w:pPr>
        <w:widowControl/>
        <w:shd w:val="clear" w:color="auto" w:fill="FFFFFF"/>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373EAEE2">
      <w:pPr>
        <w:widowControl/>
        <w:shd w:val="clear" w:color="auto" w:fill="FFFFFF"/>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23.3公告期限为1个工作日。</w:t>
      </w:r>
    </w:p>
    <w:p w14:paraId="228BA44A">
      <w:pPr>
        <w:snapToGrid w:val="0"/>
        <w:spacing w:line="360" w:lineRule="auto"/>
        <w:jc w:val="center"/>
        <w:rPr>
          <w:rFonts w:hint="eastAsia" w:ascii="宋体" w:hAnsi="宋体" w:eastAsia="宋体" w:cs="宋体"/>
          <w:b/>
          <w:sz w:val="32"/>
          <w:highlight w:val="none"/>
        </w:rPr>
      </w:pPr>
      <w:r>
        <w:rPr>
          <w:rFonts w:hint="eastAsia" w:ascii="宋体" w:hAnsi="宋体" w:eastAsia="宋体" w:cs="宋体"/>
          <w:b/>
          <w:sz w:val="32"/>
          <w:highlight w:val="none"/>
        </w:rPr>
        <w:t>七、合同授予</w:t>
      </w:r>
    </w:p>
    <w:p w14:paraId="17FB55B0">
      <w:pPr>
        <w:pStyle w:val="31"/>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 xml:space="preserve">24. </w:t>
      </w:r>
      <w:r>
        <w:rPr>
          <w:rFonts w:hint="eastAsia" w:ascii="宋体" w:hAnsi="宋体" w:eastAsia="宋体" w:cs="宋体"/>
          <w:highlight w:val="none"/>
        </w:rPr>
        <w:t>合同主要条款详见第五部分拟签订的合同文本。</w:t>
      </w:r>
    </w:p>
    <w:p w14:paraId="4AF14BE8">
      <w:pPr>
        <w:pStyle w:val="31"/>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25. 合同的签订</w:t>
      </w:r>
    </w:p>
    <w:p w14:paraId="57322E00">
      <w:pPr>
        <w:widowControl/>
        <w:shd w:val="clear" w:color="auto" w:fill="FFFFFF"/>
        <w:spacing w:line="360" w:lineRule="auto"/>
        <w:ind w:firstLine="480"/>
        <w:jc w:val="left"/>
        <w:rPr>
          <w:rFonts w:hint="eastAsia" w:ascii="宋体" w:hAnsi="宋体" w:eastAsia="宋体" w:cs="宋体"/>
          <w:kern w:val="0"/>
          <w:sz w:val="24"/>
          <w:highlight w:val="none"/>
        </w:rPr>
      </w:pPr>
      <w:r>
        <w:rPr>
          <w:rFonts w:hint="eastAsia" w:ascii="宋体" w:hAnsi="宋体" w:eastAsia="宋体" w:cs="宋体"/>
          <w:sz w:val="24"/>
          <w:highlight w:val="none"/>
        </w:rPr>
        <w:t>25.1</w:t>
      </w:r>
      <w:r>
        <w:rPr>
          <w:rFonts w:hint="eastAsia" w:ascii="宋体" w:hAnsi="宋体" w:eastAsia="宋体" w:cs="宋体"/>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14:paraId="6F413318">
      <w:pPr>
        <w:pStyle w:val="133"/>
        <w:snapToGrid w:val="0"/>
        <w:spacing w:before="0"/>
        <w:ind w:firstLine="480"/>
        <w:rPr>
          <w:rFonts w:hint="eastAsia" w:ascii="宋体" w:hAnsi="宋体" w:eastAsia="宋体" w:cs="宋体"/>
          <w:kern w:val="0"/>
          <w:highlight w:val="none"/>
        </w:rPr>
      </w:pPr>
      <w:r>
        <w:rPr>
          <w:rFonts w:hint="eastAsia" w:ascii="宋体" w:hAnsi="宋体" w:eastAsia="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17F498C">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25.3如签订合同并生效后，供应商无故拒绝或延期，除按照合同条款处理外，列入不良行为记录一次，并给予通报。</w:t>
      </w:r>
    </w:p>
    <w:p w14:paraId="66391B76">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25.4中标供应商拒绝与采购人签订合同的，采购人可以按照评审报告推荐的中标或者成交候选人名单排序，确定下一候选人为中标供应商，也可以重新开展政府采购活动。</w:t>
      </w:r>
    </w:p>
    <w:p w14:paraId="39908452">
      <w:pPr>
        <w:pStyle w:val="133"/>
        <w:snapToGrid w:val="0"/>
        <w:spacing w:before="0" w:after="120"/>
        <w:ind w:firstLine="480"/>
        <w:rPr>
          <w:rFonts w:hint="eastAsia" w:ascii="宋体" w:hAnsi="宋体" w:eastAsia="宋体" w:cs="宋体"/>
          <w:highlight w:val="none"/>
        </w:rPr>
      </w:pPr>
      <w:r>
        <w:rPr>
          <w:rFonts w:hint="eastAsia" w:ascii="宋体" w:hAnsi="宋体" w:eastAsia="宋体" w:cs="宋体"/>
          <w:highlight w:val="none"/>
        </w:rPr>
        <w:t>25.5采购合同由采购人与中标供应商根据招标文件、投标文件等内容通过政府采购电子交易平台在线签订，自动备案。</w:t>
      </w:r>
    </w:p>
    <w:p w14:paraId="67E585E8">
      <w:pPr>
        <w:pStyle w:val="133"/>
        <w:snapToGrid w:val="0"/>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26. 履约保证金</w:t>
      </w:r>
    </w:p>
    <w:p w14:paraId="28C5F547">
      <w:pPr>
        <w:pStyle w:val="133"/>
        <w:snapToGrid w:val="0"/>
        <w:spacing w:before="0"/>
        <w:ind w:firstLine="480"/>
        <w:rPr>
          <w:rFonts w:hint="eastAsia" w:ascii="宋体" w:hAnsi="宋体" w:eastAsia="宋体" w:cs="宋体"/>
          <w:highlight w:val="none"/>
          <w:lang w:val="en-US" w:eastAsia="zh-CN"/>
        </w:rPr>
      </w:pPr>
      <w:r>
        <w:rPr>
          <w:rFonts w:hint="eastAsia" w:ascii="宋体" w:hAnsi="宋体" w:eastAsia="宋体" w:cs="宋体"/>
          <w:highlight w:val="none"/>
          <w:lang w:val="en-US" w:eastAsia="zh-CN"/>
        </w:rPr>
        <w:t>拟签订的合同文本要求中标供应商提交履约保证金的，供应商应当以支票、汇票、本票或者金融机构、担保机构出具的保函等非现金形式提交。履约保证金的数额不得超过政府采购合同金额的0.1%。鼓励和支持供应商以银行、保险公司出具的保函形式提供履约保证金。采购人不得拒收履约保函，项目验收结束后应及时退还，延迟退还的，应当按照合同约定和法律规定承担相应的赔偿责任。</w:t>
      </w:r>
    </w:p>
    <w:p w14:paraId="49BD7D43">
      <w:pPr>
        <w:pStyle w:val="133"/>
        <w:snapToGrid w:val="0"/>
        <w:spacing w:before="0"/>
        <w:ind w:firstLine="480"/>
        <w:rPr>
          <w:rFonts w:hint="eastAsia" w:ascii="宋体" w:hAnsi="宋体" w:eastAsia="宋体" w:cs="宋体"/>
          <w:highlight w:val="none"/>
          <w:lang w:val="en-US" w:eastAsia="zh-CN"/>
        </w:rPr>
      </w:pPr>
      <w:r>
        <w:rPr>
          <w:rFonts w:hint="eastAsia" w:ascii="宋体" w:hAnsi="宋体" w:eastAsia="宋体" w:cs="宋体"/>
          <w:highlight w:val="none"/>
          <w:lang w:val="en-US" w:eastAsia="zh-CN"/>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4186A65">
      <w:pPr>
        <w:pStyle w:val="133"/>
        <w:snapToGrid w:val="0"/>
        <w:spacing w:before="0"/>
        <w:ind w:left="0" w:leftChars="0" w:firstLine="0" w:firstLineChars="0"/>
        <w:jc w:val="center"/>
        <w:rPr>
          <w:rFonts w:hint="eastAsia" w:ascii="宋体" w:hAnsi="宋体" w:eastAsia="宋体" w:cs="宋体"/>
          <w:b/>
          <w:sz w:val="24"/>
          <w:highlight w:val="none"/>
        </w:rPr>
      </w:pPr>
      <w:r>
        <w:rPr>
          <w:rFonts w:hint="eastAsia" w:ascii="宋体" w:hAnsi="宋体" w:eastAsia="宋体" w:cs="宋体"/>
          <w:b/>
          <w:sz w:val="32"/>
          <w:highlight w:val="none"/>
        </w:rPr>
        <w:t>八、电子交易活动的中止</w:t>
      </w:r>
    </w:p>
    <w:p w14:paraId="395DD2F7">
      <w:pPr>
        <w:pStyle w:val="133"/>
        <w:snapToGrid w:val="0"/>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27. 电子交易活动的中止</w:t>
      </w:r>
    </w:p>
    <w:p w14:paraId="4BC38FCE">
      <w:pPr>
        <w:pStyle w:val="133"/>
        <w:snapToGrid w:val="0"/>
        <w:spacing w:before="0"/>
        <w:ind w:firstLine="480" w:firstLineChars="200"/>
        <w:rPr>
          <w:rFonts w:hint="eastAsia" w:ascii="宋体" w:hAnsi="宋体" w:eastAsia="宋体" w:cs="宋体"/>
          <w:highlight w:val="none"/>
        </w:rPr>
      </w:pPr>
      <w:r>
        <w:rPr>
          <w:rFonts w:hint="eastAsia" w:ascii="宋体" w:hAnsi="宋体" w:eastAsia="宋体" w:cs="宋体"/>
          <w:highlight w:val="none"/>
        </w:rPr>
        <w:t>采购过程中出现以下情形，导致电子交易平台无法正常运行，或者无法保证电子交易的公平、公正和安全时，采购机构可中止电子交易活动：</w:t>
      </w:r>
    </w:p>
    <w:p w14:paraId="673C7938">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 xml:space="preserve">27.1电子交易平台发生故障而无法登录访问的； </w:t>
      </w:r>
    </w:p>
    <w:p w14:paraId="27DD6E3A">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27.2电子交易平台应用或数据库出现错误，不能进行正常操作的；</w:t>
      </w:r>
    </w:p>
    <w:p w14:paraId="5B1107AE">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27.3电子交易平台发现严重安全漏洞，有潜在泄密危险的；</w:t>
      </w:r>
    </w:p>
    <w:p w14:paraId="4D51C94B">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 xml:space="preserve">27.4病毒发作导致不能进行正常操作的； </w:t>
      </w:r>
    </w:p>
    <w:p w14:paraId="338B23DA">
      <w:pPr>
        <w:pStyle w:val="133"/>
        <w:snapToGrid w:val="0"/>
        <w:spacing w:before="0"/>
        <w:ind w:firstLine="480"/>
        <w:rPr>
          <w:rFonts w:hint="eastAsia" w:ascii="宋体" w:hAnsi="宋体" w:eastAsia="宋体" w:cs="宋体"/>
          <w:highlight w:val="none"/>
        </w:rPr>
      </w:pPr>
      <w:r>
        <w:rPr>
          <w:rFonts w:hint="eastAsia" w:ascii="宋体" w:hAnsi="宋体" w:eastAsia="宋体" w:cs="宋体"/>
          <w:highlight w:val="none"/>
        </w:rPr>
        <w:t>27.5其他无法保证电子交易的公平、公正和安全的情况。</w:t>
      </w:r>
    </w:p>
    <w:p w14:paraId="78B941F7">
      <w:pPr>
        <w:pStyle w:val="133"/>
        <w:snapToGrid w:val="0"/>
        <w:spacing w:before="0"/>
        <w:ind w:firstLine="0" w:firstLineChars="0"/>
        <w:rPr>
          <w:rFonts w:hint="eastAsia" w:ascii="宋体" w:hAnsi="宋体" w:eastAsia="宋体" w:cs="宋体"/>
          <w:highlight w:val="none"/>
        </w:rPr>
      </w:pPr>
      <w:r>
        <w:rPr>
          <w:rFonts w:hint="eastAsia" w:ascii="宋体" w:hAnsi="宋体" w:eastAsia="宋体" w:cs="宋体"/>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6C876DE5">
      <w:pPr>
        <w:snapToGrid w:val="0"/>
        <w:spacing w:line="360" w:lineRule="auto"/>
        <w:ind w:left="120" w:leftChars="57" w:firstLine="482" w:firstLineChars="150"/>
        <w:jc w:val="center"/>
        <w:rPr>
          <w:rFonts w:hint="eastAsia" w:ascii="宋体" w:hAnsi="宋体" w:eastAsia="宋体" w:cs="宋体"/>
          <w:b/>
          <w:sz w:val="32"/>
          <w:highlight w:val="none"/>
        </w:rPr>
      </w:pPr>
      <w:r>
        <w:rPr>
          <w:rFonts w:hint="eastAsia" w:ascii="宋体" w:hAnsi="宋体" w:eastAsia="宋体" w:cs="宋体"/>
          <w:b/>
          <w:sz w:val="32"/>
          <w:highlight w:val="none"/>
        </w:rPr>
        <w:t>九、验收</w:t>
      </w:r>
    </w:p>
    <w:p w14:paraId="4CFA0A9D">
      <w:pPr>
        <w:pStyle w:val="31"/>
        <w:spacing w:line="360" w:lineRule="auto"/>
        <w:ind w:firstLine="0" w:firstLineChars="0"/>
        <w:rPr>
          <w:rFonts w:hint="eastAsia" w:ascii="宋体" w:hAnsi="宋体" w:eastAsia="宋体" w:cs="宋体"/>
          <w:b/>
          <w:highlight w:val="none"/>
        </w:rPr>
      </w:pPr>
      <w:r>
        <w:rPr>
          <w:rFonts w:hint="eastAsia" w:ascii="宋体" w:hAnsi="宋体" w:eastAsia="宋体" w:cs="宋体"/>
          <w:b/>
          <w:highlight w:val="none"/>
        </w:rPr>
        <w:t>29.验收</w:t>
      </w:r>
    </w:p>
    <w:p w14:paraId="4D75408F">
      <w:pPr>
        <w:tabs>
          <w:tab w:val="left" w:pos="0"/>
        </w:tabs>
        <w:spacing w:line="360" w:lineRule="auto"/>
        <w:ind w:firstLine="480"/>
        <w:rPr>
          <w:rFonts w:hint="eastAsia" w:ascii="宋体" w:hAnsi="宋体" w:eastAsia="宋体" w:cs="宋体"/>
          <w:kern w:val="0"/>
          <w:sz w:val="24"/>
          <w:highlight w:val="none"/>
        </w:rPr>
      </w:pPr>
      <w:r>
        <w:rPr>
          <w:rFonts w:hint="eastAsia" w:ascii="宋体" w:hAnsi="宋体" w:eastAsia="宋体" w:cs="宋体"/>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CECD372">
      <w:pPr>
        <w:tabs>
          <w:tab w:val="left" w:pos="0"/>
        </w:tabs>
        <w:spacing w:line="360" w:lineRule="auto"/>
        <w:ind w:firstLine="480"/>
        <w:rPr>
          <w:rFonts w:hint="eastAsia" w:ascii="宋体" w:hAnsi="宋体" w:eastAsia="宋体" w:cs="宋体"/>
          <w:kern w:val="0"/>
          <w:sz w:val="24"/>
          <w:highlight w:val="none"/>
        </w:rPr>
      </w:pPr>
      <w:r>
        <w:rPr>
          <w:rFonts w:hint="eastAsia" w:ascii="宋体" w:hAnsi="宋体" w:eastAsia="宋体" w:cs="宋体"/>
          <w:kern w:val="0"/>
          <w:sz w:val="24"/>
          <w:highlight w:val="none"/>
        </w:rPr>
        <w:t>29.2采购人可以邀请参加本项目的其他投标人或者第三方机构参与验收。参与验收的投标人或者第三方机构的意见作为验收书的参考资料一并存档。</w:t>
      </w:r>
    </w:p>
    <w:p w14:paraId="7515C504">
      <w:pPr>
        <w:tabs>
          <w:tab w:val="left" w:pos="0"/>
        </w:tabs>
        <w:spacing w:line="360" w:lineRule="auto"/>
        <w:ind w:firstLine="480"/>
        <w:rPr>
          <w:rFonts w:hint="eastAsia" w:ascii="宋体" w:hAnsi="宋体" w:eastAsia="宋体" w:cs="宋体"/>
          <w:kern w:val="0"/>
          <w:sz w:val="24"/>
          <w:highlight w:val="none"/>
        </w:rPr>
      </w:pPr>
      <w:r>
        <w:rPr>
          <w:rFonts w:hint="eastAsia" w:ascii="宋体" w:hAnsi="宋体" w:eastAsia="宋体" w:cs="宋体"/>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332A1604">
      <w:pPr>
        <w:tabs>
          <w:tab w:val="left" w:pos="0"/>
        </w:tabs>
        <w:spacing w:line="360" w:lineRule="auto"/>
        <w:ind w:firstLine="480"/>
        <w:rPr>
          <w:rFonts w:hint="eastAsia" w:ascii="宋体" w:hAnsi="宋体" w:eastAsia="宋体" w:cs="宋体"/>
          <w:sz w:val="18"/>
          <w:szCs w:val="18"/>
          <w:highlight w:val="none"/>
        </w:rPr>
      </w:pPr>
      <w:r>
        <w:rPr>
          <w:rFonts w:hint="eastAsia" w:ascii="宋体" w:hAnsi="宋体" w:eastAsia="宋体" w:cs="宋体"/>
          <w:kern w:val="0"/>
          <w:sz w:val="24"/>
          <w:highlight w:val="none"/>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6"/>
    <w:p w14:paraId="615A9B4E">
      <w:pPr>
        <w:tabs>
          <w:tab w:val="left" w:pos="0"/>
        </w:tabs>
        <w:spacing w:line="360" w:lineRule="auto"/>
        <w:ind w:firstLine="480"/>
        <w:rPr>
          <w:rFonts w:hint="eastAsia" w:ascii="宋体" w:hAnsi="宋体" w:eastAsia="宋体" w:cs="宋体"/>
          <w:kern w:val="0"/>
          <w:sz w:val="24"/>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bookmarkStart w:id="7" w:name="_Hlt74730295"/>
      <w:bookmarkEnd w:id="7"/>
      <w:bookmarkStart w:id="8" w:name="_Hlt74714665"/>
      <w:bookmarkEnd w:id="8"/>
      <w:bookmarkStart w:id="9" w:name="_Hlt68403820"/>
      <w:bookmarkEnd w:id="9"/>
      <w:bookmarkStart w:id="10" w:name="_Hlt74707468"/>
      <w:bookmarkEnd w:id="10"/>
      <w:bookmarkStart w:id="11" w:name="_Hlt74729768"/>
      <w:bookmarkEnd w:id="11"/>
      <w:bookmarkStart w:id="12" w:name="_Hlt68057669"/>
      <w:bookmarkEnd w:id="12"/>
      <w:bookmarkStart w:id="13" w:name="_Hlt68072990"/>
      <w:bookmarkEnd w:id="13"/>
      <w:bookmarkStart w:id="14" w:name="_Hlt68072998"/>
      <w:bookmarkEnd w:id="14"/>
      <w:bookmarkStart w:id="15" w:name="_Hlt75236290"/>
      <w:bookmarkEnd w:id="15"/>
      <w:bookmarkStart w:id="16" w:name="_Hlt75236101"/>
      <w:bookmarkEnd w:id="16"/>
      <w:bookmarkStart w:id="17" w:name="_Hlt75236011"/>
      <w:bookmarkEnd w:id="17"/>
      <w:bookmarkStart w:id="18" w:name="_Hlt68073093"/>
      <w:bookmarkEnd w:id="18"/>
    </w:p>
    <w:bookmarkEnd w:id="4"/>
    <w:bookmarkEnd w:id="5"/>
    <w:p w14:paraId="57F58174">
      <w:pPr>
        <w:spacing w:line="360" w:lineRule="auto"/>
        <w:jc w:val="center"/>
        <w:outlineLvl w:val="0"/>
        <w:rPr>
          <w:rFonts w:hint="eastAsia" w:ascii="宋体" w:hAnsi="宋体" w:eastAsia="宋体" w:cs="宋体"/>
          <w:b/>
          <w:sz w:val="36"/>
          <w:szCs w:val="36"/>
          <w:highlight w:val="none"/>
        </w:rPr>
      </w:pPr>
      <w:bookmarkStart w:id="19" w:name="第四部分"/>
      <w:r>
        <w:rPr>
          <w:rFonts w:hint="eastAsia" w:ascii="宋体" w:hAnsi="宋体" w:eastAsia="宋体" w:cs="宋体"/>
          <w:b/>
          <w:sz w:val="36"/>
          <w:szCs w:val="36"/>
          <w:highlight w:val="none"/>
        </w:rPr>
        <w:t>第三部分   采购需求</w:t>
      </w:r>
    </w:p>
    <w:p w14:paraId="07301ED1">
      <w:pPr>
        <w:numPr>
          <w:ilvl w:val="0"/>
          <w:numId w:val="1"/>
        </w:numPr>
        <w:rPr>
          <w:b/>
          <w:bCs/>
          <w:highlight w:val="none"/>
        </w:rPr>
      </w:pPr>
      <w:r>
        <w:rPr>
          <w:b/>
          <w:bCs/>
          <w:sz w:val="28"/>
          <w:szCs w:val="28"/>
          <w:highlight w:val="none"/>
        </w:rPr>
        <w:t>采购清单</w:t>
      </w:r>
    </w:p>
    <w:tbl>
      <w:tblPr>
        <w:tblStyle w:val="66"/>
        <w:tblW w:w="1511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762"/>
        <w:gridCol w:w="1684"/>
        <w:gridCol w:w="1729"/>
        <w:gridCol w:w="7095"/>
        <w:gridCol w:w="990"/>
        <w:gridCol w:w="1035"/>
        <w:gridCol w:w="1820"/>
      </w:tblGrid>
      <w:tr w14:paraId="45095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10" w:hRule="atLeast"/>
          <w:jc w:val="center"/>
        </w:trPr>
        <w:tc>
          <w:tcPr>
            <w:tcW w:w="762" w:type="dxa"/>
            <w:tcBorders>
              <w:tl2br w:val="nil"/>
              <w:tr2bl w:val="nil"/>
            </w:tcBorders>
            <w:shd w:val="clear" w:color="auto" w:fill="auto"/>
            <w:vAlign w:val="center"/>
          </w:tcPr>
          <w:p w14:paraId="7A707DE5">
            <w:pPr>
              <w:keepNext w:val="0"/>
              <w:keepLines w:val="0"/>
              <w:widowControl/>
              <w:suppressLineNumbers w:val="0"/>
              <w:jc w:val="center"/>
              <w:textAlignment w:val="center"/>
              <w:rPr>
                <w:rFonts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编号</w:t>
            </w:r>
          </w:p>
        </w:tc>
        <w:tc>
          <w:tcPr>
            <w:tcW w:w="1684" w:type="dxa"/>
            <w:tcBorders>
              <w:tl2br w:val="nil"/>
              <w:tr2bl w:val="nil"/>
            </w:tcBorders>
            <w:shd w:val="clear" w:color="auto" w:fill="auto"/>
            <w:vAlign w:val="center"/>
          </w:tcPr>
          <w:p w14:paraId="2B9277E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设备名称</w:t>
            </w:r>
          </w:p>
        </w:tc>
        <w:tc>
          <w:tcPr>
            <w:tcW w:w="1729" w:type="dxa"/>
            <w:tcBorders>
              <w:tl2br w:val="nil"/>
              <w:tr2bl w:val="nil"/>
            </w:tcBorders>
            <w:shd w:val="clear" w:color="auto" w:fill="auto"/>
            <w:vAlign w:val="center"/>
          </w:tcPr>
          <w:p w14:paraId="434FF15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尺寸</w:t>
            </w:r>
          </w:p>
        </w:tc>
        <w:tc>
          <w:tcPr>
            <w:tcW w:w="7095" w:type="dxa"/>
            <w:tcBorders>
              <w:tl2br w:val="nil"/>
              <w:tr2bl w:val="nil"/>
            </w:tcBorders>
            <w:shd w:val="clear" w:color="auto" w:fill="auto"/>
            <w:vAlign w:val="center"/>
          </w:tcPr>
          <w:p w14:paraId="726F2336">
            <w:pPr>
              <w:keepNext w:val="0"/>
              <w:keepLines w:val="0"/>
              <w:widowControl/>
              <w:suppressLineNumbers w:val="0"/>
              <w:jc w:val="center"/>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技术参数</w:t>
            </w:r>
          </w:p>
        </w:tc>
        <w:tc>
          <w:tcPr>
            <w:tcW w:w="990" w:type="dxa"/>
            <w:tcBorders>
              <w:tl2br w:val="nil"/>
              <w:tr2bl w:val="nil"/>
            </w:tcBorders>
            <w:shd w:val="clear" w:color="auto" w:fill="auto"/>
            <w:noWrap/>
            <w:vAlign w:val="center"/>
          </w:tcPr>
          <w:p w14:paraId="2D75702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数量</w:t>
            </w:r>
          </w:p>
        </w:tc>
        <w:tc>
          <w:tcPr>
            <w:tcW w:w="1035" w:type="dxa"/>
            <w:tcBorders>
              <w:tl2br w:val="nil"/>
              <w:tr2bl w:val="nil"/>
            </w:tcBorders>
            <w:shd w:val="clear" w:color="auto" w:fill="auto"/>
            <w:noWrap/>
            <w:vAlign w:val="center"/>
          </w:tcPr>
          <w:p w14:paraId="77B3D22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单位</w:t>
            </w:r>
          </w:p>
        </w:tc>
        <w:tc>
          <w:tcPr>
            <w:tcW w:w="1820" w:type="dxa"/>
            <w:tcBorders>
              <w:tl2br w:val="nil"/>
              <w:tr2bl w:val="nil"/>
            </w:tcBorders>
            <w:shd w:val="clear" w:color="auto" w:fill="auto"/>
            <w:noWrap/>
            <w:vAlign w:val="center"/>
          </w:tcPr>
          <w:p w14:paraId="6A67138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参考图片</w:t>
            </w:r>
          </w:p>
        </w:tc>
      </w:tr>
      <w:tr w14:paraId="288CE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60" w:hRule="atLeast"/>
          <w:jc w:val="center"/>
        </w:trPr>
        <w:tc>
          <w:tcPr>
            <w:tcW w:w="2446" w:type="dxa"/>
            <w:gridSpan w:val="2"/>
            <w:tcBorders>
              <w:tl2br w:val="nil"/>
              <w:tr2bl w:val="nil"/>
            </w:tcBorders>
            <w:shd w:val="clear" w:color="auto" w:fill="auto"/>
            <w:vAlign w:val="center"/>
          </w:tcPr>
          <w:p w14:paraId="73F7B0FF">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一、更衣室</w:t>
            </w:r>
          </w:p>
        </w:tc>
        <w:tc>
          <w:tcPr>
            <w:tcW w:w="1729" w:type="dxa"/>
            <w:tcBorders>
              <w:tl2br w:val="nil"/>
              <w:tr2bl w:val="nil"/>
            </w:tcBorders>
            <w:shd w:val="clear" w:color="auto" w:fill="auto"/>
            <w:vAlign w:val="center"/>
          </w:tcPr>
          <w:p w14:paraId="2A4B36BB">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650AF175">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2EBA4818">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25E81406">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3266455E">
            <w:pPr>
              <w:jc w:val="center"/>
              <w:rPr>
                <w:rFonts w:hint="eastAsia" w:ascii="等线" w:hAnsi="等线" w:eastAsia="等线" w:cs="等线"/>
                <w:i w:val="0"/>
                <w:iCs w:val="0"/>
                <w:color w:val="000000"/>
                <w:sz w:val="22"/>
                <w:szCs w:val="22"/>
                <w:highlight w:val="none"/>
                <w:u w:val="none"/>
              </w:rPr>
            </w:pPr>
          </w:p>
        </w:tc>
      </w:tr>
      <w:tr w14:paraId="3870E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762" w:type="dxa"/>
            <w:tcBorders>
              <w:tl2br w:val="nil"/>
              <w:tr2bl w:val="nil"/>
            </w:tcBorders>
            <w:shd w:val="clear" w:color="auto" w:fill="auto"/>
            <w:vAlign w:val="center"/>
          </w:tcPr>
          <w:p w14:paraId="3449D98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707D7C4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更衣柜</w:t>
            </w:r>
          </w:p>
        </w:tc>
        <w:tc>
          <w:tcPr>
            <w:tcW w:w="1729" w:type="dxa"/>
            <w:tcBorders>
              <w:tl2br w:val="nil"/>
              <w:tr2bl w:val="nil"/>
            </w:tcBorders>
            <w:shd w:val="clear" w:color="auto" w:fill="auto"/>
            <w:vAlign w:val="center"/>
          </w:tcPr>
          <w:p w14:paraId="3AC6F2D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950*400*1800</w:t>
            </w:r>
          </w:p>
        </w:tc>
        <w:tc>
          <w:tcPr>
            <w:tcW w:w="7095" w:type="dxa"/>
            <w:tcBorders>
              <w:tl2br w:val="nil"/>
              <w:tr2bl w:val="nil"/>
            </w:tcBorders>
            <w:shd w:val="clear" w:color="auto" w:fill="auto"/>
            <w:vAlign w:val="center"/>
          </w:tcPr>
          <w:p w14:paraId="05924CB2">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采用304不锈钢板制作，柜身板厚1.0mm，内部层板厚0.8mm，不锈钢加强筋1.0mm，配锁、配挂衣杆。</w:t>
            </w:r>
          </w:p>
        </w:tc>
        <w:tc>
          <w:tcPr>
            <w:tcW w:w="990" w:type="dxa"/>
            <w:tcBorders>
              <w:tl2br w:val="nil"/>
              <w:tr2bl w:val="nil"/>
            </w:tcBorders>
            <w:shd w:val="clear" w:color="auto" w:fill="auto"/>
            <w:noWrap/>
            <w:vAlign w:val="center"/>
          </w:tcPr>
          <w:p w14:paraId="453F3C4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077A32C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32ED68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23875" cy="552450"/>
                  <wp:effectExtent l="0" t="0" r="9525" b="11430"/>
                  <wp:docPr id="6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1" descr="IMG_256"/>
                          <pic:cNvPicPr>
                            <a:picLocks noChangeAspect="1"/>
                          </pic:cNvPicPr>
                        </pic:nvPicPr>
                        <pic:blipFill>
                          <a:blip r:embed="rId26"/>
                          <a:stretch>
                            <a:fillRect/>
                          </a:stretch>
                        </pic:blipFill>
                        <pic:spPr>
                          <a:xfrm>
                            <a:off x="0" y="0"/>
                            <a:ext cx="523875" cy="552450"/>
                          </a:xfrm>
                          <a:prstGeom prst="rect">
                            <a:avLst/>
                          </a:prstGeom>
                          <a:noFill/>
                          <a:ln w="9525">
                            <a:noFill/>
                          </a:ln>
                        </pic:spPr>
                      </pic:pic>
                    </a:graphicData>
                  </a:graphic>
                </wp:inline>
              </w:drawing>
            </w:r>
          </w:p>
        </w:tc>
      </w:tr>
      <w:tr w14:paraId="4B49F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762" w:type="dxa"/>
            <w:tcBorders>
              <w:tl2br w:val="nil"/>
              <w:tr2bl w:val="nil"/>
            </w:tcBorders>
            <w:shd w:val="clear" w:color="auto" w:fill="auto"/>
            <w:vAlign w:val="center"/>
          </w:tcPr>
          <w:p w14:paraId="74713D0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661AAE6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更衣柜</w:t>
            </w:r>
          </w:p>
        </w:tc>
        <w:tc>
          <w:tcPr>
            <w:tcW w:w="1729" w:type="dxa"/>
            <w:tcBorders>
              <w:tl2br w:val="nil"/>
              <w:tr2bl w:val="nil"/>
            </w:tcBorders>
            <w:shd w:val="clear" w:color="auto" w:fill="auto"/>
            <w:vAlign w:val="center"/>
          </w:tcPr>
          <w:p w14:paraId="0E42881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1000*400*1800</w:t>
            </w:r>
          </w:p>
        </w:tc>
        <w:tc>
          <w:tcPr>
            <w:tcW w:w="7095" w:type="dxa"/>
            <w:tcBorders>
              <w:tl2br w:val="nil"/>
              <w:tr2bl w:val="nil"/>
            </w:tcBorders>
            <w:shd w:val="clear" w:color="auto" w:fill="auto"/>
            <w:vAlign w:val="center"/>
          </w:tcPr>
          <w:p w14:paraId="6CA18752">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采用304不锈钢板制作，柜身板厚1.0mm，内部层板厚0.8mm，不锈钢加强筋1.0mm，配锁、配挂衣杆。</w:t>
            </w:r>
          </w:p>
        </w:tc>
        <w:tc>
          <w:tcPr>
            <w:tcW w:w="990" w:type="dxa"/>
            <w:tcBorders>
              <w:tl2br w:val="nil"/>
              <w:tr2bl w:val="nil"/>
            </w:tcBorders>
            <w:shd w:val="clear" w:color="auto" w:fill="auto"/>
            <w:noWrap/>
            <w:vAlign w:val="center"/>
          </w:tcPr>
          <w:p w14:paraId="20CF431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4E1DFE8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907C19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23875" cy="552450"/>
                  <wp:effectExtent l="0" t="0" r="9525" b="11430"/>
                  <wp:docPr id="66"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2" descr="IMG_257"/>
                          <pic:cNvPicPr>
                            <a:picLocks noChangeAspect="1"/>
                          </pic:cNvPicPr>
                        </pic:nvPicPr>
                        <pic:blipFill>
                          <a:blip r:embed="rId26"/>
                          <a:stretch>
                            <a:fillRect/>
                          </a:stretch>
                        </pic:blipFill>
                        <pic:spPr>
                          <a:xfrm>
                            <a:off x="0" y="0"/>
                            <a:ext cx="523875" cy="552450"/>
                          </a:xfrm>
                          <a:prstGeom prst="rect">
                            <a:avLst/>
                          </a:prstGeom>
                          <a:noFill/>
                          <a:ln w="9525">
                            <a:noFill/>
                          </a:ln>
                        </pic:spPr>
                      </pic:pic>
                    </a:graphicData>
                  </a:graphic>
                </wp:inline>
              </w:drawing>
            </w:r>
          </w:p>
        </w:tc>
      </w:tr>
      <w:tr w14:paraId="27934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0" w:hRule="atLeast"/>
          <w:jc w:val="center"/>
        </w:trPr>
        <w:tc>
          <w:tcPr>
            <w:tcW w:w="762" w:type="dxa"/>
            <w:tcBorders>
              <w:tl2br w:val="nil"/>
              <w:tr2bl w:val="nil"/>
            </w:tcBorders>
            <w:shd w:val="clear" w:color="auto" w:fill="auto"/>
            <w:vAlign w:val="center"/>
          </w:tcPr>
          <w:p w14:paraId="3CFC81B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3D0A560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105920B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400*300*800</w:t>
            </w:r>
          </w:p>
        </w:tc>
        <w:tc>
          <w:tcPr>
            <w:tcW w:w="7095" w:type="dxa"/>
            <w:tcBorders>
              <w:tl2br w:val="nil"/>
              <w:tr2bl w:val="nil"/>
            </w:tcBorders>
            <w:shd w:val="clear" w:color="auto" w:fill="auto"/>
            <w:vAlign w:val="center"/>
          </w:tcPr>
          <w:p w14:paraId="6D26F7E8">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17226AF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1034A63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E84AC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70DFA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0" w:hRule="atLeast"/>
          <w:jc w:val="center"/>
        </w:trPr>
        <w:tc>
          <w:tcPr>
            <w:tcW w:w="762" w:type="dxa"/>
            <w:tcBorders>
              <w:tl2br w:val="nil"/>
              <w:tr2bl w:val="nil"/>
            </w:tcBorders>
            <w:shd w:val="clear" w:color="auto" w:fill="auto"/>
            <w:vAlign w:val="center"/>
          </w:tcPr>
          <w:p w14:paraId="2353F22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2CB6CA3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感应龙头</w:t>
            </w:r>
          </w:p>
        </w:tc>
        <w:tc>
          <w:tcPr>
            <w:tcW w:w="1729" w:type="dxa"/>
            <w:tcBorders>
              <w:tl2br w:val="nil"/>
              <w:tr2bl w:val="nil"/>
            </w:tcBorders>
            <w:shd w:val="clear" w:color="auto" w:fill="auto"/>
            <w:vAlign w:val="center"/>
          </w:tcPr>
          <w:p w14:paraId="1F7EEC78">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4573E1E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红外线感应出水，自动停水。拒绝碰触污染，更健康。起泡柔和，节水防溅，有效清洁。铜合金本体，镜闪电镀表面，经久耐用。</w:t>
            </w:r>
          </w:p>
          <w:p w14:paraId="19DF7DAB">
            <w:pPr>
              <w:keepNext w:val="0"/>
              <w:keepLines w:val="0"/>
              <w:widowControl/>
              <w:suppressLineNumbers w:val="0"/>
              <w:jc w:val="left"/>
              <w:textAlignment w:val="center"/>
              <w:rPr>
                <w:rFonts w:hint="default" w:eastAsia="华文楷体"/>
                <w:lang w:val="en-US" w:eastAsia="zh-CN"/>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4740CAA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0702A89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5AF7427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57200" cy="352425"/>
                  <wp:effectExtent l="0" t="0" r="0" b="13335"/>
                  <wp:docPr id="71"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4" descr="IMG_259"/>
                          <pic:cNvPicPr>
                            <a:picLocks noChangeAspect="1"/>
                          </pic:cNvPicPr>
                        </pic:nvPicPr>
                        <pic:blipFill>
                          <a:blip r:embed="rId28"/>
                          <a:stretch>
                            <a:fillRect/>
                          </a:stretch>
                        </pic:blipFill>
                        <pic:spPr>
                          <a:xfrm>
                            <a:off x="0" y="0"/>
                            <a:ext cx="457200" cy="352425"/>
                          </a:xfrm>
                          <a:prstGeom prst="rect">
                            <a:avLst/>
                          </a:prstGeom>
                          <a:noFill/>
                          <a:ln w="9525">
                            <a:noFill/>
                          </a:ln>
                        </pic:spPr>
                      </pic:pic>
                    </a:graphicData>
                  </a:graphic>
                </wp:inline>
              </w:drawing>
            </w:r>
          </w:p>
        </w:tc>
      </w:tr>
      <w:tr w14:paraId="3303FA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0" w:hRule="atLeast"/>
          <w:jc w:val="center"/>
        </w:trPr>
        <w:tc>
          <w:tcPr>
            <w:tcW w:w="2446" w:type="dxa"/>
            <w:gridSpan w:val="2"/>
            <w:tcBorders>
              <w:tl2br w:val="nil"/>
              <w:tr2bl w:val="nil"/>
            </w:tcBorders>
            <w:shd w:val="clear" w:color="auto" w:fill="auto"/>
            <w:vAlign w:val="center"/>
          </w:tcPr>
          <w:p w14:paraId="04CEABDD">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二、主食库</w:t>
            </w:r>
          </w:p>
        </w:tc>
        <w:tc>
          <w:tcPr>
            <w:tcW w:w="1729" w:type="dxa"/>
            <w:tcBorders>
              <w:tl2br w:val="nil"/>
              <w:tr2bl w:val="nil"/>
            </w:tcBorders>
            <w:shd w:val="clear" w:color="auto" w:fill="auto"/>
            <w:vAlign w:val="center"/>
          </w:tcPr>
          <w:p w14:paraId="30FDD0C5">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75399640">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1E6128FC">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26E45901">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243F9715">
            <w:pPr>
              <w:jc w:val="center"/>
              <w:rPr>
                <w:rFonts w:hint="eastAsia" w:ascii="等线" w:hAnsi="等线" w:eastAsia="等线" w:cs="等线"/>
                <w:i w:val="0"/>
                <w:iCs w:val="0"/>
                <w:color w:val="000000"/>
                <w:sz w:val="22"/>
                <w:szCs w:val="22"/>
                <w:highlight w:val="none"/>
                <w:u w:val="none"/>
              </w:rPr>
            </w:pPr>
          </w:p>
        </w:tc>
      </w:tr>
      <w:tr w14:paraId="3DA6F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8" w:hRule="atLeast"/>
          <w:jc w:val="center"/>
        </w:trPr>
        <w:tc>
          <w:tcPr>
            <w:tcW w:w="762" w:type="dxa"/>
            <w:tcBorders>
              <w:tl2br w:val="nil"/>
              <w:tr2bl w:val="nil"/>
            </w:tcBorders>
            <w:shd w:val="clear" w:color="auto" w:fill="auto"/>
            <w:vAlign w:val="center"/>
          </w:tcPr>
          <w:p w14:paraId="0B9157B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14096AA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米面架</w:t>
            </w:r>
          </w:p>
        </w:tc>
        <w:tc>
          <w:tcPr>
            <w:tcW w:w="1729" w:type="dxa"/>
            <w:tcBorders>
              <w:tl2br w:val="nil"/>
              <w:tr2bl w:val="nil"/>
            </w:tcBorders>
            <w:shd w:val="clear" w:color="auto" w:fill="auto"/>
            <w:vAlign w:val="center"/>
          </w:tcPr>
          <w:p w14:paraId="638F1F4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1200*500*150</w:t>
            </w:r>
          </w:p>
        </w:tc>
        <w:tc>
          <w:tcPr>
            <w:tcW w:w="7095" w:type="dxa"/>
            <w:tcBorders>
              <w:tl2br w:val="nil"/>
              <w:tr2bl w:val="nil"/>
            </w:tcBorders>
            <w:shd w:val="clear" w:color="auto" w:fill="auto"/>
            <w:vAlign w:val="center"/>
          </w:tcPr>
          <w:p w14:paraId="17FC584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采用304不锈钢管材制作,层外框采用38*25*1.0,不锈钢方管,层内档采用25*38*1.0不锈钢方管,φ50mm厚度1.0mm不锈钢圆通腿,配不锈钢可调式子弹脚。</w:t>
            </w:r>
          </w:p>
        </w:tc>
        <w:tc>
          <w:tcPr>
            <w:tcW w:w="990" w:type="dxa"/>
            <w:tcBorders>
              <w:tl2br w:val="nil"/>
              <w:tr2bl w:val="nil"/>
            </w:tcBorders>
            <w:shd w:val="clear" w:color="auto" w:fill="auto"/>
            <w:noWrap/>
            <w:vAlign w:val="center"/>
          </w:tcPr>
          <w:p w14:paraId="3EBC037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035" w:type="dxa"/>
            <w:tcBorders>
              <w:tl2br w:val="nil"/>
              <w:tr2bl w:val="nil"/>
            </w:tcBorders>
            <w:shd w:val="clear" w:color="auto" w:fill="auto"/>
            <w:noWrap/>
            <w:vAlign w:val="center"/>
          </w:tcPr>
          <w:p w14:paraId="39FA92C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D359F8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81050" cy="600075"/>
                  <wp:effectExtent l="0" t="0" r="11430" b="9525"/>
                  <wp:docPr id="5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 descr="IMG_260"/>
                          <pic:cNvPicPr>
                            <a:picLocks noChangeAspect="1"/>
                          </pic:cNvPicPr>
                        </pic:nvPicPr>
                        <pic:blipFill>
                          <a:blip r:embed="rId29"/>
                          <a:stretch>
                            <a:fillRect/>
                          </a:stretch>
                        </pic:blipFill>
                        <pic:spPr>
                          <a:xfrm>
                            <a:off x="0" y="0"/>
                            <a:ext cx="781050" cy="600075"/>
                          </a:xfrm>
                          <a:prstGeom prst="rect">
                            <a:avLst/>
                          </a:prstGeom>
                          <a:noFill/>
                          <a:ln w="9525">
                            <a:noFill/>
                          </a:ln>
                        </pic:spPr>
                      </pic:pic>
                    </a:graphicData>
                  </a:graphic>
                </wp:inline>
              </w:drawing>
            </w:r>
          </w:p>
        </w:tc>
      </w:tr>
      <w:tr w14:paraId="1B59D6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0" w:hRule="atLeast"/>
          <w:jc w:val="center"/>
        </w:trPr>
        <w:tc>
          <w:tcPr>
            <w:tcW w:w="2446" w:type="dxa"/>
            <w:gridSpan w:val="2"/>
            <w:tcBorders>
              <w:tl2br w:val="nil"/>
              <w:tr2bl w:val="nil"/>
            </w:tcBorders>
            <w:shd w:val="clear" w:color="auto" w:fill="auto"/>
            <w:vAlign w:val="center"/>
          </w:tcPr>
          <w:p w14:paraId="23D79951">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三、副食库</w:t>
            </w:r>
          </w:p>
        </w:tc>
        <w:tc>
          <w:tcPr>
            <w:tcW w:w="1729" w:type="dxa"/>
            <w:tcBorders>
              <w:tl2br w:val="nil"/>
              <w:tr2bl w:val="nil"/>
            </w:tcBorders>
            <w:shd w:val="clear" w:color="auto" w:fill="auto"/>
            <w:vAlign w:val="center"/>
          </w:tcPr>
          <w:p w14:paraId="18865ABA">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0FAED0C5">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6839131E">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5C2ADCC5">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7C856A76">
            <w:pPr>
              <w:jc w:val="center"/>
              <w:rPr>
                <w:rFonts w:hint="eastAsia" w:ascii="等线" w:hAnsi="等线" w:eastAsia="等线" w:cs="等线"/>
                <w:i w:val="0"/>
                <w:iCs w:val="0"/>
                <w:color w:val="000000"/>
                <w:sz w:val="22"/>
                <w:szCs w:val="22"/>
                <w:highlight w:val="none"/>
                <w:u w:val="none"/>
              </w:rPr>
            </w:pPr>
          </w:p>
        </w:tc>
      </w:tr>
      <w:tr w14:paraId="75A6F8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0" w:hRule="atLeast"/>
          <w:jc w:val="center"/>
        </w:trPr>
        <w:tc>
          <w:tcPr>
            <w:tcW w:w="762" w:type="dxa"/>
            <w:tcBorders>
              <w:tl2br w:val="nil"/>
              <w:tr2bl w:val="nil"/>
            </w:tcBorders>
            <w:shd w:val="clear" w:color="auto" w:fill="auto"/>
            <w:vAlign w:val="center"/>
          </w:tcPr>
          <w:p w14:paraId="50804D8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05F362C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四层平板货架</w:t>
            </w:r>
          </w:p>
        </w:tc>
        <w:tc>
          <w:tcPr>
            <w:tcW w:w="1729" w:type="dxa"/>
            <w:tcBorders>
              <w:tl2br w:val="nil"/>
              <w:tr2bl w:val="nil"/>
            </w:tcBorders>
            <w:shd w:val="clear" w:color="auto" w:fill="auto"/>
            <w:vAlign w:val="center"/>
          </w:tcPr>
          <w:p w14:paraId="003CFAD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1200*500*1500</w:t>
            </w:r>
          </w:p>
        </w:tc>
        <w:tc>
          <w:tcPr>
            <w:tcW w:w="7095" w:type="dxa"/>
            <w:tcBorders>
              <w:tl2br w:val="nil"/>
              <w:tr2bl w:val="nil"/>
            </w:tcBorders>
            <w:shd w:val="clear" w:color="auto" w:fill="auto"/>
            <w:vAlign w:val="center"/>
          </w:tcPr>
          <w:p w14:paraId="35B09D5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1、层板厚1.2mm，采用SUS304不锈钢制作，立管Ø38mm厚1.0mm通脚，采用不锈钢制作，配不锈钢可调脚。</w:t>
            </w:r>
          </w:p>
          <w:p w14:paraId="09C97FDC">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2、所投货架符合GB/T38160-2019、GB/T10610-2009标准，检验立柱与台面垂直度≤5mm，弯曲外表面无裂纹，晶粒度不低于5级。</w:t>
            </w:r>
          </w:p>
        </w:tc>
        <w:tc>
          <w:tcPr>
            <w:tcW w:w="990" w:type="dxa"/>
            <w:tcBorders>
              <w:tl2br w:val="nil"/>
              <w:tr2bl w:val="nil"/>
            </w:tcBorders>
            <w:shd w:val="clear" w:color="auto" w:fill="auto"/>
            <w:noWrap/>
            <w:vAlign w:val="center"/>
          </w:tcPr>
          <w:p w14:paraId="3FC9922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035" w:type="dxa"/>
            <w:tcBorders>
              <w:tl2br w:val="nil"/>
              <w:tr2bl w:val="nil"/>
            </w:tcBorders>
            <w:shd w:val="clear" w:color="auto" w:fill="auto"/>
            <w:noWrap/>
            <w:vAlign w:val="center"/>
          </w:tcPr>
          <w:p w14:paraId="45BF2F0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EAB2D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533400"/>
                  <wp:effectExtent l="0" t="0" r="3810" b="0"/>
                  <wp:docPr id="61"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 descr="IMG_261"/>
                          <pic:cNvPicPr>
                            <a:picLocks noChangeAspect="1"/>
                          </pic:cNvPicPr>
                        </pic:nvPicPr>
                        <pic:blipFill>
                          <a:blip r:embed="rId30"/>
                          <a:stretch>
                            <a:fillRect/>
                          </a:stretch>
                        </pic:blipFill>
                        <pic:spPr>
                          <a:xfrm>
                            <a:off x="0" y="0"/>
                            <a:ext cx="514350" cy="533400"/>
                          </a:xfrm>
                          <a:prstGeom prst="rect">
                            <a:avLst/>
                          </a:prstGeom>
                          <a:noFill/>
                          <a:ln w="9525">
                            <a:noFill/>
                          </a:ln>
                        </pic:spPr>
                      </pic:pic>
                    </a:graphicData>
                  </a:graphic>
                </wp:inline>
              </w:drawing>
            </w:r>
          </w:p>
        </w:tc>
      </w:tr>
      <w:tr w14:paraId="694000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40" w:hRule="atLeast"/>
          <w:jc w:val="center"/>
        </w:trPr>
        <w:tc>
          <w:tcPr>
            <w:tcW w:w="2446" w:type="dxa"/>
            <w:gridSpan w:val="2"/>
            <w:tcBorders>
              <w:tl2br w:val="nil"/>
              <w:tr2bl w:val="nil"/>
            </w:tcBorders>
            <w:shd w:val="clear" w:color="auto" w:fill="auto"/>
            <w:vAlign w:val="center"/>
          </w:tcPr>
          <w:p w14:paraId="6406BF22">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四、粗加工</w:t>
            </w:r>
          </w:p>
        </w:tc>
        <w:tc>
          <w:tcPr>
            <w:tcW w:w="1729" w:type="dxa"/>
            <w:tcBorders>
              <w:tl2br w:val="nil"/>
              <w:tr2bl w:val="nil"/>
            </w:tcBorders>
            <w:shd w:val="clear" w:color="auto" w:fill="auto"/>
            <w:vAlign w:val="center"/>
          </w:tcPr>
          <w:p w14:paraId="76A2AB97">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48FF11BE">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14C1EF20">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370A754F">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70F206FC">
            <w:pPr>
              <w:jc w:val="center"/>
              <w:rPr>
                <w:rFonts w:hint="eastAsia" w:ascii="等线" w:hAnsi="等线" w:eastAsia="等线" w:cs="等线"/>
                <w:i w:val="0"/>
                <w:iCs w:val="0"/>
                <w:color w:val="000000"/>
                <w:sz w:val="22"/>
                <w:szCs w:val="22"/>
                <w:highlight w:val="none"/>
                <w:u w:val="none"/>
              </w:rPr>
            </w:pPr>
          </w:p>
        </w:tc>
      </w:tr>
      <w:tr w14:paraId="08139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026" w:hRule="atLeast"/>
          <w:jc w:val="center"/>
        </w:trPr>
        <w:tc>
          <w:tcPr>
            <w:tcW w:w="762" w:type="dxa"/>
            <w:tcBorders>
              <w:tl2br w:val="nil"/>
              <w:tr2bl w:val="nil"/>
            </w:tcBorders>
            <w:shd w:val="clear" w:color="auto" w:fill="auto"/>
            <w:vAlign w:val="center"/>
          </w:tcPr>
          <w:p w14:paraId="42447C8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7B65AB5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双星水池</w:t>
            </w:r>
          </w:p>
        </w:tc>
        <w:tc>
          <w:tcPr>
            <w:tcW w:w="1729" w:type="dxa"/>
            <w:tcBorders>
              <w:tl2br w:val="nil"/>
              <w:tr2bl w:val="nil"/>
            </w:tcBorders>
            <w:shd w:val="clear" w:color="auto" w:fill="auto"/>
            <w:vAlign w:val="center"/>
          </w:tcPr>
          <w:p w14:paraId="523E218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1800*700*950</w:t>
            </w:r>
          </w:p>
        </w:tc>
        <w:tc>
          <w:tcPr>
            <w:tcW w:w="7095" w:type="dxa"/>
            <w:tcBorders>
              <w:tl2br w:val="nil"/>
              <w:tr2bl w:val="nil"/>
            </w:tcBorders>
            <w:shd w:val="clear" w:color="auto" w:fill="auto"/>
            <w:vAlign w:val="center"/>
          </w:tcPr>
          <w:p w14:paraId="3E0D9A5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1、1.2/304板，不锈钢下水器，φ38*1.0/304腿，直径25*1.0/304承。不配水龙头。</w:t>
            </w:r>
          </w:p>
          <w:p w14:paraId="5CB3FFF6">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2、所投水池在长时间温湿环境下，不会出现，锈蚀、裂纹等现象；</w:t>
            </w:r>
          </w:p>
        </w:tc>
        <w:tc>
          <w:tcPr>
            <w:tcW w:w="990" w:type="dxa"/>
            <w:tcBorders>
              <w:tl2br w:val="nil"/>
              <w:tr2bl w:val="nil"/>
            </w:tcBorders>
            <w:shd w:val="clear" w:color="auto" w:fill="auto"/>
            <w:noWrap/>
            <w:vAlign w:val="center"/>
          </w:tcPr>
          <w:p w14:paraId="1C38605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22F12B5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602939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61975"/>
                  <wp:effectExtent l="0" t="0" r="13335" b="1905"/>
                  <wp:docPr id="42"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7" descr="IMG_262"/>
                          <pic:cNvPicPr>
                            <a:picLocks noChangeAspect="1"/>
                          </pic:cNvPicPr>
                        </pic:nvPicPr>
                        <pic:blipFill>
                          <a:blip r:embed="rId31"/>
                          <a:stretch>
                            <a:fillRect/>
                          </a:stretch>
                        </pic:blipFill>
                        <pic:spPr>
                          <a:xfrm>
                            <a:off x="0" y="0"/>
                            <a:ext cx="809625" cy="561975"/>
                          </a:xfrm>
                          <a:prstGeom prst="rect">
                            <a:avLst/>
                          </a:prstGeom>
                          <a:noFill/>
                          <a:ln w="9525">
                            <a:noFill/>
                          </a:ln>
                        </pic:spPr>
                      </pic:pic>
                    </a:graphicData>
                  </a:graphic>
                </wp:inline>
              </w:drawing>
            </w:r>
          </w:p>
        </w:tc>
      </w:tr>
      <w:tr w14:paraId="2C65AE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0" w:hRule="atLeast"/>
          <w:jc w:val="center"/>
        </w:trPr>
        <w:tc>
          <w:tcPr>
            <w:tcW w:w="762" w:type="dxa"/>
            <w:tcBorders>
              <w:tl2br w:val="nil"/>
              <w:tr2bl w:val="nil"/>
            </w:tcBorders>
            <w:shd w:val="clear" w:color="auto" w:fill="auto"/>
            <w:vAlign w:val="center"/>
          </w:tcPr>
          <w:p w14:paraId="314F536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0AB2B42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三星水池</w:t>
            </w:r>
          </w:p>
        </w:tc>
        <w:tc>
          <w:tcPr>
            <w:tcW w:w="1729" w:type="dxa"/>
            <w:tcBorders>
              <w:tl2br w:val="nil"/>
              <w:tr2bl w:val="nil"/>
            </w:tcBorders>
            <w:shd w:val="clear" w:color="auto" w:fill="auto"/>
            <w:vAlign w:val="center"/>
          </w:tcPr>
          <w:p w14:paraId="32378DE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2100*700*950</w:t>
            </w:r>
          </w:p>
        </w:tc>
        <w:tc>
          <w:tcPr>
            <w:tcW w:w="7095" w:type="dxa"/>
            <w:tcBorders>
              <w:tl2br w:val="nil"/>
              <w:tr2bl w:val="nil"/>
            </w:tcBorders>
            <w:shd w:val="clear" w:color="auto" w:fill="auto"/>
            <w:vAlign w:val="center"/>
          </w:tcPr>
          <w:p w14:paraId="7AD1B17B">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4B04DF0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5145B5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748D05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942975" cy="590550"/>
                  <wp:effectExtent l="0" t="0" r="1905" b="3810"/>
                  <wp:docPr id="67"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8" descr="IMG_263"/>
                          <pic:cNvPicPr>
                            <a:picLocks noChangeAspect="1"/>
                          </pic:cNvPicPr>
                        </pic:nvPicPr>
                        <pic:blipFill>
                          <a:blip r:embed="rId32"/>
                          <a:stretch>
                            <a:fillRect/>
                          </a:stretch>
                        </pic:blipFill>
                        <pic:spPr>
                          <a:xfrm>
                            <a:off x="0" y="0"/>
                            <a:ext cx="942975" cy="590550"/>
                          </a:xfrm>
                          <a:prstGeom prst="rect">
                            <a:avLst/>
                          </a:prstGeom>
                          <a:noFill/>
                          <a:ln w="9525">
                            <a:noFill/>
                          </a:ln>
                        </pic:spPr>
                      </pic:pic>
                    </a:graphicData>
                  </a:graphic>
                </wp:inline>
              </w:drawing>
            </w:r>
          </w:p>
        </w:tc>
      </w:tr>
      <w:tr w14:paraId="5DEDB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80" w:hRule="atLeast"/>
          <w:jc w:val="center"/>
        </w:trPr>
        <w:tc>
          <w:tcPr>
            <w:tcW w:w="762" w:type="dxa"/>
            <w:tcBorders>
              <w:tl2br w:val="nil"/>
              <w:tr2bl w:val="nil"/>
            </w:tcBorders>
            <w:shd w:val="clear" w:color="auto" w:fill="auto"/>
            <w:vAlign w:val="center"/>
          </w:tcPr>
          <w:p w14:paraId="6FA6372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263289C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6EE4F95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1000*700*950</w:t>
            </w:r>
          </w:p>
        </w:tc>
        <w:tc>
          <w:tcPr>
            <w:tcW w:w="7095" w:type="dxa"/>
            <w:tcBorders>
              <w:tl2br w:val="nil"/>
              <w:tr2bl w:val="nil"/>
            </w:tcBorders>
            <w:shd w:val="clear" w:color="auto" w:fill="auto"/>
            <w:vAlign w:val="center"/>
          </w:tcPr>
          <w:p w14:paraId="002FE1D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2CB43F8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8F5B0D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9971F1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57"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9" descr="IMG_264"/>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47CA7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atLeast"/>
          <w:jc w:val="center"/>
        </w:trPr>
        <w:tc>
          <w:tcPr>
            <w:tcW w:w="762" w:type="dxa"/>
            <w:tcBorders>
              <w:tl2br w:val="nil"/>
              <w:tr2bl w:val="nil"/>
            </w:tcBorders>
            <w:shd w:val="clear" w:color="auto" w:fill="auto"/>
            <w:vAlign w:val="center"/>
          </w:tcPr>
          <w:p w14:paraId="649A15A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1A66A60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简易工作台</w:t>
            </w:r>
          </w:p>
        </w:tc>
        <w:tc>
          <w:tcPr>
            <w:tcW w:w="1729" w:type="dxa"/>
            <w:tcBorders>
              <w:tl2br w:val="nil"/>
              <w:tr2bl w:val="nil"/>
            </w:tcBorders>
            <w:shd w:val="clear" w:color="auto" w:fill="auto"/>
            <w:vAlign w:val="center"/>
          </w:tcPr>
          <w:p w14:paraId="461A289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600*300*800（按现场尺寸）</w:t>
            </w:r>
          </w:p>
        </w:tc>
        <w:tc>
          <w:tcPr>
            <w:tcW w:w="7095" w:type="dxa"/>
            <w:tcBorders>
              <w:tl2br w:val="nil"/>
              <w:tr2bl w:val="nil"/>
            </w:tcBorders>
            <w:shd w:val="clear" w:color="auto" w:fill="auto"/>
            <w:vAlign w:val="center"/>
          </w:tcPr>
          <w:p w14:paraId="2D84AAAF">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220042C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36A056C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52D54F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45"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0" descr="IMG_265"/>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6B57F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60" w:hRule="atLeast"/>
          <w:jc w:val="center"/>
        </w:trPr>
        <w:tc>
          <w:tcPr>
            <w:tcW w:w="762" w:type="dxa"/>
            <w:tcBorders>
              <w:tl2br w:val="nil"/>
              <w:tr2bl w:val="nil"/>
            </w:tcBorders>
            <w:shd w:val="clear" w:color="auto" w:fill="auto"/>
            <w:vAlign w:val="center"/>
          </w:tcPr>
          <w:p w14:paraId="490A9AF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684" w:type="dxa"/>
            <w:tcBorders>
              <w:tl2br w:val="nil"/>
              <w:tr2bl w:val="nil"/>
            </w:tcBorders>
            <w:shd w:val="clear" w:color="auto" w:fill="auto"/>
            <w:vAlign w:val="center"/>
          </w:tcPr>
          <w:p w14:paraId="3A17AB5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w:t>
            </w:r>
          </w:p>
        </w:tc>
        <w:tc>
          <w:tcPr>
            <w:tcW w:w="1729" w:type="dxa"/>
            <w:tcBorders>
              <w:tl2br w:val="nil"/>
              <w:tr2bl w:val="nil"/>
            </w:tcBorders>
            <w:shd w:val="clear" w:color="auto" w:fill="auto"/>
            <w:vAlign w:val="center"/>
          </w:tcPr>
          <w:p w14:paraId="6AC60E8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1800*800*800</w:t>
            </w:r>
          </w:p>
        </w:tc>
        <w:tc>
          <w:tcPr>
            <w:tcW w:w="7095" w:type="dxa"/>
            <w:tcBorders>
              <w:tl2br w:val="nil"/>
              <w:tr2bl w:val="nil"/>
            </w:tcBorders>
            <w:shd w:val="clear" w:color="auto" w:fill="auto"/>
            <w:vAlign w:val="center"/>
          </w:tcPr>
          <w:p w14:paraId="31065E4F">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01E65FD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42579CB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75D3D3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60"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1" descr="IMG_266"/>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7A7C7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10" w:hRule="atLeast"/>
          <w:jc w:val="center"/>
        </w:trPr>
        <w:tc>
          <w:tcPr>
            <w:tcW w:w="762" w:type="dxa"/>
            <w:tcBorders>
              <w:tl2br w:val="nil"/>
              <w:tr2bl w:val="nil"/>
            </w:tcBorders>
            <w:shd w:val="clear" w:color="auto" w:fill="auto"/>
            <w:vAlign w:val="center"/>
          </w:tcPr>
          <w:p w14:paraId="457C60B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684" w:type="dxa"/>
            <w:tcBorders>
              <w:tl2br w:val="nil"/>
              <w:tr2bl w:val="nil"/>
            </w:tcBorders>
            <w:shd w:val="clear" w:color="auto" w:fill="auto"/>
            <w:vAlign w:val="center"/>
          </w:tcPr>
          <w:p w14:paraId="0C3C2FC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四层格栅货架</w:t>
            </w:r>
          </w:p>
        </w:tc>
        <w:tc>
          <w:tcPr>
            <w:tcW w:w="1729" w:type="dxa"/>
            <w:tcBorders>
              <w:tl2br w:val="nil"/>
              <w:tr2bl w:val="nil"/>
            </w:tcBorders>
            <w:shd w:val="clear" w:color="auto" w:fill="auto"/>
            <w:vAlign w:val="center"/>
          </w:tcPr>
          <w:p w14:paraId="084512B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1200*500*1500</w:t>
            </w:r>
          </w:p>
        </w:tc>
        <w:tc>
          <w:tcPr>
            <w:tcW w:w="7095" w:type="dxa"/>
            <w:tcBorders>
              <w:tl2br w:val="nil"/>
              <w:tr2bl w:val="nil"/>
            </w:tcBorders>
            <w:shd w:val="clear" w:color="auto" w:fill="auto"/>
            <w:vAlign w:val="center"/>
          </w:tcPr>
          <w:p w14:paraId="34129EDC">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采用304不锈钢板制作，1.2/304板，四层花格，花格用板折，直径38*1.0/304腿，配不锈钢可调子弹脚。</w:t>
            </w:r>
          </w:p>
        </w:tc>
        <w:tc>
          <w:tcPr>
            <w:tcW w:w="990" w:type="dxa"/>
            <w:tcBorders>
              <w:tl2br w:val="nil"/>
              <w:tr2bl w:val="nil"/>
            </w:tcBorders>
            <w:shd w:val="clear" w:color="auto" w:fill="auto"/>
            <w:noWrap/>
            <w:vAlign w:val="center"/>
          </w:tcPr>
          <w:p w14:paraId="693D2D6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1D01C2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C4AC2F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19100" cy="504825"/>
                  <wp:effectExtent l="0" t="0" r="7620" b="13335"/>
                  <wp:docPr id="58"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2" descr="IMG_267"/>
                          <pic:cNvPicPr>
                            <a:picLocks noChangeAspect="1"/>
                          </pic:cNvPicPr>
                        </pic:nvPicPr>
                        <pic:blipFill>
                          <a:blip r:embed="rId34"/>
                          <a:stretch>
                            <a:fillRect/>
                          </a:stretch>
                        </pic:blipFill>
                        <pic:spPr>
                          <a:xfrm>
                            <a:off x="0" y="0"/>
                            <a:ext cx="419100" cy="504825"/>
                          </a:xfrm>
                          <a:prstGeom prst="rect">
                            <a:avLst/>
                          </a:prstGeom>
                          <a:noFill/>
                          <a:ln w="9525">
                            <a:noFill/>
                          </a:ln>
                        </pic:spPr>
                      </pic:pic>
                    </a:graphicData>
                  </a:graphic>
                </wp:inline>
              </w:drawing>
            </w:r>
          </w:p>
        </w:tc>
      </w:tr>
      <w:tr w14:paraId="5BF43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0" w:hRule="atLeast"/>
          <w:jc w:val="center"/>
        </w:trPr>
        <w:tc>
          <w:tcPr>
            <w:tcW w:w="762" w:type="dxa"/>
            <w:tcBorders>
              <w:tl2br w:val="nil"/>
              <w:tr2bl w:val="nil"/>
            </w:tcBorders>
            <w:shd w:val="clear" w:color="auto" w:fill="auto"/>
            <w:vAlign w:val="center"/>
          </w:tcPr>
          <w:p w14:paraId="393F76D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w:t>
            </w:r>
          </w:p>
        </w:tc>
        <w:tc>
          <w:tcPr>
            <w:tcW w:w="1684" w:type="dxa"/>
            <w:tcBorders>
              <w:tl2br w:val="nil"/>
              <w:tr2bl w:val="nil"/>
            </w:tcBorders>
            <w:shd w:val="clear" w:color="auto" w:fill="auto"/>
            <w:vAlign w:val="center"/>
          </w:tcPr>
          <w:p w14:paraId="67C01F3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开水器连底座</w:t>
            </w:r>
          </w:p>
        </w:tc>
        <w:tc>
          <w:tcPr>
            <w:tcW w:w="1729" w:type="dxa"/>
            <w:tcBorders>
              <w:tl2br w:val="nil"/>
              <w:tr2bl w:val="nil"/>
            </w:tcBorders>
            <w:shd w:val="clear" w:color="auto" w:fill="auto"/>
            <w:vAlign w:val="center"/>
          </w:tcPr>
          <w:p w14:paraId="2EE078C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12KW</w:t>
            </w:r>
          </w:p>
        </w:tc>
        <w:tc>
          <w:tcPr>
            <w:tcW w:w="7095" w:type="dxa"/>
            <w:tcBorders>
              <w:tl2br w:val="nil"/>
              <w:tr2bl w:val="nil"/>
            </w:tcBorders>
            <w:shd w:val="clear" w:color="auto" w:fill="auto"/>
            <w:vAlign w:val="center"/>
          </w:tcPr>
          <w:p w14:paraId="20DEA62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采用304不锈钢板制，面板厚1.0mm，侧面0.8mm。配自动温控器，自动进水，特设缺水保护。必须安装地线，且接地良好。内胆采用食品安全级不锈钢制造；30MM高密度聚氨酯保温技术，表面接近常温，环保节能。</w:t>
            </w:r>
          </w:p>
          <w:p w14:paraId="322682F7">
            <w:pPr>
              <w:keepNext w:val="0"/>
              <w:keepLines w:val="0"/>
              <w:widowControl/>
              <w:suppressLineNumbers w:val="0"/>
              <w:jc w:val="left"/>
              <w:textAlignment w:val="center"/>
              <w:rPr>
                <w:rFonts w:hint="eastAsia"/>
              </w:rPr>
            </w:pPr>
            <w:r>
              <w:rPr>
                <w:rFonts w:hint="eastAsia" w:ascii="等线" w:hAnsi="等线" w:eastAsia="等线" w:cs="等线"/>
                <w:i w:val="0"/>
                <w:iCs w:val="0"/>
                <w:color w:val="000000"/>
                <w:kern w:val="0"/>
                <w:sz w:val="20"/>
                <w:szCs w:val="20"/>
                <w:highlight w:val="none"/>
                <w:u w:val="none"/>
                <w:lang w:val="en-US" w:eastAsia="zh-CN" w:bidi="ar"/>
              </w:rPr>
              <w:t>▲提供全国工业产品生产许可证，且许可明细包含所投产品明细单元。</w:t>
            </w:r>
          </w:p>
        </w:tc>
        <w:tc>
          <w:tcPr>
            <w:tcW w:w="990" w:type="dxa"/>
            <w:tcBorders>
              <w:tl2br w:val="nil"/>
              <w:tr2bl w:val="nil"/>
            </w:tcBorders>
            <w:shd w:val="clear" w:color="auto" w:fill="auto"/>
            <w:noWrap/>
            <w:vAlign w:val="center"/>
          </w:tcPr>
          <w:p w14:paraId="1628104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56F4DF6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F9C2D2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295275" cy="742950"/>
                  <wp:effectExtent l="0" t="0" r="9525" b="3810"/>
                  <wp:docPr id="6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3" descr="IMG_268"/>
                          <pic:cNvPicPr>
                            <a:picLocks noChangeAspect="1"/>
                          </pic:cNvPicPr>
                        </pic:nvPicPr>
                        <pic:blipFill>
                          <a:blip r:embed="rId35"/>
                          <a:stretch>
                            <a:fillRect/>
                          </a:stretch>
                        </pic:blipFill>
                        <pic:spPr>
                          <a:xfrm>
                            <a:off x="0" y="0"/>
                            <a:ext cx="295275" cy="742950"/>
                          </a:xfrm>
                          <a:prstGeom prst="rect">
                            <a:avLst/>
                          </a:prstGeom>
                          <a:noFill/>
                          <a:ln w="9525">
                            <a:noFill/>
                          </a:ln>
                        </pic:spPr>
                      </pic:pic>
                    </a:graphicData>
                  </a:graphic>
                </wp:inline>
              </w:drawing>
            </w:r>
          </w:p>
        </w:tc>
      </w:tr>
      <w:tr w14:paraId="56BE4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50" w:hRule="atLeast"/>
          <w:jc w:val="center"/>
        </w:trPr>
        <w:tc>
          <w:tcPr>
            <w:tcW w:w="762" w:type="dxa"/>
            <w:tcBorders>
              <w:tl2br w:val="nil"/>
              <w:tr2bl w:val="nil"/>
            </w:tcBorders>
            <w:shd w:val="clear" w:color="auto" w:fill="auto"/>
            <w:vAlign w:val="center"/>
          </w:tcPr>
          <w:p w14:paraId="4505EB3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w:t>
            </w:r>
          </w:p>
        </w:tc>
        <w:tc>
          <w:tcPr>
            <w:tcW w:w="1684" w:type="dxa"/>
            <w:tcBorders>
              <w:tl2br w:val="nil"/>
              <w:tr2bl w:val="nil"/>
            </w:tcBorders>
            <w:shd w:val="clear" w:color="auto" w:fill="auto"/>
            <w:vAlign w:val="center"/>
          </w:tcPr>
          <w:p w14:paraId="503681C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台式混水龙头</w:t>
            </w:r>
          </w:p>
        </w:tc>
        <w:tc>
          <w:tcPr>
            <w:tcW w:w="1729" w:type="dxa"/>
            <w:tcBorders>
              <w:tl2br w:val="nil"/>
              <w:tr2bl w:val="nil"/>
            </w:tcBorders>
            <w:shd w:val="clear" w:color="auto" w:fill="auto"/>
            <w:vAlign w:val="center"/>
          </w:tcPr>
          <w:p w14:paraId="3411D25A">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2BCEE36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台式双孔双温，产品主体黄铜，不锈钢管，直径18，厚0.8mm，黄铜螺杆阀芯，合金手柄。</w:t>
            </w:r>
          </w:p>
          <w:p w14:paraId="34CB3179">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5C5109E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035" w:type="dxa"/>
            <w:tcBorders>
              <w:tl2br w:val="nil"/>
              <w:tr2bl w:val="nil"/>
            </w:tcBorders>
            <w:shd w:val="clear" w:color="auto" w:fill="auto"/>
            <w:noWrap/>
            <w:vAlign w:val="center"/>
          </w:tcPr>
          <w:p w14:paraId="745B5DE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3599F20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371475"/>
                  <wp:effectExtent l="0" t="0" r="3810" b="9525"/>
                  <wp:docPr id="5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4" descr="IMG_269"/>
                          <pic:cNvPicPr>
                            <a:picLocks noChangeAspect="1"/>
                          </pic:cNvPicPr>
                        </pic:nvPicPr>
                        <pic:blipFill>
                          <a:blip r:embed="rId36"/>
                          <a:stretch>
                            <a:fillRect/>
                          </a:stretch>
                        </pic:blipFill>
                        <pic:spPr>
                          <a:xfrm>
                            <a:off x="0" y="0"/>
                            <a:ext cx="514350" cy="371475"/>
                          </a:xfrm>
                          <a:prstGeom prst="rect">
                            <a:avLst/>
                          </a:prstGeom>
                          <a:noFill/>
                          <a:ln w="9525">
                            <a:noFill/>
                          </a:ln>
                        </pic:spPr>
                      </pic:pic>
                    </a:graphicData>
                  </a:graphic>
                </wp:inline>
              </w:drawing>
            </w:r>
          </w:p>
        </w:tc>
      </w:tr>
      <w:tr w14:paraId="4AD50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920" w:hRule="atLeast"/>
          <w:jc w:val="center"/>
        </w:trPr>
        <w:tc>
          <w:tcPr>
            <w:tcW w:w="762" w:type="dxa"/>
            <w:tcBorders>
              <w:tl2br w:val="nil"/>
              <w:tr2bl w:val="nil"/>
            </w:tcBorders>
            <w:shd w:val="clear" w:color="auto" w:fill="auto"/>
            <w:vAlign w:val="center"/>
          </w:tcPr>
          <w:p w14:paraId="6D65D12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w:t>
            </w:r>
          </w:p>
        </w:tc>
        <w:tc>
          <w:tcPr>
            <w:tcW w:w="1684" w:type="dxa"/>
            <w:tcBorders>
              <w:tl2br w:val="nil"/>
              <w:tr2bl w:val="nil"/>
            </w:tcBorders>
            <w:shd w:val="clear" w:color="auto" w:fill="auto"/>
            <w:vAlign w:val="center"/>
          </w:tcPr>
          <w:p w14:paraId="11BFC86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风幕机</w:t>
            </w:r>
          </w:p>
        </w:tc>
        <w:tc>
          <w:tcPr>
            <w:tcW w:w="1729" w:type="dxa"/>
            <w:tcBorders>
              <w:tl2br w:val="nil"/>
              <w:tr2bl w:val="nil"/>
            </w:tcBorders>
            <w:shd w:val="clear" w:color="auto" w:fill="auto"/>
            <w:vAlign w:val="center"/>
          </w:tcPr>
          <w:p w14:paraId="29F0C30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L=1500</w:t>
            </w:r>
          </w:p>
        </w:tc>
        <w:tc>
          <w:tcPr>
            <w:tcW w:w="7095" w:type="dxa"/>
            <w:tcBorders>
              <w:tl2br w:val="nil"/>
              <w:tr2bl w:val="nil"/>
            </w:tcBorders>
            <w:shd w:val="clear" w:color="auto" w:fill="auto"/>
            <w:vAlign w:val="center"/>
          </w:tcPr>
          <w:p w14:paraId="5E20597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电压/频率：220V/50Hz,风量：3100m³/h</w:t>
            </w:r>
          </w:p>
          <w:p w14:paraId="298D2E6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说明：全金属外壳，表面粉末喷涂，永不生锈，整机轻，超薄设计，高效能，低噪音，操作方便，双端齿轮索道式摆风叶片，风向可随意调节,采用滚珠轴承电机，铜芯电机设计，风力更强劲，5段x32片，递进交错式加厚风轮，双端4组，深沟球滚珠轴承，动平衡物理准确矫正技术，可拆卸式安装背板1mm加厚，安装更方便。</w:t>
            </w:r>
          </w:p>
          <w:p w14:paraId="5002FD8B">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▲中国国家强制性产品认证证书。</w:t>
            </w:r>
          </w:p>
        </w:tc>
        <w:tc>
          <w:tcPr>
            <w:tcW w:w="990" w:type="dxa"/>
            <w:tcBorders>
              <w:tl2br w:val="nil"/>
              <w:tr2bl w:val="nil"/>
            </w:tcBorders>
            <w:shd w:val="clear" w:color="auto" w:fill="auto"/>
            <w:noWrap/>
            <w:vAlign w:val="center"/>
          </w:tcPr>
          <w:p w14:paraId="461DC1E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4EB296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538C2CA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90575" cy="323850"/>
                  <wp:effectExtent l="0" t="0" r="1905" b="11430"/>
                  <wp:docPr id="68"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5" descr="IMG_270"/>
                          <pic:cNvPicPr>
                            <a:picLocks noChangeAspect="1"/>
                          </pic:cNvPicPr>
                        </pic:nvPicPr>
                        <pic:blipFill>
                          <a:blip r:embed="rId37"/>
                          <a:stretch>
                            <a:fillRect/>
                          </a:stretch>
                        </pic:blipFill>
                        <pic:spPr>
                          <a:xfrm>
                            <a:off x="0" y="0"/>
                            <a:ext cx="790575" cy="323850"/>
                          </a:xfrm>
                          <a:prstGeom prst="rect">
                            <a:avLst/>
                          </a:prstGeom>
                          <a:noFill/>
                          <a:ln w="9525">
                            <a:noFill/>
                          </a:ln>
                        </pic:spPr>
                      </pic:pic>
                    </a:graphicData>
                  </a:graphic>
                </wp:inline>
              </w:drawing>
            </w:r>
          </w:p>
        </w:tc>
      </w:tr>
      <w:tr w14:paraId="422C15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040" w:hRule="atLeast"/>
          <w:jc w:val="center"/>
        </w:trPr>
        <w:tc>
          <w:tcPr>
            <w:tcW w:w="762" w:type="dxa"/>
            <w:tcBorders>
              <w:tl2br w:val="nil"/>
              <w:tr2bl w:val="nil"/>
            </w:tcBorders>
            <w:shd w:val="clear" w:color="auto" w:fill="auto"/>
            <w:vAlign w:val="center"/>
          </w:tcPr>
          <w:p w14:paraId="7236FD4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w:t>
            </w:r>
          </w:p>
        </w:tc>
        <w:tc>
          <w:tcPr>
            <w:tcW w:w="1684" w:type="dxa"/>
            <w:tcBorders>
              <w:tl2br w:val="nil"/>
              <w:tr2bl w:val="nil"/>
            </w:tcBorders>
            <w:shd w:val="clear" w:color="auto" w:fill="auto"/>
            <w:vAlign w:val="center"/>
          </w:tcPr>
          <w:p w14:paraId="71721218">
            <w:pPr>
              <w:keepNext w:val="0"/>
              <w:keepLines w:val="0"/>
              <w:widowControl/>
              <w:suppressLineNumbers w:val="0"/>
              <w:jc w:val="center"/>
              <w:textAlignment w:val="center"/>
              <w:rPr>
                <w:rFonts w:hint="eastAsia" w:ascii="等线" w:hAnsi="等线" w:eastAsia="等线" w:cs="等线"/>
                <w:i w:val="0"/>
                <w:iCs w:val="0"/>
                <w:color w:val="000000"/>
                <w:sz w:val="24"/>
                <w:szCs w:val="24"/>
                <w:highlight w:val="none"/>
                <w:u w:val="none"/>
              </w:rPr>
            </w:pPr>
            <w:r>
              <w:rPr>
                <w:rFonts w:hint="eastAsia" w:ascii="等线" w:hAnsi="等线" w:eastAsia="等线" w:cs="等线"/>
                <w:i w:val="0"/>
                <w:iCs w:val="0"/>
                <w:color w:val="000000"/>
                <w:kern w:val="0"/>
                <w:sz w:val="24"/>
                <w:szCs w:val="24"/>
                <w:highlight w:val="none"/>
                <w:u w:val="none"/>
                <w:lang w:val="en-US" w:eastAsia="zh-CN" w:bidi="ar"/>
              </w:rPr>
              <w:t>切菜机</w:t>
            </w:r>
          </w:p>
        </w:tc>
        <w:tc>
          <w:tcPr>
            <w:tcW w:w="1729" w:type="dxa"/>
            <w:tcBorders>
              <w:tl2br w:val="nil"/>
              <w:tr2bl w:val="nil"/>
            </w:tcBorders>
            <w:shd w:val="clear" w:color="auto" w:fill="auto"/>
            <w:vAlign w:val="center"/>
          </w:tcPr>
          <w:p w14:paraId="2E261682">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51D6F42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叶菜部切长度：1－30mm(可调)</w:t>
            </w:r>
          </w:p>
          <w:p w14:paraId="287D464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产量：500－1000KG/HR</w:t>
            </w:r>
          </w:p>
          <w:p w14:paraId="61E2182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电源： 220V　单相</w:t>
            </w:r>
          </w:p>
          <w:p w14:paraId="2672524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功率：2.25KW</w:t>
            </w:r>
          </w:p>
          <w:p w14:paraId="74E2CCA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输送带宽度：120MM</w:t>
            </w:r>
          </w:p>
          <w:p w14:paraId="51EB34A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不锈钢厚度：SUS304,1.5MM以上</w:t>
            </w:r>
          </w:p>
          <w:p w14:paraId="488D652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本机为双变频控制双头多功能切菜机；叶菜、根茎菜切片、切丝、切丁一机全功能处理。整机SUS304拉丝工艺不锈钢。</w:t>
            </w:r>
          </w:p>
          <w:p w14:paraId="316F7E4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机器要求双头型切菜机,可同时工作亦可单独工作。</w:t>
            </w:r>
          </w:p>
          <w:p w14:paraId="6943108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通过更换刀盘或双调频调节输送带与斩刀速度,可切出各种规格的片、丝、丁，变频调速简单直接。</w:t>
            </w:r>
          </w:p>
          <w:p w14:paraId="6975404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叶菜部由斩刀单轴心升级为双轴承座，能免除易损困扰。</w:t>
            </w:r>
          </w:p>
          <w:p w14:paraId="5AD5BD3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丝盘采用磨具种丝，切割效果好，易维修。</w:t>
            </w:r>
          </w:p>
          <w:p w14:paraId="3A87AB0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低压直流启动保障操作人员人生安全。</w:t>
            </w:r>
          </w:p>
          <w:p w14:paraId="4AFA3E5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两头操作搭配独立控制微动开关，使用使用更安全。</w:t>
            </w:r>
          </w:p>
          <w:p w14:paraId="11332304">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设备底部增加防鼠板，彻底杜绝卫生及安全隐患。</w:t>
            </w:r>
          </w:p>
        </w:tc>
        <w:tc>
          <w:tcPr>
            <w:tcW w:w="990" w:type="dxa"/>
            <w:tcBorders>
              <w:tl2br w:val="nil"/>
              <w:tr2bl w:val="nil"/>
            </w:tcBorders>
            <w:shd w:val="clear" w:color="auto" w:fill="auto"/>
            <w:noWrap/>
            <w:vAlign w:val="center"/>
          </w:tcPr>
          <w:p w14:paraId="4D25FFE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2DF6639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E15E10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28625" cy="590550"/>
                  <wp:effectExtent l="0" t="0" r="13335" b="3810"/>
                  <wp:docPr id="70"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6" descr="IMG_271"/>
                          <pic:cNvPicPr>
                            <a:picLocks noChangeAspect="1"/>
                          </pic:cNvPicPr>
                        </pic:nvPicPr>
                        <pic:blipFill>
                          <a:blip r:embed="rId38"/>
                          <a:stretch>
                            <a:fillRect/>
                          </a:stretch>
                        </pic:blipFill>
                        <pic:spPr>
                          <a:xfrm>
                            <a:off x="0" y="0"/>
                            <a:ext cx="428625" cy="590550"/>
                          </a:xfrm>
                          <a:prstGeom prst="rect">
                            <a:avLst/>
                          </a:prstGeom>
                          <a:noFill/>
                          <a:ln w="9525">
                            <a:noFill/>
                          </a:ln>
                        </pic:spPr>
                      </pic:pic>
                    </a:graphicData>
                  </a:graphic>
                </wp:inline>
              </w:drawing>
            </w:r>
          </w:p>
        </w:tc>
      </w:tr>
      <w:tr w14:paraId="15169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38" w:hRule="atLeast"/>
          <w:jc w:val="center"/>
        </w:trPr>
        <w:tc>
          <w:tcPr>
            <w:tcW w:w="762" w:type="dxa"/>
            <w:tcBorders>
              <w:tl2br w:val="nil"/>
              <w:tr2bl w:val="nil"/>
            </w:tcBorders>
            <w:shd w:val="clear" w:color="auto" w:fill="auto"/>
            <w:vAlign w:val="center"/>
          </w:tcPr>
          <w:p w14:paraId="3EC3494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11</w:t>
            </w:r>
          </w:p>
        </w:tc>
        <w:tc>
          <w:tcPr>
            <w:tcW w:w="1684" w:type="dxa"/>
            <w:tcBorders>
              <w:tl2br w:val="nil"/>
              <w:tr2bl w:val="nil"/>
            </w:tcBorders>
            <w:shd w:val="clear" w:color="auto" w:fill="auto"/>
            <w:vAlign w:val="center"/>
          </w:tcPr>
          <w:p w14:paraId="127C055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电子秤</w:t>
            </w:r>
          </w:p>
        </w:tc>
        <w:tc>
          <w:tcPr>
            <w:tcW w:w="1729" w:type="dxa"/>
            <w:tcBorders>
              <w:tl2br w:val="nil"/>
              <w:tr2bl w:val="nil"/>
            </w:tcBorders>
            <w:shd w:val="clear" w:color="auto" w:fill="auto"/>
            <w:vAlign w:val="center"/>
          </w:tcPr>
          <w:p w14:paraId="38CC4334">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3881C69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不锈钢表头，防水防锈，高精度传感器，精准称重。</w:t>
            </w:r>
          </w:p>
          <w:p w14:paraId="1DCE28D9">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称重范围：1-150KG                                                                                                          使用电源：220V/0.5KW</w:t>
            </w:r>
          </w:p>
        </w:tc>
        <w:tc>
          <w:tcPr>
            <w:tcW w:w="990" w:type="dxa"/>
            <w:tcBorders>
              <w:tl2br w:val="nil"/>
              <w:tr2bl w:val="nil"/>
            </w:tcBorders>
            <w:shd w:val="clear" w:color="auto" w:fill="auto"/>
            <w:noWrap/>
            <w:vAlign w:val="center"/>
          </w:tcPr>
          <w:p w14:paraId="71D18BA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FCC3C0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DDED95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1019175" cy="666750"/>
                  <wp:effectExtent l="0" t="0" r="1905" b="3810"/>
                  <wp:docPr id="54"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7" descr="IMG_272"/>
                          <pic:cNvPicPr>
                            <a:picLocks noChangeAspect="1"/>
                          </pic:cNvPicPr>
                        </pic:nvPicPr>
                        <pic:blipFill>
                          <a:blip r:embed="rId39"/>
                          <a:stretch>
                            <a:fillRect/>
                          </a:stretch>
                        </pic:blipFill>
                        <pic:spPr>
                          <a:xfrm>
                            <a:off x="0" y="0"/>
                            <a:ext cx="1019175" cy="666750"/>
                          </a:xfrm>
                          <a:prstGeom prst="rect">
                            <a:avLst/>
                          </a:prstGeom>
                          <a:noFill/>
                          <a:ln w="9525">
                            <a:noFill/>
                          </a:ln>
                        </pic:spPr>
                      </pic:pic>
                    </a:graphicData>
                  </a:graphic>
                </wp:inline>
              </w:drawing>
            </w:r>
          </w:p>
        </w:tc>
      </w:tr>
      <w:tr w14:paraId="260C33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atLeast"/>
          <w:jc w:val="center"/>
        </w:trPr>
        <w:tc>
          <w:tcPr>
            <w:tcW w:w="2446" w:type="dxa"/>
            <w:gridSpan w:val="2"/>
            <w:tcBorders>
              <w:tl2br w:val="nil"/>
              <w:tr2bl w:val="nil"/>
            </w:tcBorders>
            <w:shd w:val="clear" w:color="auto" w:fill="auto"/>
            <w:vAlign w:val="center"/>
          </w:tcPr>
          <w:p w14:paraId="52507C4C">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四、烹饪间</w:t>
            </w:r>
          </w:p>
        </w:tc>
        <w:tc>
          <w:tcPr>
            <w:tcW w:w="1729" w:type="dxa"/>
            <w:tcBorders>
              <w:tl2br w:val="nil"/>
              <w:tr2bl w:val="nil"/>
            </w:tcBorders>
            <w:shd w:val="clear" w:color="auto" w:fill="auto"/>
            <w:vAlign w:val="center"/>
          </w:tcPr>
          <w:p w14:paraId="6C6546DB">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636CAB64">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20B2BDD6">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32408841">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035D7FB0">
            <w:pPr>
              <w:jc w:val="center"/>
              <w:rPr>
                <w:rFonts w:hint="eastAsia" w:ascii="等线" w:hAnsi="等线" w:eastAsia="等线" w:cs="等线"/>
                <w:i w:val="0"/>
                <w:iCs w:val="0"/>
                <w:color w:val="000000"/>
                <w:sz w:val="22"/>
                <w:szCs w:val="22"/>
                <w:highlight w:val="none"/>
                <w:u w:val="none"/>
              </w:rPr>
            </w:pPr>
          </w:p>
        </w:tc>
      </w:tr>
      <w:tr w14:paraId="3809AC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jc w:val="center"/>
        </w:trPr>
        <w:tc>
          <w:tcPr>
            <w:tcW w:w="762" w:type="dxa"/>
            <w:tcBorders>
              <w:tl2br w:val="nil"/>
              <w:tr2bl w:val="nil"/>
            </w:tcBorders>
            <w:shd w:val="clear" w:color="auto" w:fill="auto"/>
            <w:vAlign w:val="center"/>
          </w:tcPr>
          <w:p w14:paraId="57CF23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6413A55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电磁一大一小灶</w:t>
            </w:r>
          </w:p>
        </w:tc>
        <w:tc>
          <w:tcPr>
            <w:tcW w:w="1729" w:type="dxa"/>
            <w:tcBorders>
              <w:tl2br w:val="nil"/>
              <w:tr2bl w:val="nil"/>
            </w:tcBorders>
            <w:shd w:val="clear" w:color="auto" w:fill="auto"/>
            <w:vAlign w:val="center"/>
          </w:tcPr>
          <w:p w14:paraId="75B279F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2000*1100*1250</w:t>
            </w:r>
          </w:p>
        </w:tc>
        <w:tc>
          <w:tcPr>
            <w:tcW w:w="7095" w:type="dxa"/>
            <w:tcBorders>
              <w:tl2br w:val="nil"/>
              <w:tr2bl w:val="nil"/>
            </w:tcBorders>
            <w:shd w:val="clear" w:color="auto" w:fill="auto"/>
            <w:vAlign w:val="center"/>
          </w:tcPr>
          <w:p w14:paraId="36986D3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全不锈钢联众板材精工细制，台面一体成型，防虫，防漏电，防辐射三防结构，IPX4标准防水设计，炉身面板304国标厚1.2MM，侧板201厚1.0MM。小炒炉加尾撑设计，可实现抛炒和爆炒，304不锈钢摇摆水龙头设置，加水方便。一侧采用耐用409#不锈铁带翻边冲压大锅，发热面积大，可一次性烹炒、炖煮或油炸大量食物。     </w:t>
            </w:r>
          </w:p>
          <w:p w14:paraId="36F2474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2.台面一体折弯，拼板采用内嵌式设计，可任意冲水，杜绝漏水。</w:t>
            </w:r>
          </w:p>
          <w:p w14:paraId="705E33C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3、设备所用连接线，风扇均采用防水设计。</w:t>
            </w:r>
          </w:p>
          <w:p w14:paraId="587A69C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4.火力输出热值高，加热均匀、加热面积大。功率：≥15KW。</w:t>
            </w:r>
          </w:p>
          <w:p w14:paraId="01B90DC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5.采用加大铝制散热片，充分保障了IGBT及机芯各元器件的正常工作，具有故障自检并能中文显示故障原因。      </w:t>
            </w:r>
          </w:p>
          <w:p w14:paraId="217F23D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6、独立的手动5档直滑式火力开关。</w:t>
            </w:r>
          </w:p>
          <w:p w14:paraId="63A7F20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7</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 xml:space="preserve"> 显示屏集成电压，累计用电量，功率实时显示。</w:t>
            </w:r>
          </w:p>
          <w:p w14:paraId="7A4975A0">
            <w:pPr>
              <w:keepNext w:val="0"/>
              <w:keepLines w:val="0"/>
              <w:widowControl/>
              <w:numPr>
                <w:ilvl w:val="0"/>
                <w:numId w:val="2"/>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恒功率输出，不受电压波动影响。 </w:t>
            </w:r>
          </w:p>
          <w:p w14:paraId="51E55F30">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 xml:space="preserve">9、▲提供全国工业产品生产许可证，且许可明细包含所投产品明细单元                                                                                    </w:t>
            </w:r>
          </w:p>
        </w:tc>
        <w:tc>
          <w:tcPr>
            <w:tcW w:w="990" w:type="dxa"/>
            <w:tcBorders>
              <w:tl2br w:val="nil"/>
              <w:tr2bl w:val="nil"/>
            </w:tcBorders>
            <w:shd w:val="clear" w:color="auto" w:fill="auto"/>
            <w:noWrap/>
            <w:vAlign w:val="center"/>
          </w:tcPr>
          <w:p w14:paraId="308C7C8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053DD2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DE1E60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62000" cy="647700"/>
                  <wp:effectExtent l="0" t="0" r="0" b="7620"/>
                  <wp:docPr id="64"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8" descr="IMG_273"/>
                          <pic:cNvPicPr>
                            <a:picLocks noChangeAspect="1"/>
                          </pic:cNvPicPr>
                        </pic:nvPicPr>
                        <pic:blipFill>
                          <a:blip r:embed="rId40"/>
                          <a:stretch>
                            <a:fillRect/>
                          </a:stretch>
                        </pic:blipFill>
                        <pic:spPr>
                          <a:xfrm>
                            <a:off x="0" y="0"/>
                            <a:ext cx="762000" cy="647700"/>
                          </a:xfrm>
                          <a:prstGeom prst="rect">
                            <a:avLst/>
                          </a:prstGeom>
                          <a:noFill/>
                          <a:ln w="9525">
                            <a:noFill/>
                          </a:ln>
                        </pic:spPr>
                      </pic:pic>
                    </a:graphicData>
                  </a:graphic>
                </wp:inline>
              </w:drawing>
            </w:r>
          </w:p>
        </w:tc>
      </w:tr>
      <w:tr w14:paraId="3A76D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8" w:hRule="atLeast"/>
          <w:jc w:val="center"/>
        </w:trPr>
        <w:tc>
          <w:tcPr>
            <w:tcW w:w="762" w:type="dxa"/>
            <w:tcBorders>
              <w:tl2br w:val="nil"/>
              <w:tr2bl w:val="nil"/>
            </w:tcBorders>
            <w:shd w:val="clear" w:color="auto" w:fill="auto"/>
            <w:vAlign w:val="center"/>
          </w:tcPr>
          <w:p w14:paraId="3E172DA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34BA9A5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电磁双头大锅灶</w:t>
            </w:r>
          </w:p>
        </w:tc>
        <w:tc>
          <w:tcPr>
            <w:tcW w:w="1729" w:type="dxa"/>
            <w:tcBorders>
              <w:tl2br w:val="nil"/>
              <w:tr2bl w:val="nil"/>
            </w:tcBorders>
            <w:shd w:val="clear" w:color="auto" w:fill="auto"/>
            <w:vAlign w:val="center"/>
          </w:tcPr>
          <w:p w14:paraId="0912595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2000*1100*1250</w:t>
            </w:r>
          </w:p>
        </w:tc>
        <w:tc>
          <w:tcPr>
            <w:tcW w:w="7095" w:type="dxa"/>
            <w:tcBorders>
              <w:tl2br w:val="nil"/>
              <w:tr2bl w:val="nil"/>
            </w:tcBorders>
            <w:shd w:val="clear" w:color="auto" w:fill="auto"/>
            <w:vAlign w:val="center"/>
          </w:tcPr>
          <w:p w14:paraId="3ADF111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1.采用耐用409#不锈铁带翻边冲压大锅，发热面积大，可一次性烹炒、炖煮或油炸大量食物                                                            </w:t>
            </w:r>
          </w:p>
          <w:p w14:paraId="5E6F700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2.台面一体折弯，拼板采用内嵌式设计，可任意冲水，杜绝漏水，</w:t>
            </w:r>
          </w:p>
          <w:p w14:paraId="7CCCEF1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3，设备所用连接线，风扇均采用防水设计，</w:t>
            </w:r>
          </w:p>
          <w:p w14:paraId="2938416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4.火力输出热值高，加热均匀、加热面积大。功率：≥22KW；</w:t>
            </w:r>
          </w:p>
          <w:p w14:paraId="025809F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5.采用加大铝制散热片，散热快捷，充分保障了IGBT及机芯各元器件的正常工作，具有故障自检并能中文显示故障。                                                                                                            </w:t>
            </w:r>
          </w:p>
          <w:p w14:paraId="3E38476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  五档磁控开关精准掌控火力，功率分配更均匀，宽电压范围，恒功率输出。</w:t>
            </w:r>
          </w:p>
          <w:p w14:paraId="0774381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7</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 xml:space="preserve">显示屏集成电压，累计用电量，故障中文显示， </w:t>
            </w:r>
          </w:p>
          <w:p w14:paraId="5544B0F9">
            <w:pPr>
              <w:keepNext w:val="0"/>
              <w:keepLines w:val="0"/>
              <w:widowControl/>
              <w:numPr>
                <w:ilvl w:val="0"/>
                <w:numId w:val="3"/>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恒功率输出，不受电压波动影响                                                                                  9、投标人提供所投800双头大锅灶，通过检验类别：型式检验，依据GB4706.1-2005；GB4706.52-2008标准，检验检测合格。（提供由国家认可带CMA或CNAS标志的检验报告，经国家市场监督管理总局全国认证认可信息公共服务平台查询截图）</w:t>
            </w:r>
          </w:p>
          <w:p w14:paraId="2D9D5126">
            <w:pPr>
              <w:pStyle w:val="2"/>
              <w:numPr>
                <w:ilvl w:val="0"/>
                <w:numId w:val="0"/>
              </w:numPr>
              <w:rPr>
                <w:rFonts w:hint="default" w:eastAsia="华文楷体"/>
                <w:lang w:val="en-US" w:eastAsia="zh-CN"/>
              </w:rPr>
            </w:pPr>
            <w:r>
              <w:rPr>
                <w:rFonts w:hint="eastAsia" w:ascii="等线" w:hAnsi="等线" w:eastAsia="等线" w:cs="等线"/>
                <w:i w:val="0"/>
                <w:iCs w:val="0"/>
                <w:color w:val="000000"/>
                <w:kern w:val="0"/>
                <w:sz w:val="20"/>
                <w:szCs w:val="20"/>
                <w:highlight w:val="none"/>
                <w:u w:val="none"/>
                <w:lang w:val="en-US" w:eastAsia="zh-CN" w:bidi="ar"/>
              </w:rPr>
              <w:t xml:space="preserve">10、▲提供全国工业产品生产许可证，且许可明细包含所投产品明细单元  </w:t>
            </w:r>
          </w:p>
        </w:tc>
        <w:tc>
          <w:tcPr>
            <w:tcW w:w="990" w:type="dxa"/>
            <w:tcBorders>
              <w:tl2br w:val="nil"/>
              <w:tr2bl w:val="nil"/>
            </w:tcBorders>
            <w:shd w:val="clear" w:color="auto" w:fill="auto"/>
            <w:noWrap/>
            <w:vAlign w:val="center"/>
          </w:tcPr>
          <w:p w14:paraId="721AFE4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1C2B0E0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34DAEA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28675" cy="600075"/>
                  <wp:effectExtent l="0" t="0" r="9525" b="9525"/>
                  <wp:docPr id="4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9" descr="IMG_274"/>
                          <pic:cNvPicPr>
                            <a:picLocks noChangeAspect="1"/>
                          </pic:cNvPicPr>
                        </pic:nvPicPr>
                        <pic:blipFill>
                          <a:blip r:embed="rId41"/>
                          <a:stretch>
                            <a:fillRect/>
                          </a:stretch>
                        </pic:blipFill>
                        <pic:spPr>
                          <a:xfrm>
                            <a:off x="0" y="0"/>
                            <a:ext cx="828675" cy="600075"/>
                          </a:xfrm>
                          <a:prstGeom prst="rect">
                            <a:avLst/>
                          </a:prstGeom>
                          <a:noFill/>
                          <a:ln w="9525">
                            <a:noFill/>
                          </a:ln>
                        </pic:spPr>
                      </pic:pic>
                    </a:graphicData>
                  </a:graphic>
                </wp:inline>
              </w:drawing>
            </w:r>
          </w:p>
        </w:tc>
      </w:tr>
      <w:tr w14:paraId="66C5D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jc w:val="center"/>
        </w:trPr>
        <w:tc>
          <w:tcPr>
            <w:tcW w:w="762" w:type="dxa"/>
            <w:tcBorders>
              <w:tl2br w:val="nil"/>
              <w:tr2bl w:val="nil"/>
            </w:tcBorders>
            <w:shd w:val="clear" w:color="auto" w:fill="auto"/>
            <w:vAlign w:val="center"/>
          </w:tcPr>
          <w:p w14:paraId="3605A56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3CE1D60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炉拼台</w:t>
            </w:r>
          </w:p>
        </w:tc>
        <w:tc>
          <w:tcPr>
            <w:tcW w:w="1729" w:type="dxa"/>
            <w:tcBorders>
              <w:tl2br w:val="nil"/>
              <w:tr2bl w:val="nil"/>
            </w:tcBorders>
            <w:shd w:val="clear" w:color="auto" w:fill="auto"/>
            <w:vAlign w:val="center"/>
          </w:tcPr>
          <w:p w14:paraId="07A7E5A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600*1100*1250</w:t>
            </w:r>
          </w:p>
        </w:tc>
        <w:tc>
          <w:tcPr>
            <w:tcW w:w="7095" w:type="dxa"/>
            <w:tcBorders>
              <w:tl2br w:val="nil"/>
              <w:tr2bl w:val="nil"/>
            </w:tcBorders>
            <w:shd w:val="clear" w:color="auto" w:fill="auto"/>
            <w:vAlign w:val="center"/>
          </w:tcPr>
          <w:p w14:paraId="6B6B94D9">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面板采用304不锈钢板制作；台面板厚1.0mm；φ50mm厚度0.8mm不锈钢圆通腿；38*25mm厚度0.8mm不锈钢下橫通；配不锈钢可调式子弹脚</w:t>
            </w:r>
          </w:p>
        </w:tc>
        <w:tc>
          <w:tcPr>
            <w:tcW w:w="990" w:type="dxa"/>
            <w:tcBorders>
              <w:tl2br w:val="nil"/>
              <w:tr2bl w:val="nil"/>
            </w:tcBorders>
            <w:shd w:val="clear" w:color="auto" w:fill="auto"/>
            <w:noWrap/>
            <w:vAlign w:val="center"/>
          </w:tcPr>
          <w:p w14:paraId="735875C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3DBC446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73D657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76250" cy="476250"/>
                  <wp:effectExtent l="0" t="0" r="11430" b="11430"/>
                  <wp:docPr id="2"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0" descr="IMG_275"/>
                          <pic:cNvPicPr>
                            <a:picLocks noChangeAspect="1"/>
                          </pic:cNvPicPr>
                        </pic:nvPicPr>
                        <pic:blipFill>
                          <a:blip r:embed="rId42"/>
                          <a:stretch>
                            <a:fillRect/>
                          </a:stretch>
                        </pic:blipFill>
                        <pic:spPr>
                          <a:xfrm>
                            <a:off x="0" y="0"/>
                            <a:ext cx="476250" cy="476250"/>
                          </a:xfrm>
                          <a:prstGeom prst="rect">
                            <a:avLst/>
                          </a:prstGeom>
                          <a:noFill/>
                          <a:ln w="9525">
                            <a:noFill/>
                          </a:ln>
                        </pic:spPr>
                      </pic:pic>
                    </a:graphicData>
                  </a:graphic>
                </wp:inline>
              </w:drawing>
            </w:r>
          </w:p>
        </w:tc>
      </w:tr>
      <w:tr w14:paraId="7E0A78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40" w:hRule="atLeast"/>
          <w:jc w:val="center"/>
        </w:trPr>
        <w:tc>
          <w:tcPr>
            <w:tcW w:w="762" w:type="dxa"/>
            <w:tcBorders>
              <w:tl2br w:val="nil"/>
              <w:tr2bl w:val="nil"/>
            </w:tcBorders>
            <w:shd w:val="clear" w:color="auto" w:fill="auto"/>
            <w:vAlign w:val="center"/>
          </w:tcPr>
          <w:p w14:paraId="6505809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245F95C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炉拼台</w:t>
            </w:r>
          </w:p>
        </w:tc>
        <w:tc>
          <w:tcPr>
            <w:tcW w:w="1729" w:type="dxa"/>
            <w:tcBorders>
              <w:tl2br w:val="nil"/>
              <w:tr2bl w:val="nil"/>
            </w:tcBorders>
            <w:shd w:val="clear" w:color="auto" w:fill="auto"/>
            <w:vAlign w:val="center"/>
          </w:tcPr>
          <w:p w14:paraId="6D1C941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700*1100*1250</w:t>
            </w:r>
          </w:p>
        </w:tc>
        <w:tc>
          <w:tcPr>
            <w:tcW w:w="7095" w:type="dxa"/>
            <w:tcBorders>
              <w:tl2br w:val="nil"/>
              <w:tr2bl w:val="nil"/>
            </w:tcBorders>
            <w:shd w:val="clear" w:color="auto" w:fill="auto"/>
            <w:vAlign w:val="center"/>
          </w:tcPr>
          <w:p w14:paraId="637383CC">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面板采用304不锈钢板制作；台面板厚1.0mm；φ50mm厚度0.8mm不锈钢圆通腿；38*25mm厚度0.8mm不锈钢下橫通；配不锈钢可调式子弹脚</w:t>
            </w:r>
          </w:p>
        </w:tc>
        <w:tc>
          <w:tcPr>
            <w:tcW w:w="990" w:type="dxa"/>
            <w:tcBorders>
              <w:tl2br w:val="nil"/>
              <w:tr2bl w:val="nil"/>
            </w:tcBorders>
            <w:shd w:val="clear" w:color="auto" w:fill="auto"/>
            <w:noWrap/>
            <w:vAlign w:val="center"/>
          </w:tcPr>
          <w:p w14:paraId="7A1DDCF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DE75F3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6503530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76250" cy="476250"/>
                  <wp:effectExtent l="0" t="0" r="11430" b="11430"/>
                  <wp:docPr id="59"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21" descr="IMG_276"/>
                          <pic:cNvPicPr>
                            <a:picLocks noChangeAspect="1"/>
                          </pic:cNvPicPr>
                        </pic:nvPicPr>
                        <pic:blipFill>
                          <a:blip r:embed="rId42"/>
                          <a:stretch>
                            <a:fillRect/>
                          </a:stretch>
                        </pic:blipFill>
                        <pic:spPr>
                          <a:xfrm>
                            <a:off x="0" y="0"/>
                            <a:ext cx="476250" cy="476250"/>
                          </a:xfrm>
                          <a:prstGeom prst="rect">
                            <a:avLst/>
                          </a:prstGeom>
                          <a:noFill/>
                          <a:ln w="9525">
                            <a:noFill/>
                          </a:ln>
                        </pic:spPr>
                      </pic:pic>
                    </a:graphicData>
                  </a:graphic>
                </wp:inline>
              </w:drawing>
            </w:r>
          </w:p>
        </w:tc>
      </w:tr>
      <w:tr w14:paraId="21511C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0" w:hRule="atLeast"/>
          <w:jc w:val="center"/>
        </w:trPr>
        <w:tc>
          <w:tcPr>
            <w:tcW w:w="762" w:type="dxa"/>
            <w:tcBorders>
              <w:tl2br w:val="nil"/>
              <w:tr2bl w:val="nil"/>
            </w:tcBorders>
            <w:shd w:val="clear" w:color="auto" w:fill="auto"/>
            <w:vAlign w:val="center"/>
          </w:tcPr>
          <w:p w14:paraId="7A70B31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684" w:type="dxa"/>
            <w:tcBorders>
              <w:tl2br w:val="nil"/>
              <w:tr2bl w:val="nil"/>
            </w:tcBorders>
            <w:shd w:val="clear" w:color="auto" w:fill="auto"/>
            <w:vAlign w:val="center"/>
          </w:tcPr>
          <w:p w14:paraId="0E277DD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炉拼台</w:t>
            </w:r>
          </w:p>
        </w:tc>
        <w:tc>
          <w:tcPr>
            <w:tcW w:w="1729" w:type="dxa"/>
            <w:tcBorders>
              <w:tl2br w:val="nil"/>
              <w:tr2bl w:val="nil"/>
            </w:tcBorders>
            <w:shd w:val="clear" w:color="auto" w:fill="auto"/>
            <w:vAlign w:val="center"/>
          </w:tcPr>
          <w:p w14:paraId="46D99D2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700*500*1250</w:t>
            </w:r>
          </w:p>
        </w:tc>
        <w:tc>
          <w:tcPr>
            <w:tcW w:w="7095" w:type="dxa"/>
            <w:tcBorders>
              <w:tl2br w:val="nil"/>
              <w:tr2bl w:val="nil"/>
            </w:tcBorders>
            <w:shd w:val="clear" w:color="auto" w:fill="auto"/>
            <w:vAlign w:val="center"/>
          </w:tcPr>
          <w:p w14:paraId="6BA56524">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面板采用304不锈钢板制作；台面板厚1.0mm；φ50mm厚度0.8mm不锈钢圆通腿；38*25mm厚度0.8mm不锈钢下橫通；配不锈钢可调式子弹脚</w:t>
            </w:r>
          </w:p>
        </w:tc>
        <w:tc>
          <w:tcPr>
            <w:tcW w:w="990" w:type="dxa"/>
            <w:tcBorders>
              <w:tl2br w:val="nil"/>
              <w:tr2bl w:val="nil"/>
            </w:tcBorders>
            <w:shd w:val="clear" w:color="auto" w:fill="auto"/>
            <w:noWrap/>
            <w:vAlign w:val="center"/>
          </w:tcPr>
          <w:p w14:paraId="331F407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00F3CF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CBE6C7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76250" cy="476250"/>
                  <wp:effectExtent l="0" t="0" r="11430" b="11430"/>
                  <wp:docPr id="4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2" descr="IMG_277"/>
                          <pic:cNvPicPr>
                            <a:picLocks noChangeAspect="1"/>
                          </pic:cNvPicPr>
                        </pic:nvPicPr>
                        <pic:blipFill>
                          <a:blip r:embed="rId42"/>
                          <a:stretch>
                            <a:fillRect/>
                          </a:stretch>
                        </pic:blipFill>
                        <pic:spPr>
                          <a:xfrm>
                            <a:off x="0" y="0"/>
                            <a:ext cx="476250" cy="476250"/>
                          </a:xfrm>
                          <a:prstGeom prst="rect">
                            <a:avLst/>
                          </a:prstGeom>
                          <a:noFill/>
                          <a:ln w="9525">
                            <a:noFill/>
                          </a:ln>
                        </pic:spPr>
                      </pic:pic>
                    </a:graphicData>
                  </a:graphic>
                </wp:inline>
              </w:drawing>
            </w:r>
          </w:p>
        </w:tc>
      </w:tr>
      <w:tr w14:paraId="188A3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6" w:hRule="atLeast"/>
          <w:jc w:val="center"/>
        </w:trPr>
        <w:tc>
          <w:tcPr>
            <w:tcW w:w="762" w:type="dxa"/>
            <w:tcBorders>
              <w:tl2br w:val="nil"/>
              <w:tr2bl w:val="nil"/>
            </w:tcBorders>
            <w:shd w:val="clear" w:color="auto" w:fill="auto"/>
            <w:vAlign w:val="center"/>
          </w:tcPr>
          <w:p w14:paraId="0E16153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684" w:type="dxa"/>
            <w:tcBorders>
              <w:tl2br w:val="nil"/>
              <w:tr2bl w:val="nil"/>
            </w:tcBorders>
            <w:shd w:val="clear" w:color="auto" w:fill="auto"/>
            <w:vAlign w:val="center"/>
          </w:tcPr>
          <w:p w14:paraId="3BD7112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炉拼台</w:t>
            </w:r>
          </w:p>
        </w:tc>
        <w:tc>
          <w:tcPr>
            <w:tcW w:w="1729" w:type="dxa"/>
            <w:tcBorders>
              <w:tl2br w:val="nil"/>
              <w:tr2bl w:val="nil"/>
            </w:tcBorders>
            <w:shd w:val="clear" w:color="auto" w:fill="auto"/>
            <w:vAlign w:val="center"/>
          </w:tcPr>
          <w:p w14:paraId="7F965B7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500*1100*1250</w:t>
            </w:r>
          </w:p>
        </w:tc>
        <w:tc>
          <w:tcPr>
            <w:tcW w:w="7095" w:type="dxa"/>
            <w:tcBorders>
              <w:tl2br w:val="nil"/>
              <w:tr2bl w:val="nil"/>
            </w:tcBorders>
            <w:shd w:val="clear" w:color="auto" w:fill="auto"/>
            <w:vAlign w:val="center"/>
          </w:tcPr>
          <w:p w14:paraId="45F6B8F1">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面板采用304不锈钢板制作；台面板厚1.0mm；φ50mm厚度0.8mm不锈钢圆通腿；38*25mm厚度0.8mm不锈钢下橫通；配不锈钢可调式子弹脚</w:t>
            </w:r>
          </w:p>
        </w:tc>
        <w:tc>
          <w:tcPr>
            <w:tcW w:w="990" w:type="dxa"/>
            <w:tcBorders>
              <w:tl2br w:val="nil"/>
              <w:tr2bl w:val="nil"/>
            </w:tcBorders>
            <w:shd w:val="clear" w:color="auto" w:fill="auto"/>
            <w:noWrap/>
            <w:vAlign w:val="center"/>
          </w:tcPr>
          <w:p w14:paraId="23E11D9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5A48BF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7AC6C3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76250" cy="476250"/>
                  <wp:effectExtent l="0" t="0" r="11430" b="11430"/>
                  <wp:docPr id="40"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23" descr="IMG_278"/>
                          <pic:cNvPicPr>
                            <a:picLocks noChangeAspect="1"/>
                          </pic:cNvPicPr>
                        </pic:nvPicPr>
                        <pic:blipFill>
                          <a:blip r:embed="rId42"/>
                          <a:stretch>
                            <a:fillRect/>
                          </a:stretch>
                        </pic:blipFill>
                        <pic:spPr>
                          <a:xfrm>
                            <a:off x="0" y="0"/>
                            <a:ext cx="476250" cy="476250"/>
                          </a:xfrm>
                          <a:prstGeom prst="rect">
                            <a:avLst/>
                          </a:prstGeom>
                          <a:noFill/>
                          <a:ln w="9525">
                            <a:noFill/>
                          </a:ln>
                        </pic:spPr>
                      </pic:pic>
                    </a:graphicData>
                  </a:graphic>
                </wp:inline>
              </w:drawing>
            </w:r>
          </w:p>
        </w:tc>
      </w:tr>
      <w:tr w14:paraId="489D4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210" w:hRule="atLeast"/>
          <w:jc w:val="center"/>
        </w:trPr>
        <w:tc>
          <w:tcPr>
            <w:tcW w:w="762" w:type="dxa"/>
            <w:tcBorders>
              <w:tl2br w:val="nil"/>
              <w:tr2bl w:val="nil"/>
            </w:tcBorders>
            <w:shd w:val="clear" w:color="auto" w:fill="auto"/>
            <w:vAlign w:val="center"/>
          </w:tcPr>
          <w:p w14:paraId="5CDB746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w:t>
            </w:r>
          </w:p>
        </w:tc>
        <w:tc>
          <w:tcPr>
            <w:tcW w:w="1684" w:type="dxa"/>
            <w:tcBorders>
              <w:tl2br w:val="nil"/>
              <w:tr2bl w:val="nil"/>
            </w:tcBorders>
            <w:shd w:val="clear" w:color="auto" w:fill="auto"/>
            <w:vAlign w:val="center"/>
          </w:tcPr>
          <w:p w14:paraId="77AFF02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双门蒸饭车</w:t>
            </w:r>
          </w:p>
        </w:tc>
        <w:tc>
          <w:tcPr>
            <w:tcW w:w="1729" w:type="dxa"/>
            <w:tcBorders>
              <w:tl2br w:val="nil"/>
              <w:tr2bl w:val="nil"/>
            </w:tcBorders>
            <w:shd w:val="clear" w:color="auto" w:fill="auto"/>
            <w:vAlign w:val="center"/>
          </w:tcPr>
          <w:p w14:paraId="12A8DE5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24盘</w:t>
            </w:r>
          </w:p>
        </w:tc>
        <w:tc>
          <w:tcPr>
            <w:tcW w:w="7095" w:type="dxa"/>
            <w:tcBorders>
              <w:tl2br w:val="nil"/>
              <w:tr2bl w:val="nil"/>
            </w:tcBorders>
            <w:shd w:val="clear" w:color="auto" w:fill="auto"/>
            <w:vAlign w:val="center"/>
          </w:tcPr>
          <w:p w14:paraId="3330CDFD">
            <w:pPr>
              <w:keepNext w:val="0"/>
              <w:keepLines w:val="0"/>
              <w:widowControl/>
              <w:numPr>
                <w:ilvl w:val="0"/>
                <w:numId w:val="4"/>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采用优质加厚201不锈钢联众板材，不锈钢把手，整体高密度发泡，加厚保温层，保温效果好， 发泡设备及环保发泡剂，内胆一次拉伸成型，易于清洗，箱体内部加装加厚钢条，防止变形，自动进水装置，配成型拉伸磁盘，门板整体冲压成型，更好的加强门体强度，防止变型，                                                                                                            2.门体佩带嵌入式温度表，可探测箱体内实际温度，箱体内自带溢水阀，防止烫伤，电子打火装置，自动熄火保护，点火装置可像抽屉一样抽出，燃烧底部特殊定制加厚304国标板材。</w:t>
            </w:r>
          </w:p>
          <w:p w14:paraId="0A42DA79">
            <w:pPr>
              <w:pStyle w:val="2"/>
              <w:numPr>
                <w:ilvl w:val="0"/>
                <w:numId w:val="0"/>
              </w:numPr>
              <w:rPr>
                <w:rFonts w:hint="eastAsia"/>
              </w:rPr>
            </w:pPr>
            <w:r>
              <w:rPr>
                <w:rFonts w:hint="eastAsia" w:ascii="等线" w:hAnsi="等线" w:eastAsia="等线" w:cs="等线"/>
                <w:i w:val="0"/>
                <w:iCs w:val="0"/>
                <w:color w:val="000000"/>
                <w:kern w:val="0"/>
                <w:sz w:val="20"/>
                <w:szCs w:val="20"/>
                <w:highlight w:val="none"/>
                <w:u w:val="none"/>
                <w:lang w:val="en-US" w:eastAsia="zh-CN" w:bidi="ar"/>
              </w:rPr>
              <w:t xml:space="preserve">3.▲提供全国工业产品生产许可证，且许可明细包含所投产品明细单元  </w:t>
            </w:r>
          </w:p>
        </w:tc>
        <w:tc>
          <w:tcPr>
            <w:tcW w:w="990" w:type="dxa"/>
            <w:tcBorders>
              <w:tl2br w:val="nil"/>
              <w:tr2bl w:val="nil"/>
            </w:tcBorders>
            <w:shd w:val="clear" w:color="auto" w:fill="auto"/>
            <w:noWrap/>
            <w:vAlign w:val="center"/>
          </w:tcPr>
          <w:p w14:paraId="7D0F886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035" w:type="dxa"/>
            <w:tcBorders>
              <w:tl2br w:val="nil"/>
              <w:tr2bl w:val="nil"/>
            </w:tcBorders>
            <w:shd w:val="clear" w:color="auto" w:fill="auto"/>
            <w:noWrap/>
            <w:vAlign w:val="center"/>
          </w:tcPr>
          <w:p w14:paraId="056CEA9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5252971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95325" cy="781050"/>
                  <wp:effectExtent l="0" t="0" r="5715" b="11430"/>
                  <wp:docPr id="49"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4" descr="IMG_279"/>
                          <pic:cNvPicPr>
                            <a:picLocks noChangeAspect="1"/>
                          </pic:cNvPicPr>
                        </pic:nvPicPr>
                        <pic:blipFill>
                          <a:blip r:embed="rId43"/>
                          <a:stretch>
                            <a:fillRect/>
                          </a:stretch>
                        </pic:blipFill>
                        <pic:spPr>
                          <a:xfrm>
                            <a:off x="0" y="0"/>
                            <a:ext cx="695325" cy="781050"/>
                          </a:xfrm>
                          <a:prstGeom prst="rect">
                            <a:avLst/>
                          </a:prstGeom>
                          <a:noFill/>
                          <a:ln w="9525">
                            <a:noFill/>
                          </a:ln>
                        </pic:spPr>
                      </pic:pic>
                    </a:graphicData>
                  </a:graphic>
                </wp:inline>
              </w:drawing>
            </w:r>
          </w:p>
        </w:tc>
      </w:tr>
      <w:tr w14:paraId="17955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0" w:hRule="atLeast"/>
          <w:jc w:val="center"/>
        </w:trPr>
        <w:tc>
          <w:tcPr>
            <w:tcW w:w="762" w:type="dxa"/>
            <w:tcBorders>
              <w:tl2br w:val="nil"/>
              <w:tr2bl w:val="nil"/>
            </w:tcBorders>
            <w:shd w:val="clear" w:color="auto" w:fill="auto"/>
            <w:vAlign w:val="center"/>
          </w:tcPr>
          <w:p w14:paraId="0054005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w:t>
            </w:r>
          </w:p>
        </w:tc>
        <w:tc>
          <w:tcPr>
            <w:tcW w:w="1684" w:type="dxa"/>
            <w:tcBorders>
              <w:tl2br w:val="nil"/>
              <w:tr2bl w:val="nil"/>
            </w:tcBorders>
            <w:shd w:val="clear" w:color="auto" w:fill="auto"/>
            <w:vAlign w:val="center"/>
          </w:tcPr>
          <w:p w14:paraId="02551DE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553CDC3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1000*700*950</w:t>
            </w:r>
          </w:p>
        </w:tc>
        <w:tc>
          <w:tcPr>
            <w:tcW w:w="7095" w:type="dxa"/>
            <w:tcBorders>
              <w:tl2br w:val="nil"/>
              <w:tr2bl w:val="nil"/>
            </w:tcBorders>
            <w:shd w:val="clear" w:color="auto" w:fill="auto"/>
            <w:vAlign w:val="center"/>
          </w:tcPr>
          <w:p w14:paraId="6F150ED7">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73A10FC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22674D5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155A99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44"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25" descr="IMG_280"/>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18520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jc w:val="center"/>
        </w:trPr>
        <w:tc>
          <w:tcPr>
            <w:tcW w:w="762" w:type="dxa"/>
            <w:tcBorders>
              <w:tl2br w:val="nil"/>
              <w:tr2bl w:val="nil"/>
            </w:tcBorders>
            <w:shd w:val="clear" w:color="auto" w:fill="auto"/>
            <w:vAlign w:val="center"/>
          </w:tcPr>
          <w:p w14:paraId="07BA843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w:t>
            </w:r>
          </w:p>
        </w:tc>
        <w:tc>
          <w:tcPr>
            <w:tcW w:w="1684" w:type="dxa"/>
            <w:tcBorders>
              <w:tl2br w:val="nil"/>
              <w:tr2bl w:val="nil"/>
            </w:tcBorders>
            <w:shd w:val="clear" w:color="auto" w:fill="auto"/>
            <w:vAlign w:val="center"/>
          </w:tcPr>
          <w:p w14:paraId="45947FD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双通工作台</w:t>
            </w:r>
          </w:p>
        </w:tc>
        <w:tc>
          <w:tcPr>
            <w:tcW w:w="1729" w:type="dxa"/>
            <w:tcBorders>
              <w:tl2br w:val="nil"/>
              <w:tr2bl w:val="nil"/>
            </w:tcBorders>
            <w:shd w:val="clear" w:color="auto" w:fill="auto"/>
            <w:vAlign w:val="center"/>
          </w:tcPr>
          <w:p w14:paraId="1D7BFD5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1800*800*800</w:t>
            </w:r>
          </w:p>
        </w:tc>
        <w:tc>
          <w:tcPr>
            <w:tcW w:w="7095" w:type="dxa"/>
            <w:tcBorders>
              <w:tl2br w:val="nil"/>
              <w:tr2bl w:val="nil"/>
            </w:tcBorders>
            <w:shd w:val="clear" w:color="auto" w:fill="auto"/>
            <w:vAlign w:val="center"/>
          </w:tcPr>
          <w:p w14:paraId="61A23A93">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面板采用304不锈钢板制作；台面板厚1.0mm面板下衬木板减噪；门外壳板厚0.8mm，柜内层板厚1.0㎜，底板厚1.0㎜；配不锈钢可调式子弹脚</w:t>
            </w:r>
          </w:p>
        </w:tc>
        <w:tc>
          <w:tcPr>
            <w:tcW w:w="990" w:type="dxa"/>
            <w:tcBorders>
              <w:tl2br w:val="nil"/>
              <w:tr2bl w:val="nil"/>
            </w:tcBorders>
            <w:shd w:val="clear" w:color="auto" w:fill="auto"/>
            <w:noWrap/>
            <w:vAlign w:val="center"/>
          </w:tcPr>
          <w:p w14:paraId="5AD184A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2894BF5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3A86C9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81050" cy="495300"/>
                  <wp:effectExtent l="0" t="0" r="11430" b="7620"/>
                  <wp:docPr id="46"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6" descr="IMG_281"/>
                          <pic:cNvPicPr>
                            <a:picLocks noChangeAspect="1"/>
                          </pic:cNvPicPr>
                        </pic:nvPicPr>
                        <pic:blipFill>
                          <a:blip r:embed="rId44"/>
                          <a:stretch>
                            <a:fillRect/>
                          </a:stretch>
                        </pic:blipFill>
                        <pic:spPr>
                          <a:xfrm>
                            <a:off x="0" y="0"/>
                            <a:ext cx="781050" cy="495300"/>
                          </a:xfrm>
                          <a:prstGeom prst="rect">
                            <a:avLst/>
                          </a:prstGeom>
                          <a:noFill/>
                          <a:ln w="9525">
                            <a:noFill/>
                          </a:ln>
                        </pic:spPr>
                      </pic:pic>
                    </a:graphicData>
                  </a:graphic>
                </wp:inline>
              </w:drawing>
            </w:r>
          </w:p>
        </w:tc>
      </w:tr>
      <w:tr w14:paraId="72353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30" w:hRule="atLeast"/>
          <w:jc w:val="center"/>
        </w:trPr>
        <w:tc>
          <w:tcPr>
            <w:tcW w:w="762" w:type="dxa"/>
            <w:tcBorders>
              <w:tl2br w:val="nil"/>
              <w:tr2bl w:val="nil"/>
            </w:tcBorders>
            <w:shd w:val="clear" w:color="auto" w:fill="auto"/>
            <w:vAlign w:val="center"/>
          </w:tcPr>
          <w:p w14:paraId="2622FF8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w:t>
            </w:r>
          </w:p>
        </w:tc>
        <w:tc>
          <w:tcPr>
            <w:tcW w:w="1684" w:type="dxa"/>
            <w:tcBorders>
              <w:tl2br w:val="nil"/>
              <w:tr2bl w:val="nil"/>
            </w:tcBorders>
            <w:shd w:val="clear" w:color="auto" w:fill="auto"/>
            <w:vAlign w:val="center"/>
          </w:tcPr>
          <w:p w14:paraId="71FB34C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w:t>
            </w:r>
          </w:p>
        </w:tc>
        <w:tc>
          <w:tcPr>
            <w:tcW w:w="1729" w:type="dxa"/>
            <w:tcBorders>
              <w:tl2br w:val="nil"/>
              <w:tr2bl w:val="nil"/>
            </w:tcBorders>
            <w:shd w:val="clear" w:color="auto" w:fill="auto"/>
            <w:vAlign w:val="center"/>
          </w:tcPr>
          <w:p w14:paraId="4083CBF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1800*800*800</w:t>
            </w:r>
          </w:p>
        </w:tc>
        <w:tc>
          <w:tcPr>
            <w:tcW w:w="7095" w:type="dxa"/>
            <w:tcBorders>
              <w:tl2br w:val="nil"/>
              <w:tr2bl w:val="nil"/>
            </w:tcBorders>
            <w:shd w:val="clear" w:color="auto" w:fill="auto"/>
            <w:vAlign w:val="center"/>
          </w:tcPr>
          <w:p w14:paraId="5D14F9BA">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1033B0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w:t>
            </w:r>
          </w:p>
        </w:tc>
        <w:tc>
          <w:tcPr>
            <w:tcW w:w="1035" w:type="dxa"/>
            <w:tcBorders>
              <w:tl2br w:val="nil"/>
              <w:tr2bl w:val="nil"/>
            </w:tcBorders>
            <w:shd w:val="clear" w:color="auto" w:fill="auto"/>
            <w:noWrap/>
            <w:vAlign w:val="center"/>
          </w:tcPr>
          <w:p w14:paraId="6AAC55D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63FAC76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62"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27" descr="IMG_282"/>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5CF6E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0" w:hRule="atLeast"/>
          <w:jc w:val="center"/>
        </w:trPr>
        <w:tc>
          <w:tcPr>
            <w:tcW w:w="762" w:type="dxa"/>
            <w:tcBorders>
              <w:tl2br w:val="nil"/>
              <w:tr2bl w:val="nil"/>
            </w:tcBorders>
            <w:shd w:val="clear" w:color="auto" w:fill="auto"/>
            <w:vAlign w:val="center"/>
          </w:tcPr>
          <w:p w14:paraId="2563B1B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11</w:t>
            </w:r>
          </w:p>
        </w:tc>
        <w:tc>
          <w:tcPr>
            <w:tcW w:w="1684" w:type="dxa"/>
            <w:tcBorders>
              <w:tl2br w:val="nil"/>
              <w:tr2bl w:val="nil"/>
            </w:tcBorders>
            <w:shd w:val="clear" w:color="auto" w:fill="auto"/>
            <w:vAlign w:val="center"/>
          </w:tcPr>
          <w:p w14:paraId="147EA21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四层格栅货架</w:t>
            </w:r>
          </w:p>
        </w:tc>
        <w:tc>
          <w:tcPr>
            <w:tcW w:w="1729" w:type="dxa"/>
            <w:tcBorders>
              <w:tl2br w:val="nil"/>
              <w:tr2bl w:val="nil"/>
            </w:tcBorders>
            <w:shd w:val="clear" w:color="auto" w:fill="auto"/>
            <w:vAlign w:val="center"/>
          </w:tcPr>
          <w:p w14:paraId="28BD0E9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1800*500*1500</w:t>
            </w:r>
          </w:p>
        </w:tc>
        <w:tc>
          <w:tcPr>
            <w:tcW w:w="7095" w:type="dxa"/>
            <w:tcBorders>
              <w:tl2br w:val="nil"/>
              <w:tr2bl w:val="nil"/>
            </w:tcBorders>
            <w:shd w:val="clear" w:color="auto" w:fill="auto"/>
            <w:vAlign w:val="center"/>
          </w:tcPr>
          <w:p w14:paraId="38D66684">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采用304不锈钢板制作，1.2/304板，四层花格，花格用板折，直径38*1.0/304腿，配不锈钢可调子弹脚。</w:t>
            </w:r>
          </w:p>
        </w:tc>
        <w:tc>
          <w:tcPr>
            <w:tcW w:w="990" w:type="dxa"/>
            <w:tcBorders>
              <w:tl2br w:val="nil"/>
              <w:tr2bl w:val="nil"/>
            </w:tcBorders>
            <w:shd w:val="clear" w:color="auto" w:fill="auto"/>
            <w:noWrap/>
            <w:vAlign w:val="center"/>
          </w:tcPr>
          <w:p w14:paraId="50588DF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16F67D4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C570C6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19100" cy="504825"/>
                  <wp:effectExtent l="0" t="0" r="7620" b="13335"/>
                  <wp:docPr id="63"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8" descr="IMG_283"/>
                          <pic:cNvPicPr>
                            <a:picLocks noChangeAspect="1"/>
                          </pic:cNvPicPr>
                        </pic:nvPicPr>
                        <pic:blipFill>
                          <a:blip r:embed="rId34"/>
                          <a:stretch>
                            <a:fillRect/>
                          </a:stretch>
                        </pic:blipFill>
                        <pic:spPr>
                          <a:xfrm>
                            <a:off x="0" y="0"/>
                            <a:ext cx="419100" cy="504825"/>
                          </a:xfrm>
                          <a:prstGeom prst="rect">
                            <a:avLst/>
                          </a:prstGeom>
                          <a:noFill/>
                          <a:ln w="9525">
                            <a:noFill/>
                          </a:ln>
                        </pic:spPr>
                      </pic:pic>
                    </a:graphicData>
                  </a:graphic>
                </wp:inline>
              </w:drawing>
            </w:r>
          </w:p>
        </w:tc>
      </w:tr>
      <w:tr w14:paraId="2AE3D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0" w:hRule="atLeast"/>
          <w:jc w:val="center"/>
        </w:trPr>
        <w:tc>
          <w:tcPr>
            <w:tcW w:w="762" w:type="dxa"/>
            <w:tcBorders>
              <w:tl2br w:val="nil"/>
              <w:tr2bl w:val="nil"/>
            </w:tcBorders>
            <w:shd w:val="clear" w:color="auto" w:fill="auto"/>
            <w:vAlign w:val="center"/>
          </w:tcPr>
          <w:p w14:paraId="3277D94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w:t>
            </w:r>
          </w:p>
        </w:tc>
        <w:tc>
          <w:tcPr>
            <w:tcW w:w="1684" w:type="dxa"/>
            <w:tcBorders>
              <w:tl2br w:val="nil"/>
              <w:tr2bl w:val="nil"/>
            </w:tcBorders>
            <w:shd w:val="clear" w:color="auto" w:fill="auto"/>
            <w:vAlign w:val="center"/>
          </w:tcPr>
          <w:p w14:paraId="3B5F160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w:t>
            </w:r>
          </w:p>
        </w:tc>
        <w:tc>
          <w:tcPr>
            <w:tcW w:w="1729" w:type="dxa"/>
            <w:tcBorders>
              <w:tl2br w:val="nil"/>
              <w:tr2bl w:val="nil"/>
            </w:tcBorders>
            <w:shd w:val="clear" w:color="auto" w:fill="auto"/>
            <w:vAlign w:val="center"/>
          </w:tcPr>
          <w:p w14:paraId="38E3AB1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1800*700*800</w:t>
            </w:r>
          </w:p>
        </w:tc>
        <w:tc>
          <w:tcPr>
            <w:tcW w:w="7095" w:type="dxa"/>
            <w:tcBorders>
              <w:tl2br w:val="nil"/>
              <w:tr2bl w:val="nil"/>
            </w:tcBorders>
            <w:shd w:val="clear" w:color="auto" w:fill="auto"/>
            <w:vAlign w:val="center"/>
          </w:tcPr>
          <w:p w14:paraId="3FF24A78">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2E78537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5BEF958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739CD8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47"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9" descr="IMG_284"/>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5131D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100" w:hRule="atLeast"/>
          <w:jc w:val="center"/>
        </w:trPr>
        <w:tc>
          <w:tcPr>
            <w:tcW w:w="762" w:type="dxa"/>
            <w:tcBorders>
              <w:tl2br w:val="nil"/>
              <w:tr2bl w:val="nil"/>
            </w:tcBorders>
            <w:shd w:val="clear" w:color="auto" w:fill="auto"/>
            <w:vAlign w:val="center"/>
          </w:tcPr>
          <w:p w14:paraId="7AF50AC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13</w:t>
            </w:r>
          </w:p>
        </w:tc>
        <w:tc>
          <w:tcPr>
            <w:tcW w:w="1684" w:type="dxa"/>
            <w:tcBorders>
              <w:tl2br w:val="nil"/>
              <w:tr2bl w:val="nil"/>
            </w:tcBorders>
            <w:shd w:val="clear" w:color="auto" w:fill="auto"/>
            <w:vAlign w:val="center"/>
          </w:tcPr>
          <w:p w14:paraId="45C5199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双层平板工作台(根据现场定制)</w:t>
            </w:r>
          </w:p>
        </w:tc>
        <w:tc>
          <w:tcPr>
            <w:tcW w:w="1729" w:type="dxa"/>
            <w:tcBorders>
              <w:tl2br w:val="nil"/>
              <w:tr2bl w:val="nil"/>
            </w:tcBorders>
            <w:shd w:val="clear" w:color="auto" w:fill="auto"/>
            <w:vAlign w:val="center"/>
          </w:tcPr>
          <w:p w14:paraId="78D78C6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1800*700*800</w:t>
            </w:r>
          </w:p>
        </w:tc>
        <w:tc>
          <w:tcPr>
            <w:tcW w:w="7095" w:type="dxa"/>
            <w:tcBorders>
              <w:tl2br w:val="nil"/>
              <w:tr2bl w:val="nil"/>
            </w:tcBorders>
            <w:shd w:val="clear" w:color="auto" w:fill="auto"/>
            <w:vAlign w:val="center"/>
          </w:tcPr>
          <w:p w14:paraId="76E0B4F8">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1F88310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FF4A53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6A378D5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81050" cy="600075"/>
                  <wp:effectExtent l="0" t="0" r="11430" b="9525"/>
                  <wp:docPr id="50"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0" descr="IMG_285"/>
                          <pic:cNvPicPr>
                            <a:picLocks noChangeAspect="1"/>
                          </pic:cNvPicPr>
                        </pic:nvPicPr>
                        <pic:blipFill>
                          <a:blip r:embed="rId45"/>
                          <a:stretch>
                            <a:fillRect/>
                          </a:stretch>
                        </pic:blipFill>
                        <pic:spPr>
                          <a:xfrm>
                            <a:off x="0" y="0"/>
                            <a:ext cx="781050" cy="600075"/>
                          </a:xfrm>
                          <a:prstGeom prst="rect">
                            <a:avLst/>
                          </a:prstGeom>
                          <a:noFill/>
                          <a:ln w="9525">
                            <a:noFill/>
                          </a:ln>
                        </pic:spPr>
                      </pic:pic>
                    </a:graphicData>
                  </a:graphic>
                </wp:inline>
              </w:drawing>
            </w:r>
          </w:p>
        </w:tc>
      </w:tr>
      <w:tr w14:paraId="5462C9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332" w:hRule="atLeast"/>
          <w:jc w:val="center"/>
        </w:trPr>
        <w:tc>
          <w:tcPr>
            <w:tcW w:w="762" w:type="dxa"/>
            <w:tcBorders>
              <w:tl2br w:val="nil"/>
              <w:tr2bl w:val="nil"/>
            </w:tcBorders>
            <w:shd w:val="clear" w:color="auto" w:fill="auto"/>
            <w:vAlign w:val="center"/>
          </w:tcPr>
          <w:p w14:paraId="170A204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14</w:t>
            </w:r>
          </w:p>
        </w:tc>
        <w:tc>
          <w:tcPr>
            <w:tcW w:w="1684" w:type="dxa"/>
            <w:tcBorders>
              <w:tl2br w:val="nil"/>
              <w:tr2bl w:val="nil"/>
            </w:tcBorders>
            <w:shd w:val="clear" w:color="auto" w:fill="auto"/>
            <w:vAlign w:val="center"/>
          </w:tcPr>
          <w:p w14:paraId="410F824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四门冰箱</w:t>
            </w:r>
          </w:p>
        </w:tc>
        <w:tc>
          <w:tcPr>
            <w:tcW w:w="1729" w:type="dxa"/>
            <w:tcBorders>
              <w:tl2br w:val="nil"/>
              <w:tr2bl w:val="nil"/>
            </w:tcBorders>
            <w:shd w:val="clear" w:color="auto" w:fill="auto"/>
            <w:vAlign w:val="center"/>
          </w:tcPr>
          <w:p w14:paraId="6E59E60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1220*700*1900</w:t>
            </w:r>
          </w:p>
        </w:tc>
        <w:tc>
          <w:tcPr>
            <w:tcW w:w="7095" w:type="dxa"/>
            <w:tcBorders>
              <w:tl2br w:val="nil"/>
              <w:tr2bl w:val="nil"/>
            </w:tcBorders>
            <w:shd w:val="clear" w:color="auto" w:fill="auto"/>
            <w:vAlign w:val="center"/>
          </w:tcPr>
          <w:p w14:paraId="07C30A1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1、采用优质不锈钢板材                                                                                                                                                2、微电脑控制面板，全铜管制造，板材表面无指纹处理，经久耐锈                                             </w:t>
            </w:r>
          </w:p>
          <w:p w14:paraId="328FD05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3、硬质聚氨酯整体发泡，加厚保温层，箱体强度高，提高承重能力，自动回归门，底板、门衬板为一次性拉伸成型，内箱底板拐角处圆弧过渡，无卫生死角。                                                                             4、温度范围：冷藏+4℃～-5℃，冷冻-3℃～-20℃。                                                                                               5、电源电压：220V。额定功率：370W。</w:t>
            </w:r>
          </w:p>
          <w:p w14:paraId="3F5A6112">
            <w:pPr>
              <w:pStyle w:val="2"/>
              <w:ind w:left="0" w:leftChars="0" w:firstLine="0" w:firstLineChars="0"/>
              <w:rPr>
                <w:rFonts w:hint="default"/>
                <w:lang w:val="en-US"/>
              </w:rPr>
            </w:pPr>
            <w:r>
              <w:rPr>
                <w:rFonts w:hint="eastAsia" w:ascii="等线" w:hAnsi="等线" w:eastAsia="等线" w:cs="等线"/>
                <w:i w:val="0"/>
                <w:iCs w:val="0"/>
                <w:color w:val="000000"/>
                <w:kern w:val="0"/>
                <w:sz w:val="20"/>
                <w:szCs w:val="20"/>
                <w:highlight w:val="none"/>
                <w:u w:val="none"/>
                <w:lang w:val="en-US" w:eastAsia="zh-CN" w:bidi="ar"/>
              </w:rPr>
              <w:t>6、▲提供中国国家强制性产品认证证书。</w:t>
            </w:r>
          </w:p>
        </w:tc>
        <w:tc>
          <w:tcPr>
            <w:tcW w:w="990" w:type="dxa"/>
            <w:tcBorders>
              <w:tl2br w:val="nil"/>
              <w:tr2bl w:val="nil"/>
            </w:tcBorders>
            <w:shd w:val="clear" w:color="auto" w:fill="auto"/>
            <w:noWrap/>
            <w:vAlign w:val="center"/>
          </w:tcPr>
          <w:p w14:paraId="52F5E3C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602353A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4D1DB2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28625" cy="619125"/>
                  <wp:effectExtent l="0" t="0" r="13335" b="5715"/>
                  <wp:docPr id="5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31" descr="IMG_286"/>
                          <pic:cNvPicPr>
                            <a:picLocks noChangeAspect="1"/>
                          </pic:cNvPicPr>
                        </pic:nvPicPr>
                        <pic:blipFill>
                          <a:blip r:embed="rId46"/>
                          <a:stretch>
                            <a:fillRect/>
                          </a:stretch>
                        </pic:blipFill>
                        <pic:spPr>
                          <a:xfrm>
                            <a:off x="0" y="0"/>
                            <a:ext cx="428625" cy="619125"/>
                          </a:xfrm>
                          <a:prstGeom prst="rect">
                            <a:avLst/>
                          </a:prstGeom>
                          <a:noFill/>
                          <a:ln w="9525">
                            <a:noFill/>
                          </a:ln>
                        </pic:spPr>
                      </pic:pic>
                    </a:graphicData>
                  </a:graphic>
                </wp:inline>
              </w:drawing>
            </w:r>
          </w:p>
        </w:tc>
      </w:tr>
      <w:tr w14:paraId="2DBF4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0" w:hRule="atLeast"/>
          <w:jc w:val="center"/>
        </w:trPr>
        <w:tc>
          <w:tcPr>
            <w:tcW w:w="762" w:type="dxa"/>
            <w:tcBorders>
              <w:tl2br w:val="nil"/>
              <w:tr2bl w:val="nil"/>
            </w:tcBorders>
            <w:shd w:val="clear" w:color="auto" w:fill="auto"/>
            <w:vAlign w:val="center"/>
          </w:tcPr>
          <w:p w14:paraId="2FC19CC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15</w:t>
            </w:r>
          </w:p>
        </w:tc>
        <w:tc>
          <w:tcPr>
            <w:tcW w:w="1684" w:type="dxa"/>
            <w:tcBorders>
              <w:tl2br w:val="nil"/>
              <w:tr2bl w:val="nil"/>
            </w:tcBorders>
            <w:shd w:val="clear" w:color="auto" w:fill="auto"/>
            <w:vAlign w:val="center"/>
          </w:tcPr>
          <w:p w14:paraId="581BAE3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53F7D9E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700*700*950</w:t>
            </w:r>
          </w:p>
        </w:tc>
        <w:tc>
          <w:tcPr>
            <w:tcW w:w="7095" w:type="dxa"/>
            <w:tcBorders>
              <w:tl2br w:val="nil"/>
              <w:tr2bl w:val="nil"/>
            </w:tcBorders>
            <w:shd w:val="clear" w:color="auto" w:fill="auto"/>
            <w:vAlign w:val="center"/>
          </w:tcPr>
          <w:p w14:paraId="722753F8">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2BE0E9E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272BCC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3125E1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53"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2" descr="IMG_287"/>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6BB35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0" w:hRule="atLeast"/>
          <w:jc w:val="center"/>
        </w:trPr>
        <w:tc>
          <w:tcPr>
            <w:tcW w:w="762" w:type="dxa"/>
            <w:tcBorders>
              <w:tl2br w:val="nil"/>
              <w:tr2bl w:val="nil"/>
            </w:tcBorders>
            <w:shd w:val="clear" w:color="auto" w:fill="auto"/>
            <w:vAlign w:val="center"/>
          </w:tcPr>
          <w:p w14:paraId="24FA726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16</w:t>
            </w:r>
          </w:p>
        </w:tc>
        <w:tc>
          <w:tcPr>
            <w:tcW w:w="1684" w:type="dxa"/>
            <w:tcBorders>
              <w:tl2br w:val="nil"/>
              <w:tr2bl w:val="nil"/>
            </w:tcBorders>
            <w:shd w:val="clear" w:color="auto" w:fill="auto"/>
            <w:vAlign w:val="center"/>
          </w:tcPr>
          <w:p w14:paraId="0D85A35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四层格栅货架</w:t>
            </w:r>
          </w:p>
        </w:tc>
        <w:tc>
          <w:tcPr>
            <w:tcW w:w="1729" w:type="dxa"/>
            <w:tcBorders>
              <w:tl2br w:val="nil"/>
              <w:tr2bl w:val="nil"/>
            </w:tcBorders>
            <w:shd w:val="clear" w:color="auto" w:fill="auto"/>
            <w:vAlign w:val="center"/>
          </w:tcPr>
          <w:p w14:paraId="3028D15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1200*500*1500</w:t>
            </w:r>
          </w:p>
        </w:tc>
        <w:tc>
          <w:tcPr>
            <w:tcW w:w="7095" w:type="dxa"/>
            <w:tcBorders>
              <w:tl2br w:val="nil"/>
              <w:tr2bl w:val="nil"/>
            </w:tcBorders>
            <w:shd w:val="clear" w:color="auto" w:fill="auto"/>
            <w:vAlign w:val="center"/>
          </w:tcPr>
          <w:p w14:paraId="67C9F34F">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采用304不锈钢板制作，立柱Φ38*1.5mm厚型圆管，层板采用模具冲压成孔形式，配不锈钢可调子弹脚。</w:t>
            </w:r>
          </w:p>
        </w:tc>
        <w:tc>
          <w:tcPr>
            <w:tcW w:w="990" w:type="dxa"/>
            <w:tcBorders>
              <w:tl2br w:val="nil"/>
              <w:tr2bl w:val="nil"/>
            </w:tcBorders>
            <w:shd w:val="clear" w:color="auto" w:fill="auto"/>
            <w:noWrap/>
            <w:vAlign w:val="center"/>
          </w:tcPr>
          <w:p w14:paraId="0EF1B51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7DC527D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57E1A77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19100" cy="504825"/>
                  <wp:effectExtent l="0" t="0" r="7620" b="13335"/>
                  <wp:docPr id="73"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33" descr="IMG_288"/>
                          <pic:cNvPicPr>
                            <a:picLocks noChangeAspect="1"/>
                          </pic:cNvPicPr>
                        </pic:nvPicPr>
                        <pic:blipFill>
                          <a:blip r:embed="rId34"/>
                          <a:stretch>
                            <a:fillRect/>
                          </a:stretch>
                        </pic:blipFill>
                        <pic:spPr>
                          <a:xfrm>
                            <a:off x="0" y="0"/>
                            <a:ext cx="419100" cy="504825"/>
                          </a:xfrm>
                          <a:prstGeom prst="rect">
                            <a:avLst/>
                          </a:prstGeom>
                          <a:noFill/>
                          <a:ln w="9525">
                            <a:noFill/>
                          </a:ln>
                        </pic:spPr>
                      </pic:pic>
                    </a:graphicData>
                  </a:graphic>
                </wp:inline>
              </w:drawing>
            </w:r>
          </w:p>
        </w:tc>
      </w:tr>
      <w:tr w14:paraId="0B3CD3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0" w:hRule="atLeast"/>
          <w:jc w:val="center"/>
        </w:trPr>
        <w:tc>
          <w:tcPr>
            <w:tcW w:w="762" w:type="dxa"/>
            <w:tcBorders>
              <w:tl2br w:val="nil"/>
              <w:tr2bl w:val="nil"/>
            </w:tcBorders>
            <w:shd w:val="clear" w:color="auto" w:fill="auto"/>
            <w:vAlign w:val="center"/>
          </w:tcPr>
          <w:p w14:paraId="0DC1EC3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17</w:t>
            </w:r>
          </w:p>
        </w:tc>
        <w:tc>
          <w:tcPr>
            <w:tcW w:w="1684" w:type="dxa"/>
            <w:tcBorders>
              <w:tl2br w:val="nil"/>
              <w:tr2bl w:val="nil"/>
            </w:tcBorders>
            <w:shd w:val="clear" w:color="auto" w:fill="auto"/>
            <w:vAlign w:val="center"/>
          </w:tcPr>
          <w:p w14:paraId="6C2CDC8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台式混水龙头</w:t>
            </w:r>
          </w:p>
        </w:tc>
        <w:tc>
          <w:tcPr>
            <w:tcW w:w="1729" w:type="dxa"/>
            <w:tcBorders>
              <w:tl2br w:val="nil"/>
              <w:tr2bl w:val="nil"/>
            </w:tcBorders>
            <w:shd w:val="clear" w:color="auto" w:fill="auto"/>
            <w:vAlign w:val="center"/>
          </w:tcPr>
          <w:p w14:paraId="2141FEF9">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1A2A733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台式双孔双温，产品主体黄铜，不锈钢管，直径18，厚0.8mm，黄铜螺杆阀芯，合金手柄</w:t>
            </w:r>
          </w:p>
          <w:p w14:paraId="27591948">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221681C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2582069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00C6DDA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371475"/>
                  <wp:effectExtent l="0" t="0" r="3810" b="9525"/>
                  <wp:docPr id="77"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34" descr="IMG_289"/>
                          <pic:cNvPicPr>
                            <a:picLocks noChangeAspect="1"/>
                          </pic:cNvPicPr>
                        </pic:nvPicPr>
                        <pic:blipFill>
                          <a:blip r:embed="rId36"/>
                          <a:stretch>
                            <a:fillRect/>
                          </a:stretch>
                        </pic:blipFill>
                        <pic:spPr>
                          <a:xfrm>
                            <a:off x="0" y="0"/>
                            <a:ext cx="514350" cy="371475"/>
                          </a:xfrm>
                          <a:prstGeom prst="rect">
                            <a:avLst/>
                          </a:prstGeom>
                          <a:noFill/>
                          <a:ln w="9525">
                            <a:noFill/>
                          </a:ln>
                        </pic:spPr>
                      </pic:pic>
                    </a:graphicData>
                  </a:graphic>
                </wp:inline>
              </w:drawing>
            </w:r>
          </w:p>
        </w:tc>
      </w:tr>
      <w:tr w14:paraId="10A96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60" w:hRule="atLeast"/>
          <w:jc w:val="center"/>
        </w:trPr>
        <w:tc>
          <w:tcPr>
            <w:tcW w:w="762" w:type="dxa"/>
            <w:tcBorders>
              <w:tl2br w:val="nil"/>
              <w:tr2bl w:val="nil"/>
            </w:tcBorders>
            <w:shd w:val="clear" w:color="auto" w:fill="auto"/>
            <w:vAlign w:val="center"/>
          </w:tcPr>
          <w:p w14:paraId="06C0B23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w:t>
            </w:r>
          </w:p>
        </w:tc>
        <w:tc>
          <w:tcPr>
            <w:tcW w:w="1684" w:type="dxa"/>
            <w:tcBorders>
              <w:tl2br w:val="nil"/>
              <w:tr2bl w:val="nil"/>
            </w:tcBorders>
            <w:shd w:val="clear" w:color="auto" w:fill="auto"/>
            <w:vAlign w:val="center"/>
          </w:tcPr>
          <w:p w14:paraId="1060FCC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风幕机</w:t>
            </w:r>
          </w:p>
        </w:tc>
        <w:tc>
          <w:tcPr>
            <w:tcW w:w="1729" w:type="dxa"/>
            <w:tcBorders>
              <w:tl2br w:val="nil"/>
              <w:tr2bl w:val="nil"/>
            </w:tcBorders>
            <w:shd w:val="clear" w:color="auto" w:fill="auto"/>
            <w:vAlign w:val="center"/>
          </w:tcPr>
          <w:p w14:paraId="4485436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L=1200</w:t>
            </w:r>
          </w:p>
        </w:tc>
        <w:tc>
          <w:tcPr>
            <w:tcW w:w="7095" w:type="dxa"/>
            <w:tcBorders>
              <w:tl2br w:val="nil"/>
              <w:tr2bl w:val="nil"/>
            </w:tcBorders>
            <w:shd w:val="clear" w:color="auto" w:fill="auto"/>
            <w:vAlign w:val="center"/>
          </w:tcPr>
          <w:p w14:paraId="3D077C6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电压/频率：220V/50Hz,风量：2370m³/h</w:t>
            </w:r>
          </w:p>
          <w:p w14:paraId="5C29924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说明：全金属外壳，表面粉末喷涂，永不生锈，整机轻，超薄设计，高效能，低噪音，操作方便，双端齿轮索道式摆风叶片，风向可随意调节,采用滚珠轴承电机，铜芯电机设计，风力更强劲，5段x32片，递进交错式加厚风轮，双端4组，深沟球滚珠轴承，动平衡物理准确矫正技术，可拆卸式安装背板1mm加厚，安装更方便</w:t>
            </w:r>
          </w:p>
          <w:p w14:paraId="03464DD5">
            <w:pPr>
              <w:keepNext w:val="0"/>
              <w:keepLines w:val="0"/>
              <w:widowControl/>
              <w:suppressLineNumbers w:val="0"/>
              <w:jc w:val="left"/>
              <w:textAlignment w:val="center"/>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▲提供中国国家强制性产品认证证书。</w:t>
            </w:r>
          </w:p>
        </w:tc>
        <w:tc>
          <w:tcPr>
            <w:tcW w:w="990" w:type="dxa"/>
            <w:tcBorders>
              <w:tl2br w:val="nil"/>
              <w:tr2bl w:val="nil"/>
            </w:tcBorders>
            <w:shd w:val="clear" w:color="auto" w:fill="auto"/>
            <w:noWrap/>
            <w:vAlign w:val="center"/>
          </w:tcPr>
          <w:p w14:paraId="518C1FB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317EB5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9EF379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90575" cy="323850"/>
                  <wp:effectExtent l="0" t="0" r="1905" b="11430"/>
                  <wp:docPr id="74"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35" descr="IMG_290"/>
                          <pic:cNvPicPr>
                            <a:picLocks noChangeAspect="1"/>
                          </pic:cNvPicPr>
                        </pic:nvPicPr>
                        <pic:blipFill>
                          <a:blip r:embed="rId37"/>
                          <a:stretch>
                            <a:fillRect/>
                          </a:stretch>
                        </pic:blipFill>
                        <pic:spPr>
                          <a:xfrm>
                            <a:off x="0" y="0"/>
                            <a:ext cx="790575" cy="323850"/>
                          </a:xfrm>
                          <a:prstGeom prst="rect">
                            <a:avLst/>
                          </a:prstGeom>
                          <a:noFill/>
                          <a:ln w="9525">
                            <a:noFill/>
                          </a:ln>
                        </pic:spPr>
                      </pic:pic>
                    </a:graphicData>
                  </a:graphic>
                </wp:inline>
              </w:drawing>
            </w:r>
          </w:p>
        </w:tc>
      </w:tr>
      <w:tr w14:paraId="7B0F1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60" w:hRule="atLeast"/>
          <w:jc w:val="center"/>
        </w:trPr>
        <w:tc>
          <w:tcPr>
            <w:tcW w:w="762" w:type="dxa"/>
            <w:tcBorders>
              <w:tl2br w:val="nil"/>
              <w:tr2bl w:val="nil"/>
            </w:tcBorders>
            <w:shd w:val="clear" w:color="auto" w:fill="auto"/>
            <w:vAlign w:val="center"/>
          </w:tcPr>
          <w:p w14:paraId="4EC7DB1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19</w:t>
            </w:r>
          </w:p>
        </w:tc>
        <w:tc>
          <w:tcPr>
            <w:tcW w:w="1684" w:type="dxa"/>
            <w:tcBorders>
              <w:tl2br w:val="nil"/>
              <w:tr2bl w:val="nil"/>
            </w:tcBorders>
            <w:shd w:val="clear" w:color="auto" w:fill="auto"/>
            <w:vAlign w:val="center"/>
          </w:tcPr>
          <w:p w14:paraId="4DFF869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刀具砧板消毒柜</w:t>
            </w:r>
          </w:p>
        </w:tc>
        <w:tc>
          <w:tcPr>
            <w:tcW w:w="1729" w:type="dxa"/>
            <w:tcBorders>
              <w:tl2br w:val="nil"/>
              <w:tr2bl w:val="nil"/>
            </w:tcBorders>
            <w:shd w:val="clear" w:color="auto" w:fill="auto"/>
            <w:vAlign w:val="center"/>
          </w:tcPr>
          <w:p w14:paraId="0C2D1DA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1200*600*1800</w:t>
            </w:r>
          </w:p>
        </w:tc>
        <w:tc>
          <w:tcPr>
            <w:tcW w:w="7095" w:type="dxa"/>
            <w:tcBorders>
              <w:tl2br w:val="nil"/>
              <w:tr2bl w:val="nil"/>
            </w:tcBorders>
            <w:shd w:val="clear" w:color="auto" w:fill="auto"/>
            <w:vAlign w:val="center"/>
          </w:tcPr>
          <w:p w14:paraId="2D9131D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电压：220V  功率：1000W                                                                                                                      采用304不锈钢方管制作，立管φ38壁厚δ＝1.0，主搁档为25X38方管壁厚δ＝0.8,次搁档为20X40方管壁厚δ＝0.7,配全钢可调子弹脚。</w:t>
            </w:r>
          </w:p>
          <w:p w14:paraId="64AFAC8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餐具碗筷消毒，消毒柜消毒效果符合《消毒技术规范》（2002年版）可杀灭幽门螺旋杆菌，确保餐具使用卫生安全，检验检测合格，提供满足以上数据检测报告。</w:t>
            </w:r>
          </w:p>
          <w:p w14:paraId="6D12AFDB">
            <w:pPr>
              <w:keepNext w:val="0"/>
              <w:keepLines w:val="0"/>
              <w:widowControl/>
              <w:suppressLineNumbers w:val="0"/>
              <w:jc w:val="left"/>
              <w:textAlignment w:val="center"/>
              <w:rPr>
                <w:rFonts w:hint="eastAsia"/>
              </w:rPr>
            </w:pPr>
            <w:r>
              <w:rPr>
                <w:rFonts w:hint="eastAsia" w:ascii="等线" w:hAnsi="等线" w:eastAsia="等线" w:cs="等线"/>
                <w:i w:val="0"/>
                <w:iCs w:val="0"/>
                <w:color w:val="000000"/>
                <w:kern w:val="0"/>
                <w:sz w:val="20"/>
                <w:szCs w:val="20"/>
                <w:highlight w:val="none"/>
                <w:u w:val="none"/>
                <w:lang w:val="en-US" w:eastAsia="zh-CN" w:bidi="ar"/>
              </w:rPr>
              <w:t>▲提供消毒产品生产企业卫生许可证。</w:t>
            </w:r>
          </w:p>
        </w:tc>
        <w:tc>
          <w:tcPr>
            <w:tcW w:w="990" w:type="dxa"/>
            <w:tcBorders>
              <w:tl2br w:val="nil"/>
              <w:tr2bl w:val="nil"/>
            </w:tcBorders>
            <w:shd w:val="clear" w:color="auto" w:fill="auto"/>
            <w:noWrap/>
            <w:vAlign w:val="center"/>
          </w:tcPr>
          <w:p w14:paraId="6A801DE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7F4560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8B2338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00050" cy="447675"/>
                  <wp:effectExtent l="0" t="0" r="11430" b="9525"/>
                  <wp:docPr id="75"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36" descr="IMG_291"/>
                          <pic:cNvPicPr>
                            <a:picLocks noChangeAspect="1"/>
                          </pic:cNvPicPr>
                        </pic:nvPicPr>
                        <pic:blipFill>
                          <a:blip r:embed="rId47"/>
                          <a:stretch>
                            <a:fillRect/>
                          </a:stretch>
                        </pic:blipFill>
                        <pic:spPr>
                          <a:xfrm>
                            <a:off x="0" y="0"/>
                            <a:ext cx="400050" cy="447675"/>
                          </a:xfrm>
                          <a:prstGeom prst="rect">
                            <a:avLst/>
                          </a:prstGeom>
                          <a:noFill/>
                          <a:ln w="9525">
                            <a:noFill/>
                          </a:ln>
                        </pic:spPr>
                      </pic:pic>
                    </a:graphicData>
                  </a:graphic>
                </wp:inline>
              </w:drawing>
            </w:r>
          </w:p>
        </w:tc>
      </w:tr>
      <w:tr w14:paraId="4D22D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90" w:hRule="atLeast"/>
          <w:jc w:val="center"/>
        </w:trPr>
        <w:tc>
          <w:tcPr>
            <w:tcW w:w="762" w:type="dxa"/>
            <w:tcBorders>
              <w:tl2br w:val="nil"/>
              <w:tr2bl w:val="nil"/>
            </w:tcBorders>
            <w:shd w:val="clear" w:color="auto" w:fill="auto"/>
            <w:vAlign w:val="center"/>
          </w:tcPr>
          <w:p w14:paraId="3537459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20</w:t>
            </w:r>
          </w:p>
        </w:tc>
        <w:tc>
          <w:tcPr>
            <w:tcW w:w="1684" w:type="dxa"/>
            <w:tcBorders>
              <w:tl2br w:val="nil"/>
              <w:tr2bl w:val="nil"/>
            </w:tcBorders>
            <w:shd w:val="clear" w:color="auto" w:fill="auto"/>
            <w:vAlign w:val="center"/>
          </w:tcPr>
          <w:p w14:paraId="3488313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灭火系统</w:t>
            </w:r>
          </w:p>
        </w:tc>
        <w:tc>
          <w:tcPr>
            <w:tcW w:w="1729" w:type="dxa"/>
            <w:tcBorders>
              <w:tl2br w:val="nil"/>
              <w:tr2bl w:val="nil"/>
            </w:tcBorders>
            <w:shd w:val="clear" w:color="auto" w:fill="auto"/>
            <w:vAlign w:val="center"/>
          </w:tcPr>
          <w:p w14:paraId="0C0150EA">
            <w:pPr>
              <w:keepNext w:val="0"/>
              <w:keepLines w:val="0"/>
              <w:widowControl/>
              <w:suppressLineNumbers w:val="0"/>
              <w:jc w:val="center"/>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10米</w:t>
            </w:r>
          </w:p>
        </w:tc>
        <w:tc>
          <w:tcPr>
            <w:tcW w:w="7095" w:type="dxa"/>
            <w:tcBorders>
              <w:tl2br w:val="nil"/>
              <w:tr2bl w:val="nil"/>
            </w:tcBorders>
            <w:shd w:val="clear" w:color="auto" w:fill="auto"/>
            <w:vAlign w:val="center"/>
          </w:tcPr>
          <w:p w14:paraId="2332C04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1、箱体全身采用优质不锈钢材质，自带18个高压细水雾喷嘴，保护灶台长度10米，箱体尺寸：690mmX630mmX222mm   </w:t>
            </w:r>
          </w:p>
          <w:p w14:paraId="72CF6C8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2、产品为绿色环保型灭火药剂，无色、无味、无毒、无腐蚀、灭火效率快且不复燃等特点，灭火时间：≤1.8s；重：29kg，保质期：有效期为6 年</w:t>
            </w:r>
          </w:p>
          <w:p w14:paraId="423FBE3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3、灭火装置具备自动探测，自动实施灭火功能；也可手动紧急启动功能。                                                    </w:t>
            </w:r>
          </w:p>
          <w:p w14:paraId="6E84EDC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4、本装置灭火剂喷射时间不得小于 26s，同时具备较好的抗飞溅性能，在灭火剂喷射过程中无油点飞溅出来</w:t>
            </w:r>
          </w:p>
          <w:p w14:paraId="2FDA4F6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5、喷射灭火剂后，自动切换喷射冷却水。                                                                                                                          </w:t>
            </w:r>
          </w:p>
          <w:p w14:paraId="158E92A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6、采用机械传动，全天候 24 小时监控，可连接消防报警系统，火情发生后，灭火装置自动启动扑灭火焰，在灭火时声光报警、打开水流阀同时进行设有机械应急启动装置，当手动、自动启动不成功时使用                     </w:t>
            </w:r>
          </w:p>
          <w:p w14:paraId="3EE55C4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7、自动灭火装置熔片支架通过 GB/T2423.2-2008、GB/T2423.1.2008 检测依据，具有高、低温检测，检验合格。</w:t>
            </w:r>
          </w:p>
          <w:p w14:paraId="45282D0C">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▲提供消防产品强制性产品认证证书。</w:t>
            </w:r>
          </w:p>
        </w:tc>
        <w:tc>
          <w:tcPr>
            <w:tcW w:w="990" w:type="dxa"/>
            <w:tcBorders>
              <w:tl2br w:val="nil"/>
              <w:tr2bl w:val="nil"/>
            </w:tcBorders>
            <w:shd w:val="clear" w:color="auto" w:fill="auto"/>
            <w:noWrap/>
            <w:vAlign w:val="center"/>
          </w:tcPr>
          <w:p w14:paraId="4812238B">
            <w:pPr>
              <w:keepNext w:val="0"/>
              <w:keepLines w:val="0"/>
              <w:widowControl/>
              <w:suppressLineNumbers w:val="0"/>
              <w:jc w:val="center"/>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w:t>
            </w:r>
          </w:p>
        </w:tc>
        <w:tc>
          <w:tcPr>
            <w:tcW w:w="1035" w:type="dxa"/>
            <w:tcBorders>
              <w:tl2br w:val="nil"/>
              <w:tr2bl w:val="nil"/>
            </w:tcBorders>
            <w:shd w:val="clear" w:color="auto" w:fill="auto"/>
            <w:noWrap/>
            <w:vAlign w:val="center"/>
          </w:tcPr>
          <w:p w14:paraId="3BC0122A">
            <w:pPr>
              <w:keepNext w:val="0"/>
              <w:keepLines w:val="0"/>
              <w:widowControl/>
              <w:suppressLineNumbers w:val="0"/>
              <w:jc w:val="center"/>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套</w:t>
            </w:r>
          </w:p>
        </w:tc>
        <w:tc>
          <w:tcPr>
            <w:tcW w:w="1820" w:type="dxa"/>
            <w:tcBorders>
              <w:tl2br w:val="nil"/>
              <w:tr2bl w:val="nil"/>
            </w:tcBorders>
            <w:shd w:val="clear" w:color="auto" w:fill="auto"/>
            <w:noWrap/>
            <w:vAlign w:val="center"/>
          </w:tcPr>
          <w:p w14:paraId="636ED86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90550" cy="723900"/>
                  <wp:effectExtent l="0" t="0" r="3810" b="7620"/>
                  <wp:docPr id="72"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37" descr="IMG_292"/>
                          <pic:cNvPicPr>
                            <a:picLocks noChangeAspect="1"/>
                          </pic:cNvPicPr>
                        </pic:nvPicPr>
                        <pic:blipFill>
                          <a:blip r:embed="rId48"/>
                          <a:stretch>
                            <a:fillRect/>
                          </a:stretch>
                        </pic:blipFill>
                        <pic:spPr>
                          <a:xfrm>
                            <a:off x="0" y="0"/>
                            <a:ext cx="590550" cy="723900"/>
                          </a:xfrm>
                          <a:prstGeom prst="rect">
                            <a:avLst/>
                          </a:prstGeom>
                          <a:noFill/>
                          <a:ln w="9525">
                            <a:noFill/>
                          </a:ln>
                        </pic:spPr>
                      </pic:pic>
                    </a:graphicData>
                  </a:graphic>
                </wp:inline>
              </w:drawing>
            </w:r>
          </w:p>
        </w:tc>
      </w:tr>
      <w:tr w14:paraId="580F5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0" w:hRule="atLeast"/>
          <w:jc w:val="center"/>
        </w:trPr>
        <w:tc>
          <w:tcPr>
            <w:tcW w:w="2446" w:type="dxa"/>
            <w:gridSpan w:val="2"/>
            <w:tcBorders>
              <w:tl2br w:val="nil"/>
              <w:tr2bl w:val="nil"/>
            </w:tcBorders>
            <w:shd w:val="clear" w:color="auto" w:fill="auto"/>
            <w:vAlign w:val="center"/>
          </w:tcPr>
          <w:p w14:paraId="0EA8BB43">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五、售卖间</w:t>
            </w:r>
          </w:p>
        </w:tc>
        <w:tc>
          <w:tcPr>
            <w:tcW w:w="1729" w:type="dxa"/>
            <w:tcBorders>
              <w:tl2br w:val="nil"/>
              <w:tr2bl w:val="nil"/>
            </w:tcBorders>
            <w:shd w:val="clear" w:color="auto" w:fill="auto"/>
            <w:vAlign w:val="center"/>
          </w:tcPr>
          <w:p w14:paraId="487AB376">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5785A5CE">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7333DACB">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16DFC365">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4040A315">
            <w:pPr>
              <w:jc w:val="center"/>
              <w:rPr>
                <w:rFonts w:hint="eastAsia" w:ascii="等线" w:hAnsi="等线" w:eastAsia="等线" w:cs="等线"/>
                <w:i w:val="0"/>
                <w:iCs w:val="0"/>
                <w:color w:val="000000"/>
                <w:sz w:val="22"/>
                <w:szCs w:val="22"/>
                <w:highlight w:val="none"/>
                <w:u w:val="none"/>
              </w:rPr>
            </w:pPr>
          </w:p>
        </w:tc>
      </w:tr>
      <w:tr w14:paraId="201EFA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260" w:hRule="atLeast"/>
          <w:jc w:val="center"/>
        </w:trPr>
        <w:tc>
          <w:tcPr>
            <w:tcW w:w="762" w:type="dxa"/>
            <w:tcBorders>
              <w:tl2br w:val="nil"/>
              <w:tr2bl w:val="nil"/>
            </w:tcBorders>
            <w:shd w:val="clear" w:color="auto" w:fill="auto"/>
            <w:vAlign w:val="center"/>
          </w:tcPr>
          <w:p w14:paraId="3865F4F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474B2C6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单星工作柜（二次更衣）</w:t>
            </w:r>
          </w:p>
        </w:tc>
        <w:tc>
          <w:tcPr>
            <w:tcW w:w="1729" w:type="dxa"/>
            <w:tcBorders>
              <w:tl2br w:val="nil"/>
              <w:tr2bl w:val="nil"/>
            </w:tcBorders>
            <w:shd w:val="clear" w:color="auto" w:fill="auto"/>
            <w:vAlign w:val="center"/>
          </w:tcPr>
          <w:p w14:paraId="59F282D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900*500*950</w:t>
            </w:r>
          </w:p>
        </w:tc>
        <w:tc>
          <w:tcPr>
            <w:tcW w:w="7095" w:type="dxa"/>
            <w:tcBorders>
              <w:tl2br w:val="nil"/>
              <w:tr2bl w:val="nil"/>
            </w:tcBorders>
            <w:shd w:val="clear" w:color="auto" w:fill="auto"/>
            <w:vAlign w:val="center"/>
          </w:tcPr>
          <w:p w14:paraId="7D8FE91D">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面板采用304不锈钢板制作；台面板厚1.0㎜，水斗板厚0.8㎜；φ50mm厚度1.0mm不锈钢圆通腿；38*25mm厚度1.0mm不锈钢下橫通；配优质不锈钢落水器、拦渣片；带后档板；配不锈钢可调式子弹脚</w:t>
            </w:r>
          </w:p>
        </w:tc>
        <w:tc>
          <w:tcPr>
            <w:tcW w:w="990" w:type="dxa"/>
            <w:tcBorders>
              <w:tl2br w:val="nil"/>
              <w:tr2bl w:val="nil"/>
            </w:tcBorders>
            <w:shd w:val="clear" w:color="auto" w:fill="auto"/>
            <w:noWrap/>
            <w:vAlign w:val="center"/>
          </w:tcPr>
          <w:p w14:paraId="1B1DCD4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66054D6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9BCEF3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47700" cy="590550"/>
                  <wp:effectExtent l="0" t="0" r="7620" b="3810"/>
                  <wp:docPr id="76"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38" descr="IMG_293"/>
                          <pic:cNvPicPr>
                            <a:picLocks noChangeAspect="1"/>
                          </pic:cNvPicPr>
                        </pic:nvPicPr>
                        <pic:blipFill>
                          <a:blip r:embed="rId49"/>
                          <a:stretch>
                            <a:fillRect/>
                          </a:stretch>
                        </pic:blipFill>
                        <pic:spPr>
                          <a:xfrm>
                            <a:off x="0" y="0"/>
                            <a:ext cx="647700" cy="590550"/>
                          </a:xfrm>
                          <a:prstGeom prst="rect">
                            <a:avLst/>
                          </a:prstGeom>
                          <a:noFill/>
                          <a:ln w="9525">
                            <a:noFill/>
                          </a:ln>
                        </pic:spPr>
                      </pic:pic>
                    </a:graphicData>
                  </a:graphic>
                </wp:inline>
              </w:drawing>
            </w:r>
          </w:p>
        </w:tc>
      </w:tr>
      <w:tr w14:paraId="36EE30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0" w:hRule="atLeast"/>
          <w:jc w:val="center"/>
        </w:trPr>
        <w:tc>
          <w:tcPr>
            <w:tcW w:w="762" w:type="dxa"/>
            <w:tcBorders>
              <w:tl2br w:val="nil"/>
              <w:tr2bl w:val="nil"/>
            </w:tcBorders>
            <w:shd w:val="clear" w:color="auto" w:fill="auto"/>
            <w:vAlign w:val="center"/>
          </w:tcPr>
          <w:p w14:paraId="279E94B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0F9BE80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台式混水龙头</w:t>
            </w:r>
          </w:p>
        </w:tc>
        <w:tc>
          <w:tcPr>
            <w:tcW w:w="1729" w:type="dxa"/>
            <w:tcBorders>
              <w:tl2br w:val="nil"/>
              <w:tr2bl w:val="nil"/>
            </w:tcBorders>
            <w:shd w:val="clear" w:color="auto" w:fill="auto"/>
            <w:vAlign w:val="center"/>
          </w:tcPr>
          <w:p w14:paraId="541ADA66">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646D102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台式双孔双温，产品主体黄铜，不锈钢管，直径18，厚0.8mm，黄铜螺杆阀芯，合金手柄</w:t>
            </w:r>
          </w:p>
          <w:p w14:paraId="7AF6E410">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343B88B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8A470D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40E87BF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371475"/>
                  <wp:effectExtent l="0" t="0" r="3810" b="9525"/>
                  <wp:docPr id="3"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9" descr="IMG_294"/>
                          <pic:cNvPicPr>
                            <a:picLocks noChangeAspect="1"/>
                          </pic:cNvPicPr>
                        </pic:nvPicPr>
                        <pic:blipFill>
                          <a:blip r:embed="rId36"/>
                          <a:stretch>
                            <a:fillRect/>
                          </a:stretch>
                        </pic:blipFill>
                        <pic:spPr>
                          <a:xfrm>
                            <a:off x="0" y="0"/>
                            <a:ext cx="514350" cy="371475"/>
                          </a:xfrm>
                          <a:prstGeom prst="rect">
                            <a:avLst/>
                          </a:prstGeom>
                          <a:noFill/>
                          <a:ln w="9525">
                            <a:noFill/>
                          </a:ln>
                        </pic:spPr>
                      </pic:pic>
                    </a:graphicData>
                  </a:graphic>
                </wp:inline>
              </w:drawing>
            </w:r>
            <w:r>
              <w:rPr>
                <w:rFonts w:hint="eastAsia" w:ascii="等线" w:hAnsi="等线" w:eastAsia="等线" w:cs="等线"/>
                <w:i w:val="0"/>
                <w:iCs w:val="0"/>
                <w:color w:val="000000"/>
                <w:kern w:val="0"/>
                <w:sz w:val="22"/>
                <w:szCs w:val="22"/>
                <w:highlight w:val="none"/>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332740</wp:posOffset>
                  </wp:positionH>
                  <wp:positionV relativeFrom="paragraph">
                    <wp:posOffset>161290</wp:posOffset>
                  </wp:positionV>
                  <wp:extent cx="466090" cy="358775"/>
                  <wp:effectExtent l="0" t="0" r="6350" b="6985"/>
                  <wp:wrapNone/>
                  <wp:docPr id="4" name="图片_43"/>
                  <wp:cNvGraphicFramePr/>
                  <a:graphic xmlns:a="http://schemas.openxmlformats.org/drawingml/2006/main">
                    <a:graphicData uri="http://schemas.openxmlformats.org/drawingml/2006/picture">
                      <pic:pic xmlns:pic="http://schemas.openxmlformats.org/drawingml/2006/picture">
                        <pic:nvPicPr>
                          <pic:cNvPr id="4" name="图片_43"/>
                          <pic:cNvPicPr/>
                        </pic:nvPicPr>
                        <pic:blipFill>
                          <a:blip r:embed="rId50"/>
                          <a:stretch>
                            <a:fillRect/>
                          </a:stretch>
                        </pic:blipFill>
                        <pic:spPr>
                          <a:xfrm>
                            <a:off x="0" y="0"/>
                            <a:ext cx="466090" cy="358775"/>
                          </a:xfrm>
                          <a:prstGeom prst="rect">
                            <a:avLst/>
                          </a:prstGeom>
                          <a:noFill/>
                          <a:ln>
                            <a:noFill/>
                          </a:ln>
                        </pic:spPr>
                      </pic:pic>
                    </a:graphicData>
                  </a:graphic>
                </wp:anchor>
              </w:drawing>
            </w:r>
          </w:p>
        </w:tc>
      </w:tr>
      <w:tr w14:paraId="11972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60" w:hRule="atLeast"/>
          <w:jc w:val="center"/>
        </w:trPr>
        <w:tc>
          <w:tcPr>
            <w:tcW w:w="762" w:type="dxa"/>
            <w:tcBorders>
              <w:tl2br w:val="nil"/>
              <w:tr2bl w:val="nil"/>
            </w:tcBorders>
            <w:shd w:val="clear" w:color="auto" w:fill="auto"/>
            <w:vAlign w:val="center"/>
          </w:tcPr>
          <w:p w14:paraId="0F2784A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480464D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干手器（二次更衣）</w:t>
            </w:r>
          </w:p>
        </w:tc>
        <w:tc>
          <w:tcPr>
            <w:tcW w:w="1729" w:type="dxa"/>
            <w:tcBorders>
              <w:tl2br w:val="nil"/>
              <w:tr2bl w:val="nil"/>
            </w:tcBorders>
            <w:shd w:val="clear" w:color="auto" w:fill="auto"/>
            <w:vAlign w:val="center"/>
          </w:tcPr>
          <w:p w14:paraId="166A136B">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7421DA4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多层压铸造ABS面板；铜线圈电机耐力持久强劲；零接触，有效抑菌；智能感应电路板。</w:t>
            </w:r>
          </w:p>
          <w:p w14:paraId="6258511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额定电压：220V 50Hz；</w:t>
            </w:r>
          </w:p>
          <w:p w14:paraId="70DC341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手伸到吹出口下时，产品自动工作，方便卫生。连续工作60秒后自动停止功能，防止人为恶作剧或产品本身误动作。具有防止水滴飞散功能，接水盘底部可方便的取下进行清洗。</w:t>
            </w:r>
          </w:p>
          <w:p w14:paraId="38F7E04E">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▲提供中国国家强制性产品认证证书。</w:t>
            </w:r>
          </w:p>
        </w:tc>
        <w:tc>
          <w:tcPr>
            <w:tcW w:w="990" w:type="dxa"/>
            <w:tcBorders>
              <w:tl2br w:val="nil"/>
              <w:tr2bl w:val="nil"/>
            </w:tcBorders>
            <w:shd w:val="clear" w:color="auto" w:fill="auto"/>
            <w:noWrap/>
            <w:vAlign w:val="center"/>
          </w:tcPr>
          <w:p w14:paraId="52C81AA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494489E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56EB045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381000" cy="676275"/>
                  <wp:effectExtent l="0" t="0" r="0" b="9525"/>
                  <wp:docPr id="27"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0" descr="IMG_295"/>
                          <pic:cNvPicPr>
                            <a:picLocks noChangeAspect="1"/>
                          </pic:cNvPicPr>
                        </pic:nvPicPr>
                        <pic:blipFill>
                          <a:blip r:embed="rId51"/>
                          <a:stretch>
                            <a:fillRect/>
                          </a:stretch>
                        </pic:blipFill>
                        <pic:spPr>
                          <a:xfrm>
                            <a:off x="0" y="0"/>
                            <a:ext cx="381000" cy="676275"/>
                          </a:xfrm>
                          <a:prstGeom prst="rect">
                            <a:avLst/>
                          </a:prstGeom>
                          <a:noFill/>
                          <a:ln w="9525">
                            <a:noFill/>
                          </a:ln>
                        </pic:spPr>
                      </pic:pic>
                    </a:graphicData>
                  </a:graphic>
                </wp:inline>
              </w:drawing>
            </w:r>
          </w:p>
        </w:tc>
      </w:tr>
      <w:tr w14:paraId="506F7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0" w:hRule="atLeast"/>
          <w:jc w:val="center"/>
        </w:trPr>
        <w:tc>
          <w:tcPr>
            <w:tcW w:w="762" w:type="dxa"/>
            <w:tcBorders>
              <w:tl2br w:val="nil"/>
              <w:tr2bl w:val="nil"/>
            </w:tcBorders>
            <w:shd w:val="clear" w:color="auto" w:fill="auto"/>
            <w:vAlign w:val="center"/>
          </w:tcPr>
          <w:p w14:paraId="606EB63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6864ED9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全自动杀菌喷雾器（预进间）</w:t>
            </w:r>
          </w:p>
        </w:tc>
        <w:tc>
          <w:tcPr>
            <w:tcW w:w="1729" w:type="dxa"/>
            <w:tcBorders>
              <w:tl2br w:val="nil"/>
              <w:tr2bl w:val="nil"/>
            </w:tcBorders>
            <w:shd w:val="clear" w:color="auto" w:fill="auto"/>
            <w:vAlign w:val="center"/>
          </w:tcPr>
          <w:p w14:paraId="14BA9247">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20BD49C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ABS材料，环保安全，耐腐蚀；智能感应，零接触，避免交叉感染，杀毒抑菌</w:t>
            </w:r>
          </w:p>
          <w:p w14:paraId="0E10D4A1">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▲提供消毒产品生产企业卫生许可证。</w:t>
            </w:r>
          </w:p>
        </w:tc>
        <w:tc>
          <w:tcPr>
            <w:tcW w:w="990" w:type="dxa"/>
            <w:tcBorders>
              <w:tl2br w:val="nil"/>
              <w:tr2bl w:val="nil"/>
            </w:tcBorders>
            <w:shd w:val="clear" w:color="auto" w:fill="auto"/>
            <w:noWrap/>
            <w:vAlign w:val="center"/>
          </w:tcPr>
          <w:p w14:paraId="5C3BE99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4421109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52B4B1C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238125" cy="361950"/>
                  <wp:effectExtent l="0" t="0" r="5715" b="3810"/>
                  <wp:docPr id="29"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1" descr="IMG_296"/>
                          <pic:cNvPicPr>
                            <a:picLocks noChangeAspect="1"/>
                          </pic:cNvPicPr>
                        </pic:nvPicPr>
                        <pic:blipFill>
                          <a:blip r:embed="rId52"/>
                          <a:stretch>
                            <a:fillRect/>
                          </a:stretch>
                        </pic:blipFill>
                        <pic:spPr>
                          <a:xfrm>
                            <a:off x="0" y="0"/>
                            <a:ext cx="238125" cy="361950"/>
                          </a:xfrm>
                          <a:prstGeom prst="rect">
                            <a:avLst/>
                          </a:prstGeom>
                          <a:noFill/>
                          <a:ln w="9525">
                            <a:noFill/>
                          </a:ln>
                        </pic:spPr>
                      </pic:pic>
                    </a:graphicData>
                  </a:graphic>
                </wp:inline>
              </w:drawing>
            </w:r>
          </w:p>
        </w:tc>
      </w:tr>
      <w:tr w14:paraId="0172E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100" w:hRule="atLeast"/>
          <w:jc w:val="center"/>
        </w:trPr>
        <w:tc>
          <w:tcPr>
            <w:tcW w:w="762" w:type="dxa"/>
            <w:tcBorders>
              <w:tl2br w:val="nil"/>
              <w:tr2bl w:val="nil"/>
            </w:tcBorders>
            <w:shd w:val="clear" w:color="auto" w:fill="auto"/>
            <w:vAlign w:val="center"/>
          </w:tcPr>
          <w:p w14:paraId="5710DCA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684" w:type="dxa"/>
            <w:tcBorders>
              <w:tl2br w:val="nil"/>
              <w:tr2bl w:val="nil"/>
            </w:tcBorders>
            <w:shd w:val="clear" w:color="auto" w:fill="auto"/>
            <w:vAlign w:val="center"/>
          </w:tcPr>
          <w:p w14:paraId="792418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五格售饭工作台</w:t>
            </w:r>
          </w:p>
        </w:tc>
        <w:tc>
          <w:tcPr>
            <w:tcW w:w="1729" w:type="dxa"/>
            <w:tcBorders>
              <w:tl2br w:val="nil"/>
              <w:tr2bl w:val="nil"/>
            </w:tcBorders>
            <w:shd w:val="clear" w:color="auto" w:fill="auto"/>
            <w:vAlign w:val="center"/>
          </w:tcPr>
          <w:p w14:paraId="74A3C48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1800*700*800</w:t>
            </w:r>
          </w:p>
        </w:tc>
        <w:tc>
          <w:tcPr>
            <w:tcW w:w="7095" w:type="dxa"/>
            <w:tcBorders>
              <w:tl2br w:val="nil"/>
              <w:tr2bl w:val="nil"/>
            </w:tcBorders>
            <w:shd w:val="clear" w:color="auto" w:fill="auto"/>
            <w:vAlign w:val="center"/>
          </w:tcPr>
          <w:p w14:paraId="61ADD98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1.面、内胆1.2/304，余1.0/304,3kw，美控面板，柜式，拉门</w:t>
            </w:r>
          </w:p>
          <w:p w14:paraId="65CBF505">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2.所投售饭台符合GB/T38160-2019、GB/T3280-2015、GB/T 10610-2009标准，立柱与台面垂直度≤5mm，试样弯曲180°，弯曲外表面无裂纹，检验合格。</w:t>
            </w:r>
          </w:p>
        </w:tc>
        <w:tc>
          <w:tcPr>
            <w:tcW w:w="990" w:type="dxa"/>
            <w:tcBorders>
              <w:tl2br w:val="nil"/>
              <w:tr2bl w:val="nil"/>
            </w:tcBorders>
            <w:shd w:val="clear" w:color="auto" w:fill="auto"/>
            <w:noWrap/>
            <w:vAlign w:val="center"/>
          </w:tcPr>
          <w:p w14:paraId="2E45768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035" w:type="dxa"/>
            <w:tcBorders>
              <w:tl2br w:val="nil"/>
              <w:tr2bl w:val="nil"/>
            </w:tcBorders>
            <w:shd w:val="clear" w:color="auto" w:fill="auto"/>
            <w:noWrap/>
            <w:vAlign w:val="center"/>
          </w:tcPr>
          <w:p w14:paraId="1812E63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58C7F76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85800" cy="466725"/>
                  <wp:effectExtent l="0" t="0" r="0" b="5715"/>
                  <wp:docPr id="5"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2" descr="IMG_297"/>
                          <pic:cNvPicPr>
                            <a:picLocks noChangeAspect="1"/>
                          </pic:cNvPicPr>
                        </pic:nvPicPr>
                        <pic:blipFill>
                          <a:blip r:embed="rId53"/>
                          <a:stretch>
                            <a:fillRect/>
                          </a:stretch>
                        </pic:blipFill>
                        <pic:spPr>
                          <a:xfrm>
                            <a:off x="0" y="0"/>
                            <a:ext cx="685800" cy="466725"/>
                          </a:xfrm>
                          <a:prstGeom prst="rect">
                            <a:avLst/>
                          </a:prstGeom>
                          <a:noFill/>
                          <a:ln w="9525">
                            <a:noFill/>
                          </a:ln>
                        </pic:spPr>
                      </pic:pic>
                    </a:graphicData>
                  </a:graphic>
                </wp:inline>
              </w:drawing>
            </w:r>
          </w:p>
        </w:tc>
      </w:tr>
      <w:tr w14:paraId="67B08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50" w:hRule="atLeast"/>
          <w:jc w:val="center"/>
        </w:trPr>
        <w:tc>
          <w:tcPr>
            <w:tcW w:w="762" w:type="dxa"/>
            <w:tcBorders>
              <w:tl2br w:val="nil"/>
              <w:tr2bl w:val="nil"/>
            </w:tcBorders>
            <w:shd w:val="clear" w:color="auto" w:fill="auto"/>
            <w:vAlign w:val="center"/>
          </w:tcPr>
          <w:p w14:paraId="3372045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684" w:type="dxa"/>
            <w:tcBorders>
              <w:tl2br w:val="nil"/>
              <w:tr2bl w:val="nil"/>
            </w:tcBorders>
            <w:shd w:val="clear" w:color="auto" w:fill="auto"/>
            <w:vAlign w:val="center"/>
          </w:tcPr>
          <w:p w14:paraId="50D476A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w:t>
            </w:r>
          </w:p>
        </w:tc>
        <w:tc>
          <w:tcPr>
            <w:tcW w:w="1729" w:type="dxa"/>
            <w:tcBorders>
              <w:tl2br w:val="nil"/>
              <w:tr2bl w:val="nil"/>
            </w:tcBorders>
            <w:shd w:val="clear" w:color="auto" w:fill="auto"/>
            <w:vAlign w:val="center"/>
          </w:tcPr>
          <w:p w14:paraId="47C1934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800*700*800</w:t>
            </w:r>
          </w:p>
        </w:tc>
        <w:tc>
          <w:tcPr>
            <w:tcW w:w="7095" w:type="dxa"/>
            <w:tcBorders>
              <w:tl2br w:val="nil"/>
              <w:tr2bl w:val="nil"/>
            </w:tcBorders>
            <w:shd w:val="clear" w:color="auto" w:fill="auto"/>
            <w:vAlign w:val="center"/>
          </w:tcPr>
          <w:p w14:paraId="39370282">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7851BD1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0BF2389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8FAA3D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6"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3" descr="IMG_298"/>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42EB48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50" w:hRule="atLeast"/>
          <w:jc w:val="center"/>
        </w:trPr>
        <w:tc>
          <w:tcPr>
            <w:tcW w:w="762" w:type="dxa"/>
            <w:tcBorders>
              <w:tl2br w:val="nil"/>
              <w:tr2bl w:val="nil"/>
            </w:tcBorders>
            <w:shd w:val="clear" w:color="auto" w:fill="auto"/>
            <w:vAlign w:val="center"/>
          </w:tcPr>
          <w:p w14:paraId="4FD8344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w:t>
            </w:r>
          </w:p>
        </w:tc>
        <w:tc>
          <w:tcPr>
            <w:tcW w:w="1684" w:type="dxa"/>
            <w:tcBorders>
              <w:tl2br w:val="nil"/>
              <w:tr2bl w:val="nil"/>
            </w:tcBorders>
            <w:shd w:val="clear" w:color="auto" w:fill="auto"/>
            <w:vAlign w:val="center"/>
          </w:tcPr>
          <w:p w14:paraId="4BD3D4E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双层平板工作台（按现场定制）</w:t>
            </w:r>
          </w:p>
        </w:tc>
        <w:tc>
          <w:tcPr>
            <w:tcW w:w="1729" w:type="dxa"/>
            <w:tcBorders>
              <w:tl2br w:val="nil"/>
              <w:tr2bl w:val="nil"/>
            </w:tcBorders>
            <w:shd w:val="clear" w:color="auto" w:fill="auto"/>
            <w:vAlign w:val="center"/>
          </w:tcPr>
          <w:p w14:paraId="370AD2A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300*700*800</w:t>
            </w:r>
          </w:p>
        </w:tc>
        <w:tc>
          <w:tcPr>
            <w:tcW w:w="7095" w:type="dxa"/>
            <w:tcBorders>
              <w:tl2br w:val="nil"/>
              <w:tr2bl w:val="nil"/>
            </w:tcBorders>
            <w:shd w:val="clear" w:color="auto" w:fill="auto"/>
            <w:vAlign w:val="center"/>
          </w:tcPr>
          <w:p w14:paraId="3EC2EA6A">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面1.2/304，余1.0/304，面下衬板，0.8/304加强筋直径38*1.0/304腿</w:t>
            </w:r>
          </w:p>
        </w:tc>
        <w:tc>
          <w:tcPr>
            <w:tcW w:w="990" w:type="dxa"/>
            <w:tcBorders>
              <w:tl2br w:val="nil"/>
              <w:tr2bl w:val="nil"/>
            </w:tcBorders>
            <w:shd w:val="clear" w:color="auto" w:fill="auto"/>
            <w:noWrap/>
            <w:vAlign w:val="center"/>
          </w:tcPr>
          <w:p w14:paraId="586D1FB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52E7B6C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D69816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809625" cy="533400"/>
                  <wp:effectExtent l="0" t="0" r="13335" b="0"/>
                  <wp:docPr id="22"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4" descr="IMG_299"/>
                          <pic:cNvPicPr>
                            <a:picLocks noChangeAspect="1"/>
                          </pic:cNvPicPr>
                        </pic:nvPicPr>
                        <pic:blipFill>
                          <a:blip r:embed="rId33"/>
                          <a:stretch>
                            <a:fillRect/>
                          </a:stretch>
                        </pic:blipFill>
                        <pic:spPr>
                          <a:xfrm>
                            <a:off x="0" y="0"/>
                            <a:ext cx="809625" cy="533400"/>
                          </a:xfrm>
                          <a:prstGeom prst="rect">
                            <a:avLst/>
                          </a:prstGeom>
                          <a:noFill/>
                          <a:ln w="9525">
                            <a:noFill/>
                          </a:ln>
                        </pic:spPr>
                      </pic:pic>
                    </a:graphicData>
                  </a:graphic>
                </wp:inline>
              </w:drawing>
            </w:r>
          </w:p>
        </w:tc>
      </w:tr>
      <w:tr w14:paraId="05AEF9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00" w:hRule="atLeast"/>
          <w:jc w:val="center"/>
        </w:trPr>
        <w:tc>
          <w:tcPr>
            <w:tcW w:w="762" w:type="dxa"/>
            <w:tcBorders>
              <w:tl2br w:val="nil"/>
              <w:tr2bl w:val="nil"/>
            </w:tcBorders>
            <w:shd w:val="clear" w:color="auto" w:fill="auto"/>
            <w:vAlign w:val="center"/>
          </w:tcPr>
          <w:p w14:paraId="61F4D24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w:t>
            </w:r>
          </w:p>
        </w:tc>
        <w:tc>
          <w:tcPr>
            <w:tcW w:w="1684" w:type="dxa"/>
            <w:tcBorders>
              <w:tl2br w:val="nil"/>
              <w:tr2bl w:val="nil"/>
            </w:tcBorders>
            <w:shd w:val="clear" w:color="auto" w:fill="auto"/>
            <w:vAlign w:val="center"/>
          </w:tcPr>
          <w:p w14:paraId="15BBDAA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单通工作台</w:t>
            </w:r>
          </w:p>
        </w:tc>
        <w:tc>
          <w:tcPr>
            <w:tcW w:w="1729" w:type="dxa"/>
            <w:tcBorders>
              <w:tl2br w:val="nil"/>
              <w:tr2bl w:val="nil"/>
            </w:tcBorders>
            <w:shd w:val="clear" w:color="auto" w:fill="auto"/>
            <w:vAlign w:val="center"/>
          </w:tcPr>
          <w:p w14:paraId="1349BD7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800*700*800</w:t>
            </w:r>
          </w:p>
        </w:tc>
        <w:tc>
          <w:tcPr>
            <w:tcW w:w="7095" w:type="dxa"/>
            <w:tcBorders>
              <w:tl2br w:val="nil"/>
              <w:tr2bl w:val="nil"/>
            </w:tcBorders>
            <w:shd w:val="clear" w:color="auto" w:fill="auto"/>
            <w:vAlign w:val="center"/>
          </w:tcPr>
          <w:p w14:paraId="27ABB08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面板采用304不锈钢板制作；台面板厚1.0mm面板下衬木板减噪；门外壳板厚0.8mm，柜内层板厚1.0㎜，底板厚1.0㎜；配不锈钢可调式子弹脚。</w:t>
            </w:r>
          </w:p>
          <w:p w14:paraId="4F992AE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所投打荷台符合GB/T3325-2017，通过结构和底架强度试验，所有部件、连接件应无断裂损坏，达到力学试验水平3级。</w:t>
            </w:r>
          </w:p>
        </w:tc>
        <w:tc>
          <w:tcPr>
            <w:tcW w:w="990" w:type="dxa"/>
            <w:tcBorders>
              <w:tl2br w:val="nil"/>
              <w:tr2bl w:val="nil"/>
            </w:tcBorders>
            <w:shd w:val="clear" w:color="auto" w:fill="auto"/>
            <w:noWrap/>
            <w:vAlign w:val="center"/>
          </w:tcPr>
          <w:p w14:paraId="7C55D05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219EB7F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52F07E4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62000" cy="552450"/>
                  <wp:effectExtent l="0" t="0" r="0" b="11430"/>
                  <wp:docPr id="7"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5" descr="IMG_300"/>
                          <pic:cNvPicPr>
                            <a:picLocks noChangeAspect="1"/>
                          </pic:cNvPicPr>
                        </pic:nvPicPr>
                        <pic:blipFill>
                          <a:blip r:embed="rId54"/>
                          <a:stretch>
                            <a:fillRect/>
                          </a:stretch>
                        </pic:blipFill>
                        <pic:spPr>
                          <a:xfrm>
                            <a:off x="0" y="0"/>
                            <a:ext cx="762000" cy="552450"/>
                          </a:xfrm>
                          <a:prstGeom prst="rect">
                            <a:avLst/>
                          </a:prstGeom>
                          <a:noFill/>
                          <a:ln w="9525">
                            <a:noFill/>
                          </a:ln>
                        </pic:spPr>
                      </pic:pic>
                    </a:graphicData>
                  </a:graphic>
                </wp:inline>
              </w:drawing>
            </w:r>
          </w:p>
        </w:tc>
      </w:tr>
      <w:tr w14:paraId="5E12D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880" w:hRule="atLeast"/>
          <w:jc w:val="center"/>
        </w:trPr>
        <w:tc>
          <w:tcPr>
            <w:tcW w:w="762" w:type="dxa"/>
            <w:tcBorders>
              <w:tl2br w:val="nil"/>
              <w:tr2bl w:val="nil"/>
            </w:tcBorders>
            <w:shd w:val="clear" w:color="auto" w:fill="auto"/>
            <w:vAlign w:val="center"/>
          </w:tcPr>
          <w:p w14:paraId="7F1F652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w:t>
            </w:r>
          </w:p>
        </w:tc>
        <w:tc>
          <w:tcPr>
            <w:tcW w:w="1684" w:type="dxa"/>
            <w:tcBorders>
              <w:tl2br w:val="nil"/>
              <w:tr2bl w:val="nil"/>
            </w:tcBorders>
            <w:shd w:val="clear" w:color="auto" w:fill="auto"/>
            <w:vAlign w:val="center"/>
          </w:tcPr>
          <w:p w14:paraId="5EA35D5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扒炉</w:t>
            </w:r>
          </w:p>
        </w:tc>
        <w:tc>
          <w:tcPr>
            <w:tcW w:w="1729" w:type="dxa"/>
            <w:tcBorders>
              <w:tl2br w:val="nil"/>
              <w:tr2bl w:val="nil"/>
            </w:tcBorders>
            <w:shd w:val="clear" w:color="auto" w:fill="auto"/>
            <w:vAlign w:val="center"/>
          </w:tcPr>
          <w:p w14:paraId="761F6E9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700*700*800</w:t>
            </w:r>
          </w:p>
        </w:tc>
        <w:tc>
          <w:tcPr>
            <w:tcW w:w="7095" w:type="dxa"/>
            <w:tcBorders>
              <w:tl2br w:val="nil"/>
              <w:tr2bl w:val="nil"/>
            </w:tcBorders>
            <w:shd w:val="clear" w:color="auto" w:fill="auto"/>
            <w:vAlign w:val="center"/>
          </w:tcPr>
          <w:p w14:paraId="05E56DA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1、材质：面板采用优质SUS304不锈钢板，实厚1.25，侧板201,实厚1.0。</w:t>
            </w:r>
          </w:p>
          <w:p w14:paraId="0907B9D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2、规格（长*宽*高）：700*700*800</w:t>
            </w:r>
          </w:p>
          <w:p w14:paraId="4B20807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3、功率/电压：12KW/380V</w:t>
            </w:r>
          </w:p>
          <w:p w14:paraId="2CC6948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4、快速加热：30秒能把铁板加温到180度。</w:t>
            </w:r>
          </w:p>
          <w:p w14:paraId="177AE19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5、内置接油盒，配合开门设计，美观方便。</w:t>
            </w:r>
          </w:p>
          <w:p w14:paraId="4F7D207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6、显示屏带有中文故障原因，方便维修处理。</w:t>
            </w:r>
          </w:p>
          <w:p w14:paraId="1F864C2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7、显示屏显示用电量，每天或每个月的能耗一目了然；节能看得见。</w:t>
            </w:r>
          </w:p>
          <w:p w14:paraId="6705800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8、实时显示当前输出功率，方便火候掌控</w:t>
            </w:r>
          </w:p>
          <w:p w14:paraId="14F239C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9、耐用方便的9档磁控360度旋纽温度调节器。</w:t>
            </w:r>
          </w:p>
          <w:p w14:paraId="7E859CD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10、变频动态定温，接近恒温输出，厨艺不再难。</w:t>
            </w:r>
          </w:p>
          <w:p w14:paraId="32285ED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11、有3种常用功能：定时，定温，预约功能。缺一不可。</w:t>
            </w:r>
          </w:p>
          <w:p w14:paraId="27C1795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12、有5种温度记忆菜单，可以根据不同菜品，快速选择不同温度烹饪。                                     </w:t>
            </w:r>
          </w:p>
          <w:p w14:paraId="1820E52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电扒炉应耐潮湿，潮湿处理48h，相对湿度（93±3）%，防水等级不低于IPX4，液体溢出不影响电气绝缘，以防电器安全隐患，产品安全符合国标。GB/T 4706.37-2008或GB 4706.37-2026标准，检验检测合格，提供满足以上数据检测报告。</w:t>
            </w:r>
          </w:p>
          <w:p w14:paraId="5990453D">
            <w:pPr>
              <w:keepNext w:val="0"/>
              <w:keepLines w:val="0"/>
              <w:widowControl/>
              <w:suppressLineNumbers w:val="0"/>
              <w:jc w:val="left"/>
              <w:textAlignment w:val="center"/>
              <w:rPr>
                <w:rFonts w:hint="default"/>
                <w:lang w:val="en-US"/>
              </w:rPr>
            </w:pPr>
            <w:r>
              <w:rPr>
                <w:rFonts w:hint="eastAsia" w:ascii="等线" w:hAnsi="等线" w:eastAsia="等线" w:cs="等线"/>
                <w:i w:val="0"/>
                <w:iCs w:val="0"/>
                <w:color w:val="000000"/>
                <w:kern w:val="0"/>
                <w:sz w:val="20"/>
                <w:szCs w:val="20"/>
                <w:highlight w:val="none"/>
                <w:u w:val="none"/>
                <w:lang w:val="en-US" w:eastAsia="zh-CN" w:bidi="ar"/>
              </w:rPr>
              <w:t>13、▲提供全国工业产品生产许可证，且许可明细包含所投产品明细单元。</w:t>
            </w:r>
          </w:p>
        </w:tc>
        <w:tc>
          <w:tcPr>
            <w:tcW w:w="990" w:type="dxa"/>
            <w:tcBorders>
              <w:tl2br w:val="nil"/>
              <w:tr2bl w:val="nil"/>
            </w:tcBorders>
            <w:shd w:val="clear" w:color="auto" w:fill="auto"/>
            <w:noWrap/>
            <w:vAlign w:val="center"/>
          </w:tcPr>
          <w:p w14:paraId="41E9A91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4581840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1D8ED24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95325" cy="800100"/>
                  <wp:effectExtent l="0" t="0" r="5715" b="7620"/>
                  <wp:docPr id="8"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6" descr="IMG_301"/>
                          <pic:cNvPicPr>
                            <a:picLocks noChangeAspect="1"/>
                          </pic:cNvPicPr>
                        </pic:nvPicPr>
                        <pic:blipFill>
                          <a:blip r:embed="rId55"/>
                          <a:stretch>
                            <a:fillRect/>
                          </a:stretch>
                        </pic:blipFill>
                        <pic:spPr>
                          <a:xfrm>
                            <a:off x="0" y="0"/>
                            <a:ext cx="695325" cy="800100"/>
                          </a:xfrm>
                          <a:prstGeom prst="rect">
                            <a:avLst/>
                          </a:prstGeom>
                          <a:noFill/>
                          <a:ln w="9525">
                            <a:noFill/>
                          </a:ln>
                        </pic:spPr>
                      </pic:pic>
                    </a:graphicData>
                  </a:graphic>
                </wp:inline>
              </w:drawing>
            </w:r>
          </w:p>
        </w:tc>
      </w:tr>
      <w:tr w14:paraId="338F6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320" w:hRule="atLeast"/>
          <w:jc w:val="center"/>
        </w:trPr>
        <w:tc>
          <w:tcPr>
            <w:tcW w:w="762" w:type="dxa"/>
            <w:tcBorders>
              <w:tl2br w:val="nil"/>
              <w:tr2bl w:val="nil"/>
            </w:tcBorders>
            <w:shd w:val="clear" w:color="auto" w:fill="auto"/>
            <w:vAlign w:val="center"/>
          </w:tcPr>
          <w:p w14:paraId="1A7FC63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w:t>
            </w:r>
          </w:p>
        </w:tc>
        <w:tc>
          <w:tcPr>
            <w:tcW w:w="1684" w:type="dxa"/>
            <w:tcBorders>
              <w:tl2br w:val="nil"/>
              <w:tr2bl w:val="nil"/>
            </w:tcBorders>
            <w:shd w:val="clear" w:color="auto" w:fill="auto"/>
            <w:vAlign w:val="center"/>
          </w:tcPr>
          <w:p w14:paraId="4DD9C44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双头粉面炉</w:t>
            </w:r>
          </w:p>
        </w:tc>
        <w:tc>
          <w:tcPr>
            <w:tcW w:w="1729" w:type="dxa"/>
            <w:tcBorders>
              <w:tl2br w:val="nil"/>
              <w:tr2bl w:val="nil"/>
            </w:tcBorders>
            <w:shd w:val="clear" w:color="auto" w:fill="auto"/>
            <w:vAlign w:val="center"/>
          </w:tcPr>
          <w:p w14:paraId="1A626E6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1200*700*800</w:t>
            </w:r>
          </w:p>
        </w:tc>
        <w:tc>
          <w:tcPr>
            <w:tcW w:w="7095" w:type="dxa"/>
            <w:tcBorders>
              <w:tl2br w:val="nil"/>
              <w:tr2bl w:val="nil"/>
            </w:tcBorders>
            <w:shd w:val="clear" w:color="auto" w:fill="auto"/>
            <w:vAlign w:val="center"/>
          </w:tcPr>
          <w:p w14:paraId="2700E5D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功率：15KW。电压：380V                                                                                          选用SUS304优质不锈钢板制作，炉台面、后背δ=1.0mm，侧板，面板δ=0.8mm，集油盘δ=0.8mm，配11寸强力炉头及铸铁炉栅，带长明火装置。配不锈钢φ50*1.2mm可调脚。</w:t>
            </w:r>
          </w:p>
          <w:p w14:paraId="1B6914C9">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▲提供全国工业产品生产许可证，且许可明细包含所投产品明细单元。</w:t>
            </w:r>
          </w:p>
        </w:tc>
        <w:tc>
          <w:tcPr>
            <w:tcW w:w="990" w:type="dxa"/>
            <w:tcBorders>
              <w:tl2br w:val="nil"/>
              <w:tr2bl w:val="nil"/>
            </w:tcBorders>
            <w:shd w:val="clear" w:color="auto" w:fill="auto"/>
            <w:noWrap/>
            <w:vAlign w:val="center"/>
          </w:tcPr>
          <w:p w14:paraId="7944CF4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5D432D4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6F038C8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66750" cy="485775"/>
                  <wp:effectExtent l="0" t="0" r="3810" b="1905"/>
                  <wp:docPr id="9"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7" descr="IMG_302"/>
                          <pic:cNvPicPr>
                            <a:picLocks noChangeAspect="1"/>
                          </pic:cNvPicPr>
                        </pic:nvPicPr>
                        <pic:blipFill>
                          <a:blip r:embed="rId56"/>
                          <a:stretch>
                            <a:fillRect/>
                          </a:stretch>
                        </pic:blipFill>
                        <pic:spPr>
                          <a:xfrm>
                            <a:off x="0" y="0"/>
                            <a:ext cx="666750" cy="485775"/>
                          </a:xfrm>
                          <a:prstGeom prst="rect">
                            <a:avLst/>
                          </a:prstGeom>
                          <a:noFill/>
                          <a:ln w="9525">
                            <a:noFill/>
                          </a:ln>
                        </pic:spPr>
                      </pic:pic>
                    </a:graphicData>
                  </a:graphic>
                </wp:inline>
              </w:drawing>
            </w:r>
          </w:p>
        </w:tc>
      </w:tr>
      <w:tr w14:paraId="1B151D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80" w:hRule="atLeast"/>
          <w:jc w:val="center"/>
        </w:trPr>
        <w:tc>
          <w:tcPr>
            <w:tcW w:w="762" w:type="dxa"/>
            <w:tcBorders>
              <w:tl2br w:val="nil"/>
              <w:tr2bl w:val="nil"/>
            </w:tcBorders>
            <w:shd w:val="clear" w:color="auto" w:fill="auto"/>
            <w:vAlign w:val="center"/>
          </w:tcPr>
          <w:p w14:paraId="07C5D51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11</w:t>
            </w:r>
          </w:p>
        </w:tc>
        <w:tc>
          <w:tcPr>
            <w:tcW w:w="1684" w:type="dxa"/>
            <w:tcBorders>
              <w:tl2br w:val="nil"/>
              <w:tr2bl w:val="nil"/>
            </w:tcBorders>
            <w:shd w:val="clear" w:color="auto" w:fill="auto"/>
            <w:vAlign w:val="center"/>
          </w:tcPr>
          <w:p w14:paraId="576DE80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暖汁箱</w:t>
            </w:r>
          </w:p>
        </w:tc>
        <w:tc>
          <w:tcPr>
            <w:tcW w:w="1729" w:type="dxa"/>
            <w:tcBorders>
              <w:tl2br w:val="nil"/>
              <w:tr2bl w:val="nil"/>
            </w:tcBorders>
            <w:shd w:val="clear" w:color="auto" w:fill="auto"/>
            <w:vAlign w:val="center"/>
          </w:tcPr>
          <w:p w14:paraId="66275DC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400*700*800</w:t>
            </w:r>
          </w:p>
        </w:tc>
        <w:tc>
          <w:tcPr>
            <w:tcW w:w="7095" w:type="dxa"/>
            <w:tcBorders>
              <w:tl2br w:val="nil"/>
              <w:tr2bl w:val="nil"/>
            </w:tcBorders>
            <w:shd w:val="clear" w:color="auto" w:fill="auto"/>
            <w:vAlign w:val="center"/>
          </w:tcPr>
          <w:p w14:paraId="2CE869F9">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采用304不锈钢板制造，台面δ=1.0mm；面板、侧板、后板δ0.8mm</w:t>
            </w:r>
          </w:p>
        </w:tc>
        <w:tc>
          <w:tcPr>
            <w:tcW w:w="990" w:type="dxa"/>
            <w:tcBorders>
              <w:tl2br w:val="nil"/>
              <w:tr2bl w:val="nil"/>
            </w:tcBorders>
            <w:shd w:val="clear" w:color="auto" w:fill="auto"/>
            <w:noWrap/>
            <w:vAlign w:val="center"/>
          </w:tcPr>
          <w:p w14:paraId="3156DB1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4244585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2FC1AE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47700" cy="542925"/>
                  <wp:effectExtent l="0" t="0" r="7620" b="5715"/>
                  <wp:docPr id="24"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8" descr="IMG_303"/>
                          <pic:cNvPicPr>
                            <a:picLocks noChangeAspect="1"/>
                          </pic:cNvPicPr>
                        </pic:nvPicPr>
                        <pic:blipFill>
                          <a:blip r:embed="rId57"/>
                          <a:stretch>
                            <a:fillRect/>
                          </a:stretch>
                        </pic:blipFill>
                        <pic:spPr>
                          <a:xfrm>
                            <a:off x="0" y="0"/>
                            <a:ext cx="647700" cy="542925"/>
                          </a:xfrm>
                          <a:prstGeom prst="rect">
                            <a:avLst/>
                          </a:prstGeom>
                          <a:noFill/>
                          <a:ln w="9525">
                            <a:noFill/>
                          </a:ln>
                        </pic:spPr>
                      </pic:pic>
                    </a:graphicData>
                  </a:graphic>
                </wp:inline>
              </w:drawing>
            </w:r>
          </w:p>
        </w:tc>
      </w:tr>
      <w:tr w14:paraId="18914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80" w:hRule="atLeast"/>
          <w:jc w:val="center"/>
        </w:trPr>
        <w:tc>
          <w:tcPr>
            <w:tcW w:w="762" w:type="dxa"/>
            <w:tcBorders>
              <w:tl2br w:val="nil"/>
              <w:tr2bl w:val="nil"/>
            </w:tcBorders>
            <w:shd w:val="clear" w:color="auto" w:fill="auto"/>
            <w:vAlign w:val="center"/>
          </w:tcPr>
          <w:p w14:paraId="1DF9DA1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w:t>
            </w:r>
          </w:p>
        </w:tc>
        <w:tc>
          <w:tcPr>
            <w:tcW w:w="1684" w:type="dxa"/>
            <w:tcBorders>
              <w:tl2br w:val="nil"/>
              <w:tr2bl w:val="nil"/>
            </w:tcBorders>
            <w:shd w:val="clear" w:color="auto" w:fill="auto"/>
            <w:vAlign w:val="center"/>
          </w:tcPr>
          <w:p w14:paraId="01C3D36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留样冰箱</w:t>
            </w:r>
          </w:p>
        </w:tc>
        <w:tc>
          <w:tcPr>
            <w:tcW w:w="1729" w:type="dxa"/>
            <w:tcBorders>
              <w:tl2br w:val="nil"/>
              <w:tr2bl w:val="nil"/>
            </w:tcBorders>
            <w:shd w:val="clear" w:color="auto" w:fill="auto"/>
            <w:vAlign w:val="center"/>
          </w:tcPr>
          <w:p w14:paraId="1176E0C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600*700*1930</w:t>
            </w:r>
          </w:p>
        </w:tc>
        <w:tc>
          <w:tcPr>
            <w:tcW w:w="7095" w:type="dxa"/>
            <w:tcBorders>
              <w:tl2br w:val="nil"/>
              <w:tr2bl w:val="nil"/>
            </w:tcBorders>
            <w:shd w:val="clear" w:color="auto" w:fill="auto"/>
            <w:vAlign w:val="center"/>
          </w:tcPr>
          <w:p w14:paraId="60BB952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制冷温度范围：2℃～+8℃，容积:409L   功率：240W                                                                                    1.超强制冷，配备高科技优质铝合金蒸发器，超强制冷。</w:t>
            </w:r>
          </w:p>
          <w:p w14:paraId="6865F9E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2.采用多项先进技术，降温快，温度分布平均。</w:t>
            </w:r>
          </w:p>
          <w:p w14:paraId="67DDD50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3.中空玻璃门，展示效果更佳，柜内物品一目了然。</w:t>
            </w:r>
          </w:p>
          <w:p w14:paraId="071DDEE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4.集中式通风口设计，散热效果理想。运行稳定</w:t>
            </w:r>
          </w:p>
          <w:p w14:paraId="7AE0474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5.底部万向脚轮，移动方便灵活。</w:t>
            </w:r>
          </w:p>
          <w:p w14:paraId="1E30CAA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6.带浸塑搁物架，坚固耐用，易于清洁。</w:t>
            </w:r>
          </w:p>
          <w:p w14:paraId="40B3B0E3">
            <w:pPr>
              <w:keepNext w:val="0"/>
              <w:keepLines w:val="0"/>
              <w:widowControl/>
              <w:suppressLineNumbers w:val="0"/>
              <w:jc w:val="left"/>
              <w:textAlignment w:val="center"/>
              <w:rPr>
                <w:rFonts w:hint="eastAsia"/>
              </w:rPr>
            </w:pPr>
            <w:r>
              <w:rPr>
                <w:rFonts w:hint="eastAsia" w:ascii="等线" w:hAnsi="等线" w:eastAsia="等线" w:cs="等线"/>
                <w:i w:val="0"/>
                <w:iCs w:val="0"/>
                <w:color w:val="000000"/>
                <w:kern w:val="0"/>
                <w:sz w:val="20"/>
                <w:szCs w:val="20"/>
                <w:highlight w:val="none"/>
                <w:u w:val="none"/>
                <w:lang w:val="en-US" w:eastAsia="zh-CN" w:bidi="ar"/>
              </w:rPr>
              <w:t>7.▲提供中国国家强制性产品认证证书。</w:t>
            </w:r>
          </w:p>
        </w:tc>
        <w:tc>
          <w:tcPr>
            <w:tcW w:w="990" w:type="dxa"/>
            <w:tcBorders>
              <w:tl2br w:val="nil"/>
              <w:tr2bl w:val="nil"/>
            </w:tcBorders>
            <w:shd w:val="clear" w:color="auto" w:fill="auto"/>
            <w:noWrap/>
            <w:vAlign w:val="center"/>
          </w:tcPr>
          <w:p w14:paraId="6E2E23C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B5B5F6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211BD0D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52450" cy="590550"/>
                  <wp:effectExtent l="0" t="0" r="11430" b="3810"/>
                  <wp:docPr id="33"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9" descr="IMG_304"/>
                          <pic:cNvPicPr>
                            <a:picLocks noChangeAspect="1"/>
                          </pic:cNvPicPr>
                        </pic:nvPicPr>
                        <pic:blipFill>
                          <a:blip r:embed="rId58"/>
                          <a:stretch>
                            <a:fillRect/>
                          </a:stretch>
                        </pic:blipFill>
                        <pic:spPr>
                          <a:xfrm>
                            <a:off x="0" y="0"/>
                            <a:ext cx="552450" cy="590550"/>
                          </a:xfrm>
                          <a:prstGeom prst="rect">
                            <a:avLst/>
                          </a:prstGeom>
                          <a:noFill/>
                          <a:ln w="9525">
                            <a:noFill/>
                          </a:ln>
                        </pic:spPr>
                      </pic:pic>
                    </a:graphicData>
                  </a:graphic>
                </wp:inline>
              </w:drawing>
            </w:r>
          </w:p>
        </w:tc>
      </w:tr>
      <w:tr w14:paraId="695AF2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30" w:hRule="atLeast"/>
          <w:jc w:val="center"/>
        </w:trPr>
        <w:tc>
          <w:tcPr>
            <w:tcW w:w="762" w:type="dxa"/>
            <w:tcBorders>
              <w:tl2br w:val="nil"/>
              <w:tr2bl w:val="nil"/>
            </w:tcBorders>
            <w:shd w:val="clear" w:color="auto" w:fill="auto"/>
            <w:vAlign w:val="center"/>
          </w:tcPr>
          <w:p w14:paraId="58F02E8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13</w:t>
            </w:r>
          </w:p>
        </w:tc>
        <w:tc>
          <w:tcPr>
            <w:tcW w:w="1684" w:type="dxa"/>
            <w:tcBorders>
              <w:tl2br w:val="nil"/>
              <w:tr2bl w:val="nil"/>
            </w:tcBorders>
            <w:shd w:val="clear" w:color="auto" w:fill="auto"/>
            <w:vAlign w:val="center"/>
          </w:tcPr>
          <w:p w14:paraId="0AA0255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单通工作台</w:t>
            </w:r>
          </w:p>
        </w:tc>
        <w:tc>
          <w:tcPr>
            <w:tcW w:w="1729" w:type="dxa"/>
            <w:tcBorders>
              <w:tl2br w:val="nil"/>
              <w:tr2bl w:val="nil"/>
            </w:tcBorders>
            <w:shd w:val="clear" w:color="auto" w:fill="auto"/>
            <w:vAlign w:val="center"/>
          </w:tcPr>
          <w:p w14:paraId="638226E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1500*700*800</w:t>
            </w:r>
          </w:p>
        </w:tc>
        <w:tc>
          <w:tcPr>
            <w:tcW w:w="7095" w:type="dxa"/>
            <w:tcBorders>
              <w:tl2br w:val="nil"/>
              <w:tr2bl w:val="nil"/>
            </w:tcBorders>
            <w:shd w:val="clear" w:color="auto" w:fill="auto"/>
            <w:vAlign w:val="center"/>
          </w:tcPr>
          <w:p w14:paraId="56BC1B73">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面板采用304不锈钢板制作；台面板厚1.0mm面板下衬木板减噪；门外壳板厚0.8mm，柜内层板厚1.0㎜，底板厚1.0㎜；配不锈钢可调式子弹脚</w:t>
            </w:r>
          </w:p>
        </w:tc>
        <w:tc>
          <w:tcPr>
            <w:tcW w:w="990" w:type="dxa"/>
            <w:tcBorders>
              <w:tl2br w:val="nil"/>
              <w:tr2bl w:val="nil"/>
            </w:tcBorders>
            <w:shd w:val="clear" w:color="auto" w:fill="auto"/>
            <w:noWrap/>
            <w:vAlign w:val="center"/>
          </w:tcPr>
          <w:p w14:paraId="1770CE9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46C32F2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C618B2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62000" cy="552450"/>
                  <wp:effectExtent l="0" t="0" r="0" b="11430"/>
                  <wp:docPr id="23"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50" descr="IMG_305"/>
                          <pic:cNvPicPr>
                            <a:picLocks noChangeAspect="1"/>
                          </pic:cNvPicPr>
                        </pic:nvPicPr>
                        <pic:blipFill>
                          <a:blip r:embed="rId54"/>
                          <a:stretch>
                            <a:fillRect/>
                          </a:stretch>
                        </pic:blipFill>
                        <pic:spPr>
                          <a:xfrm>
                            <a:off x="0" y="0"/>
                            <a:ext cx="762000" cy="552450"/>
                          </a:xfrm>
                          <a:prstGeom prst="rect">
                            <a:avLst/>
                          </a:prstGeom>
                          <a:noFill/>
                          <a:ln w="9525">
                            <a:noFill/>
                          </a:ln>
                        </pic:spPr>
                      </pic:pic>
                    </a:graphicData>
                  </a:graphic>
                </wp:inline>
              </w:drawing>
            </w:r>
          </w:p>
        </w:tc>
      </w:tr>
      <w:tr w14:paraId="0E3C0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0" w:hRule="atLeast"/>
          <w:jc w:val="center"/>
        </w:trPr>
        <w:tc>
          <w:tcPr>
            <w:tcW w:w="762" w:type="dxa"/>
            <w:tcBorders>
              <w:tl2br w:val="nil"/>
              <w:tr2bl w:val="nil"/>
            </w:tcBorders>
            <w:shd w:val="clear" w:color="auto" w:fill="auto"/>
            <w:vAlign w:val="center"/>
          </w:tcPr>
          <w:p w14:paraId="465962F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14</w:t>
            </w:r>
          </w:p>
        </w:tc>
        <w:tc>
          <w:tcPr>
            <w:tcW w:w="1684" w:type="dxa"/>
            <w:tcBorders>
              <w:tl2br w:val="nil"/>
              <w:tr2bl w:val="nil"/>
            </w:tcBorders>
            <w:shd w:val="clear" w:color="auto" w:fill="auto"/>
            <w:vAlign w:val="center"/>
          </w:tcPr>
          <w:p w14:paraId="4E1992C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单通工作台</w:t>
            </w:r>
          </w:p>
        </w:tc>
        <w:tc>
          <w:tcPr>
            <w:tcW w:w="1729" w:type="dxa"/>
            <w:tcBorders>
              <w:tl2br w:val="nil"/>
              <w:tr2bl w:val="nil"/>
            </w:tcBorders>
            <w:shd w:val="clear" w:color="auto" w:fill="auto"/>
            <w:vAlign w:val="center"/>
          </w:tcPr>
          <w:p w14:paraId="1354F9C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1800*700*800</w:t>
            </w:r>
          </w:p>
        </w:tc>
        <w:tc>
          <w:tcPr>
            <w:tcW w:w="7095" w:type="dxa"/>
            <w:tcBorders>
              <w:tl2br w:val="nil"/>
              <w:tr2bl w:val="nil"/>
            </w:tcBorders>
            <w:shd w:val="clear" w:color="auto" w:fill="auto"/>
            <w:vAlign w:val="center"/>
          </w:tcPr>
          <w:p w14:paraId="3BA27D2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面板采用304不锈钢板制作；台面板厚1.0mm面板下衬木板减噪；门外壳板厚0.8mm，柜内层板厚1.0㎜，底板厚1.0㎜；配不锈钢可调式子弹脚</w:t>
            </w:r>
          </w:p>
        </w:tc>
        <w:tc>
          <w:tcPr>
            <w:tcW w:w="990" w:type="dxa"/>
            <w:tcBorders>
              <w:tl2br w:val="nil"/>
              <w:tr2bl w:val="nil"/>
            </w:tcBorders>
            <w:shd w:val="clear" w:color="auto" w:fill="auto"/>
            <w:noWrap/>
            <w:vAlign w:val="center"/>
          </w:tcPr>
          <w:p w14:paraId="6260EFB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7AF9BB4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4DDD4F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62000" cy="552450"/>
                  <wp:effectExtent l="0" t="0" r="0" b="11430"/>
                  <wp:docPr id="10"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1" descr="IMG_306"/>
                          <pic:cNvPicPr>
                            <a:picLocks noChangeAspect="1"/>
                          </pic:cNvPicPr>
                        </pic:nvPicPr>
                        <pic:blipFill>
                          <a:blip r:embed="rId54"/>
                          <a:stretch>
                            <a:fillRect/>
                          </a:stretch>
                        </pic:blipFill>
                        <pic:spPr>
                          <a:xfrm>
                            <a:off x="0" y="0"/>
                            <a:ext cx="762000" cy="552450"/>
                          </a:xfrm>
                          <a:prstGeom prst="rect">
                            <a:avLst/>
                          </a:prstGeom>
                          <a:noFill/>
                          <a:ln w="9525">
                            <a:noFill/>
                          </a:ln>
                        </pic:spPr>
                      </pic:pic>
                    </a:graphicData>
                  </a:graphic>
                </wp:inline>
              </w:drawing>
            </w:r>
          </w:p>
        </w:tc>
      </w:tr>
      <w:tr w14:paraId="09A0E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120" w:hRule="atLeast"/>
          <w:jc w:val="center"/>
        </w:trPr>
        <w:tc>
          <w:tcPr>
            <w:tcW w:w="762" w:type="dxa"/>
            <w:tcBorders>
              <w:tl2br w:val="nil"/>
              <w:tr2bl w:val="nil"/>
            </w:tcBorders>
            <w:shd w:val="clear" w:color="auto" w:fill="auto"/>
            <w:vAlign w:val="center"/>
          </w:tcPr>
          <w:p w14:paraId="36EC7E9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15</w:t>
            </w:r>
          </w:p>
        </w:tc>
        <w:tc>
          <w:tcPr>
            <w:tcW w:w="1684" w:type="dxa"/>
            <w:tcBorders>
              <w:tl2br w:val="nil"/>
              <w:tr2bl w:val="nil"/>
            </w:tcBorders>
            <w:shd w:val="clear" w:color="auto" w:fill="auto"/>
            <w:vAlign w:val="center"/>
          </w:tcPr>
          <w:p w14:paraId="7D9C392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535498B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700*700*950</w:t>
            </w:r>
          </w:p>
        </w:tc>
        <w:tc>
          <w:tcPr>
            <w:tcW w:w="7095" w:type="dxa"/>
            <w:tcBorders>
              <w:tl2br w:val="nil"/>
              <w:tr2bl w:val="nil"/>
            </w:tcBorders>
            <w:shd w:val="clear" w:color="auto" w:fill="auto"/>
            <w:vAlign w:val="center"/>
          </w:tcPr>
          <w:p w14:paraId="749E9985">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600956D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37F9C6A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E96DCC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30"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52" descr="IMG_307"/>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1D53A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0" w:hRule="atLeast"/>
          <w:jc w:val="center"/>
        </w:trPr>
        <w:tc>
          <w:tcPr>
            <w:tcW w:w="762" w:type="dxa"/>
            <w:tcBorders>
              <w:tl2br w:val="nil"/>
              <w:tr2bl w:val="nil"/>
            </w:tcBorders>
            <w:shd w:val="clear" w:color="auto" w:fill="auto"/>
            <w:vAlign w:val="center"/>
          </w:tcPr>
          <w:p w14:paraId="014B047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16</w:t>
            </w:r>
          </w:p>
        </w:tc>
        <w:tc>
          <w:tcPr>
            <w:tcW w:w="1684" w:type="dxa"/>
            <w:tcBorders>
              <w:tl2br w:val="nil"/>
              <w:tr2bl w:val="nil"/>
            </w:tcBorders>
            <w:shd w:val="clear" w:color="auto" w:fill="auto"/>
            <w:vAlign w:val="center"/>
          </w:tcPr>
          <w:p w14:paraId="43D66F2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四门碗柜</w:t>
            </w:r>
          </w:p>
        </w:tc>
        <w:tc>
          <w:tcPr>
            <w:tcW w:w="1729" w:type="dxa"/>
            <w:tcBorders>
              <w:tl2br w:val="nil"/>
              <w:tr2bl w:val="nil"/>
            </w:tcBorders>
            <w:shd w:val="clear" w:color="auto" w:fill="auto"/>
            <w:vAlign w:val="center"/>
          </w:tcPr>
          <w:p w14:paraId="79CD278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1200*700*1800</w:t>
            </w:r>
          </w:p>
        </w:tc>
        <w:tc>
          <w:tcPr>
            <w:tcW w:w="7095" w:type="dxa"/>
            <w:tcBorders>
              <w:tl2br w:val="nil"/>
              <w:tr2bl w:val="nil"/>
            </w:tcBorders>
            <w:shd w:val="clear" w:color="auto" w:fill="auto"/>
            <w:vAlign w:val="center"/>
          </w:tcPr>
          <w:p w14:paraId="1CF80666">
            <w:pPr>
              <w:pStyle w:val="2"/>
              <w:ind w:left="0" w:leftChars="0" w:firstLine="0" w:firstLineChars="0"/>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1、采用304不锈钢板制作，柜身板厚1.0mm，内部层板厚0.8mm，不锈钢加强筋1.0mm，上下2层均移门工艺，使用方便清洁</w:t>
            </w:r>
          </w:p>
          <w:p w14:paraId="6703C455">
            <w:pPr>
              <w:pStyle w:val="2"/>
              <w:ind w:left="0" w:leftChars="0" w:firstLine="0" w:firstLineChars="0"/>
              <w:rPr>
                <w:rFonts w:hint="eastAsia"/>
                <w:highlight w:val="none"/>
              </w:rPr>
            </w:pPr>
            <w:r>
              <w:rPr>
                <w:rFonts w:hint="eastAsia" w:ascii="等线" w:hAnsi="等线" w:eastAsia="等线" w:cs="等线"/>
                <w:i w:val="0"/>
                <w:iCs w:val="0"/>
                <w:color w:val="000000"/>
                <w:kern w:val="0"/>
                <w:sz w:val="20"/>
                <w:szCs w:val="20"/>
                <w:highlight w:val="none"/>
                <w:u w:val="none"/>
                <w:lang w:val="en-US" w:eastAsia="zh-CN" w:bidi="ar"/>
              </w:rPr>
              <w:t>2、储物柜符合GB/T38160-2019、GB/T10610-2009标准，检验立柱与台面垂直度≤5mm，抗拉强度≥515MPa，晶粒度不低于5级。</w:t>
            </w:r>
          </w:p>
        </w:tc>
        <w:tc>
          <w:tcPr>
            <w:tcW w:w="990" w:type="dxa"/>
            <w:tcBorders>
              <w:tl2br w:val="nil"/>
              <w:tr2bl w:val="nil"/>
            </w:tcBorders>
            <w:shd w:val="clear" w:color="auto" w:fill="auto"/>
            <w:noWrap/>
            <w:vAlign w:val="center"/>
          </w:tcPr>
          <w:p w14:paraId="2AAD1E2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647AA6E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64BE278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90575" cy="581025"/>
                  <wp:effectExtent l="0" t="0" r="1905" b="13335"/>
                  <wp:docPr id="26"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3" descr="IMG_308"/>
                          <pic:cNvPicPr>
                            <a:picLocks noChangeAspect="1"/>
                          </pic:cNvPicPr>
                        </pic:nvPicPr>
                        <pic:blipFill>
                          <a:blip r:embed="rId59"/>
                          <a:stretch>
                            <a:fillRect/>
                          </a:stretch>
                        </pic:blipFill>
                        <pic:spPr>
                          <a:xfrm>
                            <a:off x="0" y="0"/>
                            <a:ext cx="790575" cy="581025"/>
                          </a:xfrm>
                          <a:prstGeom prst="rect">
                            <a:avLst/>
                          </a:prstGeom>
                          <a:noFill/>
                          <a:ln w="9525">
                            <a:noFill/>
                          </a:ln>
                        </pic:spPr>
                      </pic:pic>
                    </a:graphicData>
                  </a:graphic>
                </wp:inline>
              </w:drawing>
            </w:r>
          </w:p>
        </w:tc>
      </w:tr>
      <w:tr w14:paraId="40047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0" w:hRule="atLeast"/>
          <w:jc w:val="center"/>
        </w:trPr>
        <w:tc>
          <w:tcPr>
            <w:tcW w:w="762" w:type="dxa"/>
            <w:tcBorders>
              <w:tl2br w:val="nil"/>
              <w:tr2bl w:val="nil"/>
            </w:tcBorders>
            <w:shd w:val="clear" w:color="auto" w:fill="auto"/>
            <w:vAlign w:val="center"/>
          </w:tcPr>
          <w:p w14:paraId="2FFFADE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17</w:t>
            </w:r>
          </w:p>
        </w:tc>
        <w:tc>
          <w:tcPr>
            <w:tcW w:w="1684" w:type="dxa"/>
            <w:tcBorders>
              <w:tl2br w:val="nil"/>
              <w:tr2bl w:val="nil"/>
            </w:tcBorders>
            <w:shd w:val="clear" w:color="auto" w:fill="auto"/>
            <w:vAlign w:val="center"/>
          </w:tcPr>
          <w:p w14:paraId="02A7420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台式混水龙头</w:t>
            </w:r>
          </w:p>
        </w:tc>
        <w:tc>
          <w:tcPr>
            <w:tcW w:w="1729" w:type="dxa"/>
            <w:tcBorders>
              <w:tl2br w:val="nil"/>
              <w:tr2bl w:val="nil"/>
            </w:tcBorders>
            <w:shd w:val="clear" w:color="auto" w:fill="auto"/>
            <w:vAlign w:val="center"/>
          </w:tcPr>
          <w:p w14:paraId="4EBFEDC6">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58E823C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台式双孔双温，产品主体黄铜，不锈钢管，直径18，厚0.8mm，黄铜螺杆阀芯，合金手柄</w:t>
            </w:r>
          </w:p>
          <w:p w14:paraId="1ED969A7">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39D5EC2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6E7F8B2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5C0EB0A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371475"/>
                  <wp:effectExtent l="0" t="0" r="3810" b="9525"/>
                  <wp:docPr id="21"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4" descr="IMG_309"/>
                          <pic:cNvPicPr>
                            <a:picLocks noChangeAspect="1"/>
                          </pic:cNvPicPr>
                        </pic:nvPicPr>
                        <pic:blipFill>
                          <a:blip r:embed="rId36"/>
                          <a:stretch>
                            <a:fillRect/>
                          </a:stretch>
                        </pic:blipFill>
                        <pic:spPr>
                          <a:xfrm>
                            <a:off x="0" y="0"/>
                            <a:ext cx="514350" cy="371475"/>
                          </a:xfrm>
                          <a:prstGeom prst="rect">
                            <a:avLst/>
                          </a:prstGeom>
                          <a:noFill/>
                          <a:ln w="9525">
                            <a:noFill/>
                          </a:ln>
                        </pic:spPr>
                      </pic:pic>
                    </a:graphicData>
                  </a:graphic>
                </wp:inline>
              </w:drawing>
            </w:r>
          </w:p>
        </w:tc>
      </w:tr>
      <w:tr w14:paraId="609E9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20" w:hRule="atLeast"/>
          <w:jc w:val="center"/>
        </w:trPr>
        <w:tc>
          <w:tcPr>
            <w:tcW w:w="2446" w:type="dxa"/>
            <w:gridSpan w:val="2"/>
            <w:tcBorders>
              <w:tl2br w:val="nil"/>
              <w:tr2bl w:val="nil"/>
            </w:tcBorders>
            <w:shd w:val="clear" w:color="auto" w:fill="auto"/>
            <w:vAlign w:val="center"/>
          </w:tcPr>
          <w:p w14:paraId="2005C626">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六、洗消间</w:t>
            </w:r>
          </w:p>
        </w:tc>
        <w:tc>
          <w:tcPr>
            <w:tcW w:w="1729" w:type="dxa"/>
            <w:tcBorders>
              <w:tl2br w:val="nil"/>
              <w:tr2bl w:val="nil"/>
            </w:tcBorders>
            <w:shd w:val="clear" w:color="auto" w:fill="auto"/>
            <w:vAlign w:val="center"/>
          </w:tcPr>
          <w:p w14:paraId="6D8204BB">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7BB4B5D3">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4F598821">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2E7F2AB4">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77C70ECC">
            <w:pPr>
              <w:jc w:val="center"/>
              <w:rPr>
                <w:rFonts w:hint="eastAsia" w:ascii="等线" w:hAnsi="等线" w:eastAsia="等线" w:cs="等线"/>
                <w:i w:val="0"/>
                <w:iCs w:val="0"/>
                <w:color w:val="000000"/>
                <w:sz w:val="22"/>
                <w:szCs w:val="22"/>
                <w:highlight w:val="none"/>
                <w:u w:val="none"/>
              </w:rPr>
            </w:pPr>
          </w:p>
        </w:tc>
      </w:tr>
      <w:tr w14:paraId="656839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0" w:hRule="atLeast"/>
          <w:jc w:val="center"/>
        </w:trPr>
        <w:tc>
          <w:tcPr>
            <w:tcW w:w="762" w:type="dxa"/>
            <w:tcBorders>
              <w:tl2br w:val="nil"/>
              <w:tr2bl w:val="nil"/>
            </w:tcBorders>
            <w:shd w:val="clear" w:color="auto" w:fill="auto"/>
            <w:vAlign w:val="center"/>
          </w:tcPr>
          <w:p w14:paraId="0997AE8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05D437F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单星水池</w:t>
            </w:r>
          </w:p>
        </w:tc>
        <w:tc>
          <w:tcPr>
            <w:tcW w:w="1729" w:type="dxa"/>
            <w:tcBorders>
              <w:tl2br w:val="nil"/>
              <w:tr2bl w:val="nil"/>
            </w:tcBorders>
            <w:shd w:val="clear" w:color="auto" w:fill="auto"/>
            <w:vAlign w:val="center"/>
          </w:tcPr>
          <w:p w14:paraId="5C2754D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1000*700*950</w:t>
            </w:r>
          </w:p>
        </w:tc>
        <w:tc>
          <w:tcPr>
            <w:tcW w:w="7095" w:type="dxa"/>
            <w:tcBorders>
              <w:tl2br w:val="nil"/>
              <w:tr2bl w:val="nil"/>
            </w:tcBorders>
            <w:shd w:val="clear" w:color="auto" w:fill="auto"/>
            <w:vAlign w:val="center"/>
          </w:tcPr>
          <w:p w14:paraId="23A051C6">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013D7C1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035" w:type="dxa"/>
            <w:tcBorders>
              <w:tl2br w:val="nil"/>
              <w:tr2bl w:val="nil"/>
            </w:tcBorders>
            <w:shd w:val="clear" w:color="auto" w:fill="auto"/>
            <w:noWrap/>
            <w:vAlign w:val="center"/>
          </w:tcPr>
          <w:p w14:paraId="6FE9203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0B86A2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25"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55" descr="IMG_310"/>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1410B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60" w:hRule="atLeast"/>
          <w:jc w:val="center"/>
        </w:trPr>
        <w:tc>
          <w:tcPr>
            <w:tcW w:w="762" w:type="dxa"/>
            <w:tcBorders>
              <w:tl2br w:val="nil"/>
              <w:tr2bl w:val="nil"/>
            </w:tcBorders>
            <w:shd w:val="clear" w:color="auto" w:fill="auto"/>
            <w:vAlign w:val="center"/>
          </w:tcPr>
          <w:p w14:paraId="7906651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273B2F6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开水器连底座</w:t>
            </w:r>
          </w:p>
        </w:tc>
        <w:tc>
          <w:tcPr>
            <w:tcW w:w="1729" w:type="dxa"/>
            <w:tcBorders>
              <w:tl2br w:val="nil"/>
              <w:tr2bl w:val="nil"/>
            </w:tcBorders>
            <w:shd w:val="clear" w:color="auto" w:fill="auto"/>
            <w:vAlign w:val="center"/>
          </w:tcPr>
          <w:p w14:paraId="7F4503E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12KW</w:t>
            </w:r>
          </w:p>
        </w:tc>
        <w:tc>
          <w:tcPr>
            <w:tcW w:w="7095" w:type="dxa"/>
            <w:tcBorders>
              <w:tl2br w:val="nil"/>
              <w:tr2bl w:val="nil"/>
            </w:tcBorders>
            <w:shd w:val="clear" w:color="auto" w:fill="auto"/>
            <w:vAlign w:val="center"/>
          </w:tcPr>
          <w:p w14:paraId="0A120D9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采用304不锈钢板制，面板厚1.0mm，侧面0.8mm。配自动温控器，自动进水，特设缺水保护。必须安装地线，且接地良好。内胆采用食品安全级不锈钢制造；30MM高密度聚氨酯保温技术 ，表面接近常温，环保节能</w:t>
            </w:r>
          </w:p>
          <w:p w14:paraId="58C11980">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▲提供全国工业产品生产许可证，且许可明细包含所投产品明细单元。</w:t>
            </w:r>
          </w:p>
        </w:tc>
        <w:tc>
          <w:tcPr>
            <w:tcW w:w="990" w:type="dxa"/>
            <w:tcBorders>
              <w:tl2br w:val="nil"/>
              <w:tr2bl w:val="nil"/>
            </w:tcBorders>
            <w:shd w:val="clear" w:color="auto" w:fill="auto"/>
            <w:noWrap/>
            <w:vAlign w:val="center"/>
          </w:tcPr>
          <w:p w14:paraId="78E7117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2D7B11F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3F75E8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295275" cy="742950"/>
                  <wp:effectExtent l="0" t="0" r="9525" b="3810"/>
                  <wp:docPr id="28"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6" descr="IMG_311"/>
                          <pic:cNvPicPr>
                            <a:picLocks noChangeAspect="1"/>
                          </pic:cNvPicPr>
                        </pic:nvPicPr>
                        <pic:blipFill>
                          <a:blip r:embed="rId35"/>
                          <a:stretch>
                            <a:fillRect/>
                          </a:stretch>
                        </pic:blipFill>
                        <pic:spPr>
                          <a:xfrm>
                            <a:off x="0" y="0"/>
                            <a:ext cx="295275" cy="742950"/>
                          </a:xfrm>
                          <a:prstGeom prst="rect">
                            <a:avLst/>
                          </a:prstGeom>
                          <a:noFill/>
                          <a:ln w="9525">
                            <a:noFill/>
                          </a:ln>
                        </pic:spPr>
                      </pic:pic>
                    </a:graphicData>
                  </a:graphic>
                </wp:inline>
              </w:drawing>
            </w:r>
          </w:p>
        </w:tc>
      </w:tr>
      <w:tr w14:paraId="425927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0" w:hRule="atLeast"/>
          <w:jc w:val="center"/>
        </w:trPr>
        <w:tc>
          <w:tcPr>
            <w:tcW w:w="762" w:type="dxa"/>
            <w:tcBorders>
              <w:tl2br w:val="nil"/>
              <w:tr2bl w:val="nil"/>
            </w:tcBorders>
            <w:shd w:val="clear" w:color="auto" w:fill="auto"/>
            <w:vAlign w:val="center"/>
          </w:tcPr>
          <w:p w14:paraId="6AE79FC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0AC8F7E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台式混水龙头</w:t>
            </w:r>
          </w:p>
        </w:tc>
        <w:tc>
          <w:tcPr>
            <w:tcW w:w="1729" w:type="dxa"/>
            <w:tcBorders>
              <w:tl2br w:val="nil"/>
              <w:tr2bl w:val="nil"/>
            </w:tcBorders>
            <w:shd w:val="clear" w:color="auto" w:fill="auto"/>
            <w:vAlign w:val="center"/>
          </w:tcPr>
          <w:p w14:paraId="51720DC6">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27E7F0B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台式双孔双温，产品主体黄铜，不锈钢管，直径18，厚0.8mm，黄铜螺杆阀芯，合金手柄</w:t>
            </w:r>
          </w:p>
          <w:p w14:paraId="5B8B67CA">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▲提供中国节能产品认证证书。</w:t>
            </w:r>
          </w:p>
        </w:tc>
        <w:tc>
          <w:tcPr>
            <w:tcW w:w="990" w:type="dxa"/>
            <w:tcBorders>
              <w:tl2br w:val="nil"/>
              <w:tr2bl w:val="nil"/>
            </w:tcBorders>
            <w:shd w:val="clear" w:color="auto" w:fill="auto"/>
            <w:noWrap/>
            <w:vAlign w:val="center"/>
          </w:tcPr>
          <w:p w14:paraId="17DF162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4D09C49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7655790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14350" cy="371475"/>
                  <wp:effectExtent l="0" t="0" r="3810" b="9525"/>
                  <wp:docPr id="31"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57" descr="IMG_312"/>
                          <pic:cNvPicPr>
                            <a:picLocks noChangeAspect="1"/>
                          </pic:cNvPicPr>
                        </pic:nvPicPr>
                        <pic:blipFill>
                          <a:blip r:embed="rId36"/>
                          <a:stretch>
                            <a:fillRect/>
                          </a:stretch>
                        </pic:blipFill>
                        <pic:spPr>
                          <a:xfrm>
                            <a:off x="0" y="0"/>
                            <a:ext cx="514350" cy="371475"/>
                          </a:xfrm>
                          <a:prstGeom prst="rect">
                            <a:avLst/>
                          </a:prstGeom>
                          <a:noFill/>
                          <a:ln w="9525">
                            <a:noFill/>
                          </a:ln>
                        </pic:spPr>
                      </pic:pic>
                    </a:graphicData>
                  </a:graphic>
                </wp:inline>
              </w:drawing>
            </w:r>
          </w:p>
        </w:tc>
      </w:tr>
      <w:tr w14:paraId="223AA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66" w:hRule="atLeast"/>
          <w:jc w:val="center"/>
        </w:trPr>
        <w:tc>
          <w:tcPr>
            <w:tcW w:w="762" w:type="dxa"/>
            <w:tcBorders>
              <w:tl2br w:val="nil"/>
              <w:tr2bl w:val="nil"/>
            </w:tcBorders>
            <w:shd w:val="clear" w:color="auto" w:fill="auto"/>
            <w:vAlign w:val="center"/>
          </w:tcPr>
          <w:p w14:paraId="46E7D9B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5502AC0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大单星水池</w:t>
            </w:r>
          </w:p>
        </w:tc>
        <w:tc>
          <w:tcPr>
            <w:tcW w:w="1729" w:type="dxa"/>
            <w:tcBorders>
              <w:tl2br w:val="nil"/>
              <w:tr2bl w:val="nil"/>
            </w:tcBorders>
            <w:shd w:val="clear" w:color="auto" w:fill="auto"/>
            <w:vAlign w:val="center"/>
          </w:tcPr>
          <w:p w14:paraId="3663399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800*1200*950</w:t>
            </w:r>
          </w:p>
        </w:tc>
        <w:tc>
          <w:tcPr>
            <w:tcW w:w="7095" w:type="dxa"/>
            <w:tcBorders>
              <w:tl2br w:val="nil"/>
              <w:tr2bl w:val="nil"/>
            </w:tcBorders>
            <w:shd w:val="clear" w:color="auto" w:fill="auto"/>
            <w:vAlign w:val="center"/>
          </w:tcPr>
          <w:p w14:paraId="5D0596D8">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1.2/304板，不锈钢下水器，φ38*1.0/304腿，直径25*1.0/304承。不配水龙头。</w:t>
            </w:r>
          </w:p>
        </w:tc>
        <w:tc>
          <w:tcPr>
            <w:tcW w:w="990" w:type="dxa"/>
            <w:tcBorders>
              <w:tl2br w:val="nil"/>
              <w:tr2bl w:val="nil"/>
            </w:tcBorders>
            <w:shd w:val="clear" w:color="auto" w:fill="auto"/>
            <w:noWrap/>
            <w:vAlign w:val="center"/>
          </w:tcPr>
          <w:p w14:paraId="4FB3C4B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0746B4F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608E19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95300" cy="533400"/>
                  <wp:effectExtent l="0" t="0" r="7620" b="0"/>
                  <wp:docPr id="32"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58" descr="IMG_313"/>
                          <pic:cNvPicPr>
                            <a:picLocks noChangeAspect="1"/>
                          </pic:cNvPicPr>
                        </pic:nvPicPr>
                        <pic:blipFill>
                          <a:blip r:embed="rId27"/>
                          <a:stretch>
                            <a:fillRect/>
                          </a:stretch>
                        </pic:blipFill>
                        <pic:spPr>
                          <a:xfrm>
                            <a:off x="0" y="0"/>
                            <a:ext cx="495300" cy="533400"/>
                          </a:xfrm>
                          <a:prstGeom prst="rect">
                            <a:avLst/>
                          </a:prstGeom>
                          <a:noFill/>
                          <a:ln w="9525">
                            <a:noFill/>
                          </a:ln>
                        </pic:spPr>
                      </pic:pic>
                    </a:graphicData>
                  </a:graphic>
                </wp:inline>
              </w:drawing>
            </w:r>
          </w:p>
        </w:tc>
      </w:tr>
      <w:tr w14:paraId="666955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00" w:hRule="atLeast"/>
          <w:jc w:val="center"/>
        </w:trPr>
        <w:tc>
          <w:tcPr>
            <w:tcW w:w="762" w:type="dxa"/>
            <w:tcBorders>
              <w:tl2br w:val="nil"/>
              <w:tr2bl w:val="nil"/>
            </w:tcBorders>
            <w:shd w:val="clear" w:color="auto" w:fill="auto"/>
            <w:vAlign w:val="center"/>
          </w:tcPr>
          <w:p w14:paraId="69C47B3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684" w:type="dxa"/>
            <w:tcBorders>
              <w:tl2br w:val="nil"/>
              <w:tr2bl w:val="nil"/>
            </w:tcBorders>
            <w:shd w:val="clear" w:color="auto" w:fill="auto"/>
            <w:vAlign w:val="center"/>
          </w:tcPr>
          <w:p w14:paraId="4304172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风幕机</w:t>
            </w:r>
          </w:p>
        </w:tc>
        <w:tc>
          <w:tcPr>
            <w:tcW w:w="1729" w:type="dxa"/>
            <w:tcBorders>
              <w:tl2br w:val="nil"/>
              <w:tr2bl w:val="nil"/>
            </w:tcBorders>
            <w:shd w:val="clear" w:color="auto" w:fill="auto"/>
            <w:vAlign w:val="center"/>
          </w:tcPr>
          <w:p w14:paraId="0143279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L=1200</w:t>
            </w:r>
          </w:p>
        </w:tc>
        <w:tc>
          <w:tcPr>
            <w:tcW w:w="7095" w:type="dxa"/>
            <w:tcBorders>
              <w:tl2br w:val="nil"/>
              <w:tr2bl w:val="nil"/>
            </w:tcBorders>
            <w:shd w:val="clear" w:color="auto" w:fill="auto"/>
            <w:vAlign w:val="center"/>
          </w:tcPr>
          <w:p w14:paraId="7DC1260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电压/频率：220V/50Hz,风量：2370m³/h</w:t>
            </w:r>
          </w:p>
          <w:p w14:paraId="3B865A4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说明：全金属外壳，表面粉末喷涂，永不生锈，整机轻，超薄设计，高效能，低噪音，操作方便，双端齿轮索道式摆风叶片，风向可随意调节,采用滚珠轴承电机，铜芯电机设计，风力更强劲，5段x32片，递进交错式加厚风轮，双端4组，深沟球滚珠轴承，动平衡物理准确矫正技术，可拆卸式安装背板1mm加厚，安装更方便</w:t>
            </w:r>
          </w:p>
          <w:p w14:paraId="6E641583">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▲提供中国国家强制性产品认证证书。</w:t>
            </w:r>
          </w:p>
        </w:tc>
        <w:tc>
          <w:tcPr>
            <w:tcW w:w="990" w:type="dxa"/>
            <w:tcBorders>
              <w:tl2br w:val="nil"/>
              <w:tr2bl w:val="nil"/>
            </w:tcBorders>
            <w:shd w:val="clear" w:color="auto" w:fill="auto"/>
            <w:noWrap/>
            <w:vAlign w:val="center"/>
          </w:tcPr>
          <w:p w14:paraId="5D252F5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7431E2E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46A1F4C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790575" cy="323850"/>
                  <wp:effectExtent l="0" t="0" r="1905" b="11430"/>
                  <wp:docPr id="34"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9" descr="IMG_314"/>
                          <pic:cNvPicPr>
                            <a:picLocks noChangeAspect="1"/>
                          </pic:cNvPicPr>
                        </pic:nvPicPr>
                        <pic:blipFill>
                          <a:blip r:embed="rId37"/>
                          <a:stretch>
                            <a:fillRect/>
                          </a:stretch>
                        </pic:blipFill>
                        <pic:spPr>
                          <a:xfrm>
                            <a:off x="0" y="0"/>
                            <a:ext cx="790575" cy="323850"/>
                          </a:xfrm>
                          <a:prstGeom prst="rect">
                            <a:avLst/>
                          </a:prstGeom>
                          <a:noFill/>
                          <a:ln w="9525">
                            <a:noFill/>
                          </a:ln>
                        </pic:spPr>
                      </pic:pic>
                    </a:graphicData>
                  </a:graphic>
                </wp:inline>
              </w:drawing>
            </w:r>
          </w:p>
        </w:tc>
      </w:tr>
      <w:tr w14:paraId="5FEBB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710" w:hRule="atLeast"/>
          <w:jc w:val="center"/>
        </w:trPr>
        <w:tc>
          <w:tcPr>
            <w:tcW w:w="762" w:type="dxa"/>
            <w:tcBorders>
              <w:tl2br w:val="nil"/>
              <w:tr2bl w:val="nil"/>
            </w:tcBorders>
            <w:shd w:val="clear" w:color="auto" w:fill="auto"/>
            <w:vAlign w:val="center"/>
          </w:tcPr>
          <w:p w14:paraId="620E156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684" w:type="dxa"/>
            <w:tcBorders>
              <w:tl2br w:val="nil"/>
              <w:tr2bl w:val="nil"/>
            </w:tcBorders>
            <w:shd w:val="clear" w:color="auto" w:fill="auto"/>
            <w:vAlign w:val="center"/>
          </w:tcPr>
          <w:p w14:paraId="411B9230">
            <w:pPr>
              <w:keepNext w:val="0"/>
              <w:keepLines w:val="0"/>
              <w:widowControl/>
              <w:suppressLineNumbers w:val="0"/>
              <w:jc w:val="center"/>
              <w:textAlignment w:val="center"/>
              <w:rPr>
                <w:rFonts w:hint="eastAsia" w:ascii="等线" w:hAnsi="等线" w:eastAsia="等线" w:cs="等线"/>
                <w:i w:val="0"/>
                <w:iCs w:val="0"/>
                <w:color w:val="000000"/>
                <w:sz w:val="24"/>
                <w:szCs w:val="24"/>
                <w:highlight w:val="none"/>
                <w:u w:val="none"/>
              </w:rPr>
            </w:pPr>
            <w:r>
              <w:rPr>
                <w:rFonts w:hint="eastAsia" w:ascii="等线" w:hAnsi="等线" w:eastAsia="等线" w:cs="等线"/>
                <w:i w:val="0"/>
                <w:iCs w:val="0"/>
                <w:color w:val="000000"/>
                <w:kern w:val="0"/>
                <w:sz w:val="24"/>
                <w:szCs w:val="24"/>
                <w:highlight w:val="none"/>
                <w:u w:val="none"/>
                <w:lang w:val="en-US" w:eastAsia="zh-CN" w:bidi="ar"/>
              </w:rPr>
              <w:t>洗碗机</w:t>
            </w:r>
          </w:p>
        </w:tc>
        <w:tc>
          <w:tcPr>
            <w:tcW w:w="1729" w:type="dxa"/>
            <w:tcBorders>
              <w:tl2br w:val="nil"/>
              <w:tr2bl w:val="nil"/>
            </w:tcBorders>
            <w:shd w:val="clear" w:color="auto" w:fill="auto"/>
            <w:vAlign w:val="center"/>
          </w:tcPr>
          <w:p w14:paraId="2E3F7F4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3700*880*2150</w:t>
            </w:r>
          </w:p>
        </w:tc>
        <w:tc>
          <w:tcPr>
            <w:tcW w:w="7095" w:type="dxa"/>
            <w:tcBorders>
              <w:tl2br w:val="nil"/>
              <w:tr2bl w:val="nil"/>
            </w:tcBorders>
            <w:shd w:val="clear" w:color="auto" w:fill="auto"/>
            <w:vAlign w:val="center"/>
          </w:tcPr>
          <w:p w14:paraId="7D445FC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机器入口宽度   ：605 mm</w:t>
            </w:r>
          </w:p>
          <w:p w14:paraId="088FADA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最大洗涤高度   ：420 mm </w:t>
            </w:r>
          </w:p>
          <w:p w14:paraId="56B39B6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最大洗涤量     ：3000-5000碟/小时 </w:t>
            </w:r>
          </w:p>
          <w:p w14:paraId="26D3A8F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耗水量         ：350-400L </w:t>
            </w:r>
          </w:p>
          <w:p w14:paraId="6D2FB07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蒸汽耗量       ：50Kg/h </w:t>
            </w:r>
          </w:p>
          <w:p w14:paraId="39241F2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洗涤温度       ：55-60℃</w:t>
            </w:r>
          </w:p>
          <w:p w14:paraId="5FD66E5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漂洗温度       ：80-85℃</w:t>
            </w:r>
          </w:p>
          <w:p w14:paraId="1C2F36F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电源要求       ：380V/50Hz/3N </w:t>
            </w:r>
          </w:p>
          <w:p w14:paraId="7BF3534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加热方式       ：电加热型/蒸汽加热型 </w:t>
            </w:r>
          </w:p>
          <w:p w14:paraId="01CBAB9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电加热型功率   ：61/67kw </w:t>
            </w:r>
          </w:p>
          <w:p w14:paraId="3BB622A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蒸汽加热型功率 : 16 Kw</w:t>
            </w:r>
          </w:p>
          <w:p w14:paraId="666BC29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机械控制面板，数码温度显示。</w:t>
            </w:r>
          </w:p>
          <w:p w14:paraId="0A26FF6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超低的耗水量,大大的节省电力、催干剂、洗涤剂。</w:t>
            </w:r>
          </w:p>
          <w:p w14:paraId="4EE4A7C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自清洗功能，最大程度的保证卫生与清洁。</w:t>
            </w:r>
          </w:p>
          <w:p w14:paraId="3B262F9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出口端装有限位装置，无人收取时自动停机。</w:t>
            </w:r>
          </w:p>
          <w:p w14:paraId="51AF2168">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洗涤量大，适用于各种餐具，多种网带，也可将餐具摆放在篮筐上直接清洗。</w:t>
            </w:r>
          </w:p>
          <w:p w14:paraId="3D7B49C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烘干系统由强力离心风机和干烧电热管组成。洗涤后餐具经过烘干箱强力热风吹干 对餐具消毒杀菌烘干等处理</w:t>
            </w:r>
          </w:p>
          <w:p w14:paraId="2CE4A43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输送链排装置采用耐热、耐腐蚀、卫生无毒、强度高造型美观的工程塑料网爪，餐盘可直接插在网爪上输送，适用范围广。</w:t>
            </w:r>
          </w:p>
          <w:p w14:paraId="07AC374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入口端配置抽屉式接渣过滤装置，并且抽屉滤网在机器运行过程中也能够及时取出进行清洁                            </w:t>
            </w:r>
          </w:p>
          <w:p w14:paraId="23560E2D">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洗碗机履带依据GB/T 1040.2-2006与GB/T 1040.1-2018检测，检测结果：拉断力≧5000N，检验合格。</w:t>
            </w:r>
          </w:p>
        </w:tc>
        <w:tc>
          <w:tcPr>
            <w:tcW w:w="990" w:type="dxa"/>
            <w:tcBorders>
              <w:tl2br w:val="nil"/>
              <w:tr2bl w:val="nil"/>
            </w:tcBorders>
            <w:shd w:val="clear" w:color="auto" w:fill="auto"/>
            <w:noWrap/>
            <w:vAlign w:val="center"/>
          </w:tcPr>
          <w:p w14:paraId="267939D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58BDEA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0D4F1C9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1028700" cy="676275"/>
                  <wp:effectExtent l="0" t="0" r="7620" b="9525"/>
                  <wp:docPr id="35"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0" descr="IMG_315"/>
                          <pic:cNvPicPr>
                            <a:picLocks noChangeAspect="1"/>
                          </pic:cNvPicPr>
                        </pic:nvPicPr>
                        <pic:blipFill>
                          <a:blip r:embed="rId60"/>
                          <a:stretch>
                            <a:fillRect/>
                          </a:stretch>
                        </pic:blipFill>
                        <pic:spPr>
                          <a:xfrm>
                            <a:off x="0" y="0"/>
                            <a:ext cx="1028700" cy="676275"/>
                          </a:xfrm>
                          <a:prstGeom prst="rect">
                            <a:avLst/>
                          </a:prstGeom>
                          <a:noFill/>
                          <a:ln w="9525">
                            <a:noFill/>
                          </a:ln>
                        </pic:spPr>
                      </pic:pic>
                    </a:graphicData>
                  </a:graphic>
                </wp:inline>
              </w:drawing>
            </w:r>
          </w:p>
        </w:tc>
      </w:tr>
      <w:tr w14:paraId="187CF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10" w:hRule="atLeast"/>
          <w:jc w:val="center"/>
        </w:trPr>
        <w:tc>
          <w:tcPr>
            <w:tcW w:w="2446" w:type="dxa"/>
            <w:gridSpan w:val="2"/>
            <w:tcBorders>
              <w:tl2br w:val="nil"/>
              <w:tr2bl w:val="nil"/>
            </w:tcBorders>
            <w:shd w:val="clear" w:color="auto" w:fill="auto"/>
            <w:vAlign w:val="center"/>
          </w:tcPr>
          <w:p w14:paraId="5D9B8A2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消毒库</w:t>
            </w:r>
          </w:p>
        </w:tc>
        <w:tc>
          <w:tcPr>
            <w:tcW w:w="1729" w:type="dxa"/>
            <w:tcBorders>
              <w:tl2br w:val="nil"/>
              <w:tr2bl w:val="nil"/>
            </w:tcBorders>
            <w:shd w:val="clear" w:color="auto" w:fill="auto"/>
            <w:vAlign w:val="center"/>
          </w:tcPr>
          <w:p w14:paraId="3B2FEB8A">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1801029F">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597C1EDF">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62A98E3E">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508834DF">
            <w:pPr>
              <w:jc w:val="center"/>
              <w:rPr>
                <w:rFonts w:hint="eastAsia" w:ascii="等线" w:hAnsi="等线" w:eastAsia="等线" w:cs="等线"/>
                <w:i w:val="0"/>
                <w:iCs w:val="0"/>
                <w:color w:val="000000"/>
                <w:sz w:val="22"/>
                <w:szCs w:val="22"/>
                <w:highlight w:val="none"/>
                <w:u w:val="none"/>
              </w:rPr>
            </w:pPr>
          </w:p>
        </w:tc>
      </w:tr>
      <w:tr w14:paraId="4BD40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40" w:hRule="atLeast"/>
          <w:jc w:val="center"/>
        </w:trPr>
        <w:tc>
          <w:tcPr>
            <w:tcW w:w="762" w:type="dxa"/>
            <w:tcBorders>
              <w:tl2br w:val="nil"/>
              <w:tr2bl w:val="nil"/>
            </w:tcBorders>
            <w:shd w:val="clear" w:color="auto" w:fill="auto"/>
            <w:vAlign w:val="center"/>
          </w:tcPr>
          <w:p w14:paraId="72C43C0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4314F992">
            <w:pPr>
              <w:keepNext w:val="0"/>
              <w:keepLines w:val="0"/>
              <w:widowControl/>
              <w:suppressLineNumbers w:val="0"/>
              <w:jc w:val="center"/>
              <w:textAlignment w:val="center"/>
              <w:rPr>
                <w:rFonts w:hint="eastAsia" w:ascii="等线" w:hAnsi="等线" w:eastAsia="等线" w:cs="等线"/>
                <w:i w:val="0"/>
                <w:iCs w:val="0"/>
                <w:color w:val="000000"/>
                <w:sz w:val="24"/>
                <w:szCs w:val="24"/>
                <w:highlight w:val="none"/>
                <w:u w:val="none"/>
              </w:rPr>
            </w:pPr>
            <w:r>
              <w:rPr>
                <w:rFonts w:hint="eastAsia" w:ascii="等线" w:hAnsi="等线" w:eastAsia="等线" w:cs="等线"/>
                <w:i w:val="0"/>
                <w:iCs w:val="0"/>
                <w:color w:val="000000"/>
                <w:kern w:val="0"/>
                <w:sz w:val="24"/>
                <w:szCs w:val="24"/>
                <w:highlight w:val="none"/>
                <w:u w:val="none"/>
                <w:lang w:val="en-US" w:eastAsia="zh-CN" w:bidi="ar"/>
              </w:rPr>
              <w:t>消毒库</w:t>
            </w:r>
          </w:p>
        </w:tc>
        <w:tc>
          <w:tcPr>
            <w:tcW w:w="1729" w:type="dxa"/>
            <w:tcBorders>
              <w:tl2br w:val="nil"/>
              <w:tr2bl w:val="nil"/>
            </w:tcBorders>
            <w:shd w:val="clear" w:color="auto" w:fill="auto"/>
            <w:vAlign w:val="center"/>
          </w:tcPr>
          <w:p w14:paraId="0BD118E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2100*4000*2600</w:t>
            </w:r>
          </w:p>
        </w:tc>
        <w:tc>
          <w:tcPr>
            <w:tcW w:w="7095" w:type="dxa"/>
            <w:tcBorders>
              <w:tl2br w:val="nil"/>
              <w:tr2bl w:val="nil"/>
            </w:tcBorders>
            <w:shd w:val="clear" w:color="auto" w:fill="auto"/>
            <w:vAlign w:val="center"/>
          </w:tcPr>
          <w:p w14:paraId="37353BEA">
            <w:pPr>
              <w:keepNext w:val="0"/>
              <w:keepLines w:val="0"/>
              <w:widowControl/>
              <w:numPr>
                <w:ilvl w:val="0"/>
                <w:numId w:val="5"/>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电压：380V  功率:30kw                                                                                                  2、设备功能：高温热风消毒(物理消毒) ；餐具及用具高温烘干；</w:t>
            </w:r>
          </w:p>
          <w:p w14:paraId="15827386">
            <w:pPr>
              <w:keepNext w:val="0"/>
              <w:keepLines w:val="0"/>
              <w:widowControl/>
              <w:numPr>
                <w:ilvl w:val="0"/>
                <w:numId w:val="5"/>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餐具及用具存放期间灭菌保管；智能化控制                                                                                3、温度： Rt15-100℃(空库工况)。</w:t>
            </w:r>
          </w:p>
          <w:p w14:paraId="496B765E">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4、原理：高温热风杀毒+紫外线+臭氧综合消毒法。</w:t>
            </w:r>
          </w:p>
          <w:p w14:paraId="0E09AED0">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5、库内温度检测点数量： 共3 路，2路带控制，1路带极限保护。温度：Rt15-100℃（空库工况）。</w:t>
            </w:r>
          </w:p>
          <w:p w14:paraId="6CA71731">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6、升温时间：Rt℃15～90℃约需 30 分钟。(空库工况)</w:t>
            </w:r>
          </w:p>
          <w:p w14:paraId="4A1BB7F8">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7、消毒效果：符合GB14934-2016 《食品安全国家标准 消毒餐(饮)具》相关要求。                            </w:t>
            </w:r>
          </w:p>
          <w:p w14:paraId="60F13C80">
            <w:pPr>
              <w:keepNext w:val="0"/>
              <w:keepLines w:val="0"/>
              <w:widowControl/>
              <w:numPr>
                <w:ilvl w:val="0"/>
                <w:numId w:val="6"/>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库体部分：双面 0.5mm厚304 不锈钢100 保温手工板搭建而成，耐高温型，六面密封，保温棉容重不低于 120k，高温胶复合，重型压床压制而成。防火等级 A 级。                                </w:t>
            </w:r>
          </w:p>
          <w:p w14:paraId="6D57785C">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9、智能化控制系统：采用7寸触摸屏控制器一台， plc 程序控制一套。                                      工作一共为三个阶段： 烘干阶段、消毒阶段、保管阶段。                                                                                                       10、烘干系统：对用具进行高温烘干；补进新风过滤净化。破坏细菌滋生繁殖的条件。            </w:t>
            </w:r>
          </w:p>
          <w:p w14:paraId="5CE6F6D5">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11、消毒方式同时具备高温热风杀毒、紫外线、臭氧综合消毒三种方式。</w:t>
            </w:r>
          </w:p>
          <w:p w14:paraId="3CAF5F36">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12、智能化控制系统带数据存储和读取，可打印，作为HACCP管理的资料。</w:t>
            </w:r>
          </w:p>
          <w:p w14:paraId="4E71EB5C">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13、智能化控制系统设备具备启动预约和餐具预热预约。</w:t>
            </w:r>
          </w:p>
          <w:p w14:paraId="3B85DBC4">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14、智能化控制系统分为早餐/午餐和晚餐两种控制模式，中餐/午餐模式具有消毒后的降温功能。</w:t>
            </w:r>
          </w:p>
          <w:p w14:paraId="18EB57A7">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15、智能化控制系统具备烘干和消毒自动运行模式。</w:t>
            </w:r>
          </w:p>
          <w:p w14:paraId="39053A45">
            <w:pPr>
              <w:keepNext w:val="0"/>
              <w:keepLines w:val="0"/>
              <w:widowControl/>
              <w:numPr>
                <w:ilvl w:val="0"/>
                <w:numId w:val="0"/>
              </w:numPr>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16、智能化控制系统具备设备故障报警及记录功能。</w:t>
            </w:r>
          </w:p>
          <w:p w14:paraId="09425C86">
            <w:pPr>
              <w:pStyle w:val="2"/>
              <w:ind w:left="0" w:leftChars="0" w:firstLine="0" w:firstLineChars="0"/>
              <w:rPr>
                <w:rFonts w:hint="eastAsia"/>
              </w:rPr>
            </w:pPr>
            <w:r>
              <w:rPr>
                <w:rFonts w:hint="eastAsia" w:ascii="等线" w:hAnsi="等线" w:eastAsia="等线" w:cs="等线"/>
                <w:i w:val="0"/>
                <w:iCs w:val="0"/>
                <w:color w:val="000000"/>
                <w:kern w:val="0"/>
                <w:sz w:val="20"/>
                <w:szCs w:val="20"/>
                <w:highlight w:val="none"/>
                <w:u w:val="none"/>
                <w:lang w:val="en-US" w:eastAsia="zh-CN" w:bidi="ar"/>
              </w:rPr>
              <w:t>17、▲提供消毒产品生产企业卫生许可证。</w:t>
            </w:r>
          </w:p>
        </w:tc>
        <w:tc>
          <w:tcPr>
            <w:tcW w:w="990" w:type="dxa"/>
            <w:tcBorders>
              <w:tl2br w:val="nil"/>
              <w:tr2bl w:val="nil"/>
            </w:tcBorders>
            <w:shd w:val="clear" w:color="auto" w:fill="auto"/>
            <w:noWrap/>
            <w:vAlign w:val="center"/>
          </w:tcPr>
          <w:p w14:paraId="7C492B3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21.84</w:t>
            </w:r>
          </w:p>
        </w:tc>
        <w:tc>
          <w:tcPr>
            <w:tcW w:w="1035" w:type="dxa"/>
            <w:tcBorders>
              <w:tl2br w:val="nil"/>
              <w:tr2bl w:val="nil"/>
            </w:tcBorders>
            <w:shd w:val="clear" w:color="auto" w:fill="auto"/>
            <w:noWrap/>
            <w:vAlign w:val="center"/>
          </w:tcPr>
          <w:p w14:paraId="3626DE9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m³</w:t>
            </w:r>
          </w:p>
        </w:tc>
        <w:tc>
          <w:tcPr>
            <w:tcW w:w="1820" w:type="dxa"/>
            <w:tcBorders>
              <w:tl2br w:val="nil"/>
              <w:tr2bl w:val="nil"/>
            </w:tcBorders>
            <w:shd w:val="clear" w:color="auto" w:fill="auto"/>
            <w:noWrap/>
            <w:vAlign w:val="center"/>
          </w:tcPr>
          <w:p w14:paraId="722B28B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1028700" cy="895350"/>
                  <wp:effectExtent l="0" t="0" r="7620" b="3810"/>
                  <wp:docPr id="36"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1" descr="IMG_316"/>
                          <pic:cNvPicPr>
                            <a:picLocks noChangeAspect="1"/>
                          </pic:cNvPicPr>
                        </pic:nvPicPr>
                        <pic:blipFill>
                          <a:blip r:embed="rId61"/>
                          <a:stretch>
                            <a:fillRect/>
                          </a:stretch>
                        </pic:blipFill>
                        <pic:spPr>
                          <a:xfrm>
                            <a:off x="0" y="0"/>
                            <a:ext cx="1028700" cy="895350"/>
                          </a:xfrm>
                          <a:prstGeom prst="rect">
                            <a:avLst/>
                          </a:prstGeom>
                          <a:noFill/>
                          <a:ln w="9525">
                            <a:noFill/>
                          </a:ln>
                        </pic:spPr>
                      </pic:pic>
                    </a:graphicData>
                  </a:graphic>
                </wp:inline>
              </w:drawing>
            </w:r>
          </w:p>
        </w:tc>
      </w:tr>
      <w:tr w14:paraId="05087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60" w:hRule="atLeast"/>
          <w:jc w:val="center"/>
        </w:trPr>
        <w:tc>
          <w:tcPr>
            <w:tcW w:w="762" w:type="dxa"/>
            <w:tcBorders>
              <w:tl2br w:val="nil"/>
              <w:tr2bl w:val="nil"/>
            </w:tcBorders>
            <w:shd w:val="clear" w:color="auto" w:fill="auto"/>
            <w:vAlign w:val="center"/>
          </w:tcPr>
          <w:p w14:paraId="472A5A7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378275C4">
            <w:pPr>
              <w:keepNext w:val="0"/>
              <w:keepLines w:val="0"/>
              <w:widowControl/>
              <w:suppressLineNumbers w:val="0"/>
              <w:jc w:val="center"/>
              <w:textAlignment w:val="center"/>
              <w:rPr>
                <w:rFonts w:hint="eastAsia" w:ascii="等线" w:hAnsi="等线" w:eastAsia="等线" w:cs="等线"/>
                <w:i w:val="0"/>
                <w:iCs w:val="0"/>
                <w:color w:val="000000"/>
                <w:sz w:val="24"/>
                <w:szCs w:val="24"/>
                <w:highlight w:val="none"/>
                <w:u w:val="none"/>
              </w:rPr>
            </w:pPr>
            <w:r>
              <w:rPr>
                <w:rFonts w:hint="eastAsia" w:ascii="等线" w:hAnsi="等线" w:eastAsia="等线" w:cs="等线"/>
                <w:i w:val="0"/>
                <w:iCs w:val="0"/>
                <w:color w:val="000000"/>
                <w:kern w:val="0"/>
                <w:sz w:val="24"/>
                <w:szCs w:val="24"/>
                <w:highlight w:val="none"/>
                <w:u w:val="none"/>
                <w:lang w:val="en-US" w:eastAsia="zh-CN" w:bidi="ar"/>
              </w:rPr>
              <w:t>四层格栅货架</w:t>
            </w:r>
          </w:p>
        </w:tc>
        <w:tc>
          <w:tcPr>
            <w:tcW w:w="1729" w:type="dxa"/>
            <w:tcBorders>
              <w:tl2br w:val="nil"/>
              <w:tr2bl w:val="nil"/>
            </w:tcBorders>
            <w:shd w:val="clear" w:color="auto" w:fill="auto"/>
            <w:vAlign w:val="center"/>
          </w:tcPr>
          <w:p w14:paraId="7BAD3BA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1200*500*1500</w:t>
            </w:r>
          </w:p>
        </w:tc>
        <w:tc>
          <w:tcPr>
            <w:tcW w:w="7095" w:type="dxa"/>
            <w:tcBorders>
              <w:tl2br w:val="nil"/>
              <w:tr2bl w:val="nil"/>
            </w:tcBorders>
            <w:shd w:val="clear" w:color="auto" w:fill="auto"/>
            <w:vAlign w:val="center"/>
          </w:tcPr>
          <w:p w14:paraId="096B007B">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采用304不锈钢板制作，1.0/304板，四层花格，花格用板折，直径38*1.0/304腿，配不锈钢可调子弹脚。</w:t>
            </w:r>
          </w:p>
        </w:tc>
        <w:tc>
          <w:tcPr>
            <w:tcW w:w="990" w:type="dxa"/>
            <w:tcBorders>
              <w:tl2br w:val="nil"/>
              <w:tr2bl w:val="nil"/>
            </w:tcBorders>
            <w:shd w:val="clear" w:color="auto" w:fill="auto"/>
            <w:noWrap/>
            <w:vAlign w:val="center"/>
          </w:tcPr>
          <w:p w14:paraId="5431141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035" w:type="dxa"/>
            <w:tcBorders>
              <w:tl2br w:val="nil"/>
              <w:tr2bl w:val="nil"/>
            </w:tcBorders>
            <w:shd w:val="clear" w:color="auto" w:fill="auto"/>
            <w:noWrap/>
            <w:vAlign w:val="center"/>
          </w:tcPr>
          <w:p w14:paraId="71A01DE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4533D6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19100" cy="504825"/>
                  <wp:effectExtent l="0" t="0" r="7620" b="13335"/>
                  <wp:docPr id="37"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62" descr="IMG_317"/>
                          <pic:cNvPicPr>
                            <a:picLocks noChangeAspect="1"/>
                          </pic:cNvPicPr>
                        </pic:nvPicPr>
                        <pic:blipFill>
                          <a:blip r:embed="rId34"/>
                          <a:stretch>
                            <a:fillRect/>
                          </a:stretch>
                        </pic:blipFill>
                        <pic:spPr>
                          <a:xfrm>
                            <a:off x="0" y="0"/>
                            <a:ext cx="419100" cy="504825"/>
                          </a:xfrm>
                          <a:prstGeom prst="rect">
                            <a:avLst/>
                          </a:prstGeom>
                          <a:noFill/>
                          <a:ln w="9525">
                            <a:noFill/>
                          </a:ln>
                        </pic:spPr>
                      </pic:pic>
                    </a:graphicData>
                  </a:graphic>
                </wp:inline>
              </w:drawing>
            </w:r>
          </w:p>
        </w:tc>
      </w:tr>
      <w:tr w14:paraId="79D93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00" w:hRule="atLeast"/>
          <w:jc w:val="center"/>
        </w:trPr>
        <w:tc>
          <w:tcPr>
            <w:tcW w:w="2446" w:type="dxa"/>
            <w:gridSpan w:val="2"/>
            <w:tcBorders>
              <w:tl2br w:val="nil"/>
              <w:tr2bl w:val="nil"/>
            </w:tcBorders>
            <w:shd w:val="clear" w:color="auto" w:fill="auto"/>
            <w:vAlign w:val="center"/>
          </w:tcPr>
          <w:p w14:paraId="51011A5A">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八、排烟</w:t>
            </w:r>
          </w:p>
        </w:tc>
        <w:tc>
          <w:tcPr>
            <w:tcW w:w="1729" w:type="dxa"/>
            <w:tcBorders>
              <w:tl2br w:val="nil"/>
              <w:tr2bl w:val="nil"/>
            </w:tcBorders>
            <w:shd w:val="clear" w:color="auto" w:fill="auto"/>
            <w:vAlign w:val="center"/>
          </w:tcPr>
          <w:p w14:paraId="06E62EF0">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7D4F97FB">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28DDAD5B">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2B95CB54">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116C1148">
            <w:pPr>
              <w:jc w:val="center"/>
              <w:rPr>
                <w:rFonts w:hint="eastAsia" w:ascii="等线" w:hAnsi="等线" w:eastAsia="等线" w:cs="等线"/>
                <w:i w:val="0"/>
                <w:iCs w:val="0"/>
                <w:color w:val="000000"/>
                <w:sz w:val="22"/>
                <w:szCs w:val="22"/>
                <w:highlight w:val="none"/>
                <w:u w:val="none"/>
              </w:rPr>
            </w:pPr>
          </w:p>
        </w:tc>
      </w:tr>
      <w:tr w14:paraId="7D7EA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80" w:hRule="atLeast"/>
          <w:jc w:val="center"/>
        </w:trPr>
        <w:tc>
          <w:tcPr>
            <w:tcW w:w="762" w:type="dxa"/>
            <w:tcBorders>
              <w:tl2br w:val="nil"/>
              <w:tr2bl w:val="nil"/>
            </w:tcBorders>
            <w:shd w:val="clear" w:color="auto" w:fill="auto"/>
            <w:vAlign w:val="center"/>
          </w:tcPr>
          <w:p w14:paraId="52E4522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386561B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不锈钢烟罩（烹饪区）</w:t>
            </w:r>
          </w:p>
        </w:tc>
        <w:tc>
          <w:tcPr>
            <w:tcW w:w="1729" w:type="dxa"/>
            <w:tcBorders>
              <w:tl2br w:val="nil"/>
              <w:tr2bl w:val="nil"/>
            </w:tcBorders>
            <w:shd w:val="clear" w:color="auto" w:fill="auto"/>
            <w:vAlign w:val="center"/>
          </w:tcPr>
          <w:p w14:paraId="60A73CD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9000*1300*500</w:t>
            </w:r>
          </w:p>
        </w:tc>
        <w:tc>
          <w:tcPr>
            <w:tcW w:w="7095" w:type="dxa"/>
            <w:tcBorders>
              <w:tl2br w:val="nil"/>
              <w:tr2bl w:val="nil"/>
            </w:tcBorders>
            <w:shd w:val="clear" w:color="auto" w:fill="auto"/>
            <w:vAlign w:val="center"/>
          </w:tcPr>
          <w:p w14:paraId="40B2C33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1、采用304不锈钢板材制作，板厚δ＝1.2mm。配滤油网板，配LED防爆灯20CM一个</w:t>
            </w:r>
          </w:p>
          <w:p w14:paraId="7ED526B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2、排烟罩所用板材均采用耐高温、阻燃材料，以防安全隐患，符合GB/T9978.1-2008,耐火完整性≥120min时，试件背火面未出现持续性达10s或10s以上火焰。试件未丧失耐火完整性，检验合格。</w:t>
            </w:r>
          </w:p>
          <w:p w14:paraId="0970F00B">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3、烟罩长时间在高温、油污、水蒸气等环境下不会出现锈蚀断裂现象，烟罩所用不锈钢板经≥1000h中性盐雾试验（符合GB/T10125-2021）标准，符合GB/T6461-2002进行评级达到保护等级10级，检验面无锈蚀现象，检验合格。</w:t>
            </w:r>
          </w:p>
        </w:tc>
        <w:tc>
          <w:tcPr>
            <w:tcW w:w="990" w:type="dxa"/>
            <w:tcBorders>
              <w:tl2br w:val="nil"/>
              <w:tr2bl w:val="nil"/>
            </w:tcBorders>
            <w:shd w:val="clear" w:color="auto" w:fill="auto"/>
            <w:noWrap/>
            <w:vAlign w:val="center"/>
          </w:tcPr>
          <w:p w14:paraId="4C40946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10.8</w:t>
            </w:r>
          </w:p>
        </w:tc>
        <w:tc>
          <w:tcPr>
            <w:tcW w:w="1035" w:type="dxa"/>
            <w:tcBorders>
              <w:tl2br w:val="nil"/>
              <w:tr2bl w:val="nil"/>
            </w:tcBorders>
            <w:shd w:val="clear" w:color="auto" w:fill="auto"/>
            <w:noWrap/>
            <w:vAlign w:val="center"/>
          </w:tcPr>
          <w:p w14:paraId="656B8A6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w:t>
            </w:r>
          </w:p>
        </w:tc>
        <w:tc>
          <w:tcPr>
            <w:tcW w:w="1820" w:type="dxa"/>
            <w:tcBorders>
              <w:tl2br w:val="nil"/>
              <w:tr2bl w:val="nil"/>
            </w:tcBorders>
            <w:shd w:val="clear" w:color="auto" w:fill="auto"/>
            <w:noWrap/>
            <w:vAlign w:val="center"/>
          </w:tcPr>
          <w:p w14:paraId="5197E79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76275" cy="381000"/>
                  <wp:effectExtent l="0" t="0" r="9525" b="0"/>
                  <wp:docPr id="38"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63" descr="IMG_318"/>
                          <pic:cNvPicPr>
                            <a:picLocks noChangeAspect="1"/>
                          </pic:cNvPicPr>
                        </pic:nvPicPr>
                        <pic:blipFill>
                          <a:blip r:embed="rId62"/>
                          <a:stretch>
                            <a:fillRect/>
                          </a:stretch>
                        </pic:blipFill>
                        <pic:spPr>
                          <a:xfrm>
                            <a:off x="0" y="0"/>
                            <a:ext cx="676275" cy="381000"/>
                          </a:xfrm>
                          <a:prstGeom prst="rect">
                            <a:avLst/>
                          </a:prstGeom>
                          <a:noFill/>
                          <a:ln w="9525">
                            <a:noFill/>
                          </a:ln>
                        </pic:spPr>
                      </pic:pic>
                    </a:graphicData>
                  </a:graphic>
                </wp:inline>
              </w:drawing>
            </w:r>
          </w:p>
        </w:tc>
      </w:tr>
      <w:tr w14:paraId="0AE10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0" w:hRule="atLeast"/>
          <w:jc w:val="center"/>
        </w:trPr>
        <w:tc>
          <w:tcPr>
            <w:tcW w:w="762" w:type="dxa"/>
            <w:tcBorders>
              <w:tl2br w:val="nil"/>
              <w:tr2bl w:val="nil"/>
            </w:tcBorders>
            <w:shd w:val="clear" w:color="auto" w:fill="auto"/>
            <w:vAlign w:val="center"/>
          </w:tcPr>
          <w:p w14:paraId="78BAA82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5B48F4D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不锈钢烟罩（蒸煮区）</w:t>
            </w:r>
          </w:p>
        </w:tc>
        <w:tc>
          <w:tcPr>
            <w:tcW w:w="1729" w:type="dxa"/>
            <w:tcBorders>
              <w:tl2br w:val="nil"/>
              <w:tr2bl w:val="nil"/>
            </w:tcBorders>
            <w:shd w:val="clear" w:color="auto" w:fill="auto"/>
            <w:vAlign w:val="center"/>
          </w:tcPr>
          <w:p w14:paraId="1962381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4400*1100*500</w:t>
            </w:r>
          </w:p>
        </w:tc>
        <w:tc>
          <w:tcPr>
            <w:tcW w:w="7095" w:type="dxa"/>
            <w:tcBorders>
              <w:tl2br w:val="nil"/>
              <w:tr2bl w:val="nil"/>
            </w:tcBorders>
            <w:shd w:val="clear" w:color="auto" w:fill="auto"/>
            <w:vAlign w:val="center"/>
          </w:tcPr>
          <w:p w14:paraId="539514C1">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采用304不锈钢板材制作，板厚δ＝1.2mm。配滤油网板，配LED防爆灯20CM一个</w:t>
            </w:r>
          </w:p>
        </w:tc>
        <w:tc>
          <w:tcPr>
            <w:tcW w:w="990" w:type="dxa"/>
            <w:tcBorders>
              <w:tl2br w:val="nil"/>
              <w:tr2bl w:val="nil"/>
            </w:tcBorders>
            <w:shd w:val="clear" w:color="auto" w:fill="auto"/>
            <w:noWrap/>
            <w:vAlign w:val="center"/>
          </w:tcPr>
          <w:p w14:paraId="6C98626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4.84</w:t>
            </w:r>
          </w:p>
        </w:tc>
        <w:tc>
          <w:tcPr>
            <w:tcW w:w="1035" w:type="dxa"/>
            <w:tcBorders>
              <w:tl2br w:val="nil"/>
              <w:tr2bl w:val="nil"/>
            </w:tcBorders>
            <w:shd w:val="clear" w:color="auto" w:fill="auto"/>
            <w:noWrap/>
            <w:vAlign w:val="center"/>
          </w:tcPr>
          <w:p w14:paraId="7AA145E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w:t>
            </w:r>
          </w:p>
        </w:tc>
        <w:tc>
          <w:tcPr>
            <w:tcW w:w="1820" w:type="dxa"/>
            <w:tcBorders>
              <w:tl2br w:val="nil"/>
              <w:tr2bl w:val="nil"/>
            </w:tcBorders>
            <w:shd w:val="clear" w:color="auto" w:fill="auto"/>
            <w:noWrap/>
            <w:vAlign w:val="center"/>
          </w:tcPr>
          <w:p w14:paraId="63C591A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76275" cy="381000"/>
                  <wp:effectExtent l="0" t="0" r="9525" b="0"/>
                  <wp:docPr id="39"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64" descr="IMG_319"/>
                          <pic:cNvPicPr>
                            <a:picLocks noChangeAspect="1"/>
                          </pic:cNvPicPr>
                        </pic:nvPicPr>
                        <pic:blipFill>
                          <a:blip r:embed="rId62"/>
                          <a:stretch>
                            <a:fillRect/>
                          </a:stretch>
                        </pic:blipFill>
                        <pic:spPr>
                          <a:xfrm>
                            <a:off x="0" y="0"/>
                            <a:ext cx="676275" cy="381000"/>
                          </a:xfrm>
                          <a:prstGeom prst="rect">
                            <a:avLst/>
                          </a:prstGeom>
                          <a:noFill/>
                          <a:ln w="9525">
                            <a:noFill/>
                          </a:ln>
                        </pic:spPr>
                      </pic:pic>
                    </a:graphicData>
                  </a:graphic>
                </wp:inline>
              </w:drawing>
            </w:r>
          </w:p>
        </w:tc>
      </w:tr>
      <w:tr w14:paraId="4EF9F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20" w:hRule="atLeast"/>
          <w:jc w:val="center"/>
        </w:trPr>
        <w:tc>
          <w:tcPr>
            <w:tcW w:w="762" w:type="dxa"/>
            <w:tcBorders>
              <w:tl2br w:val="nil"/>
              <w:tr2bl w:val="nil"/>
            </w:tcBorders>
            <w:shd w:val="clear" w:color="auto" w:fill="auto"/>
            <w:vAlign w:val="center"/>
          </w:tcPr>
          <w:p w14:paraId="40CA656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6CF00F8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不锈钢烟罩（洗碗间）</w:t>
            </w:r>
          </w:p>
        </w:tc>
        <w:tc>
          <w:tcPr>
            <w:tcW w:w="1729" w:type="dxa"/>
            <w:tcBorders>
              <w:tl2br w:val="nil"/>
              <w:tr2bl w:val="nil"/>
            </w:tcBorders>
            <w:shd w:val="clear" w:color="auto" w:fill="auto"/>
            <w:vAlign w:val="center"/>
          </w:tcPr>
          <w:p w14:paraId="0AEE598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4200*1000*500</w:t>
            </w:r>
          </w:p>
        </w:tc>
        <w:tc>
          <w:tcPr>
            <w:tcW w:w="7095" w:type="dxa"/>
            <w:tcBorders>
              <w:tl2br w:val="nil"/>
              <w:tr2bl w:val="nil"/>
            </w:tcBorders>
            <w:shd w:val="clear" w:color="auto" w:fill="auto"/>
            <w:vAlign w:val="center"/>
          </w:tcPr>
          <w:p w14:paraId="2640AFB1">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采用304不锈钢板材制作，板厚δ＝1.2mm。配滤油网板，配LED防爆灯20CM一个</w:t>
            </w:r>
          </w:p>
        </w:tc>
        <w:tc>
          <w:tcPr>
            <w:tcW w:w="990" w:type="dxa"/>
            <w:tcBorders>
              <w:tl2br w:val="nil"/>
              <w:tr2bl w:val="nil"/>
            </w:tcBorders>
            <w:shd w:val="clear" w:color="auto" w:fill="auto"/>
            <w:noWrap/>
            <w:vAlign w:val="center"/>
          </w:tcPr>
          <w:p w14:paraId="4A52CA9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4.2</w:t>
            </w:r>
          </w:p>
        </w:tc>
        <w:tc>
          <w:tcPr>
            <w:tcW w:w="1035" w:type="dxa"/>
            <w:tcBorders>
              <w:tl2br w:val="nil"/>
              <w:tr2bl w:val="nil"/>
            </w:tcBorders>
            <w:shd w:val="clear" w:color="auto" w:fill="auto"/>
            <w:noWrap/>
            <w:vAlign w:val="center"/>
          </w:tcPr>
          <w:p w14:paraId="347D137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w:t>
            </w:r>
          </w:p>
        </w:tc>
        <w:tc>
          <w:tcPr>
            <w:tcW w:w="1820" w:type="dxa"/>
            <w:tcBorders>
              <w:tl2br w:val="nil"/>
              <w:tr2bl w:val="nil"/>
            </w:tcBorders>
            <w:shd w:val="clear" w:color="auto" w:fill="auto"/>
            <w:noWrap/>
            <w:vAlign w:val="center"/>
          </w:tcPr>
          <w:p w14:paraId="0D0505A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76275" cy="381000"/>
                  <wp:effectExtent l="0" t="0" r="9525" b="0"/>
                  <wp:docPr id="78"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65" descr="IMG_320"/>
                          <pic:cNvPicPr>
                            <a:picLocks noChangeAspect="1"/>
                          </pic:cNvPicPr>
                        </pic:nvPicPr>
                        <pic:blipFill>
                          <a:blip r:embed="rId62"/>
                          <a:stretch>
                            <a:fillRect/>
                          </a:stretch>
                        </pic:blipFill>
                        <pic:spPr>
                          <a:xfrm>
                            <a:off x="0" y="0"/>
                            <a:ext cx="676275" cy="381000"/>
                          </a:xfrm>
                          <a:prstGeom prst="rect">
                            <a:avLst/>
                          </a:prstGeom>
                          <a:noFill/>
                          <a:ln w="9525">
                            <a:noFill/>
                          </a:ln>
                        </pic:spPr>
                      </pic:pic>
                    </a:graphicData>
                  </a:graphic>
                </wp:inline>
              </w:drawing>
            </w:r>
          </w:p>
        </w:tc>
      </w:tr>
      <w:tr w14:paraId="49589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0" w:hRule="atLeast"/>
          <w:jc w:val="center"/>
        </w:trPr>
        <w:tc>
          <w:tcPr>
            <w:tcW w:w="762" w:type="dxa"/>
            <w:tcBorders>
              <w:tl2br w:val="nil"/>
              <w:tr2bl w:val="nil"/>
            </w:tcBorders>
            <w:shd w:val="clear" w:color="auto" w:fill="auto"/>
            <w:vAlign w:val="center"/>
          </w:tcPr>
          <w:p w14:paraId="1383162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2F18A7E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不锈钢风管</w:t>
            </w:r>
          </w:p>
        </w:tc>
        <w:tc>
          <w:tcPr>
            <w:tcW w:w="1729" w:type="dxa"/>
            <w:tcBorders>
              <w:tl2br w:val="nil"/>
              <w:tr2bl w:val="nil"/>
            </w:tcBorders>
            <w:shd w:val="clear" w:color="auto" w:fill="auto"/>
            <w:vAlign w:val="center"/>
          </w:tcPr>
          <w:p w14:paraId="03BE6A2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900*600</w:t>
            </w:r>
          </w:p>
        </w:tc>
        <w:tc>
          <w:tcPr>
            <w:tcW w:w="7095" w:type="dxa"/>
            <w:tcBorders>
              <w:tl2br w:val="nil"/>
              <w:tr2bl w:val="nil"/>
            </w:tcBorders>
            <w:shd w:val="clear" w:color="auto" w:fill="auto"/>
            <w:vAlign w:val="center"/>
          </w:tcPr>
          <w:p w14:paraId="4BB5BC0E">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1、采用不锈钢板材制作，板厚按照通风管道规范要求，板厚1.0mm，配国标4#角钢发兰</w:t>
            </w:r>
          </w:p>
          <w:p w14:paraId="521F45C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2、规格：按展开面积</w:t>
            </w:r>
          </w:p>
          <w:p w14:paraId="4CE95CA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3、排烟管道所用不锈钢板经≥1000h中性盐雾试验（符合GB/T10125-2021）标准，符合GB/T6461-2002进行评级达到保护等级10级，检验面无锈蚀现象，检验合格。</w:t>
            </w:r>
          </w:p>
          <w:p w14:paraId="17765AB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4、排烟管道所用板材采用耐高温、阻燃材料，以防安全隐患，测试耐火完整性≥120min后，背火面未出现持续性达10s或10s以上火焰，试件未丧失耐火完整性，符合GB/T9978.1-2008国家标准，检验合格。</w:t>
            </w:r>
          </w:p>
          <w:p w14:paraId="5E69530A">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5、排烟管道所用板材采用耐高温、阻燃材料，以防安全隐患，符合GB8624-2012国家标准，燃烧性能等级符合A1要求，检验合格。</w:t>
            </w:r>
          </w:p>
        </w:tc>
        <w:tc>
          <w:tcPr>
            <w:tcW w:w="990" w:type="dxa"/>
            <w:tcBorders>
              <w:tl2br w:val="nil"/>
              <w:tr2bl w:val="nil"/>
            </w:tcBorders>
            <w:shd w:val="clear" w:color="auto" w:fill="auto"/>
            <w:noWrap/>
            <w:vAlign w:val="center"/>
          </w:tcPr>
          <w:p w14:paraId="0DB584E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245</w:t>
            </w:r>
          </w:p>
        </w:tc>
        <w:tc>
          <w:tcPr>
            <w:tcW w:w="1035" w:type="dxa"/>
            <w:tcBorders>
              <w:tl2br w:val="nil"/>
              <w:tr2bl w:val="nil"/>
            </w:tcBorders>
            <w:shd w:val="clear" w:color="auto" w:fill="auto"/>
            <w:noWrap/>
            <w:vAlign w:val="center"/>
          </w:tcPr>
          <w:p w14:paraId="48BFA2F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w:t>
            </w:r>
          </w:p>
        </w:tc>
        <w:tc>
          <w:tcPr>
            <w:tcW w:w="1820" w:type="dxa"/>
            <w:tcBorders>
              <w:tl2br w:val="nil"/>
              <w:tr2bl w:val="nil"/>
            </w:tcBorders>
            <w:shd w:val="clear" w:color="auto" w:fill="auto"/>
            <w:noWrap/>
            <w:vAlign w:val="center"/>
          </w:tcPr>
          <w:p w14:paraId="7F8A512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28625" cy="447675"/>
                  <wp:effectExtent l="0" t="0" r="13335" b="9525"/>
                  <wp:docPr id="79"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66" descr="IMG_321"/>
                          <pic:cNvPicPr>
                            <a:picLocks noChangeAspect="1"/>
                          </pic:cNvPicPr>
                        </pic:nvPicPr>
                        <pic:blipFill>
                          <a:blip r:embed="rId63"/>
                          <a:stretch>
                            <a:fillRect/>
                          </a:stretch>
                        </pic:blipFill>
                        <pic:spPr>
                          <a:xfrm>
                            <a:off x="0" y="0"/>
                            <a:ext cx="428625" cy="447675"/>
                          </a:xfrm>
                          <a:prstGeom prst="rect">
                            <a:avLst/>
                          </a:prstGeom>
                          <a:noFill/>
                          <a:ln w="9525">
                            <a:noFill/>
                          </a:ln>
                        </pic:spPr>
                      </pic:pic>
                    </a:graphicData>
                  </a:graphic>
                </wp:inline>
              </w:drawing>
            </w:r>
          </w:p>
        </w:tc>
      </w:tr>
      <w:tr w14:paraId="5A3C8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426" w:hRule="atLeast"/>
          <w:jc w:val="center"/>
        </w:trPr>
        <w:tc>
          <w:tcPr>
            <w:tcW w:w="762" w:type="dxa"/>
            <w:tcBorders>
              <w:tl2br w:val="nil"/>
              <w:tr2bl w:val="nil"/>
            </w:tcBorders>
            <w:shd w:val="clear" w:color="auto" w:fill="auto"/>
            <w:vAlign w:val="center"/>
          </w:tcPr>
          <w:p w14:paraId="010C019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5</w:t>
            </w:r>
          </w:p>
        </w:tc>
        <w:tc>
          <w:tcPr>
            <w:tcW w:w="1684" w:type="dxa"/>
            <w:tcBorders>
              <w:tl2br w:val="nil"/>
              <w:tr2bl w:val="nil"/>
            </w:tcBorders>
            <w:shd w:val="clear" w:color="auto" w:fill="auto"/>
            <w:vAlign w:val="center"/>
          </w:tcPr>
          <w:p w14:paraId="73CB4B7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油烟净化器</w:t>
            </w:r>
          </w:p>
        </w:tc>
        <w:tc>
          <w:tcPr>
            <w:tcW w:w="1729" w:type="dxa"/>
            <w:tcBorders>
              <w:tl2br w:val="nil"/>
              <w:tr2bl w:val="nil"/>
            </w:tcBorders>
            <w:shd w:val="clear" w:color="auto" w:fill="auto"/>
            <w:vAlign w:val="center"/>
          </w:tcPr>
          <w:p w14:paraId="4AA1E9F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60000风量</w:t>
            </w:r>
          </w:p>
        </w:tc>
        <w:tc>
          <w:tcPr>
            <w:tcW w:w="7095" w:type="dxa"/>
            <w:tcBorders>
              <w:tl2br w:val="nil"/>
              <w:tr2bl w:val="nil"/>
            </w:tcBorders>
            <w:shd w:val="clear" w:color="auto" w:fill="auto"/>
            <w:vAlign w:val="center"/>
          </w:tcPr>
          <w:p w14:paraId="6A7132E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 xml:space="preserve">1.油烟净化设备由专利圆筒蜂巢电场、数显面板、智能控制盒、智能数字电源，专利散热系统等组成。数字显示面板，运行状态一目了然；加厚法兰，链接更牢固不变形，密封性更好；专利散热系统，IP55防尘防水设计，适应高温高湿环境；门磁开关，软硬件双重开门断电，保护人员安全；防鼠咬设计，保护机器电路，安全放心。   </w:t>
            </w:r>
          </w:p>
          <w:p w14:paraId="14448411">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2.陶瓷绝缘子，耐高压，耐高温，拒绝电弧发生，提高机械强度，稳定绝缘;</w:t>
            </w:r>
          </w:p>
          <w:p w14:paraId="5D6565F0">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3.航空级铝板高低压电场，密度大，吸附力强，过风面积大，可靠性高;独立的锯齿形电离片，放电更快，极限电压更强、吸附力更强，油烟净化率≥98.5%，油烟排放浓度＜0.18mg/m³。</w:t>
            </w:r>
          </w:p>
          <w:p w14:paraId="29929C6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4.智能双恒压电源稳定输出电流，恒压不恒流，可自行调节恒定的电,压值，能自动适配电场，不受负载影响。</w:t>
            </w:r>
          </w:p>
          <w:p w14:paraId="62702E2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5.净化器安装简便，维护清洗方便，拆卸自如，维护成本低，无需专业人士可自行清洗等。</w:t>
            </w:r>
          </w:p>
          <w:p w14:paraId="1EB9AE4D">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6.产品模块化设计制作，多种组合模式，组合灵活，满足所有安装要求。                                                                                                                                                                                                     7.依据GB/T 14295-2019《空气过滤器》标准，项目阻力和效率，计数效率为≥99.5% (0. 3~1.0um) ≥99.6% (1. 0~3.0um) ≥99.8% (3. 0~10. 0um)，提供带CMA/CNAS认证检测报告复印件并加盖单位公章。</w:t>
            </w:r>
          </w:p>
        </w:tc>
        <w:tc>
          <w:tcPr>
            <w:tcW w:w="990" w:type="dxa"/>
            <w:tcBorders>
              <w:tl2br w:val="nil"/>
              <w:tr2bl w:val="nil"/>
            </w:tcBorders>
            <w:shd w:val="clear" w:color="auto" w:fill="auto"/>
            <w:noWrap/>
            <w:vAlign w:val="center"/>
          </w:tcPr>
          <w:p w14:paraId="68677C4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E41505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35943D7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09600" cy="495300"/>
                  <wp:effectExtent l="0" t="0" r="0" b="7620"/>
                  <wp:docPr id="80"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67" descr="IMG_322"/>
                          <pic:cNvPicPr>
                            <a:picLocks noChangeAspect="1"/>
                          </pic:cNvPicPr>
                        </pic:nvPicPr>
                        <pic:blipFill>
                          <a:blip r:embed="rId64"/>
                          <a:stretch>
                            <a:fillRect/>
                          </a:stretch>
                        </pic:blipFill>
                        <pic:spPr>
                          <a:xfrm>
                            <a:off x="0" y="0"/>
                            <a:ext cx="609600" cy="495300"/>
                          </a:xfrm>
                          <a:prstGeom prst="rect">
                            <a:avLst/>
                          </a:prstGeom>
                          <a:noFill/>
                          <a:ln w="9525">
                            <a:noFill/>
                          </a:ln>
                        </pic:spPr>
                      </pic:pic>
                    </a:graphicData>
                  </a:graphic>
                </wp:inline>
              </w:drawing>
            </w:r>
          </w:p>
        </w:tc>
      </w:tr>
      <w:tr w14:paraId="596FE6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660" w:hRule="atLeast"/>
          <w:jc w:val="center"/>
        </w:trPr>
        <w:tc>
          <w:tcPr>
            <w:tcW w:w="762" w:type="dxa"/>
            <w:tcBorders>
              <w:tl2br w:val="nil"/>
              <w:tr2bl w:val="nil"/>
            </w:tcBorders>
            <w:shd w:val="clear" w:color="auto" w:fill="auto"/>
            <w:vAlign w:val="center"/>
          </w:tcPr>
          <w:p w14:paraId="611C317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684" w:type="dxa"/>
            <w:tcBorders>
              <w:tl2br w:val="nil"/>
              <w:tr2bl w:val="nil"/>
            </w:tcBorders>
            <w:shd w:val="clear" w:color="auto" w:fill="auto"/>
            <w:vAlign w:val="center"/>
          </w:tcPr>
          <w:p w14:paraId="2E6E532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箱式风柜</w:t>
            </w:r>
          </w:p>
        </w:tc>
        <w:tc>
          <w:tcPr>
            <w:tcW w:w="1729" w:type="dxa"/>
            <w:tcBorders>
              <w:tl2br w:val="nil"/>
              <w:tr2bl w:val="nil"/>
            </w:tcBorders>
            <w:shd w:val="clear" w:color="auto" w:fill="auto"/>
            <w:vAlign w:val="center"/>
          </w:tcPr>
          <w:p w14:paraId="6CB9C84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30KW</w:t>
            </w:r>
          </w:p>
        </w:tc>
        <w:tc>
          <w:tcPr>
            <w:tcW w:w="7095" w:type="dxa"/>
            <w:tcBorders>
              <w:tl2br w:val="nil"/>
              <w:tr2bl w:val="nil"/>
            </w:tcBorders>
            <w:shd w:val="clear" w:color="auto" w:fill="auto"/>
            <w:vAlign w:val="center"/>
          </w:tcPr>
          <w:p w14:paraId="593A57E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1、采用双进风前倾 ﹒后倾叶轮，大流量，高静压，高效率 。</w:t>
            </w:r>
          </w:p>
          <w:p w14:paraId="79E2A25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2、箱体上下顶板、底板须采用整体拉升成型，密封性能好，做到不漏油烟气水等 。</w:t>
            </w:r>
          </w:p>
          <w:p w14:paraId="405D740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3、箱体须采用内外喷塑彩钢面板，防腐不易腐烂寿命10年以上，内壁采用消音材料多层复合板，进一步降低噪声（噪音低）。</w:t>
            </w:r>
          </w:p>
          <w:p w14:paraId="26B35BD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4、机外须有加注润滑油保养孔，方便定期保养维护，提升使用寿命。</w:t>
            </w:r>
          </w:p>
          <w:p w14:paraId="49504D67">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5、主轴采用优质40铬钢精工制品，经调质热处理，保证其强度及使用寿命。</w:t>
            </w:r>
          </w:p>
        </w:tc>
        <w:tc>
          <w:tcPr>
            <w:tcW w:w="990" w:type="dxa"/>
            <w:tcBorders>
              <w:tl2br w:val="nil"/>
              <w:tr2bl w:val="nil"/>
            </w:tcBorders>
            <w:shd w:val="clear" w:color="auto" w:fill="auto"/>
            <w:noWrap/>
            <w:vAlign w:val="center"/>
          </w:tcPr>
          <w:p w14:paraId="7FF163C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ED7241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台</w:t>
            </w:r>
          </w:p>
        </w:tc>
        <w:tc>
          <w:tcPr>
            <w:tcW w:w="1820" w:type="dxa"/>
            <w:tcBorders>
              <w:tl2br w:val="nil"/>
              <w:tr2bl w:val="nil"/>
            </w:tcBorders>
            <w:shd w:val="clear" w:color="auto" w:fill="auto"/>
            <w:noWrap/>
            <w:vAlign w:val="center"/>
          </w:tcPr>
          <w:p w14:paraId="7FC8936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19125" cy="533400"/>
                  <wp:effectExtent l="0" t="0" r="5715" b="0"/>
                  <wp:docPr id="81"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68" descr="IMG_323"/>
                          <pic:cNvPicPr>
                            <a:picLocks noChangeAspect="1"/>
                          </pic:cNvPicPr>
                        </pic:nvPicPr>
                        <pic:blipFill>
                          <a:blip r:embed="rId65"/>
                          <a:stretch>
                            <a:fillRect/>
                          </a:stretch>
                        </pic:blipFill>
                        <pic:spPr>
                          <a:xfrm>
                            <a:off x="0" y="0"/>
                            <a:ext cx="619125" cy="533400"/>
                          </a:xfrm>
                          <a:prstGeom prst="rect">
                            <a:avLst/>
                          </a:prstGeom>
                          <a:noFill/>
                          <a:ln w="9525">
                            <a:noFill/>
                          </a:ln>
                        </pic:spPr>
                      </pic:pic>
                    </a:graphicData>
                  </a:graphic>
                </wp:inline>
              </w:drawing>
            </w:r>
          </w:p>
        </w:tc>
      </w:tr>
      <w:tr w14:paraId="046B7C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70" w:hRule="atLeast"/>
          <w:jc w:val="center"/>
        </w:trPr>
        <w:tc>
          <w:tcPr>
            <w:tcW w:w="762" w:type="dxa"/>
            <w:tcBorders>
              <w:tl2br w:val="nil"/>
              <w:tr2bl w:val="nil"/>
            </w:tcBorders>
            <w:shd w:val="clear" w:color="auto" w:fill="auto"/>
            <w:vAlign w:val="center"/>
          </w:tcPr>
          <w:p w14:paraId="780CF3B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w:t>
            </w:r>
          </w:p>
        </w:tc>
        <w:tc>
          <w:tcPr>
            <w:tcW w:w="1684" w:type="dxa"/>
            <w:tcBorders>
              <w:tl2br w:val="nil"/>
              <w:tr2bl w:val="nil"/>
            </w:tcBorders>
            <w:shd w:val="clear" w:color="auto" w:fill="auto"/>
            <w:vAlign w:val="center"/>
          </w:tcPr>
          <w:p w14:paraId="31918C9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变频控制箱</w:t>
            </w:r>
          </w:p>
        </w:tc>
        <w:tc>
          <w:tcPr>
            <w:tcW w:w="1729" w:type="dxa"/>
            <w:tcBorders>
              <w:tl2br w:val="nil"/>
              <w:tr2bl w:val="nil"/>
            </w:tcBorders>
            <w:shd w:val="clear" w:color="auto" w:fill="auto"/>
            <w:vAlign w:val="center"/>
          </w:tcPr>
          <w:p w14:paraId="6B55A50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30KW</w:t>
            </w:r>
          </w:p>
        </w:tc>
        <w:tc>
          <w:tcPr>
            <w:tcW w:w="7095" w:type="dxa"/>
            <w:tcBorders>
              <w:tl2br w:val="nil"/>
              <w:tr2bl w:val="nil"/>
            </w:tcBorders>
            <w:shd w:val="clear" w:color="auto" w:fill="auto"/>
            <w:vAlign w:val="center"/>
          </w:tcPr>
          <w:p w14:paraId="4A84841D">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利用变频器、PLC、数模转换模块、温度传感器、温度模块等器件的有机结合，构成温差闭环自动控制系统，自动调节水泵的输出流量；采用变频调速技术不仅能使商场室温维持在所期望的状态，让人感到舒适满意，可使整个系统工作状态平缓稳定，更重要的是其节能效果高达30%以上。 安全防护将变频器安装在变频柜内，可以减少环境污染，减少触电危险，起到较好的防护作用。</w:t>
            </w:r>
          </w:p>
        </w:tc>
        <w:tc>
          <w:tcPr>
            <w:tcW w:w="990" w:type="dxa"/>
            <w:tcBorders>
              <w:tl2br w:val="nil"/>
              <w:tr2bl w:val="nil"/>
            </w:tcBorders>
            <w:shd w:val="clear" w:color="auto" w:fill="auto"/>
            <w:noWrap/>
            <w:vAlign w:val="center"/>
          </w:tcPr>
          <w:p w14:paraId="47825CA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13E0BD5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45DFBF6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419100" cy="542925"/>
                  <wp:effectExtent l="0" t="0" r="7620" b="5715"/>
                  <wp:docPr id="82"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69" descr="IMG_324"/>
                          <pic:cNvPicPr>
                            <a:picLocks noChangeAspect="1"/>
                          </pic:cNvPicPr>
                        </pic:nvPicPr>
                        <pic:blipFill>
                          <a:blip r:embed="rId66"/>
                          <a:stretch>
                            <a:fillRect/>
                          </a:stretch>
                        </pic:blipFill>
                        <pic:spPr>
                          <a:xfrm>
                            <a:off x="0" y="0"/>
                            <a:ext cx="419100" cy="542925"/>
                          </a:xfrm>
                          <a:prstGeom prst="rect">
                            <a:avLst/>
                          </a:prstGeom>
                          <a:noFill/>
                          <a:ln w="9525">
                            <a:noFill/>
                          </a:ln>
                        </pic:spPr>
                      </pic:pic>
                    </a:graphicData>
                  </a:graphic>
                </wp:inline>
              </w:drawing>
            </w:r>
          </w:p>
        </w:tc>
      </w:tr>
      <w:tr w14:paraId="7A4AB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0" w:hRule="atLeast"/>
          <w:jc w:val="center"/>
        </w:trPr>
        <w:tc>
          <w:tcPr>
            <w:tcW w:w="762" w:type="dxa"/>
            <w:tcBorders>
              <w:tl2br w:val="nil"/>
              <w:tr2bl w:val="nil"/>
            </w:tcBorders>
            <w:shd w:val="clear" w:color="auto" w:fill="auto"/>
            <w:vAlign w:val="center"/>
          </w:tcPr>
          <w:p w14:paraId="63E77E4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w:t>
            </w:r>
          </w:p>
        </w:tc>
        <w:tc>
          <w:tcPr>
            <w:tcW w:w="1684" w:type="dxa"/>
            <w:tcBorders>
              <w:tl2br w:val="nil"/>
              <w:tr2bl w:val="nil"/>
            </w:tcBorders>
            <w:shd w:val="clear" w:color="auto" w:fill="auto"/>
            <w:vAlign w:val="center"/>
          </w:tcPr>
          <w:p w14:paraId="3C52900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支架</w:t>
            </w:r>
          </w:p>
        </w:tc>
        <w:tc>
          <w:tcPr>
            <w:tcW w:w="1729" w:type="dxa"/>
            <w:tcBorders>
              <w:tl2br w:val="nil"/>
              <w:tr2bl w:val="nil"/>
            </w:tcBorders>
            <w:shd w:val="clear" w:color="auto" w:fill="auto"/>
            <w:vAlign w:val="center"/>
          </w:tcPr>
          <w:p w14:paraId="2E9106A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1500*1500*20</w:t>
            </w:r>
          </w:p>
        </w:tc>
        <w:tc>
          <w:tcPr>
            <w:tcW w:w="7095" w:type="dxa"/>
            <w:tcBorders>
              <w:tl2br w:val="nil"/>
              <w:tr2bl w:val="nil"/>
            </w:tcBorders>
            <w:shd w:val="clear" w:color="auto" w:fill="auto"/>
            <w:vAlign w:val="center"/>
          </w:tcPr>
          <w:p w14:paraId="25EF0DE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说明：采用国标8号角钢制作</w:t>
            </w:r>
          </w:p>
          <w:p w14:paraId="6AD0995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规格：风柜配套</w:t>
            </w:r>
          </w:p>
        </w:tc>
        <w:tc>
          <w:tcPr>
            <w:tcW w:w="990" w:type="dxa"/>
            <w:tcBorders>
              <w:tl2br w:val="nil"/>
              <w:tr2bl w:val="nil"/>
            </w:tcBorders>
            <w:shd w:val="clear" w:color="auto" w:fill="auto"/>
            <w:noWrap/>
            <w:vAlign w:val="center"/>
          </w:tcPr>
          <w:p w14:paraId="4DE3EA6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035" w:type="dxa"/>
            <w:tcBorders>
              <w:tl2br w:val="nil"/>
              <w:tr2bl w:val="nil"/>
            </w:tcBorders>
            <w:shd w:val="clear" w:color="auto" w:fill="auto"/>
            <w:noWrap/>
            <w:vAlign w:val="center"/>
          </w:tcPr>
          <w:p w14:paraId="05F533D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79AB3E7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542925" cy="390525"/>
                  <wp:effectExtent l="0" t="0" r="5715" b="5715"/>
                  <wp:docPr id="83"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70" descr="IMG_325"/>
                          <pic:cNvPicPr>
                            <a:picLocks noChangeAspect="1"/>
                          </pic:cNvPicPr>
                        </pic:nvPicPr>
                        <pic:blipFill>
                          <a:blip r:embed="rId67"/>
                          <a:stretch>
                            <a:fillRect/>
                          </a:stretch>
                        </pic:blipFill>
                        <pic:spPr>
                          <a:xfrm>
                            <a:off x="0" y="0"/>
                            <a:ext cx="542925" cy="390525"/>
                          </a:xfrm>
                          <a:prstGeom prst="rect">
                            <a:avLst/>
                          </a:prstGeom>
                          <a:noFill/>
                          <a:ln w="9525">
                            <a:noFill/>
                          </a:ln>
                        </pic:spPr>
                      </pic:pic>
                    </a:graphicData>
                  </a:graphic>
                </wp:inline>
              </w:drawing>
            </w:r>
          </w:p>
        </w:tc>
      </w:tr>
      <w:tr w14:paraId="2C280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60" w:hRule="atLeast"/>
          <w:jc w:val="center"/>
        </w:trPr>
        <w:tc>
          <w:tcPr>
            <w:tcW w:w="762" w:type="dxa"/>
            <w:tcBorders>
              <w:tl2br w:val="nil"/>
              <w:tr2bl w:val="nil"/>
            </w:tcBorders>
            <w:shd w:val="clear" w:color="auto" w:fill="auto"/>
            <w:vAlign w:val="center"/>
          </w:tcPr>
          <w:p w14:paraId="446C01A2">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9</w:t>
            </w:r>
          </w:p>
        </w:tc>
        <w:tc>
          <w:tcPr>
            <w:tcW w:w="1684" w:type="dxa"/>
            <w:tcBorders>
              <w:tl2br w:val="nil"/>
              <w:tr2bl w:val="nil"/>
            </w:tcBorders>
            <w:shd w:val="clear" w:color="auto" w:fill="auto"/>
            <w:vAlign w:val="center"/>
          </w:tcPr>
          <w:p w14:paraId="547C54E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防震垫</w:t>
            </w:r>
          </w:p>
        </w:tc>
        <w:tc>
          <w:tcPr>
            <w:tcW w:w="1729" w:type="dxa"/>
            <w:tcBorders>
              <w:tl2br w:val="nil"/>
              <w:tr2bl w:val="nil"/>
            </w:tcBorders>
            <w:shd w:val="clear" w:color="auto" w:fill="auto"/>
            <w:vAlign w:val="center"/>
          </w:tcPr>
          <w:p w14:paraId="0F7E6DA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200KG</w:t>
            </w:r>
          </w:p>
        </w:tc>
        <w:tc>
          <w:tcPr>
            <w:tcW w:w="7095" w:type="dxa"/>
            <w:tcBorders>
              <w:tl2br w:val="nil"/>
              <w:tr2bl w:val="nil"/>
            </w:tcBorders>
            <w:shd w:val="clear" w:color="auto" w:fill="auto"/>
            <w:vAlign w:val="center"/>
          </w:tcPr>
          <w:p w14:paraId="3A53D13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ZTQ型阻尼弹簧。选择面广、荷载范围广、固有频率低。适应性强，对积极减振，冲击减振，效果显著，是减少振动危害，保护环境的理想减震器。构合理，安装方便，对固体声的减振效果显著。</w:t>
            </w:r>
          </w:p>
        </w:tc>
        <w:tc>
          <w:tcPr>
            <w:tcW w:w="990" w:type="dxa"/>
            <w:tcBorders>
              <w:tl2br w:val="nil"/>
              <w:tr2bl w:val="nil"/>
            </w:tcBorders>
            <w:shd w:val="clear" w:color="auto" w:fill="auto"/>
            <w:noWrap/>
            <w:vAlign w:val="center"/>
          </w:tcPr>
          <w:p w14:paraId="77570CA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0DED139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6A85AEE7">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09600" cy="428625"/>
                  <wp:effectExtent l="0" t="0" r="0" b="13335"/>
                  <wp:docPr id="84"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71" descr="IMG_326"/>
                          <pic:cNvPicPr>
                            <a:picLocks noChangeAspect="1"/>
                          </pic:cNvPicPr>
                        </pic:nvPicPr>
                        <pic:blipFill>
                          <a:blip r:embed="rId68"/>
                          <a:stretch>
                            <a:fillRect/>
                          </a:stretch>
                        </pic:blipFill>
                        <pic:spPr>
                          <a:xfrm>
                            <a:off x="0" y="0"/>
                            <a:ext cx="609600" cy="428625"/>
                          </a:xfrm>
                          <a:prstGeom prst="rect">
                            <a:avLst/>
                          </a:prstGeom>
                          <a:noFill/>
                          <a:ln w="9525">
                            <a:noFill/>
                          </a:ln>
                        </pic:spPr>
                      </pic:pic>
                    </a:graphicData>
                  </a:graphic>
                </wp:inline>
              </w:drawing>
            </w:r>
          </w:p>
        </w:tc>
      </w:tr>
      <w:tr w14:paraId="16576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40" w:hRule="atLeast"/>
          <w:jc w:val="center"/>
        </w:trPr>
        <w:tc>
          <w:tcPr>
            <w:tcW w:w="762" w:type="dxa"/>
            <w:tcBorders>
              <w:tl2br w:val="nil"/>
              <w:tr2bl w:val="nil"/>
            </w:tcBorders>
            <w:shd w:val="clear" w:color="auto" w:fill="auto"/>
            <w:vAlign w:val="center"/>
          </w:tcPr>
          <w:p w14:paraId="75EA193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10</w:t>
            </w:r>
          </w:p>
        </w:tc>
        <w:tc>
          <w:tcPr>
            <w:tcW w:w="1684" w:type="dxa"/>
            <w:tcBorders>
              <w:tl2br w:val="nil"/>
              <w:tr2bl w:val="nil"/>
            </w:tcBorders>
            <w:shd w:val="clear" w:color="auto" w:fill="auto"/>
            <w:vAlign w:val="center"/>
          </w:tcPr>
          <w:p w14:paraId="45E5CD2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帆布连接</w:t>
            </w:r>
          </w:p>
        </w:tc>
        <w:tc>
          <w:tcPr>
            <w:tcW w:w="1729" w:type="dxa"/>
            <w:tcBorders>
              <w:tl2br w:val="nil"/>
              <w:tr2bl w:val="nil"/>
            </w:tcBorders>
            <w:shd w:val="clear" w:color="auto" w:fill="auto"/>
            <w:vAlign w:val="center"/>
          </w:tcPr>
          <w:p w14:paraId="3CC8D8E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800*600</w:t>
            </w:r>
          </w:p>
        </w:tc>
        <w:tc>
          <w:tcPr>
            <w:tcW w:w="7095" w:type="dxa"/>
            <w:tcBorders>
              <w:tl2br w:val="nil"/>
              <w:tr2bl w:val="nil"/>
            </w:tcBorders>
            <w:shd w:val="clear" w:color="auto" w:fill="auto"/>
            <w:vAlign w:val="center"/>
          </w:tcPr>
          <w:p w14:paraId="3560A906">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说明：采用优质帆布制作，角钢法兰连接。</w:t>
            </w:r>
          </w:p>
          <w:p w14:paraId="4E13CCCF">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规格：按展开面积</w:t>
            </w:r>
          </w:p>
        </w:tc>
        <w:tc>
          <w:tcPr>
            <w:tcW w:w="990" w:type="dxa"/>
            <w:tcBorders>
              <w:tl2br w:val="nil"/>
              <w:tr2bl w:val="nil"/>
            </w:tcBorders>
            <w:shd w:val="clear" w:color="auto" w:fill="auto"/>
            <w:noWrap/>
            <w:vAlign w:val="center"/>
          </w:tcPr>
          <w:p w14:paraId="2AF1AF8A">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035" w:type="dxa"/>
            <w:tcBorders>
              <w:tl2br w:val="nil"/>
              <w:tr2bl w:val="nil"/>
            </w:tcBorders>
            <w:shd w:val="clear" w:color="auto" w:fill="auto"/>
            <w:noWrap/>
            <w:vAlign w:val="center"/>
          </w:tcPr>
          <w:p w14:paraId="6385AC81">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套</w:t>
            </w:r>
          </w:p>
        </w:tc>
        <w:tc>
          <w:tcPr>
            <w:tcW w:w="1820" w:type="dxa"/>
            <w:tcBorders>
              <w:tl2br w:val="nil"/>
              <w:tr2bl w:val="nil"/>
            </w:tcBorders>
            <w:shd w:val="clear" w:color="auto" w:fill="auto"/>
            <w:noWrap/>
            <w:vAlign w:val="center"/>
          </w:tcPr>
          <w:p w14:paraId="1BEB9A2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47700" cy="438150"/>
                  <wp:effectExtent l="0" t="0" r="7620" b="3810"/>
                  <wp:docPr id="85"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72" descr="IMG_327"/>
                          <pic:cNvPicPr>
                            <a:picLocks noChangeAspect="1"/>
                          </pic:cNvPicPr>
                        </pic:nvPicPr>
                        <pic:blipFill>
                          <a:blip r:embed="rId69"/>
                          <a:stretch>
                            <a:fillRect/>
                          </a:stretch>
                        </pic:blipFill>
                        <pic:spPr>
                          <a:xfrm>
                            <a:off x="0" y="0"/>
                            <a:ext cx="647700" cy="438150"/>
                          </a:xfrm>
                          <a:prstGeom prst="rect">
                            <a:avLst/>
                          </a:prstGeom>
                          <a:noFill/>
                          <a:ln w="9525">
                            <a:noFill/>
                          </a:ln>
                        </pic:spPr>
                      </pic:pic>
                    </a:graphicData>
                  </a:graphic>
                </wp:inline>
              </w:drawing>
            </w:r>
          </w:p>
        </w:tc>
      </w:tr>
      <w:tr w14:paraId="34ADC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0" w:hRule="atLeast"/>
          <w:jc w:val="center"/>
        </w:trPr>
        <w:tc>
          <w:tcPr>
            <w:tcW w:w="2446" w:type="dxa"/>
            <w:gridSpan w:val="2"/>
            <w:tcBorders>
              <w:tl2br w:val="nil"/>
              <w:tr2bl w:val="nil"/>
            </w:tcBorders>
            <w:shd w:val="clear" w:color="auto" w:fill="auto"/>
            <w:vAlign w:val="center"/>
          </w:tcPr>
          <w:p w14:paraId="55097322">
            <w:pPr>
              <w:keepNext w:val="0"/>
              <w:keepLines w:val="0"/>
              <w:widowControl/>
              <w:suppressLineNumbers w:val="0"/>
              <w:jc w:val="center"/>
              <w:textAlignment w:val="center"/>
              <w:rPr>
                <w:rFonts w:hint="eastAsia" w:ascii="等线" w:hAnsi="等线" w:eastAsia="等线" w:cs="等线"/>
                <w:b/>
                <w:bCs/>
                <w:i w:val="0"/>
                <w:iCs w:val="0"/>
                <w:color w:val="000000"/>
                <w:sz w:val="24"/>
                <w:szCs w:val="24"/>
                <w:highlight w:val="none"/>
                <w:u w:val="none"/>
              </w:rPr>
            </w:pPr>
            <w:r>
              <w:rPr>
                <w:rFonts w:hint="eastAsia" w:ascii="等线" w:hAnsi="等线" w:eastAsia="等线" w:cs="等线"/>
                <w:b/>
                <w:bCs/>
                <w:i w:val="0"/>
                <w:iCs w:val="0"/>
                <w:color w:val="000000"/>
                <w:kern w:val="0"/>
                <w:sz w:val="24"/>
                <w:szCs w:val="24"/>
                <w:highlight w:val="none"/>
                <w:u w:val="none"/>
                <w:lang w:val="en-US" w:eastAsia="zh-CN" w:bidi="ar"/>
              </w:rPr>
              <w:t>九、其他</w:t>
            </w:r>
          </w:p>
        </w:tc>
        <w:tc>
          <w:tcPr>
            <w:tcW w:w="1729" w:type="dxa"/>
            <w:tcBorders>
              <w:tl2br w:val="nil"/>
              <w:tr2bl w:val="nil"/>
            </w:tcBorders>
            <w:shd w:val="clear" w:color="auto" w:fill="auto"/>
            <w:vAlign w:val="center"/>
          </w:tcPr>
          <w:p w14:paraId="0A3B2F16">
            <w:pPr>
              <w:jc w:val="center"/>
              <w:rPr>
                <w:rFonts w:hint="eastAsia" w:ascii="等线" w:hAnsi="等线" w:eastAsia="等线" w:cs="等线"/>
                <w:i w:val="0"/>
                <w:iCs w:val="0"/>
                <w:color w:val="000000"/>
                <w:sz w:val="22"/>
                <w:szCs w:val="22"/>
                <w:highlight w:val="none"/>
                <w:u w:val="none"/>
              </w:rPr>
            </w:pPr>
          </w:p>
        </w:tc>
        <w:tc>
          <w:tcPr>
            <w:tcW w:w="7095" w:type="dxa"/>
            <w:tcBorders>
              <w:tl2br w:val="nil"/>
              <w:tr2bl w:val="nil"/>
            </w:tcBorders>
            <w:shd w:val="clear" w:color="auto" w:fill="auto"/>
            <w:vAlign w:val="center"/>
          </w:tcPr>
          <w:p w14:paraId="7603EBCC">
            <w:pPr>
              <w:jc w:val="left"/>
              <w:rPr>
                <w:rFonts w:hint="eastAsia" w:ascii="等线" w:hAnsi="等线" w:eastAsia="等线" w:cs="等线"/>
                <w:i w:val="0"/>
                <w:iCs w:val="0"/>
                <w:color w:val="000000"/>
                <w:sz w:val="20"/>
                <w:szCs w:val="20"/>
                <w:highlight w:val="none"/>
                <w:u w:val="none"/>
              </w:rPr>
            </w:pPr>
          </w:p>
        </w:tc>
        <w:tc>
          <w:tcPr>
            <w:tcW w:w="990" w:type="dxa"/>
            <w:tcBorders>
              <w:tl2br w:val="nil"/>
              <w:tr2bl w:val="nil"/>
            </w:tcBorders>
            <w:shd w:val="clear" w:color="auto" w:fill="auto"/>
            <w:noWrap/>
            <w:vAlign w:val="center"/>
          </w:tcPr>
          <w:p w14:paraId="5EEE24C3">
            <w:pPr>
              <w:jc w:val="center"/>
              <w:rPr>
                <w:rFonts w:hint="eastAsia" w:ascii="等线" w:hAnsi="等线" w:eastAsia="等线" w:cs="等线"/>
                <w:i w:val="0"/>
                <w:iCs w:val="0"/>
                <w:color w:val="000000"/>
                <w:sz w:val="22"/>
                <w:szCs w:val="22"/>
                <w:highlight w:val="none"/>
                <w:u w:val="none"/>
              </w:rPr>
            </w:pPr>
          </w:p>
        </w:tc>
        <w:tc>
          <w:tcPr>
            <w:tcW w:w="1035" w:type="dxa"/>
            <w:tcBorders>
              <w:tl2br w:val="nil"/>
              <w:tr2bl w:val="nil"/>
            </w:tcBorders>
            <w:shd w:val="clear" w:color="auto" w:fill="auto"/>
            <w:noWrap/>
            <w:vAlign w:val="center"/>
          </w:tcPr>
          <w:p w14:paraId="541D37C3">
            <w:pPr>
              <w:jc w:val="center"/>
              <w:rPr>
                <w:rFonts w:hint="eastAsia" w:ascii="等线" w:hAnsi="等线" w:eastAsia="等线" w:cs="等线"/>
                <w:i w:val="0"/>
                <w:iCs w:val="0"/>
                <w:color w:val="000000"/>
                <w:sz w:val="22"/>
                <w:szCs w:val="22"/>
                <w:highlight w:val="none"/>
                <w:u w:val="none"/>
              </w:rPr>
            </w:pPr>
          </w:p>
        </w:tc>
        <w:tc>
          <w:tcPr>
            <w:tcW w:w="1820" w:type="dxa"/>
            <w:tcBorders>
              <w:tl2br w:val="nil"/>
              <w:tr2bl w:val="nil"/>
            </w:tcBorders>
            <w:shd w:val="clear" w:color="auto" w:fill="auto"/>
            <w:noWrap/>
            <w:vAlign w:val="center"/>
          </w:tcPr>
          <w:p w14:paraId="5F4A3646">
            <w:pPr>
              <w:jc w:val="center"/>
              <w:rPr>
                <w:rFonts w:hint="eastAsia" w:ascii="等线" w:hAnsi="等线" w:eastAsia="等线" w:cs="等线"/>
                <w:i w:val="0"/>
                <w:iCs w:val="0"/>
                <w:color w:val="000000"/>
                <w:sz w:val="22"/>
                <w:szCs w:val="22"/>
                <w:highlight w:val="none"/>
                <w:u w:val="none"/>
              </w:rPr>
            </w:pPr>
          </w:p>
        </w:tc>
      </w:tr>
      <w:tr w14:paraId="4CE53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40" w:hRule="atLeast"/>
          <w:jc w:val="center"/>
        </w:trPr>
        <w:tc>
          <w:tcPr>
            <w:tcW w:w="762" w:type="dxa"/>
            <w:tcBorders>
              <w:tl2br w:val="nil"/>
              <w:tr2bl w:val="nil"/>
            </w:tcBorders>
            <w:shd w:val="clear" w:color="auto" w:fill="auto"/>
            <w:vAlign w:val="center"/>
          </w:tcPr>
          <w:p w14:paraId="7434C4B0">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w:t>
            </w:r>
          </w:p>
        </w:tc>
        <w:tc>
          <w:tcPr>
            <w:tcW w:w="1684" w:type="dxa"/>
            <w:tcBorders>
              <w:tl2br w:val="nil"/>
              <w:tr2bl w:val="nil"/>
            </w:tcBorders>
            <w:shd w:val="clear" w:color="auto" w:fill="auto"/>
            <w:vAlign w:val="center"/>
          </w:tcPr>
          <w:p w14:paraId="0A42BB0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紫外线消毒灯</w:t>
            </w:r>
          </w:p>
        </w:tc>
        <w:tc>
          <w:tcPr>
            <w:tcW w:w="1729" w:type="dxa"/>
            <w:tcBorders>
              <w:tl2br w:val="nil"/>
              <w:tr2bl w:val="nil"/>
            </w:tcBorders>
            <w:shd w:val="clear" w:color="auto" w:fill="auto"/>
            <w:vAlign w:val="center"/>
          </w:tcPr>
          <w:p w14:paraId="112537F4">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42FA359B">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规格：490*263*68mm</w:t>
            </w:r>
          </w:p>
          <w:p w14:paraId="1C927C37">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电压(V)：220V</w:t>
            </w:r>
          </w:p>
          <w:p w14:paraId="04DAADF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功率(W)：30W</w:t>
            </w:r>
          </w:p>
          <w:p w14:paraId="61B65623">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固定方式：插入式</w:t>
            </w:r>
          </w:p>
          <w:p w14:paraId="6D97B85D">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5</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适用面积：20㎡-50㎡</w:t>
            </w:r>
          </w:p>
          <w:p w14:paraId="1047D3A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6</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 xml:space="preserve">控制方式：遥控控制 </w:t>
            </w:r>
          </w:p>
          <w:p w14:paraId="6086D476">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 xml:space="preserve">7、▲提供消毒产品生产企业卫生许可证。                                                                                              </w:t>
            </w:r>
          </w:p>
        </w:tc>
        <w:tc>
          <w:tcPr>
            <w:tcW w:w="990" w:type="dxa"/>
            <w:tcBorders>
              <w:tl2br w:val="nil"/>
              <w:tr2bl w:val="nil"/>
            </w:tcBorders>
            <w:shd w:val="clear" w:color="auto" w:fill="auto"/>
            <w:noWrap/>
            <w:vAlign w:val="center"/>
          </w:tcPr>
          <w:p w14:paraId="1FE45AC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6</w:t>
            </w:r>
          </w:p>
        </w:tc>
        <w:tc>
          <w:tcPr>
            <w:tcW w:w="1035" w:type="dxa"/>
            <w:tcBorders>
              <w:tl2br w:val="nil"/>
              <w:tr2bl w:val="nil"/>
            </w:tcBorders>
            <w:shd w:val="clear" w:color="auto" w:fill="auto"/>
            <w:noWrap/>
            <w:vAlign w:val="center"/>
          </w:tcPr>
          <w:p w14:paraId="69B1F215">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根</w:t>
            </w:r>
          </w:p>
        </w:tc>
        <w:tc>
          <w:tcPr>
            <w:tcW w:w="1820" w:type="dxa"/>
            <w:tcBorders>
              <w:tl2br w:val="nil"/>
              <w:tr2bl w:val="nil"/>
            </w:tcBorders>
            <w:shd w:val="clear" w:color="auto" w:fill="auto"/>
            <w:noWrap/>
            <w:vAlign w:val="center"/>
          </w:tcPr>
          <w:p w14:paraId="798E3DD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09600" cy="638175"/>
                  <wp:effectExtent l="0" t="0" r="0" b="1905"/>
                  <wp:docPr id="86"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73" descr="IMG_328"/>
                          <pic:cNvPicPr>
                            <a:picLocks noChangeAspect="1"/>
                          </pic:cNvPicPr>
                        </pic:nvPicPr>
                        <pic:blipFill>
                          <a:blip r:embed="rId70"/>
                          <a:stretch>
                            <a:fillRect/>
                          </a:stretch>
                        </pic:blipFill>
                        <pic:spPr>
                          <a:xfrm>
                            <a:off x="0" y="0"/>
                            <a:ext cx="609600" cy="638175"/>
                          </a:xfrm>
                          <a:prstGeom prst="rect">
                            <a:avLst/>
                          </a:prstGeom>
                          <a:noFill/>
                          <a:ln w="9525">
                            <a:noFill/>
                          </a:ln>
                        </pic:spPr>
                      </pic:pic>
                    </a:graphicData>
                  </a:graphic>
                </wp:inline>
              </w:drawing>
            </w:r>
          </w:p>
        </w:tc>
      </w:tr>
      <w:tr w14:paraId="55F87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080" w:hRule="atLeast"/>
          <w:jc w:val="center"/>
        </w:trPr>
        <w:tc>
          <w:tcPr>
            <w:tcW w:w="762" w:type="dxa"/>
            <w:tcBorders>
              <w:tl2br w:val="nil"/>
              <w:tr2bl w:val="nil"/>
            </w:tcBorders>
            <w:shd w:val="clear" w:color="auto" w:fill="auto"/>
            <w:vAlign w:val="center"/>
          </w:tcPr>
          <w:p w14:paraId="018205C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2</w:t>
            </w:r>
          </w:p>
        </w:tc>
        <w:tc>
          <w:tcPr>
            <w:tcW w:w="1684" w:type="dxa"/>
            <w:tcBorders>
              <w:tl2br w:val="nil"/>
              <w:tr2bl w:val="nil"/>
            </w:tcBorders>
            <w:shd w:val="clear" w:color="auto" w:fill="auto"/>
            <w:vAlign w:val="center"/>
          </w:tcPr>
          <w:p w14:paraId="0F4A9183">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灭蝇灯</w:t>
            </w:r>
          </w:p>
        </w:tc>
        <w:tc>
          <w:tcPr>
            <w:tcW w:w="1729" w:type="dxa"/>
            <w:tcBorders>
              <w:tl2br w:val="nil"/>
              <w:tr2bl w:val="nil"/>
            </w:tcBorders>
            <w:shd w:val="clear" w:color="auto" w:fill="auto"/>
            <w:vAlign w:val="center"/>
          </w:tcPr>
          <w:p w14:paraId="79B6D65F">
            <w:pPr>
              <w:jc w:val="center"/>
              <w:rPr>
                <w:rFonts w:hint="eastAsia" w:ascii="等线" w:hAnsi="等线" w:eastAsia="等线" w:cs="等线"/>
                <w:i w:val="0"/>
                <w:iCs w:val="0"/>
                <w:color w:val="000000"/>
                <w:sz w:val="22"/>
                <w:szCs w:val="22"/>
                <w:highlight w:val="none"/>
                <w:u w:val="none"/>
                <w:lang w:val="en-US" w:eastAsia="zh-CN"/>
              </w:rPr>
            </w:pPr>
            <w:r>
              <w:rPr>
                <w:rFonts w:hint="eastAsia" w:ascii="等线" w:hAnsi="等线" w:eastAsia="等线" w:cs="等线"/>
                <w:i w:val="0"/>
                <w:iCs w:val="0"/>
                <w:color w:val="000000"/>
                <w:sz w:val="22"/>
                <w:szCs w:val="22"/>
                <w:highlight w:val="none"/>
                <w:u w:val="none"/>
                <w:lang w:val="en-US" w:eastAsia="zh-CN"/>
              </w:rPr>
              <w:t>/</w:t>
            </w:r>
          </w:p>
        </w:tc>
        <w:tc>
          <w:tcPr>
            <w:tcW w:w="7095" w:type="dxa"/>
            <w:tcBorders>
              <w:tl2br w:val="nil"/>
              <w:tr2bl w:val="nil"/>
            </w:tcBorders>
            <w:shd w:val="clear" w:color="auto" w:fill="auto"/>
            <w:vAlign w:val="center"/>
          </w:tcPr>
          <w:p w14:paraId="22E890AF">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1</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规格：320*160*260mm</w:t>
            </w:r>
          </w:p>
          <w:p w14:paraId="18129A9A">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2</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电压(V)：220V</w:t>
            </w:r>
          </w:p>
          <w:p w14:paraId="1057DBA4">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3</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功率(W)：6W</w:t>
            </w:r>
          </w:p>
          <w:p w14:paraId="168F50F9">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4</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固定方式：壁挂式</w:t>
            </w:r>
          </w:p>
          <w:p w14:paraId="30F0B36E">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5</w:t>
            </w:r>
            <w:r>
              <w:rPr>
                <w:rFonts w:hint="eastAsia" w:ascii="宋体" w:hAnsi="宋体" w:eastAsia="宋体" w:cs="宋体"/>
                <w:i w:val="0"/>
                <w:iCs w:val="0"/>
                <w:color w:val="000000"/>
                <w:kern w:val="0"/>
                <w:sz w:val="20"/>
                <w:szCs w:val="20"/>
                <w:highlight w:val="none"/>
                <w:u w:val="none"/>
                <w:lang w:val="en-US" w:eastAsia="zh-CN" w:bidi="ar"/>
              </w:rPr>
              <w:t>､</w:t>
            </w:r>
            <w:r>
              <w:rPr>
                <w:rFonts w:hint="eastAsia" w:ascii="等线" w:hAnsi="等线" w:eastAsia="等线" w:cs="等线"/>
                <w:i w:val="0"/>
                <w:iCs w:val="0"/>
                <w:color w:val="000000"/>
                <w:kern w:val="0"/>
                <w:sz w:val="20"/>
                <w:szCs w:val="20"/>
                <w:highlight w:val="none"/>
                <w:u w:val="none"/>
                <w:lang w:val="en-US" w:eastAsia="zh-CN" w:bidi="ar"/>
              </w:rPr>
              <w:t xml:space="preserve">适用面积：20㎡-5㎡                                                                                               </w:t>
            </w:r>
          </w:p>
        </w:tc>
        <w:tc>
          <w:tcPr>
            <w:tcW w:w="990" w:type="dxa"/>
            <w:tcBorders>
              <w:tl2br w:val="nil"/>
              <w:tr2bl w:val="nil"/>
            </w:tcBorders>
            <w:shd w:val="clear" w:color="auto" w:fill="auto"/>
            <w:noWrap/>
            <w:vAlign w:val="center"/>
          </w:tcPr>
          <w:p w14:paraId="25EE086C">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035" w:type="dxa"/>
            <w:tcBorders>
              <w:tl2br w:val="nil"/>
              <w:tr2bl w:val="nil"/>
            </w:tcBorders>
            <w:shd w:val="clear" w:color="auto" w:fill="auto"/>
            <w:noWrap/>
            <w:vAlign w:val="center"/>
          </w:tcPr>
          <w:p w14:paraId="610A779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个</w:t>
            </w:r>
          </w:p>
        </w:tc>
        <w:tc>
          <w:tcPr>
            <w:tcW w:w="1820" w:type="dxa"/>
            <w:tcBorders>
              <w:tl2br w:val="nil"/>
              <w:tr2bl w:val="nil"/>
            </w:tcBorders>
            <w:shd w:val="clear" w:color="auto" w:fill="auto"/>
            <w:noWrap/>
            <w:vAlign w:val="center"/>
          </w:tcPr>
          <w:p w14:paraId="50D3185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685800" cy="600075"/>
                  <wp:effectExtent l="0" t="0" r="0" b="9525"/>
                  <wp:docPr id="87"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74" descr="IMG_329"/>
                          <pic:cNvPicPr>
                            <a:picLocks noChangeAspect="1"/>
                          </pic:cNvPicPr>
                        </pic:nvPicPr>
                        <pic:blipFill>
                          <a:blip r:embed="rId71"/>
                          <a:stretch>
                            <a:fillRect/>
                          </a:stretch>
                        </pic:blipFill>
                        <pic:spPr>
                          <a:xfrm>
                            <a:off x="0" y="0"/>
                            <a:ext cx="685800" cy="600075"/>
                          </a:xfrm>
                          <a:prstGeom prst="rect">
                            <a:avLst/>
                          </a:prstGeom>
                          <a:noFill/>
                          <a:ln w="9525">
                            <a:noFill/>
                          </a:ln>
                        </pic:spPr>
                      </pic:pic>
                    </a:graphicData>
                  </a:graphic>
                </wp:inline>
              </w:drawing>
            </w:r>
          </w:p>
        </w:tc>
      </w:tr>
      <w:tr w14:paraId="7DC3E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400" w:hRule="atLeast"/>
          <w:jc w:val="center"/>
        </w:trPr>
        <w:tc>
          <w:tcPr>
            <w:tcW w:w="762" w:type="dxa"/>
            <w:tcBorders>
              <w:tl2br w:val="nil"/>
              <w:tr2bl w:val="nil"/>
            </w:tcBorders>
            <w:shd w:val="clear" w:color="auto" w:fill="auto"/>
            <w:vAlign w:val="center"/>
          </w:tcPr>
          <w:p w14:paraId="0DAB06A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w:t>
            </w:r>
          </w:p>
        </w:tc>
        <w:tc>
          <w:tcPr>
            <w:tcW w:w="1684" w:type="dxa"/>
            <w:tcBorders>
              <w:tl2br w:val="nil"/>
              <w:tr2bl w:val="nil"/>
            </w:tcBorders>
            <w:shd w:val="clear" w:color="auto" w:fill="auto"/>
            <w:vAlign w:val="center"/>
          </w:tcPr>
          <w:p w14:paraId="6422B8A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六人餐桌椅</w:t>
            </w:r>
          </w:p>
        </w:tc>
        <w:tc>
          <w:tcPr>
            <w:tcW w:w="1729" w:type="dxa"/>
            <w:tcBorders>
              <w:tl2br w:val="nil"/>
              <w:tr2bl w:val="nil"/>
            </w:tcBorders>
            <w:shd w:val="clear" w:color="auto" w:fill="auto"/>
            <w:vAlign w:val="center"/>
          </w:tcPr>
          <w:p w14:paraId="2D173234">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1600*1400*750</w:t>
            </w:r>
          </w:p>
        </w:tc>
        <w:tc>
          <w:tcPr>
            <w:tcW w:w="7095" w:type="dxa"/>
            <w:tcBorders>
              <w:tl2br w:val="nil"/>
              <w:tr2bl w:val="nil"/>
            </w:tcBorders>
            <w:shd w:val="clear" w:color="auto" w:fill="auto"/>
            <w:vAlign w:val="center"/>
          </w:tcPr>
          <w:p w14:paraId="4BA667A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桌面为采用优质高密度板，高度750mm，不锈钢304包面。</w:t>
            </w:r>
          </w:p>
          <w:p w14:paraId="10A86022">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凳面厚度不小于25mm的优质高密度板，不锈钢304包面。</w:t>
            </w:r>
          </w:p>
          <w:p w14:paraId="5C5A9D52">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桌架采用50*50*1.3mm钢管焊接，必须经过酸洗、磷化、静电喷塑工艺， ABS脚套。</w:t>
            </w:r>
          </w:p>
        </w:tc>
        <w:tc>
          <w:tcPr>
            <w:tcW w:w="990" w:type="dxa"/>
            <w:tcBorders>
              <w:tl2br w:val="nil"/>
              <w:tr2bl w:val="nil"/>
            </w:tcBorders>
            <w:shd w:val="clear" w:color="auto" w:fill="auto"/>
            <w:noWrap/>
            <w:vAlign w:val="center"/>
          </w:tcPr>
          <w:p w14:paraId="05F2DE79">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70</w:t>
            </w:r>
          </w:p>
        </w:tc>
        <w:tc>
          <w:tcPr>
            <w:tcW w:w="1035" w:type="dxa"/>
            <w:tcBorders>
              <w:tl2br w:val="nil"/>
              <w:tr2bl w:val="nil"/>
            </w:tcBorders>
            <w:shd w:val="clear" w:color="auto" w:fill="auto"/>
            <w:noWrap/>
            <w:vAlign w:val="center"/>
          </w:tcPr>
          <w:p w14:paraId="4EDF5FFD">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张</w:t>
            </w:r>
          </w:p>
        </w:tc>
        <w:tc>
          <w:tcPr>
            <w:tcW w:w="1820" w:type="dxa"/>
            <w:tcBorders>
              <w:tl2br w:val="nil"/>
              <w:tr2bl w:val="nil"/>
            </w:tcBorders>
            <w:shd w:val="clear" w:color="auto" w:fill="auto"/>
            <w:noWrap/>
            <w:vAlign w:val="center"/>
          </w:tcPr>
          <w:p w14:paraId="2FCBFC9B">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923925" cy="638175"/>
                  <wp:effectExtent l="0" t="0" r="5715" b="1905"/>
                  <wp:docPr id="88"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75" descr="IMG_330"/>
                          <pic:cNvPicPr>
                            <a:picLocks noChangeAspect="1"/>
                          </pic:cNvPicPr>
                        </pic:nvPicPr>
                        <pic:blipFill>
                          <a:blip r:embed="rId72"/>
                          <a:stretch>
                            <a:fillRect/>
                          </a:stretch>
                        </pic:blipFill>
                        <pic:spPr>
                          <a:xfrm>
                            <a:off x="0" y="0"/>
                            <a:ext cx="923925" cy="638175"/>
                          </a:xfrm>
                          <a:prstGeom prst="rect">
                            <a:avLst/>
                          </a:prstGeom>
                          <a:noFill/>
                          <a:ln w="9525">
                            <a:noFill/>
                          </a:ln>
                        </pic:spPr>
                      </pic:pic>
                    </a:graphicData>
                  </a:graphic>
                </wp:inline>
              </w:drawing>
            </w:r>
          </w:p>
        </w:tc>
      </w:tr>
      <w:tr w14:paraId="47661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400" w:hRule="atLeast"/>
          <w:jc w:val="center"/>
        </w:trPr>
        <w:tc>
          <w:tcPr>
            <w:tcW w:w="762" w:type="dxa"/>
            <w:tcBorders>
              <w:tl2br w:val="nil"/>
              <w:tr2bl w:val="nil"/>
            </w:tcBorders>
            <w:shd w:val="clear" w:color="auto" w:fill="auto"/>
            <w:vAlign w:val="center"/>
          </w:tcPr>
          <w:p w14:paraId="1F89FCA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4</w:t>
            </w:r>
          </w:p>
        </w:tc>
        <w:tc>
          <w:tcPr>
            <w:tcW w:w="1684" w:type="dxa"/>
            <w:tcBorders>
              <w:tl2br w:val="nil"/>
              <w:tr2bl w:val="nil"/>
            </w:tcBorders>
            <w:shd w:val="clear" w:color="auto" w:fill="auto"/>
            <w:vAlign w:val="center"/>
          </w:tcPr>
          <w:p w14:paraId="57A3FF5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四人餐桌椅</w:t>
            </w:r>
          </w:p>
        </w:tc>
        <w:tc>
          <w:tcPr>
            <w:tcW w:w="1729" w:type="dxa"/>
            <w:tcBorders>
              <w:tl2br w:val="nil"/>
              <w:tr2bl w:val="nil"/>
            </w:tcBorders>
            <w:shd w:val="clear" w:color="auto" w:fill="auto"/>
            <w:vAlign w:val="center"/>
          </w:tcPr>
          <w:p w14:paraId="6DA5A13F">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1200*1400*750</w:t>
            </w:r>
          </w:p>
        </w:tc>
        <w:tc>
          <w:tcPr>
            <w:tcW w:w="7095" w:type="dxa"/>
            <w:tcBorders>
              <w:tl2br w:val="nil"/>
              <w:tr2bl w:val="nil"/>
            </w:tcBorders>
            <w:shd w:val="clear" w:color="auto" w:fill="auto"/>
            <w:vAlign w:val="center"/>
          </w:tcPr>
          <w:p w14:paraId="1BAC005C">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桌面为采用优质高密度板，高度750mm，不锈钢包面。</w:t>
            </w:r>
          </w:p>
          <w:p w14:paraId="05CFED95">
            <w:pPr>
              <w:keepNext w:val="0"/>
              <w:keepLines w:val="0"/>
              <w:widowControl/>
              <w:suppressLineNumbers w:val="0"/>
              <w:jc w:val="left"/>
              <w:textAlignment w:val="center"/>
              <w:rPr>
                <w:rFonts w:hint="eastAsia" w:ascii="等线" w:hAnsi="等线" w:eastAsia="等线" w:cs="等线"/>
                <w:i w:val="0"/>
                <w:iCs w:val="0"/>
                <w:color w:val="000000"/>
                <w:kern w:val="0"/>
                <w:sz w:val="20"/>
                <w:szCs w:val="20"/>
                <w:highlight w:val="none"/>
                <w:u w:val="none"/>
                <w:lang w:val="en-US" w:eastAsia="zh-CN" w:bidi="ar"/>
              </w:rPr>
            </w:pPr>
            <w:r>
              <w:rPr>
                <w:rFonts w:hint="eastAsia" w:ascii="等线" w:hAnsi="等线" w:eastAsia="等线" w:cs="等线"/>
                <w:i w:val="0"/>
                <w:iCs w:val="0"/>
                <w:color w:val="000000"/>
                <w:kern w:val="0"/>
                <w:sz w:val="20"/>
                <w:szCs w:val="20"/>
                <w:highlight w:val="none"/>
                <w:u w:val="none"/>
                <w:lang w:val="en-US" w:eastAsia="zh-CN" w:bidi="ar"/>
              </w:rPr>
              <w:t>凳面厚度不小于25mm的优质高密度板，不锈钢包面。</w:t>
            </w:r>
          </w:p>
          <w:p w14:paraId="399A7E03">
            <w:pPr>
              <w:keepNext w:val="0"/>
              <w:keepLines w:val="0"/>
              <w:widowControl/>
              <w:suppressLineNumbers w:val="0"/>
              <w:jc w:val="left"/>
              <w:textAlignment w:val="center"/>
              <w:rPr>
                <w:rFonts w:hint="eastAsia" w:ascii="等线" w:hAnsi="等线" w:eastAsia="等线" w:cs="等线"/>
                <w:i w:val="0"/>
                <w:iCs w:val="0"/>
                <w:color w:val="000000"/>
                <w:sz w:val="20"/>
                <w:szCs w:val="20"/>
                <w:highlight w:val="none"/>
                <w:u w:val="none"/>
              </w:rPr>
            </w:pPr>
            <w:r>
              <w:rPr>
                <w:rFonts w:hint="eastAsia" w:ascii="等线" w:hAnsi="等线" w:eastAsia="等线" w:cs="等线"/>
                <w:i w:val="0"/>
                <w:iCs w:val="0"/>
                <w:color w:val="000000"/>
                <w:kern w:val="0"/>
                <w:sz w:val="20"/>
                <w:szCs w:val="20"/>
                <w:highlight w:val="none"/>
                <w:u w:val="none"/>
                <w:lang w:val="en-US" w:eastAsia="zh-CN" w:bidi="ar"/>
              </w:rPr>
              <w:t>桌架采用50*50*1.3mm钢管焊接，必须经过酸洗、磷化、静电喷塑工艺， ABS脚套。</w:t>
            </w:r>
          </w:p>
        </w:tc>
        <w:tc>
          <w:tcPr>
            <w:tcW w:w="990" w:type="dxa"/>
            <w:tcBorders>
              <w:tl2br w:val="nil"/>
              <w:tr2bl w:val="nil"/>
            </w:tcBorders>
            <w:shd w:val="clear" w:color="auto" w:fill="auto"/>
            <w:noWrap/>
            <w:vAlign w:val="center"/>
          </w:tcPr>
          <w:p w14:paraId="1EFB8A58">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30</w:t>
            </w:r>
          </w:p>
        </w:tc>
        <w:tc>
          <w:tcPr>
            <w:tcW w:w="1035" w:type="dxa"/>
            <w:tcBorders>
              <w:tl2br w:val="nil"/>
              <w:tr2bl w:val="nil"/>
            </w:tcBorders>
            <w:shd w:val="clear" w:color="auto" w:fill="auto"/>
            <w:noWrap/>
            <w:vAlign w:val="center"/>
          </w:tcPr>
          <w:p w14:paraId="0288787E">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t>张</w:t>
            </w:r>
          </w:p>
        </w:tc>
        <w:tc>
          <w:tcPr>
            <w:tcW w:w="1820" w:type="dxa"/>
            <w:tcBorders>
              <w:tl2br w:val="nil"/>
              <w:tr2bl w:val="nil"/>
            </w:tcBorders>
            <w:shd w:val="clear" w:color="auto" w:fill="auto"/>
            <w:noWrap/>
            <w:vAlign w:val="center"/>
          </w:tcPr>
          <w:p w14:paraId="7F41F6D6">
            <w:pPr>
              <w:keepNext w:val="0"/>
              <w:keepLines w:val="0"/>
              <w:widowControl/>
              <w:suppressLineNumbers w:val="0"/>
              <w:jc w:val="center"/>
              <w:textAlignment w:val="center"/>
              <w:rPr>
                <w:rFonts w:hint="eastAsia" w:ascii="等线" w:hAnsi="等线" w:eastAsia="等线" w:cs="等线"/>
                <w:i w:val="0"/>
                <w:iCs w:val="0"/>
                <w:color w:val="000000"/>
                <w:sz w:val="22"/>
                <w:szCs w:val="22"/>
                <w:highlight w:val="none"/>
                <w:u w:val="none"/>
              </w:rPr>
            </w:pPr>
            <w:r>
              <w:rPr>
                <w:rFonts w:hint="eastAsia" w:ascii="等线" w:hAnsi="等线" w:eastAsia="等线" w:cs="等线"/>
                <w:i w:val="0"/>
                <w:iCs w:val="0"/>
                <w:color w:val="000000"/>
                <w:kern w:val="0"/>
                <w:sz w:val="22"/>
                <w:szCs w:val="22"/>
                <w:highlight w:val="none"/>
                <w:u w:val="none"/>
                <w:lang w:val="en-US" w:eastAsia="zh-CN" w:bidi="ar"/>
              </w:rPr>
              <w:drawing>
                <wp:inline distT="0" distB="0" distL="114300" distR="114300">
                  <wp:extent cx="942975" cy="638175"/>
                  <wp:effectExtent l="0" t="0" r="1905" b="1905"/>
                  <wp:docPr id="89"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76" descr="IMG_331"/>
                          <pic:cNvPicPr>
                            <a:picLocks noChangeAspect="1"/>
                          </pic:cNvPicPr>
                        </pic:nvPicPr>
                        <pic:blipFill>
                          <a:blip r:embed="rId73"/>
                          <a:stretch>
                            <a:fillRect/>
                          </a:stretch>
                        </pic:blipFill>
                        <pic:spPr>
                          <a:xfrm>
                            <a:off x="0" y="0"/>
                            <a:ext cx="942975" cy="638175"/>
                          </a:xfrm>
                          <a:prstGeom prst="rect">
                            <a:avLst/>
                          </a:prstGeom>
                          <a:noFill/>
                          <a:ln w="9525">
                            <a:noFill/>
                          </a:ln>
                        </pic:spPr>
                      </pic:pic>
                    </a:graphicData>
                  </a:graphic>
                </wp:inline>
              </w:drawing>
            </w:r>
          </w:p>
        </w:tc>
      </w:tr>
    </w:tbl>
    <w:p w14:paraId="1CE96C47">
      <w:pPr>
        <w:keepNext w:val="0"/>
        <w:keepLines/>
        <w:pageBreakBefore w:val="0"/>
        <w:kinsoku/>
        <w:wordWrap/>
        <w:overflowPunct/>
        <w:topLinePunct w:val="0"/>
        <w:autoSpaceDE/>
        <w:autoSpaceDN/>
        <w:bidi w:val="0"/>
        <w:adjustRightInd w:val="0"/>
        <w:snapToGrid/>
        <w:spacing w:beforeAutospacing="0" w:afterAutospacing="0" w:line="360" w:lineRule="auto"/>
        <w:ind w:left="0" w:leftChars="0" w:firstLine="602" w:firstLineChars="250"/>
        <w:jc w:val="left"/>
        <w:textAlignment w:val="auto"/>
        <w:rPr>
          <w:rFonts w:ascii="宋体" w:hAnsi="宋体"/>
          <w:b/>
          <w:sz w:val="24"/>
          <w:highlight w:val="none"/>
        </w:rPr>
      </w:pPr>
      <w:r>
        <w:rPr>
          <w:rFonts w:ascii="宋体" w:hAnsi="宋体"/>
          <w:b/>
          <w:sz w:val="24"/>
          <w:highlight w:val="none"/>
        </w:rPr>
        <w:t>注：1</w:t>
      </w:r>
      <w:r>
        <w:rPr>
          <w:rFonts w:hint="eastAsia" w:ascii="宋体" w:hAnsi="宋体"/>
          <w:b/>
          <w:sz w:val="24"/>
          <w:highlight w:val="none"/>
        </w:rPr>
        <w:t>.</w:t>
      </w:r>
      <w:r>
        <w:rPr>
          <w:rFonts w:ascii="宋体" w:hAnsi="宋体"/>
          <w:b/>
          <w:sz w:val="24"/>
          <w:highlight w:val="none"/>
        </w:rPr>
        <w:t>本次采购商品中的钢制材料标准不低于304不锈钢。</w:t>
      </w:r>
    </w:p>
    <w:p w14:paraId="39E386DD">
      <w:pPr>
        <w:keepNext w:val="0"/>
        <w:keepLines/>
        <w:pageBreakBefore w:val="0"/>
        <w:kinsoku/>
        <w:wordWrap/>
        <w:overflowPunct/>
        <w:topLinePunct w:val="0"/>
        <w:autoSpaceDE/>
        <w:autoSpaceDN/>
        <w:bidi w:val="0"/>
        <w:adjustRightInd w:val="0"/>
        <w:snapToGrid/>
        <w:spacing w:beforeAutospacing="0" w:afterAutospacing="0" w:line="360" w:lineRule="auto"/>
        <w:ind w:left="0" w:leftChars="0" w:firstLine="602" w:firstLineChars="250"/>
        <w:jc w:val="left"/>
        <w:textAlignment w:val="auto"/>
        <w:rPr>
          <w:rFonts w:ascii="宋体" w:hAnsi="宋体"/>
          <w:b/>
          <w:sz w:val="24"/>
          <w:highlight w:val="none"/>
        </w:rPr>
      </w:pPr>
      <w:r>
        <w:rPr>
          <w:rFonts w:hint="eastAsia" w:ascii="宋体" w:hAnsi="宋体"/>
          <w:b/>
          <w:sz w:val="24"/>
          <w:highlight w:val="none"/>
          <w:lang w:val="en-US" w:eastAsia="zh-CN"/>
        </w:rPr>
        <w:t>2</w:t>
      </w:r>
      <w:r>
        <w:rPr>
          <w:rFonts w:hint="eastAsia" w:ascii="宋体" w:hAnsi="宋体"/>
          <w:b/>
          <w:sz w:val="24"/>
          <w:highlight w:val="none"/>
        </w:rPr>
        <w:t>.</w:t>
      </w:r>
      <w:r>
        <w:rPr>
          <w:rFonts w:ascii="宋体" w:hAnsi="宋体"/>
          <w:b/>
          <w:sz w:val="24"/>
          <w:highlight w:val="none"/>
        </w:rPr>
        <w:t>以上规格未标注的单位均为mm,所有规格</w:t>
      </w:r>
      <w:r>
        <w:rPr>
          <w:rFonts w:hint="eastAsia" w:ascii="宋体" w:hAnsi="宋体"/>
          <w:b/>
          <w:sz w:val="24"/>
          <w:highlight w:val="none"/>
        </w:rPr>
        <w:t>、图片</w:t>
      </w:r>
      <w:r>
        <w:rPr>
          <w:rFonts w:ascii="宋体" w:hAnsi="宋体"/>
          <w:b/>
          <w:sz w:val="24"/>
          <w:highlight w:val="none"/>
        </w:rPr>
        <w:t>均为参考，在供货时需符合</w:t>
      </w:r>
      <w:r>
        <w:rPr>
          <w:rFonts w:hint="eastAsia" w:ascii="宋体" w:hAnsi="宋体"/>
          <w:b/>
          <w:sz w:val="24"/>
          <w:highlight w:val="none"/>
        </w:rPr>
        <w:t>学校</w:t>
      </w:r>
      <w:r>
        <w:rPr>
          <w:rFonts w:ascii="宋体" w:hAnsi="宋体"/>
          <w:b/>
          <w:sz w:val="24"/>
          <w:highlight w:val="none"/>
        </w:rPr>
        <w:t>厨房场地量身供货。</w:t>
      </w:r>
    </w:p>
    <w:p w14:paraId="61CBF09F">
      <w:pPr>
        <w:keepNext w:val="0"/>
        <w:keepLines/>
        <w:pageBreakBefore w:val="0"/>
        <w:kinsoku/>
        <w:wordWrap/>
        <w:overflowPunct/>
        <w:topLinePunct w:val="0"/>
        <w:autoSpaceDE/>
        <w:autoSpaceDN/>
        <w:bidi w:val="0"/>
        <w:adjustRightInd w:val="0"/>
        <w:snapToGrid/>
        <w:spacing w:beforeAutospacing="0" w:afterAutospacing="0" w:line="360" w:lineRule="auto"/>
        <w:ind w:left="0" w:leftChars="0" w:firstLine="602" w:firstLineChars="250"/>
        <w:jc w:val="left"/>
        <w:textAlignment w:val="auto"/>
        <w:rPr>
          <w:rFonts w:ascii="宋体" w:hAnsi="宋体"/>
          <w:b/>
          <w:sz w:val="24"/>
          <w:highlight w:val="none"/>
        </w:rPr>
      </w:pPr>
      <w:r>
        <w:rPr>
          <w:rFonts w:hint="eastAsia" w:ascii="宋体" w:hAnsi="宋体"/>
          <w:b/>
          <w:sz w:val="24"/>
          <w:highlight w:val="none"/>
          <w:lang w:val="en-US" w:eastAsia="zh-CN"/>
        </w:rPr>
        <w:t>3</w:t>
      </w:r>
      <w:r>
        <w:rPr>
          <w:rFonts w:hint="eastAsia" w:ascii="宋体" w:hAnsi="宋体"/>
          <w:b/>
          <w:sz w:val="24"/>
          <w:highlight w:val="none"/>
        </w:rPr>
        <w:t>.</w:t>
      </w:r>
      <w:r>
        <w:rPr>
          <w:rFonts w:ascii="宋体" w:hAnsi="宋体"/>
          <w:b/>
          <w:sz w:val="24"/>
          <w:highlight w:val="none"/>
        </w:rPr>
        <w:t>具体数量根据采购人实际需求，中标单价固定，结算按实计量。</w:t>
      </w:r>
    </w:p>
    <w:p w14:paraId="09CBF3FA">
      <w:pPr>
        <w:keepNext w:val="0"/>
        <w:keepLines/>
        <w:pageBreakBefore w:val="0"/>
        <w:kinsoku/>
        <w:wordWrap/>
        <w:overflowPunct/>
        <w:topLinePunct w:val="0"/>
        <w:autoSpaceDE/>
        <w:autoSpaceDN/>
        <w:bidi w:val="0"/>
        <w:adjustRightInd w:val="0"/>
        <w:snapToGrid/>
        <w:spacing w:beforeAutospacing="0" w:afterAutospacing="0" w:line="360" w:lineRule="auto"/>
        <w:ind w:left="0" w:leftChars="0" w:firstLine="602" w:firstLineChars="250"/>
        <w:jc w:val="left"/>
        <w:textAlignment w:val="auto"/>
        <w:rPr>
          <w:rFonts w:ascii="宋体" w:hAnsi="宋体"/>
          <w:b/>
          <w:sz w:val="24"/>
          <w:highlight w:val="none"/>
        </w:rPr>
      </w:pPr>
      <w:r>
        <w:rPr>
          <w:rFonts w:hint="eastAsia" w:ascii="宋体" w:hAnsi="宋体"/>
          <w:b/>
          <w:sz w:val="24"/>
          <w:highlight w:val="none"/>
          <w:lang w:val="en-US" w:eastAsia="zh-CN"/>
        </w:rPr>
        <w:t>4</w:t>
      </w:r>
      <w:r>
        <w:rPr>
          <w:rFonts w:hint="eastAsia" w:ascii="宋体" w:hAnsi="宋体"/>
          <w:b/>
          <w:sz w:val="24"/>
          <w:highlight w:val="none"/>
        </w:rPr>
        <w:t>.</w:t>
      </w:r>
      <w:r>
        <w:rPr>
          <w:rFonts w:ascii="宋体" w:hAnsi="宋体"/>
          <w:b/>
          <w:sz w:val="24"/>
          <w:highlight w:val="none"/>
        </w:rPr>
        <w:t>所有电器均需符合国家或行业产品标准要求，在电器设备上须有明确的原厂铭牌标识及电器执行标准。</w:t>
      </w:r>
    </w:p>
    <w:p w14:paraId="263F66A9">
      <w:pPr>
        <w:pStyle w:val="48"/>
        <w:keepNext w:val="0"/>
        <w:pageBreakBefore w:val="0"/>
        <w:kinsoku/>
        <w:wordWrap/>
        <w:overflowPunct/>
        <w:topLinePunct w:val="0"/>
        <w:autoSpaceDE/>
        <w:autoSpaceDN/>
        <w:bidi w:val="0"/>
        <w:adjustRightInd w:val="0"/>
        <w:snapToGrid/>
        <w:spacing w:beforeAutospacing="0" w:afterAutospacing="0" w:line="360" w:lineRule="auto"/>
        <w:ind w:left="0" w:leftChars="0" w:firstLine="723" w:firstLineChars="300"/>
        <w:jc w:val="left"/>
        <w:textAlignment w:val="auto"/>
        <w:rPr>
          <w:rFonts w:hint="eastAsia" w:ascii="宋体" w:hAnsi="宋体" w:eastAsia="宋体" w:cs="Times New Roman"/>
          <w:b/>
          <w:kern w:val="2"/>
          <w:sz w:val="24"/>
          <w:szCs w:val="24"/>
          <w:highlight w:val="none"/>
          <w:lang w:val="en-US" w:eastAsia="zh-CN" w:bidi="ar-SA"/>
        </w:rPr>
        <w:sectPr>
          <w:headerReference r:id="rId11" w:type="default"/>
          <w:footerReference r:id="rId12" w:type="default"/>
          <w:pgSz w:w="16838" w:h="11906" w:orient="landscape"/>
          <w:pgMar w:top="1417" w:right="1134" w:bottom="1134" w:left="1417"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eastAsia="宋体" w:cs="Times New Roman"/>
          <w:b/>
          <w:kern w:val="2"/>
          <w:sz w:val="24"/>
          <w:szCs w:val="24"/>
          <w:highlight w:val="none"/>
          <w:lang w:val="en-US" w:eastAsia="zh-CN" w:bidi="ar-SA"/>
        </w:rPr>
        <w:t>5.所有水池等溶器下水与排水管道连接均采用金属管材，所有的进水龙头均含安装所需的软管及角阀，连接根据学校食堂实际操作，美观大方</w:t>
      </w:r>
      <w:r>
        <w:rPr>
          <w:rFonts w:hint="eastAsia" w:ascii="宋体" w:hAnsi="宋体" w:cs="Times New Roman"/>
          <w:b/>
          <w:kern w:val="2"/>
          <w:sz w:val="24"/>
          <w:szCs w:val="24"/>
          <w:highlight w:val="none"/>
          <w:lang w:val="en-US" w:eastAsia="zh-CN" w:bidi="ar-SA"/>
        </w:rPr>
        <w:t>。</w:t>
      </w:r>
    </w:p>
    <w:p w14:paraId="56B30DD1">
      <w:pPr>
        <w:rPr>
          <w:b/>
          <w:bCs/>
          <w:highlight w:val="none"/>
        </w:rPr>
      </w:pPr>
    </w:p>
    <w:p w14:paraId="6B09C215">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二、服务质量与要求</w:t>
      </w:r>
    </w:p>
    <w:p w14:paraId="26C82A5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1、供应商必须对货物提供维修维护服务，并负责售后服务，货物的</w:t>
      </w:r>
      <w:r>
        <w:rPr>
          <w:rFonts w:hint="eastAsia" w:ascii="宋体" w:hAnsi="宋体" w:eastAsia="宋体" w:cs="宋体"/>
          <w:b/>
          <w:color w:val="000000"/>
          <w:kern w:val="0"/>
          <w:sz w:val="24"/>
          <w:szCs w:val="24"/>
          <w:highlight w:val="none"/>
        </w:rPr>
        <w:t>质保期不少于2年</w:t>
      </w:r>
      <w:r>
        <w:rPr>
          <w:rFonts w:hint="eastAsia" w:ascii="宋体" w:hAnsi="宋体" w:eastAsia="宋体" w:cs="宋体"/>
          <w:color w:val="000000"/>
          <w:kern w:val="0"/>
          <w:sz w:val="24"/>
          <w:szCs w:val="24"/>
          <w:highlight w:val="none"/>
        </w:rPr>
        <w:t>，质保期内的维修费用（包括材料）全部由中标人负责，质保期后的维修按成本价酌情收费。</w:t>
      </w:r>
    </w:p>
    <w:p w14:paraId="79B7231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rPr>
        <w:t>2、</w:t>
      </w:r>
      <w:r>
        <w:rPr>
          <w:rFonts w:hint="eastAsia" w:ascii="宋体" w:hAnsi="宋体" w:eastAsia="宋体" w:cs="宋体"/>
          <w:sz w:val="24"/>
          <w:szCs w:val="24"/>
          <w:highlight w:val="none"/>
        </w:rPr>
        <w:t>在投标货物质保期内，供应商应提供不低于7*8小时的现场质保和技术支持服务，对故障在</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分钟内响应，</w:t>
      </w:r>
      <w:r>
        <w:rPr>
          <w:rFonts w:hint="eastAsia" w:ascii="宋体" w:hAnsi="宋体" w:eastAsia="宋体" w:cs="宋体"/>
          <w:sz w:val="24"/>
          <w:szCs w:val="24"/>
          <w:highlight w:val="none"/>
          <w:lang w:val="en-US" w:eastAsia="zh-CN"/>
        </w:rPr>
        <w:t>60</w:t>
      </w:r>
      <w:r>
        <w:rPr>
          <w:rFonts w:hint="eastAsia" w:ascii="宋体" w:hAnsi="宋体" w:eastAsia="宋体" w:cs="宋体"/>
          <w:sz w:val="24"/>
          <w:szCs w:val="24"/>
          <w:highlight w:val="none"/>
        </w:rPr>
        <w:t>分钟以内解决问题；不能当场修复的，必须采取提供备品、备件或备机等措施，以保证采购单位的正常使用。如果逾期未作出响应，供应商应承担由于故障所造成的全部损失。</w:t>
      </w:r>
    </w:p>
    <w:p w14:paraId="6D84C1C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r>
        <w:rPr>
          <w:rFonts w:hint="eastAsia" w:ascii="宋体" w:hAnsi="宋体" w:eastAsia="宋体" w:cs="宋体"/>
          <w:sz w:val="24"/>
          <w:szCs w:val="24"/>
          <w:highlight w:val="none"/>
        </w:rPr>
        <w:t>项目清单中的规格尺寸为参考尺寸，本项目设备为定制产品，供应商须自行前往现场踏勘，确定设备尺寸、布置等安装条件，以确定产品尺寸是否符合现场条件，在设备安装时，供应商须无条件修正订制产品以满足采购人的要求，不能满足要求的，采购人有权拒绝接受，并有权</w:t>
      </w:r>
      <w:r>
        <w:rPr>
          <w:rFonts w:hint="eastAsia" w:ascii="宋体" w:hAnsi="宋体" w:eastAsia="宋体" w:cs="宋体"/>
          <w:kern w:val="0"/>
          <w:sz w:val="24"/>
          <w:szCs w:val="24"/>
          <w:highlight w:val="none"/>
        </w:rPr>
        <w:t>解除合同，拒付货款。</w:t>
      </w:r>
      <w:r>
        <w:rPr>
          <w:rFonts w:hint="eastAsia" w:ascii="宋体" w:hAnsi="宋体" w:eastAsia="宋体" w:cs="宋体"/>
          <w:sz w:val="24"/>
          <w:szCs w:val="24"/>
          <w:highlight w:val="none"/>
        </w:rPr>
        <w:t>如供应商未进行现场踏勘，因此而产生的后果均由供应商负责，与采购方无关。供应商须注意报价风险。</w:t>
      </w:r>
    </w:p>
    <w:p w14:paraId="21CDB29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4、供应商必须保证所供货物全新、正宗、原包装，至用户手中前不拆封。</w:t>
      </w:r>
    </w:p>
    <w:p w14:paraId="4155875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5、产品安装完毕后，由采购单位组织专业人员验收。验收以国家行业标准为基础，结合本次采购文件和正式合同为依据进行。如不符要求，一律返工，直到符合要求为止，否则拒付货款。</w:t>
      </w:r>
    </w:p>
    <w:p w14:paraId="249C0E7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6、供应商应根据招标项目内容要求确定投标报价。包括设备费（包括必备的附件）、安装材料费、运输装卸费、安装调试费和税费等一切费用，为交钥匙工程，如有漏项，视同已包含在总项目中。</w:t>
      </w:r>
    </w:p>
    <w:p w14:paraId="5DC49C2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7、本项目所有设备、材料数量均以采购人实际需求为准，按实结算。</w:t>
      </w:r>
    </w:p>
    <w:p w14:paraId="6013D83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10"/>
        <w:textAlignment w:val="auto"/>
        <w:rPr>
          <w:rFonts w:hint="eastAsia" w:ascii="宋体" w:hAnsi="宋体" w:eastAsia="宋体" w:cs="宋体"/>
          <w:kern w:val="0"/>
          <w:sz w:val="24"/>
          <w:szCs w:val="24"/>
          <w:highlight w:val="none"/>
        </w:rPr>
      </w:pPr>
      <w:r>
        <w:rPr>
          <w:rFonts w:hint="eastAsia" w:ascii="宋体" w:hAnsi="宋体" w:eastAsia="宋体" w:cs="宋体"/>
          <w:color w:val="000000"/>
          <w:kern w:val="0"/>
          <w:sz w:val="24"/>
          <w:szCs w:val="24"/>
          <w:highlight w:val="none"/>
        </w:rPr>
        <w:t>8、</w:t>
      </w:r>
      <w:r>
        <w:rPr>
          <w:rFonts w:hint="eastAsia" w:ascii="宋体" w:hAnsi="宋体" w:eastAsia="宋体" w:cs="宋体"/>
          <w:sz w:val="24"/>
          <w:szCs w:val="24"/>
          <w:highlight w:val="none"/>
        </w:rPr>
        <w:t>所投设备供货时要求提供所投产品的原厂证明，提供本项目的设备材质证明，设备使用说明书、保修卡等必要的有关资料，产品须符合行业质量认证，具有出厂合格证明及检测报告等，</w:t>
      </w:r>
      <w:r>
        <w:rPr>
          <w:rFonts w:hint="eastAsia" w:ascii="宋体" w:hAnsi="宋体" w:eastAsia="宋体" w:cs="宋体"/>
          <w:kern w:val="0"/>
          <w:sz w:val="24"/>
          <w:szCs w:val="24"/>
          <w:highlight w:val="none"/>
        </w:rPr>
        <w:t>采购人</w:t>
      </w:r>
      <w:r>
        <w:rPr>
          <w:rFonts w:hint="eastAsia" w:ascii="宋体" w:hAnsi="宋体" w:eastAsia="宋体" w:cs="宋体"/>
          <w:sz w:val="24"/>
          <w:szCs w:val="24"/>
          <w:highlight w:val="none"/>
        </w:rPr>
        <w:t>要求提供而不能提供的，</w:t>
      </w:r>
      <w:r>
        <w:rPr>
          <w:rFonts w:hint="eastAsia" w:ascii="宋体" w:hAnsi="宋体" w:eastAsia="宋体" w:cs="宋体"/>
          <w:kern w:val="0"/>
          <w:sz w:val="24"/>
          <w:szCs w:val="24"/>
          <w:highlight w:val="none"/>
        </w:rPr>
        <w:t>采购人有权解除合同，拒付货款。</w:t>
      </w:r>
    </w:p>
    <w:p w14:paraId="36BB133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供应商在采购前，须将采购供货的品牌和基本相关资料报送采购人，经采购人认可同意后方可进行采购和供货。在交付安装前必须提供样品，并经采购人确认同意后方可安装，否则采购人有权要求中标供应商无条件</w:t>
      </w:r>
      <w:r>
        <w:rPr>
          <w:rFonts w:hint="eastAsia" w:ascii="宋体" w:hAnsi="宋体" w:eastAsia="宋体" w:cs="宋体"/>
          <w:bCs/>
          <w:color w:val="000000"/>
          <w:sz w:val="24"/>
          <w:szCs w:val="24"/>
          <w:highlight w:val="none"/>
        </w:rPr>
        <w:t>进行</w:t>
      </w:r>
      <w:r>
        <w:rPr>
          <w:rFonts w:hint="eastAsia" w:ascii="宋体" w:hAnsi="宋体" w:eastAsia="宋体" w:cs="宋体"/>
          <w:sz w:val="24"/>
          <w:szCs w:val="24"/>
          <w:highlight w:val="none"/>
        </w:rPr>
        <w:t>调换，直至符合本次采购要求，由此产生的费用由中标供应商自负；若中标供应商已安装，采购人有权要求中标供应商自行拆除后，再重新提供和安装，并由中标供应商承担拆除和重新安装的费用，工期不予顺延。</w:t>
      </w:r>
    </w:p>
    <w:p w14:paraId="4BB2D97A">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本项目的综合单价应包括所供清单项目的设备费、材料费、人工费、运输费、保险费、采购人指定地点的卸货费、成品保管费、就位及安装费、安装材料费、安装调试费、深化设计费、检验试验费、售后服务、税费、利润等全部费用。</w:t>
      </w:r>
    </w:p>
    <w:p w14:paraId="1EDAAC74">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11、本项目为交钥匙项目，由供应商自行供货并负责安装、调试、协助验收并承担质保期内的维修费用。安装用的所有材料费、安装调试费及质保期内的维修费、材料费应全部包含在综合单价中。</w:t>
      </w:r>
    </w:p>
    <w:p w14:paraId="6F524F13">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12、本项目安装须发生的措施费由供应商综合考虑，并将其全部体现在综合单价中，以后不得调整。</w:t>
      </w:r>
    </w:p>
    <w:p w14:paraId="020855CB">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13、本项目采购文件未明确，但加工及安装工艺要求的工作内容所需费用由供应商在相应综合单价中综合考虑，以后不得调整。</w:t>
      </w:r>
    </w:p>
    <w:p w14:paraId="24B10D5C">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本项目在验收中，如采购人对产品质量、品质、材质有异议，有权对产品的相关材质、质量、环保性能数据等进行第三方检验，经检验不合格，检验费用仍由中标供应商承担。产品检验不通过，供应商应无条件退货，由此造成的损失由供应商负责，采购人保留追究的权利。</w:t>
      </w:r>
    </w:p>
    <w:p w14:paraId="6C9A447C">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15、以上设备要求完全供货，所有器材均要符合国家相关行业规范要求。                                               </w:t>
      </w:r>
    </w:p>
    <w:p w14:paraId="54230303">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16、投标人中标后，在签订合同前需同采购人再次确认设备的数量、尺寸、颜色、材料等。采购人对形状、材质、颜色有最终决定权。</w:t>
      </w:r>
    </w:p>
    <w:p w14:paraId="2A178D3D">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17、投标人投标时应提供技术支持方案，内容应包括以下要点：</w:t>
      </w:r>
      <w:r>
        <w:rPr>
          <w:rFonts w:hint="eastAsia" w:ascii="宋体" w:hAnsi="宋体" w:eastAsia="宋体" w:cs="宋体"/>
          <w:color w:val="000000"/>
          <w:sz w:val="24"/>
          <w:szCs w:val="24"/>
          <w:highlight w:val="none"/>
        </w:rPr>
        <w:t>服务机构（维保点）的地址、人员状况、维修能力、联系方式等。</w:t>
      </w:r>
    </w:p>
    <w:p w14:paraId="5DB51505">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18、投标人投标时完整准确地表述售后服务承诺（范围、标准及期限等）、投标人可能增加的服务承诺等。</w:t>
      </w:r>
    </w:p>
    <w:p w14:paraId="751003A6">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19、在安装完毕经贵方验收满意后，中标单位将组织专业人士上门对采购方人员进行产品免费使用基本知识讲解，主要内容涉及如何正确的使用该产品，如何保养维护其产品。</w:t>
      </w:r>
    </w:p>
    <w:p w14:paraId="03C733E4">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outlineLvl w:val="0"/>
        <w:rPr>
          <w:rFonts w:hint="default" w:ascii="宋体" w:hAnsi="宋体" w:cs="宋体"/>
          <w:b/>
          <w:sz w:val="24"/>
          <w:szCs w:val="24"/>
          <w:highlight w:val="none"/>
          <w:lang w:val="en-US" w:eastAsia="zh-CN"/>
        </w:rPr>
      </w:pPr>
      <w:bookmarkStart w:id="20" w:name="_Toc458939907"/>
      <w:bookmarkStart w:id="21" w:name="_Toc405487714"/>
      <w:r>
        <w:rPr>
          <w:rFonts w:hint="eastAsia" w:ascii="宋体" w:hAnsi="宋体" w:cs="宋体"/>
          <w:b/>
          <w:sz w:val="24"/>
          <w:szCs w:val="24"/>
          <w:highlight w:val="none"/>
          <w:lang w:val="en-US" w:eastAsia="zh-CN"/>
        </w:rPr>
        <w:t>三、其它</w:t>
      </w:r>
      <w:bookmarkEnd w:id="20"/>
      <w:bookmarkEnd w:id="21"/>
      <w:r>
        <w:rPr>
          <w:rFonts w:hint="eastAsia" w:ascii="宋体" w:hAnsi="宋体" w:cs="宋体"/>
          <w:b/>
          <w:sz w:val="24"/>
          <w:szCs w:val="24"/>
          <w:highlight w:val="none"/>
          <w:lang w:val="en-US" w:eastAsia="zh-CN"/>
        </w:rPr>
        <w:t>要求</w:t>
      </w:r>
    </w:p>
    <w:p w14:paraId="738CCBA3">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（1）投标人还应提供详细技术培训、验收、售后服务方案。</w:t>
      </w:r>
    </w:p>
    <w:p w14:paraId="51AC5138">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（2）招标文件中列出的关于</w:t>
      </w:r>
      <w:r>
        <w:rPr>
          <w:rFonts w:hint="eastAsia" w:ascii="宋体" w:hAnsi="宋体" w:cs="宋体"/>
          <w:color w:val="000000"/>
          <w:sz w:val="24"/>
          <w:szCs w:val="24"/>
          <w:highlight w:val="none"/>
          <w:lang w:val="en-US" w:eastAsia="zh-CN"/>
        </w:rPr>
        <w:t>设备</w:t>
      </w:r>
      <w:r>
        <w:rPr>
          <w:rFonts w:hint="eastAsia" w:ascii="宋体" w:hAnsi="宋体" w:eastAsia="宋体" w:cs="宋体"/>
          <w:color w:val="000000"/>
          <w:sz w:val="24"/>
          <w:szCs w:val="24"/>
          <w:highlight w:val="none"/>
        </w:rPr>
        <w:t>的各项技术规范和功能要求，如投标人在投标文件未能明确，评委会将认为投标人对本招标文件的要求不响应。</w:t>
      </w:r>
    </w:p>
    <w:p w14:paraId="5DCD73D2">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（3）对于本招标文件未能提出，但投标人所提供的设备已具有的功能及相关技术性能指标，投标人应在技术方案中表述。</w:t>
      </w:r>
    </w:p>
    <w:p w14:paraId="67C98108">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（4）本招标文件中未提及的规范与标准，在项目中又确实需要的，投标人都应按照国家标准和行业标准以及相关工程的常规做法加以补充完善，保证设备的性能完全符合本招标文件中关于系统技术规范的要求。</w:t>
      </w:r>
    </w:p>
    <w:p w14:paraId="637155F0">
      <w:pPr>
        <w:keepNext w:val="0"/>
        <w:keepLines w:val="0"/>
        <w:pageBreakBefore w:val="0"/>
        <w:widowControl w:val="0"/>
        <w:kinsoku/>
        <w:wordWrap/>
        <w:overflowPunct/>
        <w:topLinePunct w:val="0"/>
        <w:autoSpaceDE/>
        <w:autoSpaceDN/>
        <w:bidi w:val="0"/>
        <w:adjustRightInd w:val="0"/>
        <w:spacing w:line="360" w:lineRule="auto"/>
        <w:ind w:left="0" w:leftChars="0" w:firstLine="360" w:firstLineChars="150"/>
        <w:textAlignment w:val="auto"/>
        <w:rPr>
          <w:rFonts w:hint="eastAsia" w:ascii="宋体" w:hAnsi="宋体" w:eastAsia="宋体" w:cs="宋体"/>
          <w:color w:val="030303"/>
          <w:sz w:val="24"/>
          <w:szCs w:val="24"/>
          <w:highlight w:val="none"/>
        </w:rPr>
      </w:pPr>
      <w:r>
        <w:rPr>
          <w:rFonts w:hint="eastAsia" w:ascii="宋体" w:hAnsi="宋体" w:eastAsia="宋体" w:cs="宋体"/>
          <w:color w:val="000000"/>
          <w:sz w:val="24"/>
          <w:szCs w:val="24"/>
          <w:highlight w:val="none"/>
        </w:rPr>
        <w:t>（5）投标人必须对整个项目的内容保密，不得将招标文件中关于采购人的系统现状及建设情况提供给任何第三方。</w:t>
      </w:r>
    </w:p>
    <w:p w14:paraId="1EED1D5C">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outlineLvl w:val="0"/>
        <w:rPr>
          <w:rFonts w:hint="eastAsia"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三</w:t>
      </w:r>
      <w:r>
        <w:rPr>
          <w:rFonts w:hint="eastAsia" w:ascii="宋体" w:hAnsi="宋体" w:eastAsia="宋体" w:cs="宋体"/>
          <w:b/>
          <w:sz w:val="24"/>
          <w:szCs w:val="24"/>
          <w:highlight w:val="none"/>
          <w:lang w:val="en-US" w:eastAsia="zh-CN"/>
        </w:rPr>
        <w:t>、交货期、履约保证金、付款方式</w:t>
      </w:r>
    </w:p>
    <w:p w14:paraId="0B6CA554">
      <w:pPr>
        <w:pStyle w:val="841"/>
        <w:keepNext w:val="0"/>
        <w:keepLines w:val="0"/>
        <w:pageBreakBefore w:val="0"/>
        <w:widowControl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（1）交货期：</w:t>
      </w:r>
      <w:r>
        <w:rPr>
          <w:rFonts w:hint="eastAsia" w:ascii="宋体" w:hAnsi="宋体" w:eastAsia="宋体" w:cs="宋体"/>
          <w:kern w:val="2"/>
          <w:sz w:val="24"/>
          <w:szCs w:val="24"/>
          <w:highlight w:val="none"/>
          <w:u w:val="single"/>
          <w:lang w:val="en-US" w:eastAsia="zh-CN" w:bidi="ar-SA"/>
        </w:rPr>
        <w:t>合同签订后30天完成供货安装调试。</w:t>
      </w:r>
    </w:p>
    <w:p w14:paraId="510BF3B2">
      <w:pPr>
        <w:pStyle w:val="841"/>
        <w:keepNext w:val="0"/>
        <w:keepLines w:val="0"/>
        <w:pageBreakBefore w:val="0"/>
        <w:widowControl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（2）履约保证金：签订合同时，中标人缴纳合同价的0.1%作为履约保证金，验收合格后无息退还。履约保证金可以以保函形式提交。</w:t>
      </w:r>
    </w:p>
    <w:p w14:paraId="60F54F62">
      <w:pPr>
        <w:pStyle w:val="841"/>
        <w:keepNext w:val="0"/>
        <w:keepLines w:val="0"/>
        <w:pageBreakBefore w:val="0"/>
        <w:widowControl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付款方式：项目合同签订后并具备实施条件7个工件日内，支付项目合同价60%的预付款，项目全部交付并验收合格后支付项目余下款项。（注：中标人向采购人提交银行、保险公司等金融机构出具的预付款保函或其他担保措施。）</w:t>
      </w:r>
    </w:p>
    <w:p w14:paraId="0F139217">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outlineLvl w:val="0"/>
        <w:rPr>
          <w:rFonts w:hint="eastAsia" w:ascii="宋体" w:hAnsi="宋体" w:eastAsia="宋体" w:cs="宋体"/>
          <w:b/>
          <w:sz w:val="36"/>
          <w:szCs w:val="36"/>
          <w:highlight w:val="none"/>
        </w:rPr>
      </w:pPr>
    </w:p>
    <w:p w14:paraId="7345A2F5">
      <w:pPr>
        <w:adjustRightInd/>
        <w:spacing w:line="360" w:lineRule="auto"/>
        <w:jc w:val="center"/>
        <w:rPr>
          <w:rFonts w:hint="eastAsia" w:ascii="宋体" w:hAnsi="宋体" w:eastAsia="宋体" w:cs="宋体"/>
          <w:b/>
          <w:sz w:val="24"/>
          <w:highlight w:val="none"/>
          <w:lang w:val="zh-CN"/>
        </w:rPr>
      </w:pPr>
      <w:r>
        <w:rPr>
          <w:rFonts w:hint="eastAsia" w:ascii="宋体" w:hAnsi="宋体" w:eastAsia="宋体" w:cs="宋体"/>
          <w:b/>
          <w:sz w:val="36"/>
          <w:szCs w:val="36"/>
          <w:highlight w:val="none"/>
        </w:rPr>
        <w:t xml:space="preserve">第四部分   </w:t>
      </w:r>
      <w:bookmarkStart w:id="22" w:name="_Toc184312096"/>
      <w:bookmarkEnd w:id="22"/>
      <w:bookmarkStart w:id="23" w:name="_Toc184314426"/>
      <w:bookmarkEnd w:id="23"/>
      <w:bookmarkStart w:id="24" w:name="_Toc184314454"/>
      <w:bookmarkEnd w:id="24"/>
      <w:bookmarkStart w:id="25" w:name="_Toc184310300"/>
      <w:bookmarkEnd w:id="25"/>
      <w:bookmarkStart w:id="26" w:name="_Toc184310313"/>
      <w:bookmarkEnd w:id="26"/>
      <w:bookmarkStart w:id="27" w:name="_Toc184314467"/>
      <w:bookmarkEnd w:id="27"/>
      <w:bookmarkStart w:id="28" w:name="_Toc184308037"/>
      <w:bookmarkEnd w:id="28"/>
      <w:bookmarkStart w:id="29" w:name="_Toc184308056"/>
      <w:bookmarkEnd w:id="29"/>
      <w:bookmarkStart w:id="30" w:name="_Toc184314431"/>
      <w:bookmarkEnd w:id="30"/>
      <w:bookmarkStart w:id="31" w:name="_Toc184310294"/>
      <w:bookmarkEnd w:id="31"/>
      <w:bookmarkStart w:id="32" w:name="_Toc184308051"/>
      <w:bookmarkEnd w:id="32"/>
      <w:bookmarkStart w:id="33" w:name="_Toc184313299"/>
      <w:bookmarkEnd w:id="33"/>
      <w:bookmarkStart w:id="34" w:name="_Toc184314442"/>
      <w:bookmarkEnd w:id="34"/>
      <w:bookmarkStart w:id="35" w:name="_Toc184314472"/>
      <w:bookmarkEnd w:id="35"/>
      <w:bookmarkStart w:id="36" w:name="_Toc184312106"/>
      <w:bookmarkEnd w:id="36"/>
      <w:bookmarkStart w:id="37" w:name="_Toc184310320"/>
      <w:bookmarkEnd w:id="37"/>
      <w:bookmarkStart w:id="38" w:name="_Toc184314481"/>
      <w:bookmarkEnd w:id="38"/>
      <w:bookmarkStart w:id="39" w:name="_Toc184312110"/>
      <w:bookmarkEnd w:id="39"/>
      <w:bookmarkStart w:id="40" w:name="_Toc184314455"/>
      <w:bookmarkEnd w:id="40"/>
      <w:bookmarkStart w:id="41" w:name="_Toc184308044"/>
      <w:bookmarkEnd w:id="41"/>
      <w:bookmarkStart w:id="42" w:name="_Toc184308065"/>
      <w:bookmarkEnd w:id="42"/>
      <w:bookmarkStart w:id="43" w:name="_Toc184313263"/>
      <w:bookmarkEnd w:id="43"/>
      <w:bookmarkStart w:id="44" w:name="_Toc184313285"/>
      <w:bookmarkEnd w:id="44"/>
      <w:bookmarkStart w:id="45" w:name="_Toc184308094"/>
      <w:bookmarkEnd w:id="45"/>
      <w:bookmarkStart w:id="46" w:name="_Toc184308086"/>
      <w:bookmarkEnd w:id="46"/>
      <w:bookmarkStart w:id="47" w:name="_Toc184310308"/>
      <w:bookmarkEnd w:id="47"/>
      <w:bookmarkStart w:id="48" w:name="_Toc184310339"/>
      <w:bookmarkEnd w:id="48"/>
      <w:bookmarkStart w:id="49" w:name="_Toc184314476"/>
      <w:bookmarkEnd w:id="49"/>
      <w:bookmarkStart w:id="50" w:name="_Toc184313295"/>
      <w:bookmarkEnd w:id="50"/>
      <w:bookmarkStart w:id="51" w:name="_Toc184308102"/>
      <w:bookmarkEnd w:id="51"/>
      <w:bookmarkStart w:id="52" w:name="_Toc184310282"/>
      <w:bookmarkEnd w:id="52"/>
      <w:bookmarkStart w:id="53" w:name="_Toc184313294"/>
      <w:bookmarkEnd w:id="53"/>
      <w:bookmarkStart w:id="54" w:name="_Toc184312109"/>
      <w:bookmarkEnd w:id="54"/>
      <w:bookmarkStart w:id="55" w:name="_Toc184312079"/>
      <w:bookmarkEnd w:id="55"/>
      <w:bookmarkStart w:id="56" w:name="_Toc184308048"/>
      <w:bookmarkEnd w:id="56"/>
      <w:bookmarkStart w:id="57" w:name="_Toc184314413"/>
      <w:bookmarkEnd w:id="57"/>
      <w:bookmarkStart w:id="58" w:name="_Toc184310318"/>
      <w:bookmarkEnd w:id="58"/>
      <w:bookmarkStart w:id="59" w:name="_Toc184312084"/>
      <w:bookmarkEnd w:id="59"/>
      <w:bookmarkStart w:id="60" w:name="_Toc184314422"/>
      <w:bookmarkEnd w:id="60"/>
      <w:bookmarkStart w:id="61" w:name="_Toc184313260"/>
      <w:bookmarkEnd w:id="61"/>
      <w:bookmarkStart w:id="62" w:name="_Toc184314443"/>
      <w:bookmarkEnd w:id="62"/>
      <w:bookmarkStart w:id="63" w:name="_Toc184308040"/>
      <w:bookmarkEnd w:id="63"/>
      <w:bookmarkStart w:id="64" w:name="_Toc184308078"/>
      <w:bookmarkEnd w:id="64"/>
      <w:bookmarkStart w:id="65" w:name="_Toc184308059"/>
      <w:bookmarkEnd w:id="65"/>
      <w:bookmarkStart w:id="66" w:name="_Toc184308105"/>
      <w:bookmarkEnd w:id="66"/>
      <w:bookmarkStart w:id="67" w:name="_Toc184310303"/>
      <w:bookmarkEnd w:id="67"/>
      <w:bookmarkStart w:id="68" w:name="_Toc184308074"/>
      <w:bookmarkEnd w:id="68"/>
      <w:bookmarkStart w:id="69" w:name="_Toc184313288"/>
      <w:bookmarkEnd w:id="69"/>
      <w:bookmarkStart w:id="70" w:name="_Toc184310321"/>
      <w:bookmarkEnd w:id="70"/>
      <w:bookmarkStart w:id="71" w:name="_Toc184308075"/>
      <w:bookmarkEnd w:id="71"/>
      <w:bookmarkStart w:id="72" w:name="_Toc184313241"/>
      <w:bookmarkEnd w:id="72"/>
      <w:bookmarkStart w:id="73" w:name="_Toc184308067"/>
      <w:bookmarkEnd w:id="73"/>
      <w:bookmarkStart w:id="74" w:name="_Toc184310302"/>
      <w:bookmarkEnd w:id="74"/>
      <w:bookmarkStart w:id="75" w:name="_Toc184310311"/>
      <w:bookmarkEnd w:id="75"/>
      <w:bookmarkStart w:id="76" w:name="_Toc184308095"/>
      <w:bookmarkEnd w:id="76"/>
      <w:bookmarkStart w:id="77" w:name="_Toc184308100"/>
      <w:bookmarkEnd w:id="77"/>
      <w:bookmarkStart w:id="78" w:name="_Toc184308098"/>
      <w:bookmarkEnd w:id="78"/>
      <w:bookmarkStart w:id="79" w:name="_Toc184313296"/>
      <w:bookmarkEnd w:id="79"/>
      <w:bookmarkStart w:id="80" w:name="_Toc184313289"/>
      <w:bookmarkEnd w:id="80"/>
      <w:bookmarkStart w:id="81" w:name="_Toc184310322"/>
      <w:bookmarkEnd w:id="81"/>
      <w:bookmarkStart w:id="82" w:name="_Toc184313291"/>
      <w:bookmarkEnd w:id="82"/>
      <w:bookmarkStart w:id="83" w:name="_Toc184308083"/>
      <w:bookmarkEnd w:id="83"/>
      <w:bookmarkStart w:id="84" w:name="_Toc184314436"/>
      <w:bookmarkEnd w:id="84"/>
      <w:bookmarkStart w:id="85" w:name="_Toc184312111"/>
      <w:bookmarkEnd w:id="85"/>
      <w:bookmarkStart w:id="86" w:name="_Toc184310298"/>
      <w:bookmarkEnd w:id="86"/>
      <w:bookmarkStart w:id="87" w:name="_Toc184314459"/>
      <w:bookmarkEnd w:id="87"/>
      <w:bookmarkStart w:id="88" w:name="_Toc184308072"/>
      <w:bookmarkEnd w:id="88"/>
      <w:bookmarkStart w:id="89" w:name="_Toc184308063"/>
      <w:bookmarkEnd w:id="89"/>
      <w:bookmarkStart w:id="90" w:name="_Toc184308071"/>
      <w:bookmarkEnd w:id="90"/>
      <w:bookmarkStart w:id="91" w:name="_Toc184310307"/>
      <w:bookmarkEnd w:id="91"/>
      <w:bookmarkStart w:id="92" w:name="_Toc184314428"/>
      <w:bookmarkEnd w:id="92"/>
      <w:bookmarkStart w:id="93" w:name="_Toc184310341"/>
      <w:bookmarkEnd w:id="93"/>
      <w:bookmarkStart w:id="94" w:name="_Toc184310343"/>
      <w:bookmarkEnd w:id="94"/>
      <w:bookmarkStart w:id="95" w:name="_Toc184310279"/>
      <w:bookmarkEnd w:id="95"/>
      <w:bookmarkStart w:id="96" w:name="_Toc184310297"/>
      <w:bookmarkEnd w:id="96"/>
      <w:bookmarkStart w:id="97" w:name="_Toc184308106"/>
      <w:bookmarkEnd w:id="97"/>
      <w:bookmarkStart w:id="98" w:name="_Toc184310337"/>
      <w:bookmarkEnd w:id="98"/>
      <w:bookmarkStart w:id="99" w:name="_Toc184313292"/>
      <w:bookmarkEnd w:id="99"/>
      <w:bookmarkStart w:id="100" w:name="_Toc184313265"/>
      <w:bookmarkEnd w:id="100"/>
      <w:bookmarkStart w:id="101" w:name="_Toc184310289"/>
      <w:bookmarkEnd w:id="101"/>
      <w:bookmarkStart w:id="102" w:name="_Toc184308043"/>
      <w:bookmarkEnd w:id="102"/>
      <w:bookmarkStart w:id="103" w:name="_Toc184312132"/>
      <w:bookmarkEnd w:id="103"/>
      <w:bookmarkStart w:id="104" w:name="_Toc184308073"/>
      <w:bookmarkEnd w:id="104"/>
      <w:bookmarkStart w:id="105" w:name="_Toc184310314"/>
      <w:bookmarkEnd w:id="105"/>
      <w:bookmarkStart w:id="106" w:name="_Toc184314448"/>
      <w:bookmarkEnd w:id="106"/>
      <w:bookmarkStart w:id="107" w:name="_Toc184310312"/>
      <w:bookmarkEnd w:id="107"/>
      <w:bookmarkStart w:id="108" w:name="_Toc184312077"/>
      <w:bookmarkEnd w:id="108"/>
      <w:bookmarkStart w:id="109" w:name="_Toc184310274"/>
      <w:bookmarkEnd w:id="109"/>
      <w:bookmarkStart w:id="110" w:name="_Toc184313266"/>
      <w:bookmarkEnd w:id="110"/>
      <w:bookmarkStart w:id="111" w:name="_Toc184312094"/>
      <w:bookmarkEnd w:id="111"/>
      <w:bookmarkStart w:id="112" w:name="_Toc184314445"/>
      <w:bookmarkEnd w:id="112"/>
      <w:bookmarkStart w:id="113" w:name="_Toc184314450"/>
      <w:bookmarkEnd w:id="113"/>
      <w:bookmarkStart w:id="114" w:name="_Toc184312093"/>
      <w:bookmarkEnd w:id="114"/>
      <w:bookmarkStart w:id="115" w:name="_Toc184313251"/>
      <w:bookmarkEnd w:id="115"/>
      <w:bookmarkStart w:id="116" w:name="_Toc184312107"/>
      <w:bookmarkEnd w:id="116"/>
      <w:bookmarkStart w:id="117" w:name="_Toc184314417"/>
      <w:bookmarkEnd w:id="117"/>
      <w:bookmarkStart w:id="118" w:name="_Toc184312126"/>
      <w:bookmarkEnd w:id="118"/>
      <w:bookmarkStart w:id="119" w:name="_Toc184313306"/>
      <w:bookmarkEnd w:id="119"/>
      <w:bookmarkStart w:id="120" w:name="_Toc184312078"/>
      <w:bookmarkEnd w:id="120"/>
      <w:bookmarkStart w:id="121" w:name="_Toc184308076"/>
      <w:bookmarkEnd w:id="121"/>
      <w:bookmarkStart w:id="122" w:name="_Toc184312089"/>
      <w:bookmarkEnd w:id="122"/>
      <w:bookmarkStart w:id="123" w:name="_Toc184310332"/>
      <w:bookmarkEnd w:id="123"/>
      <w:bookmarkStart w:id="124" w:name="_Toc184314430"/>
      <w:bookmarkEnd w:id="124"/>
      <w:bookmarkStart w:id="125" w:name="_Toc184314464"/>
      <w:bookmarkEnd w:id="125"/>
      <w:bookmarkStart w:id="126" w:name="_Toc184310324"/>
      <w:bookmarkEnd w:id="126"/>
      <w:bookmarkStart w:id="127" w:name="_Toc184314434"/>
      <w:bookmarkEnd w:id="127"/>
      <w:bookmarkStart w:id="128" w:name="_Toc184312133"/>
      <w:bookmarkEnd w:id="128"/>
      <w:bookmarkStart w:id="129" w:name="_Toc184314449"/>
      <w:bookmarkEnd w:id="129"/>
      <w:bookmarkStart w:id="130" w:name="_Toc184312082"/>
      <w:bookmarkEnd w:id="130"/>
      <w:bookmarkStart w:id="131" w:name="_Toc184313239"/>
      <w:bookmarkEnd w:id="131"/>
      <w:bookmarkStart w:id="132" w:name="_Toc184314437"/>
      <w:bookmarkEnd w:id="132"/>
      <w:bookmarkStart w:id="133" w:name="_Toc184310340"/>
      <w:bookmarkEnd w:id="133"/>
      <w:bookmarkStart w:id="134" w:name="_Toc184313247"/>
      <w:bookmarkEnd w:id="134"/>
      <w:bookmarkStart w:id="135" w:name="_Toc184313264"/>
      <w:bookmarkEnd w:id="135"/>
      <w:bookmarkStart w:id="136" w:name="_Toc184308057"/>
      <w:bookmarkEnd w:id="136"/>
      <w:bookmarkStart w:id="137" w:name="_Toc184312115"/>
      <w:bookmarkEnd w:id="137"/>
      <w:bookmarkStart w:id="138" w:name="_Toc184314441"/>
      <w:bookmarkEnd w:id="138"/>
      <w:bookmarkStart w:id="139" w:name="_Toc184310309"/>
      <w:bookmarkEnd w:id="139"/>
      <w:bookmarkStart w:id="140" w:name="_Toc184312114"/>
      <w:bookmarkEnd w:id="140"/>
      <w:bookmarkStart w:id="141" w:name="_Toc184313276"/>
      <w:bookmarkEnd w:id="141"/>
      <w:bookmarkStart w:id="142" w:name="_Toc184313249"/>
      <w:bookmarkEnd w:id="142"/>
      <w:bookmarkStart w:id="143" w:name="_Toc184310329"/>
      <w:bookmarkEnd w:id="143"/>
      <w:bookmarkStart w:id="144" w:name="_Toc184308045"/>
      <w:bookmarkEnd w:id="144"/>
      <w:bookmarkStart w:id="145" w:name="_Toc184312088"/>
      <w:bookmarkEnd w:id="145"/>
      <w:bookmarkStart w:id="146" w:name="_Toc184314463"/>
      <w:bookmarkEnd w:id="146"/>
      <w:bookmarkStart w:id="147" w:name="_Toc184312095"/>
      <w:bookmarkEnd w:id="147"/>
      <w:bookmarkStart w:id="148" w:name="_Toc184310301"/>
      <w:bookmarkEnd w:id="148"/>
      <w:bookmarkStart w:id="149" w:name="_Toc184314475"/>
      <w:bookmarkEnd w:id="149"/>
      <w:bookmarkStart w:id="150" w:name="_Toc184314453"/>
      <w:bookmarkEnd w:id="150"/>
      <w:bookmarkStart w:id="151" w:name="_Toc184314444"/>
      <w:bookmarkEnd w:id="151"/>
      <w:bookmarkStart w:id="152" w:name="_Toc184313286"/>
      <w:bookmarkEnd w:id="152"/>
      <w:bookmarkStart w:id="153" w:name="_Toc184314410"/>
      <w:bookmarkEnd w:id="153"/>
      <w:bookmarkStart w:id="154" w:name="_Toc184313307"/>
      <w:bookmarkEnd w:id="154"/>
      <w:bookmarkStart w:id="155" w:name="_Toc184310325"/>
      <w:bookmarkEnd w:id="155"/>
      <w:bookmarkStart w:id="156" w:name="_Toc184313277"/>
      <w:bookmarkEnd w:id="156"/>
      <w:bookmarkStart w:id="157" w:name="_Toc184313281"/>
      <w:bookmarkEnd w:id="157"/>
      <w:bookmarkStart w:id="158" w:name="_Toc184312067"/>
      <w:bookmarkEnd w:id="158"/>
      <w:bookmarkStart w:id="159" w:name="_Toc184314447"/>
      <w:bookmarkEnd w:id="159"/>
      <w:bookmarkStart w:id="160" w:name="_Toc184312117"/>
      <w:bookmarkEnd w:id="160"/>
      <w:bookmarkStart w:id="161" w:name="_Toc184310272"/>
      <w:bookmarkEnd w:id="161"/>
      <w:bookmarkStart w:id="162" w:name="_Toc184313246"/>
      <w:bookmarkEnd w:id="162"/>
      <w:bookmarkStart w:id="163" w:name="_Toc184312076"/>
      <w:bookmarkEnd w:id="163"/>
      <w:bookmarkStart w:id="164" w:name="_Toc184308107"/>
      <w:bookmarkEnd w:id="164"/>
      <w:bookmarkStart w:id="165" w:name="_Toc184312072"/>
      <w:bookmarkEnd w:id="165"/>
      <w:bookmarkStart w:id="166" w:name="_Toc184314425"/>
      <w:bookmarkEnd w:id="166"/>
      <w:bookmarkStart w:id="167" w:name="_Toc184314440"/>
      <w:bookmarkEnd w:id="167"/>
      <w:bookmarkStart w:id="168" w:name="_Toc184310338"/>
      <w:bookmarkEnd w:id="168"/>
      <w:bookmarkStart w:id="169" w:name="_Toc184313297"/>
      <w:bookmarkEnd w:id="169"/>
      <w:bookmarkStart w:id="170" w:name="_Toc184310342"/>
      <w:bookmarkEnd w:id="170"/>
      <w:bookmarkStart w:id="171" w:name="_Toc184312128"/>
      <w:bookmarkEnd w:id="171"/>
      <w:bookmarkStart w:id="172" w:name="_Toc184313290"/>
      <w:bookmarkEnd w:id="172"/>
      <w:bookmarkStart w:id="173" w:name="_Toc184313270"/>
      <w:bookmarkEnd w:id="173"/>
      <w:bookmarkStart w:id="174" w:name="_Toc184313252"/>
      <w:bookmarkEnd w:id="174"/>
      <w:bookmarkStart w:id="175" w:name="_Toc184308097"/>
      <w:bookmarkEnd w:id="175"/>
      <w:bookmarkStart w:id="176" w:name="_Toc184312075"/>
      <w:bookmarkEnd w:id="176"/>
      <w:bookmarkStart w:id="177" w:name="_Toc184314478"/>
      <w:bookmarkEnd w:id="177"/>
      <w:bookmarkStart w:id="178" w:name="_Toc184310328"/>
      <w:bookmarkEnd w:id="178"/>
      <w:bookmarkStart w:id="179" w:name="_Toc184308101"/>
      <w:bookmarkEnd w:id="179"/>
      <w:bookmarkStart w:id="180" w:name="_Toc184313248"/>
      <w:bookmarkEnd w:id="180"/>
      <w:bookmarkStart w:id="181" w:name="_Toc184313243"/>
      <w:bookmarkEnd w:id="181"/>
      <w:bookmarkStart w:id="182" w:name="_Toc184313274"/>
      <w:bookmarkEnd w:id="182"/>
      <w:bookmarkStart w:id="183" w:name="_Toc184312135"/>
      <w:bookmarkEnd w:id="183"/>
      <w:bookmarkStart w:id="184" w:name="_Toc184310296"/>
      <w:bookmarkEnd w:id="184"/>
      <w:bookmarkStart w:id="185" w:name="_Toc184312090"/>
      <w:bookmarkEnd w:id="185"/>
      <w:bookmarkStart w:id="186" w:name="_Toc184312099"/>
      <w:bookmarkEnd w:id="186"/>
      <w:bookmarkStart w:id="187" w:name="_Toc184313284"/>
      <w:bookmarkEnd w:id="187"/>
      <w:bookmarkStart w:id="188" w:name="_Toc184312130"/>
      <w:bookmarkEnd w:id="188"/>
      <w:bookmarkStart w:id="189" w:name="_Toc184314435"/>
      <w:bookmarkEnd w:id="189"/>
      <w:bookmarkStart w:id="190" w:name="_Toc184313250"/>
      <w:bookmarkEnd w:id="190"/>
      <w:bookmarkStart w:id="191" w:name="_Toc184313259"/>
      <w:bookmarkEnd w:id="191"/>
      <w:bookmarkStart w:id="192" w:name="_Toc184312138"/>
      <w:bookmarkEnd w:id="192"/>
      <w:bookmarkStart w:id="193" w:name="_Toc184308077"/>
      <w:bookmarkEnd w:id="193"/>
      <w:bookmarkStart w:id="194" w:name="_Toc184312068"/>
      <w:bookmarkEnd w:id="194"/>
      <w:bookmarkStart w:id="195" w:name="_Toc184314423"/>
      <w:bookmarkEnd w:id="195"/>
      <w:bookmarkStart w:id="196" w:name="_Toc184313282"/>
      <w:bookmarkEnd w:id="196"/>
      <w:bookmarkStart w:id="197" w:name="_Toc184310290"/>
      <w:bookmarkEnd w:id="197"/>
      <w:bookmarkStart w:id="198" w:name="_Toc184310326"/>
      <w:bookmarkEnd w:id="198"/>
      <w:bookmarkStart w:id="199" w:name="_Toc184313273"/>
      <w:bookmarkEnd w:id="199"/>
      <w:bookmarkStart w:id="200" w:name="_Toc184314469"/>
      <w:bookmarkEnd w:id="200"/>
      <w:bookmarkStart w:id="201" w:name="_Toc184314466"/>
      <w:bookmarkEnd w:id="201"/>
      <w:bookmarkStart w:id="202" w:name="_Toc184314470"/>
      <w:bookmarkEnd w:id="202"/>
      <w:bookmarkStart w:id="203" w:name="_Toc184308066"/>
      <w:bookmarkEnd w:id="203"/>
      <w:bookmarkStart w:id="204" w:name="_Toc184308061"/>
      <w:bookmarkEnd w:id="204"/>
      <w:bookmarkStart w:id="205" w:name="_Toc184308042"/>
      <w:bookmarkEnd w:id="205"/>
      <w:bookmarkStart w:id="206" w:name="_Toc184310288"/>
      <w:bookmarkEnd w:id="206"/>
      <w:bookmarkStart w:id="207" w:name="_Toc184312124"/>
      <w:bookmarkEnd w:id="207"/>
      <w:bookmarkStart w:id="208" w:name="_Toc184308081"/>
      <w:bookmarkEnd w:id="208"/>
      <w:bookmarkStart w:id="209" w:name="_Toc184312108"/>
      <w:bookmarkEnd w:id="209"/>
      <w:bookmarkStart w:id="210" w:name="_Toc184313272"/>
      <w:bookmarkEnd w:id="210"/>
      <w:bookmarkStart w:id="211" w:name="_Toc184312098"/>
      <w:bookmarkEnd w:id="211"/>
      <w:bookmarkStart w:id="212" w:name="_Toc184310310"/>
      <w:bookmarkEnd w:id="212"/>
      <w:bookmarkStart w:id="213" w:name="_Toc184313310"/>
      <w:bookmarkEnd w:id="213"/>
      <w:bookmarkStart w:id="214" w:name="_Toc184313275"/>
      <w:bookmarkEnd w:id="214"/>
      <w:bookmarkStart w:id="215" w:name="_Toc184313242"/>
      <w:bookmarkEnd w:id="215"/>
      <w:bookmarkStart w:id="216" w:name="_Toc184314427"/>
      <w:bookmarkEnd w:id="216"/>
      <w:bookmarkStart w:id="217" w:name="_Toc184314458"/>
      <w:bookmarkEnd w:id="217"/>
      <w:bookmarkStart w:id="218" w:name="_Toc184314474"/>
      <w:bookmarkEnd w:id="218"/>
      <w:bookmarkStart w:id="219" w:name="_Toc184308087"/>
      <w:bookmarkEnd w:id="219"/>
      <w:bookmarkStart w:id="220" w:name="_Toc184308079"/>
      <w:bookmarkEnd w:id="220"/>
      <w:bookmarkStart w:id="221" w:name="_Toc184308047"/>
      <w:bookmarkEnd w:id="221"/>
      <w:bookmarkStart w:id="222" w:name="_Toc184314418"/>
      <w:bookmarkEnd w:id="222"/>
      <w:bookmarkStart w:id="223" w:name="_Toc184312122"/>
      <w:bookmarkEnd w:id="223"/>
      <w:bookmarkStart w:id="224" w:name="_Toc184310287"/>
      <w:bookmarkEnd w:id="224"/>
      <w:bookmarkStart w:id="225" w:name="_Toc184308104"/>
      <w:bookmarkEnd w:id="225"/>
      <w:bookmarkStart w:id="226" w:name="_Toc184312080"/>
      <w:bookmarkEnd w:id="226"/>
      <w:bookmarkStart w:id="227" w:name="_Toc184312087"/>
      <w:bookmarkEnd w:id="227"/>
      <w:bookmarkStart w:id="228" w:name="_Toc184308089"/>
      <w:bookmarkEnd w:id="228"/>
      <w:bookmarkStart w:id="229" w:name="_Toc184312071"/>
      <w:bookmarkEnd w:id="229"/>
      <w:bookmarkStart w:id="230" w:name="_Toc184312119"/>
      <w:bookmarkEnd w:id="230"/>
      <w:bookmarkStart w:id="231" w:name="_Toc184313238"/>
      <w:bookmarkEnd w:id="231"/>
      <w:bookmarkStart w:id="232" w:name="_Toc184313279"/>
      <w:bookmarkEnd w:id="232"/>
      <w:bookmarkStart w:id="233" w:name="_Toc184313308"/>
      <w:bookmarkEnd w:id="233"/>
      <w:bookmarkStart w:id="234" w:name="_Toc184310315"/>
      <w:bookmarkEnd w:id="234"/>
      <w:bookmarkStart w:id="235" w:name="_Toc184313300"/>
      <w:bookmarkEnd w:id="235"/>
      <w:bookmarkStart w:id="236" w:name="_Toc184310283"/>
      <w:bookmarkEnd w:id="236"/>
      <w:bookmarkStart w:id="237" w:name="_Toc184314473"/>
      <w:bookmarkEnd w:id="237"/>
      <w:bookmarkStart w:id="238" w:name="_Toc184310333"/>
      <w:bookmarkEnd w:id="238"/>
      <w:bookmarkStart w:id="239" w:name="_Toc184310273"/>
      <w:bookmarkEnd w:id="239"/>
      <w:bookmarkStart w:id="240" w:name="_Toc184308108"/>
      <w:bookmarkEnd w:id="240"/>
      <w:bookmarkStart w:id="241" w:name="_Toc184313302"/>
      <w:bookmarkEnd w:id="241"/>
      <w:bookmarkStart w:id="242" w:name="_Toc184313256"/>
      <w:bookmarkEnd w:id="242"/>
      <w:bookmarkStart w:id="243" w:name="_Toc184312100"/>
      <w:bookmarkEnd w:id="243"/>
      <w:bookmarkStart w:id="244" w:name="_Toc184310291"/>
      <w:bookmarkEnd w:id="244"/>
      <w:bookmarkStart w:id="245" w:name="_Toc184308036"/>
      <w:bookmarkEnd w:id="245"/>
      <w:bookmarkStart w:id="246" w:name="_Toc184313261"/>
      <w:bookmarkEnd w:id="246"/>
      <w:bookmarkStart w:id="247" w:name="_Toc184314471"/>
      <w:bookmarkEnd w:id="247"/>
      <w:bookmarkStart w:id="248" w:name="_Toc184308053"/>
      <w:bookmarkEnd w:id="248"/>
      <w:bookmarkStart w:id="249" w:name="_Toc184314480"/>
      <w:bookmarkEnd w:id="249"/>
      <w:bookmarkStart w:id="250" w:name="_Toc184308060"/>
      <w:bookmarkEnd w:id="250"/>
      <w:bookmarkStart w:id="251" w:name="_Toc184313301"/>
      <w:bookmarkEnd w:id="251"/>
      <w:bookmarkStart w:id="252" w:name="_Toc184310277"/>
      <w:bookmarkEnd w:id="252"/>
      <w:bookmarkStart w:id="253" w:name="_Toc184308046"/>
      <w:bookmarkEnd w:id="253"/>
      <w:bookmarkStart w:id="254" w:name="_Toc184310317"/>
      <w:bookmarkEnd w:id="254"/>
      <w:bookmarkStart w:id="255" w:name="_Toc184312125"/>
      <w:bookmarkEnd w:id="255"/>
      <w:bookmarkStart w:id="256" w:name="_Toc184310336"/>
      <w:bookmarkEnd w:id="256"/>
      <w:bookmarkStart w:id="257" w:name="_Toc184308103"/>
      <w:bookmarkEnd w:id="257"/>
      <w:bookmarkStart w:id="258" w:name="_Toc184314457"/>
      <w:bookmarkEnd w:id="258"/>
      <w:bookmarkStart w:id="259" w:name="_Toc184310330"/>
      <w:bookmarkEnd w:id="259"/>
      <w:bookmarkStart w:id="260" w:name="_Toc184314438"/>
      <w:bookmarkEnd w:id="260"/>
      <w:bookmarkStart w:id="261" w:name="_Toc184314416"/>
      <w:bookmarkEnd w:id="261"/>
      <w:bookmarkStart w:id="262" w:name="_Toc184312073"/>
      <w:bookmarkEnd w:id="262"/>
      <w:bookmarkStart w:id="263" w:name="_Toc184308054"/>
      <w:bookmarkEnd w:id="263"/>
      <w:bookmarkStart w:id="264" w:name="_Toc184312136"/>
      <w:bookmarkEnd w:id="264"/>
      <w:bookmarkStart w:id="265" w:name="_Toc184312137"/>
      <w:bookmarkEnd w:id="265"/>
      <w:bookmarkStart w:id="266" w:name="_Toc184312112"/>
      <w:bookmarkEnd w:id="266"/>
      <w:bookmarkStart w:id="267" w:name="_Toc184308041"/>
      <w:bookmarkEnd w:id="267"/>
      <w:bookmarkStart w:id="268" w:name="_Toc184314420"/>
      <w:bookmarkEnd w:id="268"/>
      <w:bookmarkStart w:id="269" w:name="_Toc184312127"/>
      <w:bookmarkEnd w:id="269"/>
      <w:bookmarkStart w:id="270" w:name="_Toc184313268"/>
      <w:bookmarkEnd w:id="270"/>
      <w:bookmarkStart w:id="271" w:name="_Toc184314461"/>
      <w:bookmarkEnd w:id="271"/>
      <w:bookmarkStart w:id="272" w:name="_Toc184314411"/>
      <w:bookmarkEnd w:id="272"/>
      <w:bookmarkStart w:id="273" w:name="_Toc184314432"/>
      <w:bookmarkEnd w:id="273"/>
      <w:bookmarkStart w:id="274" w:name="_Toc184313258"/>
      <w:bookmarkEnd w:id="274"/>
      <w:bookmarkStart w:id="275" w:name="_Toc184308052"/>
      <w:bookmarkEnd w:id="275"/>
      <w:bookmarkStart w:id="276" w:name="_Toc184310306"/>
      <w:bookmarkEnd w:id="276"/>
      <w:bookmarkStart w:id="277" w:name="_Toc184308068"/>
      <w:bookmarkEnd w:id="277"/>
      <w:bookmarkStart w:id="278" w:name="_Toc184310331"/>
      <w:bookmarkEnd w:id="278"/>
      <w:bookmarkStart w:id="279" w:name="_Toc184310284"/>
      <w:bookmarkEnd w:id="279"/>
      <w:bookmarkStart w:id="280" w:name="_Toc184313240"/>
      <w:bookmarkEnd w:id="280"/>
      <w:bookmarkStart w:id="281" w:name="_Toc184312086"/>
      <w:bookmarkEnd w:id="281"/>
      <w:bookmarkStart w:id="282" w:name="_Toc184313257"/>
      <w:bookmarkEnd w:id="282"/>
      <w:bookmarkStart w:id="283" w:name="_Toc184312097"/>
      <w:bookmarkEnd w:id="283"/>
      <w:bookmarkStart w:id="284" w:name="_Toc184313262"/>
      <w:bookmarkEnd w:id="284"/>
      <w:bookmarkStart w:id="285" w:name="_Toc184308062"/>
      <w:bookmarkEnd w:id="285"/>
      <w:bookmarkStart w:id="286" w:name="_Toc184310334"/>
      <w:bookmarkEnd w:id="286"/>
      <w:bookmarkStart w:id="287" w:name="_Toc184312074"/>
      <w:bookmarkEnd w:id="287"/>
      <w:bookmarkStart w:id="288" w:name="_Toc184308088"/>
      <w:bookmarkEnd w:id="288"/>
      <w:bookmarkStart w:id="289" w:name="_Toc184313254"/>
      <w:bookmarkEnd w:id="289"/>
      <w:bookmarkStart w:id="290" w:name="_Toc184308058"/>
      <w:bookmarkEnd w:id="290"/>
      <w:bookmarkStart w:id="291" w:name="_Toc184308092"/>
      <w:bookmarkEnd w:id="291"/>
      <w:bookmarkStart w:id="292" w:name="_Toc184310285"/>
      <w:bookmarkEnd w:id="292"/>
      <w:bookmarkStart w:id="293" w:name="_Toc184312123"/>
      <w:bookmarkEnd w:id="293"/>
      <w:bookmarkStart w:id="294" w:name="_Toc184313283"/>
      <w:bookmarkEnd w:id="294"/>
      <w:bookmarkStart w:id="295" w:name="_Toc184308093"/>
      <w:bookmarkEnd w:id="295"/>
      <w:bookmarkStart w:id="296" w:name="_Toc184314415"/>
      <w:bookmarkEnd w:id="296"/>
      <w:bookmarkStart w:id="297" w:name="_Toc184308049"/>
      <w:bookmarkEnd w:id="297"/>
      <w:bookmarkStart w:id="298" w:name="_Toc184312116"/>
      <w:bookmarkEnd w:id="298"/>
      <w:bookmarkStart w:id="299" w:name="_Toc184310304"/>
      <w:bookmarkEnd w:id="299"/>
      <w:bookmarkStart w:id="300" w:name="_Toc184310344"/>
      <w:bookmarkEnd w:id="300"/>
      <w:bookmarkStart w:id="301" w:name="_Toc184313271"/>
      <w:bookmarkEnd w:id="301"/>
      <w:bookmarkStart w:id="302" w:name="_Toc184310278"/>
      <w:bookmarkEnd w:id="302"/>
      <w:bookmarkStart w:id="303" w:name="_Toc184312118"/>
      <w:bookmarkEnd w:id="303"/>
      <w:bookmarkStart w:id="304" w:name="_Toc184308082"/>
      <w:bookmarkEnd w:id="304"/>
      <w:bookmarkStart w:id="305" w:name="_Toc184312092"/>
      <w:bookmarkEnd w:id="305"/>
      <w:bookmarkStart w:id="306" w:name="_Toc184314477"/>
      <w:bookmarkEnd w:id="306"/>
      <w:bookmarkStart w:id="307" w:name="_Toc184314482"/>
      <w:bookmarkEnd w:id="307"/>
      <w:bookmarkStart w:id="308" w:name="_Toc184312085"/>
      <w:bookmarkEnd w:id="308"/>
      <w:bookmarkStart w:id="309" w:name="_Toc184308039"/>
      <w:bookmarkEnd w:id="309"/>
      <w:bookmarkStart w:id="310" w:name="_Toc184312070"/>
      <w:bookmarkEnd w:id="310"/>
      <w:bookmarkStart w:id="311" w:name="_Toc184314433"/>
      <w:bookmarkEnd w:id="311"/>
      <w:bookmarkStart w:id="312" w:name="_Toc184313245"/>
      <w:bookmarkEnd w:id="312"/>
      <w:bookmarkStart w:id="313" w:name="_Toc184312139"/>
      <w:bookmarkEnd w:id="313"/>
      <w:bookmarkStart w:id="314" w:name="_Toc184308069"/>
      <w:bookmarkEnd w:id="314"/>
      <w:bookmarkStart w:id="315" w:name="_Toc184314419"/>
      <w:bookmarkEnd w:id="315"/>
      <w:bookmarkStart w:id="316" w:name="_Toc184308070"/>
      <w:bookmarkEnd w:id="316"/>
      <w:bookmarkStart w:id="317" w:name="_Toc184313244"/>
      <w:bookmarkEnd w:id="317"/>
      <w:bookmarkStart w:id="318" w:name="_Toc184313303"/>
      <w:bookmarkEnd w:id="318"/>
      <w:bookmarkStart w:id="319" w:name="_Toc184312131"/>
      <w:bookmarkEnd w:id="319"/>
      <w:bookmarkStart w:id="320" w:name="_Toc184312129"/>
      <w:bookmarkEnd w:id="320"/>
      <w:bookmarkStart w:id="321" w:name="_Toc184312101"/>
      <w:bookmarkEnd w:id="321"/>
      <w:bookmarkStart w:id="322" w:name="_Toc184308091"/>
      <w:bookmarkEnd w:id="322"/>
      <w:bookmarkStart w:id="323" w:name="_Toc184313304"/>
      <w:bookmarkEnd w:id="323"/>
      <w:bookmarkStart w:id="324" w:name="_Toc184314465"/>
      <w:bookmarkEnd w:id="324"/>
      <w:bookmarkStart w:id="325" w:name="_Toc184313267"/>
      <w:bookmarkEnd w:id="325"/>
      <w:bookmarkStart w:id="326" w:name="_Toc184312113"/>
      <w:bookmarkEnd w:id="326"/>
      <w:bookmarkStart w:id="327" w:name="_Toc184314421"/>
      <w:bookmarkEnd w:id="327"/>
      <w:bookmarkStart w:id="328" w:name="_Toc184308055"/>
      <w:bookmarkEnd w:id="328"/>
      <w:bookmarkStart w:id="329" w:name="_Toc184314446"/>
      <w:bookmarkEnd w:id="329"/>
      <w:bookmarkStart w:id="330" w:name="_Toc184308099"/>
      <w:bookmarkEnd w:id="330"/>
      <w:bookmarkStart w:id="331" w:name="_Toc184312121"/>
      <w:bookmarkEnd w:id="331"/>
      <w:bookmarkStart w:id="332" w:name="_Toc184312069"/>
      <w:bookmarkEnd w:id="332"/>
      <w:bookmarkStart w:id="333" w:name="_Toc184308038"/>
      <w:bookmarkEnd w:id="333"/>
      <w:bookmarkStart w:id="334" w:name="_Toc184310281"/>
      <w:bookmarkEnd w:id="334"/>
      <w:bookmarkStart w:id="335" w:name="_Toc184313305"/>
      <w:bookmarkEnd w:id="335"/>
      <w:bookmarkStart w:id="336" w:name="_Toc184310327"/>
      <w:bookmarkEnd w:id="336"/>
      <w:bookmarkStart w:id="337" w:name="_Toc184312134"/>
      <w:bookmarkEnd w:id="337"/>
      <w:bookmarkStart w:id="338" w:name="_Toc184308090"/>
      <w:bookmarkEnd w:id="338"/>
      <w:bookmarkStart w:id="339" w:name="_Toc184314424"/>
      <w:bookmarkEnd w:id="339"/>
      <w:bookmarkStart w:id="340" w:name="_Toc184313253"/>
      <w:bookmarkEnd w:id="340"/>
      <w:bookmarkStart w:id="341" w:name="_Toc184314439"/>
      <w:bookmarkEnd w:id="341"/>
      <w:bookmarkStart w:id="342" w:name="_Toc184312091"/>
      <w:bookmarkEnd w:id="342"/>
      <w:bookmarkStart w:id="343" w:name="_Toc184313280"/>
      <w:bookmarkEnd w:id="343"/>
      <w:bookmarkStart w:id="344" w:name="_Toc184310276"/>
      <w:bookmarkEnd w:id="344"/>
      <w:bookmarkStart w:id="345" w:name="_Toc184314462"/>
      <w:bookmarkEnd w:id="345"/>
      <w:bookmarkStart w:id="346" w:name="_Toc184310292"/>
      <w:bookmarkEnd w:id="346"/>
      <w:bookmarkStart w:id="347" w:name="_Toc184312104"/>
      <w:bookmarkEnd w:id="347"/>
      <w:bookmarkStart w:id="348" w:name="_Toc184314451"/>
      <w:bookmarkEnd w:id="348"/>
      <w:bookmarkStart w:id="349" w:name="_Toc184308084"/>
      <w:bookmarkEnd w:id="349"/>
      <w:bookmarkStart w:id="350" w:name="_Toc184310299"/>
      <w:bookmarkEnd w:id="350"/>
      <w:bookmarkStart w:id="351" w:name="_Toc184313255"/>
      <w:bookmarkEnd w:id="351"/>
      <w:bookmarkStart w:id="352" w:name="_Toc184308085"/>
      <w:bookmarkEnd w:id="352"/>
      <w:bookmarkStart w:id="353" w:name="_Toc184310293"/>
      <w:bookmarkEnd w:id="353"/>
      <w:bookmarkStart w:id="354" w:name="_Toc184308050"/>
      <w:bookmarkEnd w:id="354"/>
      <w:bookmarkStart w:id="355" w:name="_Toc184310280"/>
      <w:bookmarkEnd w:id="355"/>
      <w:bookmarkStart w:id="356" w:name="_Toc184310286"/>
      <w:bookmarkEnd w:id="356"/>
      <w:bookmarkStart w:id="357" w:name="_Toc184313309"/>
      <w:bookmarkEnd w:id="357"/>
      <w:bookmarkStart w:id="358" w:name="_Toc184308096"/>
      <w:bookmarkEnd w:id="358"/>
      <w:bookmarkStart w:id="359" w:name="_Toc184314414"/>
      <w:bookmarkEnd w:id="359"/>
      <w:bookmarkStart w:id="360" w:name="_Toc184312102"/>
      <w:bookmarkEnd w:id="360"/>
      <w:bookmarkStart w:id="361" w:name="_Toc184310323"/>
      <w:bookmarkEnd w:id="361"/>
      <w:bookmarkStart w:id="362" w:name="_Toc184314460"/>
      <w:bookmarkEnd w:id="362"/>
      <w:bookmarkStart w:id="363" w:name="_Toc184314429"/>
      <w:bookmarkEnd w:id="363"/>
      <w:bookmarkStart w:id="364" w:name="_Toc184314456"/>
      <w:bookmarkEnd w:id="364"/>
      <w:bookmarkStart w:id="365" w:name="_Toc184313278"/>
      <w:bookmarkEnd w:id="365"/>
      <w:bookmarkStart w:id="366" w:name="_Toc184313269"/>
      <w:bookmarkEnd w:id="366"/>
      <w:bookmarkStart w:id="367" w:name="_Toc184308064"/>
      <w:bookmarkEnd w:id="367"/>
      <w:bookmarkStart w:id="368" w:name="_Toc184313298"/>
      <w:bookmarkEnd w:id="368"/>
      <w:bookmarkStart w:id="369" w:name="_Toc184312105"/>
      <w:bookmarkEnd w:id="369"/>
      <w:bookmarkStart w:id="370" w:name="_Toc184310319"/>
      <w:bookmarkEnd w:id="370"/>
      <w:bookmarkStart w:id="371" w:name="_Toc184312120"/>
      <w:bookmarkEnd w:id="371"/>
      <w:bookmarkStart w:id="372" w:name="_Toc184308080"/>
      <w:bookmarkEnd w:id="372"/>
      <w:bookmarkStart w:id="373" w:name="_Toc184310305"/>
      <w:bookmarkEnd w:id="373"/>
      <w:bookmarkStart w:id="374" w:name="_Toc184314412"/>
      <w:bookmarkEnd w:id="374"/>
      <w:bookmarkStart w:id="375" w:name="_Toc184310275"/>
      <w:bookmarkEnd w:id="375"/>
      <w:bookmarkStart w:id="376" w:name="_Toc184314468"/>
      <w:bookmarkEnd w:id="376"/>
      <w:bookmarkStart w:id="377" w:name="_Toc184312103"/>
      <w:bookmarkEnd w:id="377"/>
      <w:bookmarkStart w:id="378" w:name="_Toc184312081"/>
      <w:bookmarkEnd w:id="378"/>
      <w:bookmarkStart w:id="379" w:name="_Toc184312083"/>
      <w:bookmarkEnd w:id="379"/>
      <w:bookmarkStart w:id="380" w:name="_Toc184313293"/>
      <w:bookmarkEnd w:id="380"/>
      <w:bookmarkStart w:id="381" w:name="_Toc184314479"/>
      <w:bookmarkEnd w:id="381"/>
      <w:bookmarkStart w:id="382" w:name="_Toc184314452"/>
      <w:bookmarkEnd w:id="382"/>
      <w:bookmarkStart w:id="383" w:name="_Toc184310316"/>
      <w:bookmarkEnd w:id="383"/>
      <w:bookmarkStart w:id="384" w:name="_Toc184313287"/>
      <w:bookmarkEnd w:id="384"/>
      <w:bookmarkStart w:id="385" w:name="_Toc184310335"/>
      <w:bookmarkEnd w:id="385"/>
      <w:bookmarkStart w:id="386" w:name="_Toc184310295"/>
      <w:bookmarkEnd w:id="386"/>
      <w:r>
        <w:rPr>
          <w:rFonts w:hint="eastAsia" w:ascii="宋体" w:hAnsi="宋体" w:eastAsia="宋体" w:cs="宋体"/>
          <w:b/>
          <w:sz w:val="36"/>
          <w:szCs w:val="36"/>
          <w:highlight w:val="none"/>
        </w:rPr>
        <w:t>评标办法</w:t>
      </w:r>
    </w:p>
    <w:p w14:paraId="028FFBA2">
      <w:pPr>
        <w:snapToGrid w:val="0"/>
        <w:spacing w:line="360" w:lineRule="auto"/>
        <w:jc w:val="center"/>
        <w:rPr>
          <w:rFonts w:hint="eastAsia" w:ascii="宋体" w:hAnsi="宋体" w:eastAsia="宋体" w:cs="宋体"/>
          <w:b/>
          <w:sz w:val="32"/>
          <w:szCs w:val="20"/>
          <w:highlight w:val="none"/>
          <w:lang w:val="zh-CN"/>
        </w:rPr>
      </w:pPr>
      <w:r>
        <w:rPr>
          <w:rFonts w:hint="eastAsia" w:ascii="宋体" w:hAnsi="宋体" w:eastAsia="宋体" w:cs="宋体"/>
          <w:b/>
          <w:sz w:val="32"/>
          <w:szCs w:val="20"/>
          <w:highlight w:val="none"/>
          <w:lang w:val="zh-CN"/>
        </w:rPr>
        <w:t>评标办法前附表</w:t>
      </w:r>
    </w:p>
    <w:tbl>
      <w:tblPr>
        <w:tblStyle w:val="66"/>
        <w:tblW w:w="9598" w:type="dxa"/>
        <w:tblInd w:w="91"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798"/>
        <w:gridCol w:w="1315"/>
        <w:gridCol w:w="6744"/>
        <w:gridCol w:w="741"/>
      </w:tblGrid>
      <w:tr w14:paraId="7E3FCE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5" w:hRule="atLeast"/>
        </w:trPr>
        <w:tc>
          <w:tcPr>
            <w:tcW w:w="798" w:type="dxa"/>
            <w:tcBorders>
              <w:tl2br w:val="nil"/>
              <w:tr2bl w:val="nil"/>
            </w:tcBorders>
            <w:vAlign w:val="center"/>
          </w:tcPr>
          <w:p w14:paraId="1B45DF0D">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序号</w:t>
            </w:r>
          </w:p>
        </w:tc>
        <w:tc>
          <w:tcPr>
            <w:tcW w:w="1315" w:type="dxa"/>
            <w:tcBorders>
              <w:tl2br w:val="nil"/>
              <w:tr2bl w:val="nil"/>
            </w:tcBorders>
            <w:vAlign w:val="center"/>
          </w:tcPr>
          <w:p w14:paraId="017DAF83">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评分内容</w:t>
            </w:r>
          </w:p>
        </w:tc>
        <w:tc>
          <w:tcPr>
            <w:tcW w:w="6744" w:type="dxa"/>
            <w:tcBorders>
              <w:tl2br w:val="nil"/>
              <w:tr2bl w:val="nil"/>
            </w:tcBorders>
            <w:vAlign w:val="center"/>
          </w:tcPr>
          <w:p w14:paraId="39E18B33">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评分标准</w:t>
            </w:r>
          </w:p>
        </w:tc>
        <w:tc>
          <w:tcPr>
            <w:tcW w:w="741" w:type="dxa"/>
            <w:tcBorders>
              <w:tl2br w:val="nil"/>
              <w:tr2bl w:val="nil"/>
            </w:tcBorders>
            <w:vAlign w:val="center"/>
          </w:tcPr>
          <w:p w14:paraId="3B020C14">
            <w:pPr>
              <w:widowControl/>
              <w:spacing w:line="360" w:lineRule="auto"/>
              <w:jc w:val="center"/>
              <w:rPr>
                <w:rFonts w:hint="eastAsia" w:ascii="宋体" w:hAnsi="宋体" w:eastAsia="宋体" w:cs="宋体"/>
                <w:b/>
                <w:bCs/>
                <w:color w:val="FF0000"/>
                <w:kern w:val="0"/>
                <w:sz w:val="24"/>
                <w:szCs w:val="24"/>
                <w:highlight w:val="none"/>
              </w:rPr>
            </w:pPr>
            <w:r>
              <w:rPr>
                <w:rFonts w:hint="eastAsia" w:ascii="宋体" w:hAnsi="宋体" w:eastAsia="宋体" w:cs="宋体"/>
                <w:color w:val="000000"/>
                <w:kern w:val="0"/>
                <w:sz w:val="24"/>
                <w:szCs w:val="24"/>
                <w:highlight w:val="none"/>
              </w:rPr>
              <w:t>分值</w:t>
            </w:r>
          </w:p>
        </w:tc>
      </w:tr>
      <w:tr w14:paraId="05AB2E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69" w:hRule="atLeast"/>
        </w:trPr>
        <w:tc>
          <w:tcPr>
            <w:tcW w:w="798" w:type="dxa"/>
            <w:tcBorders>
              <w:tl2br w:val="nil"/>
              <w:tr2bl w:val="nil"/>
            </w:tcBorders>
            <w:vAlign w:val="center"/>
          </w:tcPr>
          <w:p w14:paraId="42C40874">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p>
        </w:tc>
        <w:tc>
          <w:tcPr>
            <w:tcW w:w="1315" w:type="dxa"/>
            <w:tcBorders>
              <w:tl2br w:val="nil"/>
              <w:tr2bl w:val="nil"/>
            </w:tcBorders>
            <w:vAlign w:val="center"/>
          </w:tcPr>
          <w:p w14:paraId="7BB4D913">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类似业绩</w:t>
            </w:r>
          </w:p>
        </w:tc>
        <w:tc>
          <w:tcPr>
            <w:tcW w:w="6744" w:type="dxa"/>
            <w:tcBorders>
              <w:tl2br w:val="nil"/>
              <w:tr2bl w:val="nil"/>
            </w:tcBorders>
            <w:vAlign w:val="center"/>
          </w:tcPr>
          <w:p w14:paraId="6D9925D5">
            <w:pPr>
              <w:keepNext w:val="0"/>
              <w:keepLines w:val="0"/>
              <w:pageBreakBefore w:val="0"/>
              <w:widowControl/>
              <w:kinsoku/>
              <w:wordWrap/>
              <w:overflowPunct/>
              <w:topLinePunct w:val="0"/>
              <w:bidi w:val="0"/>
              <w:adjustRightInd w:val="0"/>
              <w:spacing w:line="288" w:lineRule="auto"/>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rPr>
              <w:t>投标人自20</w:t>
            </w:r>
            <w:r>
              <w:rPr>
                <w:rFonts w:hint="eastAsia" w:ascii="宋体" w:hAnsi="宋体" w:eastAsia="宋体" w:cs="宋体"/>
                <w:sz w:val="24"/>
                <w:szCs w:val="24"/>
                <w:highlight w:val="none"/>
                <w:shd w:val="clear" w:color="auto" w:fill="FFFFFF"/>
                <w:lang w:val="en-US" w:eastAsia="zh-CN"/>
              </w:rPr>
              <w:t>21</w:t>
            </w:r>
            <w:r>
              <w:rPr>
                <w:rFonts w:hint="eastAsia" w:ascii="宋体" w:hAnsi="宋体" w:eastAsia="宋体" w:cs="宋体"/>
                <w:sz w:val="24"/>
                <w:szCs w:val="24"/>
                <w:highlight w:val="none"/>
                <w:shd w:val="clear" w:color="auto" w:fill="FFFFFF"/>
              </w:rPr>
              <w:t>年1月1日起（时间以合同签订日为准）具有类似项目业绩，每提供一份可得1分，最高可得3分。是否属于类似业绩由评委根据合同的内容、特点等与本项目的类似程度进行认定。</w:t>
            </w:r>
          </w:p>
          <w:p w14:paraId="702F07F8">
            <w:pPr>
              <w:keepNext w:val="0"/>
              <w:keepLines w:val="0"/>
              <w:pageBreakBefore w:val="0"/>
              <w:widowControl/>
              <w:kinsoku/>
              <w:wordWrap/>
              <w:overflowPunct/>
              <w:topLinePunct w:val="0"/>
              <w:bidi w:val="0"/>
              <w:adjustRightInd w:val="0"/>
              <w:spacing w:line="288" w:lineRule="auto"/>
              <w:rPr>
                <w:rFonts w:hint="eastAsia" w:ascii="宋体" w:hAnsi="宋体" w:eastAsia="宋体" w:cs="宋体"/>
                <w:sz w:val="24"/>
                <w:szCs w:val="24"/>
                <w:highlight w:val="none"/>
                <w:shd w:val="clear" w:color="auto" w:fill="FFFFFF"/>
              </w:rPr>
            </w:pPr>
            <w:r>
              <w:rPr>
                <w:rFonts w:hint="eastAsia" w:ascii="宋体" w:hAnsi="宋体" w:eastAsia="宋体" w:cs="宋体"/>
                <w:b/>
                <w:bCs/>
                <w:sz w:val="24"/>
                <w:szCs w:val="24"/>
                <w:highlight w:val="none"/>
                <w:shd w:val="clear" w:color="auto" w:fill="FFFFFF"/>
              </w:rPr>
              <w:t>须提供有效期内合同和验收报告扫描件。未提供或所提供的资料不能体现相关内容或合同签订日期不明确均不得分。</w:t>
            </w:r>
          </w:p>
        </w:tc>
        <w:tc>
          <w:tcPr>
            <w:tcW w:w="741" w:type="dxa"/>
            <w:tcBorders>
              <w:tl2br w:val="nil"/>
              <w:tr2bl w:val="nil"/>
            </w:tcBorders>
            <w:vAlign w:val="center"/>
          </w:tcPr>
          <w:p w14:paraId="42413950">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p>
        </w:tc>
      </w:tr>
      <w:tr w14:paraId="2C11A74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69" w:hRule="atLeast"/>
        </w:trPr>
        <w:tc>
          <w:tcPr>
            <w:tcW w:w="798" w:type="dxa"/>
            <w:tcBorders>
              <w:tl2br w:val="nil"/>
              <w:tr2bl w:val="nil"/>
            </w:tcBorders>
            <w:vAlign w:val="center"/>
          </w:tcPr>
          <w:p w14:paraId="4233837F">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2</w:t>
            </w:r>
          </w:p>
        </w:tc>
        <w:tc>
          <w:tcPr>
            <w:tcW w:w="1315" w:type="dxa"/>
            <w:tcBorders>
              <w:tl2br w:val="nil"/>
              <w:tr2bl w:val="nil"/>
            </w:tcBorders>
            <w:vAlign w:val="center"/>
          </w:tcPr>
          <w:p w14:paraId="520F1356">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认证证书</w:t>
            </w:r>
          </w:p>
        </w:tc>
        <w:tc>
          <w:tcPr>
            <w:tcW w:w="6744" w:type="dxa"/>
            <w:tcBorders>
              <w:tl2br w:val="nil"/>
              <w:tr2bl w:val="nil"/>
            </w:tcBorders>
            <w:vAlign w:val="center"/>
          </w:tcPr>
          <w:p w14:paraId="76BA5FE1">
            <w:pPr>
              <w:keepNext w:val="0"/>
              <w:keepLines w:val="0"/>
              <w:pageBreakBefore w:val="0"/>
              <w:widowControl/>
              <w:kinsoku/>
              <w:wordWrap/>
              <w:overflowPunct/>
              <w:topLinePunct w:val="0"/>
              <w:bidi w:val="0"/>
              <w:adjustRightInd w:val="0"/>
              <w:spacing w:line="288" w:lineRule="auto"/>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rPr>
              <w:t>投标人</w:t>
            </w:r>
            <w:r>
              <w:rPr>
                <w:rFonts w:hint="eastAsia" w:ascii="宋体" w:hAnsi="宋体" w:eastAsia="宋体" w:cs="宋体"/>
                <w:sz w:val="24"/>
                <w:szCs w:val="24"/>
                <w:highlight w:val="none"/>
                <w:shd w:val="clear" w:color="auto" w:fill="FFFFFF"/>
                <w:lang w:val="en-US" w:eastAsia="zh-CN"/>
              </w:rPr>
              <w:t>或设备生产厂家</w:t>
            </w:r>
            <w:r>
              <w:rPr>
                <w:rFonts w:hint="eastAsia" w:ascii="宋体" w:hAnsi="宋体" w:eastAsia="宋体" w:cs="宋体"/>
                <w:sz w:val="24"/>
                <w:szCs w:val="24"/>
                <w:highlight w:val="none"/>
                <w:shd w:val="clear" w:color="auto" w:fill="FFFFFF"/>
              </w:rPr>
              <w:t>具有ISO9001质量管理体系认证、</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shd w:val="clear" w:color="auto" w:fill="FFFFFF"/>
              </w:rPr>
              <w:t>ISO14001环境管理体系认证、ISO45001职业健康安全管理体系认证证书 (或GB/T 28001职业健康安全管理体系认证证书)，每提供一个得1分，最高得3分。</w:t>
            </w:r>
          </w:p>
          <w:p w14:paraId="1F449B8F">
            <w:pPr>
              <w:keepNext w:val="0"/>
              <w:keepLines w:val="0"/>
              <w:pageBreakBefore w:val="0"/>
              <w:widowControl/>
              <w:kinsoku/>
              <w:wordWrap/>
              <w:overflowPunct/>
              <w:topLinePunct w:val="0"/>
              <w:bidi w:val="0"/>
              <w:adjustRightInd w:val="0"/>
              <w:spacing w:line="288" w:lineRule="auto"/>
              <w:rPr>
                <w:rFonts w:hint="eastAsia" w:ascii="宋体" w:hAnsi="宋体" w:eastAsia="宋体" w:cs="宋体"/>
                <w:sz w:val="24"/>
                <w:szCs w:val="24"/>
                <w:highlight w:val="none"/>
                <w:shd w:val="clear" w:color="auto" w:fill="FFFFFF"/>
              </w:rPr>
            </w:pPr>
            <w:r>
              <w:rPr>
                <w:rFonts w:hint="eastAsia" w:ascii="宋体" w:hAnsi="宋体" w:eastAsia="宋体" w:cs="宋体"/>
                <w:b/>
                <w:bCs/>
                <w:sz w:val="24"/>
                <w:szCs w:val="24"/>
                <w:highlight w:val="none"/>
                <w:shd w:val="clear" w:color="auto" w:fill="FFFFFF"/>
              </w:rPr>
              <w:t>须提供证书扫描件和“全国认证认可信息公共服务平台”官网查询截图, 否则不得分。</w:t>
            </w:r>
          </w:p>
        </w:tc>
        <w:tc>
          <w:tcPr>
            <w:tcW w:w="741" w:type="dxa"/>
            <w:tcBorders>
              <w:tl2br w:val="nil"/>
              <w:tr2bl w:val="nil"/>
            </w:tcBorders>
            <w:vAlign w:val="center"/>
          </w:tcPr>
          <w:p w14:paraId="5CC10B5F">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p>
        </w:tc>
      </w:tr>
      <w:tr w14:paraId="0E4F7C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49" w:hRule="atLeast"/>
        </w:trPr>
        <w:tc>
          <w:tcPr>
            <w:tcW w:w="798" w:type="dxa"/>
            <w:vMerge w:val="restart"/>
            <w:tcBorders>
              <w:tl2br w:val="nil"/>
              <w:tr2bl w:val="nil"/>
            </w:tcBorders>
            <w:vAlign w:val="center"/>
          </w:tcPr>
          <w:p w14:paraId="7BAAC73E">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3</w:t>
            </w:r>
          </w:p>
        </w:tc>
        <w:tc>
          <w:tcPr>
            <w:tcW w:w="1315" w:type="dxa"/>
            <w:vMerge w:val="restart"/>
            <w:tcBorders>
              <w:tl2br w:val="nil"/>
              <w:tr2bl w:val="nil"/>
            </w:tcBorders>
            <w:vAlign w:val="center"/>
          </w:tcPr>
          <w:p w14:paraId="6F478088">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项目实施方案</w:t>
            </w:r>
          </w:p>
        </w:tc>
        <w:tc>
          <w:tcPr>
            <w:tcW w:w="6744" w:type="dxa"/>
            <w:tcBorders>
              <w:tl2br w:val="nil"/>
              <w:tr2bl w:val="nil"/>
            </w:tcBorders>
            <w:vAlign w:val="center"/>
          </w:tcPr>
          <w:p w14:paraId="5B347AE4">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投标人对本项目重点难点及关键性技术问题的认识和分析，供货能力、进度计划方案是否能满足采购需求</w:t>
            </w:r>
            <w:r>
              <w:rPr>
                <w:rFonts w:hint="eastAsia" w:ascii="宋体" w:hAnsi="宋体" w:eastAsia="宋体" w:cs="宋体"/>
                <w:color w:val="000000"/>
                <w:sz w:val="24"/>
                <w:szCs w:val="24"/>
                <w:highlight w:val="none"/>
                <w:lang w:val="en-US" w:eastAsia="zh-CN"/>
              </w:rPr>
              <w:t>进行打分。</w:t>
            </w:r>
          </w:p>
          <w:p w14:paraId="6FBFC108">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对本项目重点难点及关键性技术问题的认识和分析（0-2分）</w:t>
            </w:r>
          </w:p>
          <w:p w14:paraId="77546A37">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投标人未分析或分析与需求不符，得0分。</w:t>
            </w:r>
          </w:p>
          <w:p w14:paraId="4738D388">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有基本认识但分析肤浅，得1分。</w:t>
            </w:r>
          </w:p>
          <w:p w14:paraId="21FDE090">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清晰、全面认识，分析深入透彻，提出针对性解决思路，得2分。</w:t>
            </w:r>
          </w:p>
          <w:p w14:paraId="7D52E76C">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2</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供货能力（0-2分）</w:t>
            </w:r>
          </w:p>
          <w:p w14:paraId="5B9DEF32">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供货能力明显不足，无法满足采购需求，得0分。</w:t>
            </w:r>
          </w:p>
          <w:p w14:paraId="7D63FBAD">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供货能力基本满足需求，但存在不足或风险，得1分。</w:t>
            </w:r>
          </w:p>
          <w:p w14:paraId="3DC13DCB">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供货能力完全满足需求，具备充足生产能力、稳定库存和高效物流，得2分。</w:t>
            </w:r>
          </w:p>
          <w:p w14:paraId="225819C8">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3</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进度计划方案（0-2分）</w:t>
            </w:r>
          </w:p>
          <w:p w14:paraId="0CCC0182">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进度计划不合理，无法满足采购需求，得0分。</w:t>
            </w:r>
          </w:p>
          <w:p w14:paraId="493062B3">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进度计划基本满足需求，但存在不足或风险，得1分。</w:t>
            </w:r>
          </w:p>
          <w:p w14:paraId="2E25C607">
            <w:pPr>
              <w:keepNext w:val="0"/>
              <w:keepLines w:val="0"/>
              <w:pageBreakBefore w:val="0"/>
              <w:widowControl/>
              <w:tabs>
                <w:tab w:val="left" w:pos="4010"/>
              </w:tabs>
              <w:kinsoku/>
              <w:wordWrap/>
              <w:overflowPunct/>
              <w:topLinePunct w:val="0"/>
              <w:bidi w:val="0"/>
              <w:adjustRightInd w:val="0"/>
              <w:spacing w:line="288" w:lineRule="auto"/>
              <w:rPr>
                <w:rFonts w:hint="eastAsia"/>
              </w:rPr>
            </w:pPr>
            <w:r>
              <w:rPr>
                <w:rFonts w:hint="eastAsia" w:ascii="宋体" w:hAnsi="宋体" w:eastAsia="宋体" w:cs="宋体"/>
                <w:color w:val="000000"/>
                <w:sz w:val="24"/>
                <w:szCs w:val="24"/>
                <w:highlight w:val="none"/>
              </w:rPr>
              <w:t>进度计划合理、可行，完全满足采购需求，得2分。</w:t>
            </w:r>
          </w:p>
        </w:tc>
        <w:tc>
          <w:tcPr>
            <w:tcW w:w="741" w:type="dxa"/>
            <w:tcBorders>
              <w:tl2br w:val="nil"/>
              <w:tr2bl w:val="nil"/>
            </w:tcBorders>
            <w:vAlign w:val="center"/>
          </w:tcPr>
          <w:p w14:paraId="614E9C6B">
            <w:pPr>
              <w:widowControl/>
              <w:spacing w:line="360" w:lineRule="auto"/>
              <w:jc w:val="center"/>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6</w:t>
            </w:r>
          </w:p>
        </w:tc>
      </w:tr>
      <w:tr w14:paraId="20C9EF1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9" w:hRule="atLeast"/>
        </w:trPr>
        <w:tc>
          <w:tcPr>
            <w:tcW w:w="798" w:type="dxa"/>
            <w:vMerge w:val="continue"/>
            <w:tcBorders>
              <w:tl2br w:val="nil"/>
              <w:tr2bl w:val="nil"/>
            </w:tcBorders>
            <w:vAlign w:val="center"/>
          </w:tcPr>
          <w:p w14:paraId="7FF71094">
            <w:pPr>
              <w:widowControl/>
              <w:spacing w:line="360" w:lineRule="auto"/>
              <w:jc w:val="center"/>
              <w:rPr>
                <w:rFonts w:hint="eastAsia" w:ascii="宋体" w:hAnsi="宋体" w:eastAsia="宋体" w:cs="宋体"/>
                <w:color w:val="000000"/>
                <w:kern w:val="0"/>
                <w:sz w:val="24"/>
                <w:szCs w:val="24"/>
                <w:highlight w:val="none"/>
              </w:rPr>
            </w:pPr>
          </w:p>
        </w:tc>
        <w:tc>
          <w:tcPr>
            <w:tcW w:w="1315" w:type="dxa"/>
            <w:vMerge w:val="continue"/>
            <w:tcBorders>
              <w:tl2br w:val="nil"/>
              <w:tr2bl w:val="nil"/>
            </w:tcBorders>
            <w:vAlign w:val="center"/>
          </w:tcPr>
          <w:p w14:paraId="3DF451AD">
            <w:pPr>
              <w:widowControl/>
              <w:spacing w:line="360" w:lineRule="auto"/>
              <w:rPr>
                <w:rFonts w:hint="eastAsia" w:ascii="宋体" w:hAnsi="宋体" w:eastAsia="宋体" w:cs="宋体"/>
                <w:color w:val="000000"/>
                <w:kern w:val="0"/>
                <w:sz w:val="24"/>
                <w:szCs w:val="24"/>
                <w:highlight w:val="none"/>
              </w:rPr>
            </w:pPr>
          </w:p>
        </w:tc>
        <w:tc>
          <w:tcPr>
            <w:tcW w:w="6744" w:type="dxa"/>
            <w:tcBorders>
              <w:tl2br w:val="nil"/>
              <w:tr2bl w:val="nil"/>
            </w:tcBorders>
            <w:vAlign w:val="center"/>
          </w:tcPr>
          <w:p w14:paraId="14B621F8">
            <w:pPr>
              <w:keepNext w:val="0"/>
              <w:keepLines w:val="0"/>
              <w:pageBreakBefore w:val="0"/>
              <w:widowControl/>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投标人对供货、安装、调试、验收方案的关键步骤的思路和要点，是否具有科学性、合理性、规范性和可操作性,综合打分</w:t>
            </w:r>
            <w:r>
              <w:rPr>
                <w:rFonts w:hint="eastAsia" w:ascii="宋体" w:hAnsi="宋体" w:eastAsia="宋体" w:cs="宋体"/>
                <w:color w:val="000000"/>
                <w:sz w:val="24"/>
                <w:szCs w:val="24"/>
                <w:highlight w:val="none"/>
                <w:lang w:eastAsia="zh-CN"/>
              </w:rPr>
              <w:t>。</w:t>
            </w:r>
          </w:p>
          <w:p w14:paraId="6AF2F2A6">
            <w:pPr>
              <w:keepNext w:val="0"/>
              <w:keepLines w:val="0"/>
              <w:pageBreakBefore w:val="0"/>
              <w:widowControl/>
              <w:numPr>
                <w:ilvl w:val="0"/>
                <w:numId w:val="7"/>
              </w:numPr>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方案完整性（0-2分）：</w:t>
            </w:r>
          </w:p>
          <w:p w14:paraId="63EA6C8B">
            <w:pPr>
              <w:keepNext w:val="0"/>
              <w:keepLines w:val="0"/>
              <w:pageBreakBefore w:val="0"/>
              <w:widowControl/>
              <w:numPr>
                <w:ilvl w:val="0"/>
                <w:numId w:val="0"/>
              </w:numPr>
              <w:tabs>
                <w:tab w:val="left" w:pos="4010"/>
              </w:tabs>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方案缺失或关键步骤表述不清得0分，基本完整但有遗漏得1分，完整且关键步骤清晰得2分。</w:t>
            </w:r>
          </w:p>
          <w:p w14:paraId="4A3CFF6B">
            <w:pPr>
              <w:keepNext w:val="0"/>
              <w:keepLines w:val="0"/>
              <w:pageBreakBefore w:val="0"/>
              <w:widowControl/>
              <w:numPr>
                <w:ilvl w:val="0"/>
                <w:numId w:val="7"/>
              </w:numPr>
              <w:tabs>
                <w:tab w:val="left" w:pos="4010"/>
              </w:tabs>
              <w:kinsoku/>
              <w:wordWrap/>
              <w:overflowPunct/>
              <w:topLinePunct w:val="0"/>
              <w:bidi w:val="0"/>
              <w:adjustRightInd w:val="0"/>
              <w:spacing w:line="288" w:lineRule="auto"/>
              <w:ind w:left="0" w:leftChars="0" w:firstLine="0" w:firstLine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科学性（0-2分）：</w:t>
            </w:r>
          </w:p>
          <w:p w14:paraId="02AB839E">
            <w:pPr>
              <w:keepNext w:val="0"/>
              <w:keepLines w:val="0"/>
              <w:pageBreakBefore w:val="0"/>
              <w:widowControl/>
              <w:numPr>
                <w:ilvl w:val="0"/>
                <w:numId w:val="0"/>
              </w:numPr>
              <w:tabs>
                <w:tab w:val="left" w:pos="4010"/>
              </w:tabs>
              <w:kinsoku/>
              <w:wordWrap/>
              <w:overflowPunct/>
              <w:topLinePunct w:val="0"/>
              <w:bidi w:val="0"/>
              <w:adjustRightInd w:val="0"/>
              <w:spacing w:line="288" w:lineRule="auto"/>
              <w:ind w:left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违背科学原理得0分，基本符合但部分不合理得1分，完全符合且技术方法先进得2分。</w:t>
            </w:r>
          </w:p>
          <w:p w14:paraId="1BDDD1CD">
            <w:pPr>
              <w:keepNext w:val="0"/>
              <w:keepLines w:val="0"/>
              <w:pageBreakBefore w:val="0"/>
              <w:widowControl/>
              <w:numPr>
                <w:ilvl w:val="0"/>
                <w:numId w:val="7"/>
              </w:numPr>
              <w:tabs>
                <w:tab w:val="left" w:pos="4010"/>
              </w:tabs>
              <w:kinsoku/>
              <w:wordWrap/>
              <w:overflowPunct/>
              <w:topLinePunct w:val="0"/>
              <w:bidi w:val="0"/>
              <w:adjustRightInd w:val="0"/>
              <w:spacing w:line="288" w:lineRule="auto"/>
              <w:ind w:left="0" w:leftChars="0" w:firstLine="0" w:firstLine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合理性（0-2分）：</w:t>
            </w:r>
          </w:p>
          <w:p w14:paraId="5CA1E0DF">
            <w:pPr>
              <w:keepNext w:val="0"/>
              <w:keepLines w:val="0"/>
              <w:pageBreakBefore w:val="0"/>
              <w:widowControl/>
              <w:numPr>
                <w:ilvl w:val="0"/>
                <w:numId w:val="0"/>
              </w:numPr>
              <w:tabs>
                <w:tab w:val="left" w:pos="4010"/>
              </w:tabs>
              <w:kinsoku/>
              <w:wordWrap/>
              <w:overflowPunct/>
              <w:topLinePunct w:val="0"/>
              <w:bidi w:val="0"/>
              <w:adjustRightInd w:val="0"/>
              <w:spacing w:line="288" w:lineRule="auto"/>
              <w:ind w:left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与需求严重不符得0分，基本合理但有不足得1分，完全符合需求得2分。</w:t>
            </w:r>
          </w:p>
          <w:p w14:paraId="6B3D02AB">
            <w:pPr>
              <w:keepNext w:val="0"/>
              <w:keepLines w:val="0"/>
              <w:pageBreakBefore w:val="0"/>
              <w:widowControl/>
              <w:numPr>
                <w:ilvl w:val="0"/>
                <w:numId w:val="7"/>
              </w:numPr>
              <w:tabs>
                <w:tab w:val="left" w:pos="4010"/>
              </w:tabs>
              <w:kinsoku/>
              <w:wordWrap/>
              <w:overflowPunct/>
              <w:topLinePunct w:val="0"/>
              <w:bidi w:val="0"/>
              <w:adjustRightInd w:val="0"/>
              <w:spacing w:line="288" w:lineRule="auto"/>
              <w:ind w:left="0" w:leftChars="0" w:firstLine="0" w:firstLine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规范性（0-1分）：</w:t>
            </w:r>
          </w:p>
          <w:p w14:paraId="6444280B">
            <w:pPr>
              <w:keepNext w:val="0"/>
              <w:keepLines w:val="0"/>
              <w:pageBreakBefore w:val="0"/>
              <w:widowControl/>
              <w:numPr>
                <w:ilvl w:val="0"/>
                <w:numId w:val="0"/>
              </w:numPr>
              <w:tabs>
                <w:tab w:val="left" w:pos="4010"/>
              </w:tabs>
              <w:kinsoku/>
              <w:wordWrap/>
              <w:overflowPunct/>
              <w:topLinePunct w:val="0"/>
              <w:bidi w:val="0"/>
              <w:adjustRightInd w:val="0"/>
              <w:spacing w:line="288" w:lineRule="auto"/>
              <w:ind w:left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未遵循规范得0分，基本遵循但有少量不规范得0.5分，完全遵循得1分。</w:t>
            </w:r>
          </w:p>
          <w:p w14:paraId="08F081D8">
            <w:pPr>
              <w:keepNext w:val="0"/>
              <w:keepLines w:val="0"/>
              <w:pageBreakBefore w:val="0"/>
              <w:widowControl/>
              <w:numPr>
                <w:ilvl w:val="0"/>
                <w:numId w:val="7"/>
              </w:numPr>
              <w:tabs>
                <w:tab w:val="left" w:pos="4010"/>
              </w:tabs>
              <w:kinsoku/>
              <w:wordWrap/>
              <w:overflowPunct/>
              <w:topLinePunct w:val="0"/>
              <w:bidi w:val="0"/>
              <w:adjustRightInd w:val="0"/>
              <w:spacing w:line="288" w:lineRule="auto"/>
              <w:ind w:left="0" w:leftChars="0" w:firstLine="0" w:firstLine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可操作性（0-1分）：</w:t>
            </w:r>
          </w:p>
          <w:p w14:paraId="78B13991">
            <w:pPr>
              <w:keepNext w:val="0"/>
              <w:keepLines w:val="0"/>
              <w:pageBreakBefore w:val="0"/>
              <w:widowControl/>
              <w:numPr>
                <w:ilvl w:val="0"/>
                <w:numId w:val="0"/>
              </w:numPr>
              <w:tabs>
                <w:tab w:val="left" w:pos="4010"/>
              </w:tabs>
              <w:kinsoku/>
              <w:wordWrap/>
              <w:overflowPunct/>
              <w:topLinePunct w:val="0"/>
              <w:bidi w:val="0"/>
              <w:adjustRightInd w:val="0"/>
              <w:spacing w:line="288" w:lineRule="auto"/>
              <w:ind w:leftChars="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缺乏可操作性得0分，基本可操作但有困难得0.5分，具备强可操作性得1分。</w:t>
            </w:r>
          </w:p>
        </w:tc>
        <w:tc>
          <w:tcPr>
            <w:tcW w:w="741" w:type="dxa"/>
            <w:tcBorders>
              <w:tl2br w:val="nil"/>
              <w:tr2bl w:val="nil"/>
            </w:tcBorders>
            <w:vAlign w:val="center"/>
          </w:tcPr>
          <w:p w14:paraId="2811FBA8">
            <w:pPr>
              <w:widowControl/>
              <w:spacing w:line="360" w:lineRule="auto"/>
              <w:jc w:val="center"/>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8</w:t>
            </w:r>
          </w:p>
        </w:tc>
      </w:tr>
      <w:tr w14:paraId="23127B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53" w:hRule="atLeast"/>
        </w:trPr>
        <w:tc>
          <w:tcPr>
            <w:tcW w:w="798" w:type="dxa"/>
            <w:tcBorders>
              <w:tl2br w:val="nil"/>
              <w:tr2bl w:val="nil"/>
            </w:tcBorders>
            <w:vAlign w:val="center"/>
          </w:tcPr>
          <w:p w14:paraId="333BD40A">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w:t>
            </w:r>
          </w:p>
        </w:tc>
        <w:tc>
          <w:tcPr>
            <w:tcW w:w="1315" w:type="dxa"/>
            <w:tcBorders>
              <w:tl2br w:val="nil"/>
              <w:tr2bl w:val="nil"/>
            </w:tcBorders>
            <w:vAlign w:val="center"/>
          </w:tcPr>
          <w:p w14:paraId="63B1307C">
            <w:pPr>
              <w:widowControl/>
              <w:rPr>
                <w:rFonts w:hint="eastAsia" w:ascii="宋体" w:hAnsi="宋体" w:eastAsia="宋体" w:cs="宋体"/>
                <w:bCs/>
                <w:color w:val="000000"/>
                <w:kern w:val="0"/>
                <w:sz w:val="24"/>
                <w:szCs w:val="24"/>
                <w:highlight w:val="none"/>
              </w:rPr>
            </w:pPr>
            <w:r>
              <w:rPr>
                <w:rFonts w:hint="eastAsia" w:ascii="宋体" w:hAnsi="宋体" w:eastAsia="宋体" w:cs="宋体"/>
                <w:color w:val="000000"/>
                <w:sz w:val="24"/>
                <w:szCs w:val="24"/>
                <w:highlight w:val="none"/>
              </w:rPr>
              <w:t>节能环保</w:t>
            </w:r>
          </w:p>
        </w:tc>
        <w:tc>
          <w:tcPr>
            <w:tcW w:w="6744" w:type="dxa"/>
            <w:tcBorders>
              <w:tl2br w:val="nil"/>
              <w:tr2bl w:val="nil"/>
            </w:tcBorders>
            <w:vAlign w:val="center"/>
          </w:tcPr>
          <w:p w14:paraId="180B9EE3">
            <w:pPr>
              <w:keepNext w:val="0"/>
              <w:keepLines w:val="0"/>
              <w:pageBreakBefore w:val="0"/>
              <w:widowControl/>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投标产品获得国家确定的认证机构出具的有效期之内的环境标志产品认证证书的</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节能产品认证证书，每个证书得</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分，最多得</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分。</w:t>
            </w:r>
          </w:p>
          <w:p w14:paraId="3C8F9873">
            <w:pPr>
              <w:keepNext w:val="0"/>
              <w:keepLines w:val="0"/>
              <w:pageBreakBefore w:val="0"/>
              <w:widowControl/>
              <w:kinsoku/>
              <w:wordWrap/>
              <w:overflowPunct/>
              <w:topLinePunct w:val="0"/>
              <w:bidi w:val="0"/>
              <w:adjustRightInd w:val="0"/>
              <w:spacing w:line="288" w:lineRule="auto"/>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highlight w:val="none"/>
              </w:rPr>
              <w:t>须提供证书原件扫描件，否则不得分。</w:t>
            </w:r>
          </w:p>
        </w:tc>
        <w:tc>
          <w:tcPr>
            <w:tcW w:w="741" w:type="dxa"/>
            <w:tcBorders>
              <w:tl2br w:val="nil"/>
              <w:tr2bl w:val="nil"/>
            </w:tcBorders>
            <w:vAlign w:val="center"/>
          </w:tcPr>
          <w:p w14:paraId="0C436F44">
            <w:pPr>
              <w:widowControl/>
              <w:spacing w:line="360" w:lineRule="auto"/>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w:t>
            </w:r>
          </w:p>
        </w:tc>
      </w:tr>
      <w:tr w14:paraId="7CF4AD5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83" w:hRule="atLeast"/>
        </w:trPr>
        <w:tc>
          <w:tcPr>
            <w:tcW w:w="798" w:type="dxa"/>
            <w:vMerge w:val="restart"/>
            <w:tcBorders>
              <w:tl2br w:val="nil"/>
              <w:tr2bl w:val="nil"/>
            </w:tcBorders>
            <w:vAlign w:val="center"/>
          </w:tcPr>
          <w:p w14:paraId="17E525AC">
            <w:pPr>
              <w:widowControl/>
              <w:spacing w:line="360" w:lineRule="auto"/>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5</w:t>
            </w:r>
          </w:p>
        </w:tc>
        <w:tc>
          <w:tcPr>
            <w:tcW w:w="1315" w:type="dxa"/>
            <w:vMerge w:val="restart"/>
            <w:tcBorders>
              <w:tl2br w:val="nil"/>
              <w:tr2bl w:val="nil"/>
            </w:tcBorders>
            <w:vAlign w:val="center"/>
          </w:tcPr>
          <w:p w14:paraId="1CF72EBD">
            <w:pPr>
              <w:widowControl/>
              <w:spacing w:line="360"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投标产品技术参数</w:t>
            </w:r>
          </w:p>
        </w:tc>
        <w:tc>
          <w:tcPr>
            <w:tcW w:w="6744" w:type="dxa"/>
            <w:tcBorders>
              <w:tl2br w:val="nil"/>
              <w:tr2bl w:val="nil"/>
            </w:tcBorders>
            <w:vAlign w:val="center"/>
          </w:tcPr>
          <w:p w14:paraId="06D7BF95">
            <w:pPr>
              <w:pStyle w:val="237"/>
              <w:keepNext w:val="0"/>
              <w:keepLines w:val="0"/>
              <w:pageBreakBefore w:val="0"/>
              <w:widowControl/>
              <w:kinsoku/>
              <w:wordWrap/>
              <w:overflowPunct/>
              <w:topLinePunct w:val="0"/>
              <w:bidi w:val="0"/>
              <w:adjustRightInd w:val="0"/>
              <w:snapToGrid w:val="0"/>
              <w:spacing w:line="288" w:lineRule="auto"/>
              <w:textAlignment w:val="auto"/>
              <w:rPr>
                <w:rFonts w:hint="eastAsia" w:ascii="宋体" w:hAnsi="宋体" w:eastAsia="宋体" w:cs="宋体"/>
                <w:sz w:val="24"/>
                <w:szCs w:val="24"/>
                <w:highlight w:val="none"/>
                <w:lang w:eastAsia="zh-CN"/>
              </w:rPr>
            </w:pPr>
            <w:r>
              <w:rPr>
                <w:rFonts w:hint="eastAsia" w:ascii="宋体" w:hAnsi="宋体" w:eastAsia="宋体" w:cs="宋体"/>
                <w:color w:val="000000"/>
                <w:sz w:val="24"/>
                <w:szCs w:val="24"/>
                <w:highlight w:val="none"/>
                <w:lang w:eastAsia="zh-CN"/>
              </w:rPr>
              <w:t>根据供应商提供产品完全满足</w:t>
            </w:r>
            <w:r>
              <w:rPr>
                <w:rFonts w:hint="eastAsia" w:ascii="宋体" w:hAnsi="宋体" w:eastAsia="宋体" w:cs="宋体"/>
                <w:color w:val="000000"/>
                <w:sz w:val="24"/>
                <w:szCs w:val="24"/>
                <w:highlight w:val="none"/>
                <w:lang w:val="en-US" w:eastAsia="zh-CN"/>
              </w:rPr>
              <w:t>招标</w:t>
            </w:r>
            <w:r>
              <w:rPr>
                <w:rFonts w:hint="eastAsia" w:ascii="宋体" w:hAnsi="宋体" w:eastAsia="宋体" w:cs="宋体"/>
                <w:color w:val="000000"/>
                <w:sz w:val="24"/>
                <w:szCs w:val="24"/>
                <w:highlight w:val="none"/>
                <w:lang w:eastAsia="zh-CN"/>
              </w:rPr>
              <w:t>文件中主要设备参数要求的得</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eastAsia="zh-CN"/>
              </w:rPr>
              <w:t>分，</w:t>
            </w:r>
            <w:r>
              <w:rPr>
                <w:rFonts w:hint="eastAsia" w:ascii="宋体" w:hAnsi="宋体" w:eastAsia="宋体" w:cs="宋体"/>
                <w:sz w:val="24"/>
                <w:szCs w:val="24"/>
                <w:highlight w:val="none"/>
                <w:lang w:val="en-US" w:eastAsia="zh-CN"/>
              </w:rPr>
              <w:t>每</w:t>
            </w:r>
            <w:r>
              <w:rPr>
                <w:rFonts w:hint="eastAsia" w:ascii="宋体" w:hAnsi="宋体" w:eastAsia="宋体" w:cs="宋体"/>
                <w:sz w:val="24"/>
                <w:szCs w:val="24"/>
                <w:highlight w:val="none"/>
                <w:lang w:eastAsia="zh-CN"/>
              </w:rPr>
              <w:t>一项</w:t>
            </w:r>
            <w:r>
              <w:rPr>
                <w:rFonts w:hint="eastAsia" w:ascii="宋体" w:hAnsi="宋体" w:eastAsia="宋体" w:cs="宋体"/>
                <w:sz w:val="24"/>
                <w:szCs w:val="24"/>
                <w:highlight w:val="none"/>
                <w:lang w:val="en-US" w:eastAsia="zh-CN"/>
              </w:rPr>
              <w:t>负偏离</w:t>
            </w:r>
            <w:r>
              <w:rPr>
                <w:rFonts w:hint="eastAsia" w:ascii="宋体" w:hAnsi="宋体" w:eastAsia="宋体" w:cs="宋体"/>
                <w:sz w:val="24"/>
                <w:szCs w:val="24"/>
                <w:highlight w:val="none"/>
                <w:lang w:eastAsia="zh-CN"/>
              </w:rPr>
              <w:t>扣</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分，扣完为止。</w:t>
            </w:r>
          </w:p>
          <w:p w14:paraId="455AE35B">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招标文件技术参数中要求提供相关</w:t>
            </w:r>
            <w:r>
              <w:rPr>
                <w:rFonts w:hint="eastAsia" w:ascii="宋体" w:hAnsi="宋体" w:cs="宋体"/>
                <w:color w:val="000000"/>
                <w:sz w:val="24"/>
                <w:szCs w:val="24"/>
                <w:highlight w:val="none"/>
                <w:lang w:val="en-US" w:eastAsia="zh-CN"/>
              </w:rPr>
              <w:t>检测报告等内容的必须按要求提供，否则按负偏离处理</w:t>
            </w:r>
            <w:r>
              <w:rPr>
                <w:rFonts w:hint="eastAsia" w:ascii="宋体" w:hAnsi="宋体" w:eastAsia="宋体" w:cs="宋体"/>
                <w:color w:val="000000"/>
                <w:sz w:val="24"/>
                <w:szCs w:val="24"/>
                <w:highlight w:val="none"/>
              </w:rPr>
              <w:t>。</w:t>
            </w:r>
          </w:p>
          <w:p w14:paraId="29E20732">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color w:val="FF0000"/>
                <w:sz w:val="24"/>
                <w:szCs w:val="24"/>
                <w:highlight w:val="none"/>
              </w:rPr>
            </w:pPr>
            <w:r>
              <w:rPr>
                <w:rFonts w:hint="eastAsia" w:ascii="宋体" w:hAnsi="宋体" w:eastAsia="宋体" w:cs="宋体"/>
                <w:color w:val="000000"/>
                <w:sz w:val="24"/>
                <w:szCs w:val="24"/>
                <w:highlight w:val="none"/>
              </w:rPr>
              <w:t>2、投标人所提供的资料必须真实有效，提供虚假资料</w:t>
            </w:r>
            <w:r>
              <w:rPr>
                <w:rFonts w:hint="eastAsia" w:ascii="宋体" w:hAnsi="宋体" w:eastAsia="宋体" w:cs="宋体"/>
                <w:color w:val="000000"/>
                <w:sz w:val="24"/>
                <w:szCs w:val="24"/>
                <w:highlight w:val="none"/>
                <w:lang w:val="en-US" w:eastAsia="zh-CN"/>
              </w:rPr>
              <w:t>等谋取中标</w:t>
            </w:r>
            <w:r>
              <w:rPr>
                <w:rFonts w:hint="eastAsia" w:ascii="宋体" w:hAnsi="宋体" w:eastAsia="宋体" w:cs="宋体"/>
                <w:color w:val="000000"/>
                <w:sz w:val="24"/>
                <w:szCs w:val="24"/>
                <w:highlight w:val="none"/>
              </w:rPr>
              <w:t>违法行为，上报监督机构并追究</w:t>
            </w:r>
            <w:r>
              <w:rPr>
                <w:rFonts w:hint="eastAsia" w:ascii="宋体" w:hAnsi="宋体" w:eastAsia="宋体" w:cs="宋体"/>
                <w:color w:val="000000"/>
                <w:sz w:val="24"/>
                <w:szCs w:val="24"/>
                <w:highlight w:val="none"/>
                <w:lang w:val="en-US" w:eastAsia="zh-CN"/>
              </w:rPr>
              <w:t>其</w:t>
            </w:r>
            <w:r>
              <w:rPr>
                <w:rFonts w:hint="eastAsia" w:ascii="宋体" w:hAnsi="宋体" w:eastAsia="宋体" w:cs="宋体"/>
                <w:color w:val="000000"/>
                <w:sz w:val="24"/>
                <w:szCs w:val="24"/>
                <w:highlight w:val="none"/>
              </w:rPr>
              <w:t>法律责任。</w:t>
            </w:r>
          </w:p>
        </w:tc>
        <w:tc>
          <w:tcPr>
            <w:tcW w:w="741" w:type="dxa"/>
            <w:tcBorders>
              <w:tl2br w:val="nil"/>
              <w:tr2bl w:val="nil"/>
            </w:tcBorders>
            <w:vAlign w:val="center"/>
          </w:tcPr>
          <w:p w14:paraId="70DD2811">
            <w:pPr>
              <w:widowControl/>
              <w:jc w:val="center"/>
              <w:rPr>
                <w:rFonts w:hint="eastAsia" w:ascii="宋体" w:hAnsi="宋体" w:eastAsia="宋体" w:cs="宋体"/>
                <w:color w:val="FF0000"/>
                <w:kern w:val="0"/>
                <w:sz w:val="24"/>
                <w:szCs w:val="24"/>
                <w:highlight w:val="none"/>
                <w:lang w:val="en-US" w:eastAsia="zh-CN"/>
              </w:rPr>
            </w:pPr>
            <w:r>
              <w:rPr>
                <w:rFonts w:hint="eastAsia" w:ascii="宋体" w:hAnsi="宋体" w:cs="宋体"/>
                <w:color w:val="auto"/>
                <w:kern w:val="0"/>
                <w:sz w:val="24"/>
                <w:szCs w:val="24"/>
                <w:highlight w:val="none"/>
                <w:lang w:val="en-US" w:eastAsia="zh-CN"/>
              </w:rPr>
              <w:t>21</w:t>
            </w:r>
          </w:p>
        </w:tc>
      </w:tr>
      <w:tr w14:paraId="16AC60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177" w:hRule="atLeast"/>
        </w:trPr>
        <w:tc>
          <w:tcPr>
            <w:tcW w:w="798" w:type="dxa"/>
            <w:vMerge w:val="continue"/>
            <w:tcBorders>
              <w:tl2br w:val="nil"/>
              <w:tr2bl w:val="nil"/>
            </w:tcBorders>
            <w:vAlign w:val="center"/>
          </w:tcPr>
          <w:p w14:paraId="4C3A1BC8">
            <w:pPr>
              <w:widowControl/>
              <w:spacing w:line="360" w:lineRule="auto"/>
              <w:jc w:val="center"/>
              <w:rPr>
                <w:rFonts w:hint="eastAsia" w:ascii="宋体" w:hAnsi="宋体" w:eastAsia="宋体" w:cs="宋体"/>
                <w:color w:val="000000"/>
                <w:kern w:val="0"/>
                <w:sz w:val="24"/>
                <w:szCs w:val="24"/>
                <w:highlight w:val="none"/>
              </w:rPr>
            </w:pPr>
          </w:p>
        </w:tc>
        <w:tc>
          <w:tcPr>
            <w:tcW w:w="1315" w:type="dxa"/>
            <w:vMerge w:val="continue"/>
            <w:tcBorders>
              <w:tl2br w:val="nil"/>
              <w:tr2bl w:val="nil"/>
            </w:tcBorders>
            <w:vAlign w:val="center"/>
          </w:tcPr>
          <w:p w14:paraId="26B06D56">
            <w:pPr>
              <w:widowControl/>
              <w:spacing w:line="360" w:lineRule="auto"/>
              <w:rPr>
                <w:rFonts w:hint="eastAsia" w:ascii="宋体" w:hAnsi="宋体" w:eastAsia="宋体" w:cs="宋体"/>
                <w:kern w:val="0"/>
                <w:sz w:val="24"/>
                <w:szCs w:val="24"/>
                <w:highlight w:val="none"/>
              </w:rPr>
            </w:pPr>
          </w:p>
        </w:tc>
        <w:tc>
          <w:tcPr>
            <w:tcW w:w="6744" w:type="dxa"/>
            <w:tcBorders>
              <w:tl2br w:val="nil"/>
              <w:tr2bl w:val="nil"/>
            </w:tcBorders>
            <w:vAlign w:val="center"/>
          </w:tcPr>
          <w:p w14:paraId="36BD8D7F">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1.投标人所投产品具有《产品防腐蚀等级认证证书》符合国家标准，每提供一项加</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分，最高加</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分。未提供不得分。（证书须提供国家认证认可监督委员会查询截图）。</w:t>
            </w:r>
          </w:p>
          <w:p w14:paraId="7C0EAF3E">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2.投标人所投产品具有《食品接触产品安全认证证书》，符合</w:t>
            </w:r>
            <w:r>
              <w:rPr>
                <w:rFonts w:hint="eastAsia" w:ascii="宋体" w:hAnsi="宋体" w:cs="宋体"/>
                <w:sz w:val="24"/>
                <w:szCs w:val="24"/>
                <w:highlight w:val="none"/>
                <w:lang w:val="en-US" w:eastAsia="zh-CN"/>
              </w:rPr>
              <w:t>国家</w:t>
            </w:r>
            <w:r>
              <w:rPr>
                <w:rFonts w:hint="eastAsia" w:ascii="宋体" w:hAnsi="宋体" w:eastAsia="宋体" w:cs="宋体"/>
                <w:sz w:val="24"/>
                <w:szCs w:val="24"/>
                <w:highlight w:val="none"/>
              </w:rPr>
              <w:t>标准，每提供一项加</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分，最高加</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分。未提供不得分。（证书须提供国家认证认可监督委员会查询截图）。</w:t>
            </w:r>
          </w:p>
        </w:tc>
        <w:tc>
          <w:tcPr>
            <w:tcW w:w="741" w:type="dxa"/>
            <w:tcBorders>
              <w:tl2br w:val="nil"/>
              <w:tr2bl w:val="nil"/>
            </w:tcBorders>
            <w:vAlign w:val="center"/>
          </w:tcPr>
          <w:p w14:paraId="0A2F0CD7">
            <w:pPr>
              <w:widowControl/>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p>
        </w:tc>
      </w:tr>
      <w:tr w14:paraId="4BD78E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53" w:hRule="atLeast"/>
        </w:trPr>
        <w:tc>
          <w:tcPr>
            <w:tcW w:w="798" w:type="dxa"/>
            <w:tcBorders>
              <w:tl2br w:val="nil"/>
              <w:tr2bl w:val="nil"/>
            </w:tcBorders>
            <w:vAlign w:val="center"/>
          </w:tcPr>
          <w:p w14:paraId="654D752C">
            <w:pPr>
              <w:widowControl/>
              <w:spacing w:line="360" w:lineRule="auto"/>
              <w:jc w:val="center"/>
              <w:rPr>
                <w:rFonts w:hint="eastAsia" w:ascii="宋体" w:hAnsi="宋体" w:eastAsia="宋体" w:cs="宋体"/>
                <w:color w:val="000000"/>
                <w:kern w:val="0"/>
                <w:sz w:val="24"/>
                <w:szCs w:val="24"/>
                <w:highlight w:val="none"/>
                <w:lang w:eastAsia="zh-CN"/>
              </w:rPr>
            </w:pPr>
            <w:r>
              <w:rPr>
                <w:rFonts w:hint="eastAsia" w:ascii="宋体" w:hAnsi="宋体" w:cs="宋体"/>
                <w:color w:val="000000"/>
                <w:kern w:val="0"/>
                <w:sz w:val="24"/>
                <w:szCs w:val="24"/>
                <w:highlight w:val="none"/>
                <w:lang w:val="en-US" w:eastAsia="zh-CN"/>
              </w:rPr>
              <w:t>6</w:t>
            </w:r>
          </w:p>
        </w:tc>
        <w:tc>
          <w:tcPr>
            <w:tcW w:w="1315" w:type="dxa"/>
            <w:tcBorders>
              <w:tl2br w:val="nil"/>
              <w:tr2bl w:val="nil"/>
            </w:tcBorders>
            <w:vAlign w:val="center"/>
          </w:tcPr>
          <w:p w14:paraId="7FE56225">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培训方案</w:t>
            </w:r>
          </w:p>
        </w:tc>
        <w:tc>
          <w:tcPr>
            <w:tcW w:w="6744" w:type="dxa"/>
            <w:tcBorders>
              <w:tl2br w:val="nil"/>
              <w:tr2bl w:val="nil"/>
            </w:tcBorders>
            <w:vAlign w:val="center"/>
          </w:tcPr>
          <w:p w14:paraId="34FC82EB">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投标人对采购方操作人员的指导培训方案（培训的方式、地点、人数、时间等实质性内容）的合理性、科学性，由评委进行综合打分</w:t>
            </w:r>
            <w:r>
              <w:rPr>
                <w:rFonts w:hint="eastAsia" w:ascii="宋体" w:hAnsi="宋体" w:eastAsia="宋体" w:cs="宋体"/>
                <w:sz w:val="24"/>
                <w:szCs w:val="24"/>
                <w:highlight w:val="none"/>
                <w:lang w:eastAsia="zh-CN"/>
              </w:rPr>
              <w:t>。</w:t>
            </w:r>
          </w:p>
          <w:p w14:paraId="31E5A19E">
            <w:pPr>
              <w:keepNext w:val="0"/>
              <w:keepLines w:val="0"/>
              <w:pageBreakBefore w:val="0"/>
              <w:widowControl/>
              <w:numPr>
                <w:ilvl w:val="0"/>
                <w:numId w:val="8"/>
              </w:numPr>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培训方案合理性（0-3分）：</w:t>
            </w:r>
          </w:p>
          <w:p w14:paraId="78E2DB07">
            <w:pPr>
              <w:keepNext w:val="0"/>
              <w:keepLines w:val="0"/>
              <w:pageBreakBefore w:val="0"/>
              <w:widowControl/>
              <w:numPr>
                <w:ilvl w:val="0"/>
                <w:numId w:val="0"/>
              </w:numPr>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方案不合理，与采购方需求脱节，得0分；基本合理，但存在</w:t>
            </w:r>
            <w:r>
              <w:rPr>
                <w:rFonts w:hint="eastAsia" w:ascii="宋体" w:hAnsi="宋体" w:cs="宋体"/>
                <w:sz w:val="24"/>
                <w:szCs w:val="24"/>
                <w:highlight w:val="none"/>
                <w:lang w:val="en-US" w:eastAsia="zh-CN"/>
              </w:rPr>
              <w:t>部分不足</w:t>
            </w:r>
            <w:r>
              <w:rPr>
                <w:rFonts w:hint="eastAsia" w:ascii="宋体" w:hAnsi="宋体" w:eastAsia="宋体" w:cs="宋体"/>
                <w:sz w:val="24"/>
                <w:szCs w:val="24"/>
                <w:highlight w:val="none"/>
                <w:lang w:val="en-US" w:eastAsia="zh-CN"/>
              </w:rPr>
              <w:t>，得2分；合理且贴合需求，得3分。</w:t>
            </w:r>
          </w:p>
          <w:p w14:paraId="5E7A8BF9">
            <w:pPr>
              <w:keepNext w:val="0"/>
              <w:keepLines w:val="0"/>
              <w:pageBreakBefore w:val="0"/>
              <w:widowControl/>
              <w:numPr>
                <w:ilvl w:val="0"/>
                <w:numId w:val="8"/>
              </w:numPr>
              <w:kinsoku/>
              <w:wordWrap/>
              <w:overflowPunct/>
              <w:topLinePunct w:val="0"/>
              <w:bidi w:val="0"/>
              <w:adjustRightInd w:val="0"/>
              <w:spacing w:line="288" w:lineRule="auto"/>
              <w:ind w:left="0" w:leftChars="0" w:firstLine="0" w:firstLineChars="0"/>
              <w:jc w:val="left"/>
              <w:textAlignment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培训方案科学性（0-3分）：</w:t>
            </w:r>
          </w:p>
          <w:p w14:paraId="34B43893">
            <w:pPr>
              <w:keepNext w:val="0"/>
              <w:keepLines w:val="0"/>
              <w:pageBreakBefore w:val="0"/>
              <w:widowControl/>
              <w:numPr>
                <w:ilvl w:val="0"/>
                <w:numId w:val="0"/>
              </w:numPr>
              <w:kinsoku/>
              <w:wordWrap/>
              <w:overflowPunct/>
              <w:topLinePunct w:val="0"/>
              <w:bidi w:val="0"/>
              <w:adjustRightInd w:val="0"/>
              <w:spacing w:line="288" w:lineRule="auto"/>
              <w:ind w:leftChars="0"/>
              <w:jc w:val="left"/>
              <w:textAlignment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方案缺乏科学性，内容杂乱，得0分；有一定科学性，但不够系统，得2分；科学系统，得3分。</w:t>
            </w:r>
          </w:p>
          <w:p w14:paraId="430162C2">
            <w:pPr>
              <w:keepNext w:val="0"/>
              <w:keepLines w:val="0"/>
              <w:pageBreakBefore w:val="0"/>
              <w:widowControl/>
              <w:numPr>
                <w:ilvl w:val="0"/>
                <w:numId w:val="8"/>
              </w:numPr>
              <w:kinsoku/>
              <w:wordWrap/>
              <w:overflowPunct/>
              <w:topLinePunct w:val="0"/>
              <w:bidi w:val="0"/>
              <w:adjustRightInd w:val="0"/>
              <w:spacing w:line="288" w:lineRule="auto"/>
              <w:ind w:left="0" w:leftChars="0" w:firstLine="0" w:firstLineChars="0"/>
              <w:jc w:val="left"/>
              <w:textAlignment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培训方案针对性（0-2分）：</w:t>
            </w:r>
          </w:p>
          <w:p w14:paraId="7158A2A9">
            <w:pPr>
              <w:keepNext w:val="0"/>
              <w:keepLines w:val="0"/>
              <w:pageBreakBefore w:val="0"/>
              <w:widowControl/>
              <w:numPr>
                <w:ilvl w:val="0"/>
                <w:numId w:val="0"/>
              </w:numPr>
              <w:kinsoku/>
              <w:wordWrap/>
              <w:overflowPunct/>
              <w:topLinePunct w:val="0"/>
              <w:bidi w:val="0"/>
              <w:adjustRightInd w:val="0"/>
              <w:spacing w:line="288" w:lineRule="auto"/>
              <w:ind w:left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方案无针对性，得0分；有一定针对性，但不够完善，得1分；针对性强，得2分。</w:t>
            </w:r>
          </w:p>
        </w:tc>
        <w:tc>
          <w:tcPr>
            <w:tcW w:w="741" w:type="dxa"/>
            <w:tcBorders>
              <w:tl2br w:val="nil"/>
              <w:tr2bl w:val="nil"/>
            </w:tcBorders>
            <w:vAlign w:val="center"/>
          </w:tcPr>
          <w:p w14:paraId="0FFAEE3B">
            <w:pPr>
              <w:widowControl/>
              <w:spacing w:line="360" w:lineRule="auto"/>
              <w:jc w:val="center"/>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8</w:t>
            </w:r>
          </w:p>
        </w:tc>
      </w:tr>
      <w:tr w14:paraId="7C221A0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53" w:hRule="atLeast"/>
        </w:trPr>
        <w:tc>
          <w:tcPr>
            <w:tcW w:w="798" w:type="dxa"/>
            <w:vMerge w:val="restart"/>
            <w:tcBorders>
              <w:tl2br w:val="nil"/>
              <w:tr2bl w:val="nil"/>
            </w:tcBorders>
            <w:vAlign w:val="center"/>
          </w:tcPr>
          <w:p w14:paraId="56BA6418">
            <w:pPr>
              <w:widowControl/>
              <w:spacing w:line="360" w:lineRule="auto"/>
              <w:jc w:val="center"/>
              <w:rPr>
                <w:rFonts w:hint="eastAsia" w:ascii="宋体" w:hAnsi="宋体" w:eastAsia="宋体" w:cs="宋体"/>
                <w:color w:val="000000"/>
                <w:kern w:val="0"/>
                <w:sz w:val="24"/>
                <w:szCs w:val="24"/>
                <w:highlight w:val="none"/>
                <w:lang w:eastAsia="zh-CN"/>
              </w:rPr>
            </w:pPr>
            <w:r>
              <w:rPr>
                <w:rFonts w:hint="eastAsia" w:ascii="宋体" w:hAnsi="宋体" w:cs="宋体"/>
                <w:color w:val="000000"/>
                <w:kern w:val="0"/>
                <w:sz w:val="24"/>
                <w:szCs w:val="24"/>
                <w:highlight w:val="none"/>
                <w:lang w:val="en-US" w:eastAsia="zh-CN"/>
              </w:rPr>
              <w:t>7</w:t>
            </w:r>
          </w:p>
        </w:tc>
        <w:tc>
          <w:tcPr>
            <w:tcW w:w="1315" w:type="dxa"/>
            <w:vMerge w:val="restart"/>
            <w:tcBorders>
              <w:tl2br w:val="nil"/>
              <w:tr2bl w:val="nil"/>
            </w:tcBorders>
            <w:vAlign w:val="center"/>
          </w:tcPr>
          <w:p w14:paraId="67E977BB">
            <w:pPr>
              <w:widowControl/>
              <w:spacing w:line="360" w:lineRule="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售后服务能力及服务承诺</w:t>
            </w:r>
          </w:p>
        </w:tc>
        <w:tc>
          <w:tcPr>
            <w:tcW w:w="6744" w:type="dxa"/>
            <w:tcBorders>
              <w:tl2br w:val="nil"/>
              <w:tr2bl w:val="nil"/>
            </w:tcBorders>
            <w:vAlign w:val="center"/>
          </w:tcPr>
          <w:p w14:paraId="0723A248">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根据售后服务方案、售后服务承诺等（包括保修范围服务标准、故障响应修复时间方式等保障措施）</w:t>
            </w:r>
            <w:r>
              <w:rPr>
                <w:rFonts w:hint="eastAsia" w:ascii="宋体" w:hAnsi="宋体" w:cs="宋体"/>
                <w:sz w:val="24"/>
                <w:szCs w:val="24"/>
                <w:highlight w:val="none"/>
                <w:lang w:val="en-US" w:eastAsia="zh-CN"/>
              </w:rPr>
              <w:t>进行</w:t>
            </w:r>
            <w:r>
              <w:rPr>
                <w:rFonts w:hint="eastAsia" w:ascii="宋体" w:hAnsi="宋体" w:eastAsia="宋体" w:cs="宋体"/>
                <w:sz w:val="24"/>
                <w:szCs w:val="24"/>
                <w:highlight w:val="none"/>
              </w:rPr>
              <w:t>综合打分</w:t>
            </w:r>
            <w:r>
              <w:rPr>
                <w:rFonts w:hint="eastAsia" w:ascii="宋体" w:hAnsi="宋体" w:eastAsia="宋体" w:cs="宋体"/>
                <w:sz w:val="24"/>
                <w:szCs w:val="24"/>
                <w:highlight w:val="none"/>
                <w:lang w:eastAsia="zh-CN"/>
              </w:rPr>
              <w:t>。</w:t>
            </w:r>
          </w:p>
          <w:p w14:paraId="25D72B1E">
            <w:pPr>
              <w:keepNext w:val="0"/>
              <w:keepLines w:val="0"/>
              <w:pageBreakBefore w:val="0"/>
              <w:widowControl/>
              <w:numPr>
                <w:ilvl w:val="0"/>
                <w:numId w:val="9"/>
              </w:numPr>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方案完整性（0-2分）：</w:t>
            </w:r>
          </w:p>
          <w:p w14:paraId="40B8251C">
            <w:pPr>
              <w:keepNext w:val="0"/>
              <w:keepLines w:val="0"/>
              <w:pageBreakBefore w:val="0"/>
              <w:widowControl/>
              <w:numPr>
                <w:ilvl w:val="0"/>
                <w:numId w:val="0"/>
              </w:numPr>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方案缺失或内容大量缺失得0分，基本完整但有遗漏得1分，完整且详细得2分。</w:t>
            </w:r>
          </w:p>
          <w:p w14:paraId="3C6CA3DB">
            <w:pPr>
              <w:keepNext w:val="0"/>
              <w:keepLines w:val="0"/>
              <w:pageBreakBefore w:val="0"/>
              <w:widowControl/>
              <w:numPr>
                <w:ilvl w:val="0"/>
                <w:numId w:val="9"/>
              </w:numPr>
              <w:kinsoku/>
              <w:wordWrap/>
              <w:overflowPunct/>
              <w:topLinePunct w:val="0"/>
              <w:bidi w:val="0"/>
              <w:adjustRightInd w:val="0"/>
              <w:spacing w:line="288" w:lineRule="auto"/>
              <w:ind w:left="0" w:leftChars="0" w:firstLine="0" w:firstLine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服务标准（0-2分）：</w:t>
            </w:r>
          </w:p>
          <w:p w14:paraId="4712975D">
            <w:pPr>
              <w:keepNext w:val="0"/>
              <w:keepLines w:val="0"/>
              <w:pageBreakBefore w:val="0"/>
              <w:widowControl/>
              <w:numPr>
                <w:ilvl w:val="0"/>
                <w:numId w:val="0"/>
              </w:numPr>
              <w:kinsoku/>
              <w:wordWrap/>
              <w:overflowPunct/>
              <w:topLinePunct w:val="0"/>
              <w:bidi w:val="0"/>
              <w:adjustRightInd w:val="0"/>
              <w:spacing w:line="288" w:lineRule="auto"/>
              <w:ind w:left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服务标准低或不合理得0分，基本满足需求但有不足得1分，完全满足且优于需求得2分。</w:t>
            </w:r>
          </w:p>
          <w:p w14:paraId="75E56E47">
            <w:pPr>
              <w:keepNext w:val="0"/>
              <w:keepLines w:val="0"/>
              <w:pageBreakBefore w:val="0"/>
              <w:widowControl/>
              <w:numPr>
                <w:ilvl w:val="0"/>
                <w:numId w:val="9"/>
              </w:numPr>
              <w:kinsoku/>
              <w:wordWrap/>
              <w:overflowPunct/>
              <w:topLinePunct w:val="0"/>
              <w:bidi w:val="0"/>
              <w:adjustRightInd w:val="0"/>
              <w:spacing w:line="288" w:lineRule="auto"/>
              <w:ind w:left="0" w:leftChars="0" w:firstLine="0" w:firstLine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响应时间（0-2分）：</w:t>
            </w:r>
          </w:p>
          <w:p w14:paraId="3C2654EC">
            <w:pPr>
              <w:keepNext w:val="0"/>
              <w:keepLines w:val="0"/>
              <w:pageBreakBefore w:val="0"/>
              <w:widowControl/>
              <w:numPr>
                <w:ilvl w:val="0"/>
                <w:numId w:val="0"/>
              </w:numPr>
              <w:kinsoku/>
              <w:wordWrap/>
              <w:overflowPunct/>
              <w:topLinePunct w:val="0"/>
              <w:bidi w:val="0"/>
              <w:adjustRightInd w:val="0"/>
              <w:spacing w:line="288" w:lineRule="auto"/>
              <w:ind w:left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响应时间过长或无明确承诺得0分，基本满足需求但有延迟风险得1分，响应迅速且有保障措施得2分。</w:t>
            </w:r>
          </w:p>
          <w:p w14:paraId="27665E82">
            <w:pPr>
              <w:keepNext w:val="0"/>
              <w:keepLines w:val="0"/>
              <w:pageBreakBefore w:val="0"/>
              <w:widowControl/>
              <w:numPr>
                <w:ilvl w:val="0"/>
                <w:numId w:val="9"/>
              </w:numPr>
              <w:kinsoku/>
              <w:wordWrap/>
              <w:overflowPunct/>
              <w:topLinePunct w:val="0"/>
              <w:bidi w:val="0"/>
              <w:adjustRightInd w:val="0"/>
              <w:spacing w:line="288" w:lineRule="auto"/>
              <w:ind w:left="0" w:leftChars="0" w:firstLine="0" w:firstLine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修复方式（0-2分）：</w:t>
            </w:r>
          </w:p>
          <w:p w14:paraId="11FC7DAF">
            <w:pPr>
              <w:keepNext w:val="0"/>
              <w:keepLines w:val="0"/>
              <w:pageBreakBefore w:val="0"/>
              <w:widowControl/>
              <w:numPr>
                <w:ilvl w:val="0"/>
                <w:numId w:val="0"/>
              </w:numPr>
              <w:kinsoku/>
              <w:wordWrap/>
              <w:overflowPunct/>
              <w:topLinePunct w:val="0"/>
              <w:bidi w:val="0"/>
              <w:adjustRightInd w:val="0"/>
              <w:spacing w:line="288" w:lineRule="auto"/>
              <w:ind w:leftChars="0"/>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修复方式不明确或不合理得0分，基本可行但有不足得1分，合理且高效得2分。</w:t>
            </w:r>
          </w:p>
        </w:tc>
        <w:tc>
          <w:tcPr>
            <w:tcW w:w="741" w:type="dxa"/>
            <w:tcBorders>
              <w:tl2br w:val="nil"/>
              <w:tr2bl w:val="nil"/>
            </w:tcBorders>
            <w:vAlign w:val="center"/>
          </w:tcPr>
          <w:p w14:paraId="186EE0DD">
            <w:pPr>
              <w:widowControl/>
              <w:spacing w:line="360" w:lineRule="auto"/>
              <w:jc w:val="center"/>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8</w:t>
            </w:r>
          </w:p>
        </w:tc>
      </w:tr>
      <w:tr w14:paraId="5562EE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30" w:hRule="atLeast"/>
        </w:trPr>
        <w:tc>
          <w:tcPr>
            <w:tcW w:w="798" w:type="dxa"/>
            <w:vMerge w:val="continue"/>
            <w:tcBorders>
              <w:tl2br w:val="nil"/>
              <w:tr2bl w:val="nil"/>
            </w:tcBorders>
            <w:vAlign w:val="center"/>
          </w:tcPr>
          <w:p w14:paraId="4D66BBDA">
            <w:pPr>
              <w:widowControl/>
              <w:spacing w:line="360" w:lineRule="auto"/>
              <w:rPr>
                <w:rFonts w:hint="eastAsia" w:ascii="宋体" w:hAnsi="宋体" w:eastAsia="宋体" w:cs="宋体"/>
                <w:color w:val="000000"/>
                <w:kern w:val="0"/>
                <w:sz w:val="24"/>
                <w:szCs w:val="24"/>
                <w:highlight w:val="none"/>
              </w:rPr>
            </w:pPr>
          </w:p>
        </w:tc>
        <w:tc>
          <w:tcPr>
            <w:tcW w:w="1315" w:type="dxa"/>
            <w:vMerge w:val="continue"/>
            <w:tcBorders>
              <w:tl2br w:val="nil"/>
              <w:tr2bl w:val="nil"/>
            </w:tcBorders>
            <w:vAlign w:val="center"/>
          </w:tcPr>
          <w:p w14:paraId="3C609D17">
            <w:pPr>
              <w:widowControl/>
              <w:spacing w:line="360" w:lineRule="auto"/>
              <w:rPr>
                <w:rFonts w:hint="eastAsia" w:ascii="宋体" w:hAnsi="宋体" w:eastAsia="宋体" w:cs="宋体"/>
                <w:color w:val="000000"/>
                <w:kern w:val="0"/>
                <w:sz w:val="24"/>
                <w:szCs w:val="24"/>
                <w:highlight w:val="none"/>
              </w:rPr>
            </w:pPr>
          </w:p>
        </w:tc>
        <w:tc>
          <w:tcPr>
            <w:tcW w:w="6744" w:type="dxa"/>
            <w:tcBorders>
              <w:tl2br w:val="nil"/>
              <w:tr2bl w:val="nil"/>
            </w:tcBorders>
            <w:vAlign w:val="center"/>
          </w:tcPr>
          <w:p w14:paraId="3175F43E">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rPr>
            </w:pPr>
            <w:r>
              <w:rPr>
                <w:rFonts w:hint="eastAsia" w:ascii="宋体" w:hAnsi="宋体" w:eastAsia="宋体" w:cs="宋体"/>
                <w:sz w:val="24"/>
                <w:szCs w:val="24"/>
                <w:highlight w:val="none"/>
              </w:rPr>
              <w:t>根据零配件、备品备件是否准备充足、优惠程度等综合打分。</w:t>
            </w:r>
          </w:p>
          <w:p w14:paraId="0F41DD4D">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准备情况（0-3分）：</w:t>
            </w:r>
          </w:p>
          <w:p w14:paraId="3B91AAA2">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零配件、备品备件种类不全或数量不足，得</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eastAsia="zh-CN"/>
              </w:rPr>
              <w:t>分；基本满足需求，但有少量缺失，得2分；种类齐全、数量充足，得3分。</w:t>
            </w:r>
          </w:p>
          <w:p w14:paraId="6F09A1A8">
            <w:pPr>
              <w:keepNext w:val="0"/>
              <w:keepLines w:val="0"/>
              <w:pageBreakBefore w:val="0"/>
              <w:widowControl/>
              <w:kinsoku/>
              <w:wordWrap/>
              <w:overflowPunct/>
              <w:topLinePunct w:val="0"/>
              <w:bidi w:val="0"/>
              <w:adjustRightInd w:val="0"/>
              <w:spacing w:line="288" w:lineRule="auto"/>
              <w:jc w:val="left"/>
              <w:textAlignment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优惠程度（0-3分）：</w:t>
            </w:r>
          </w:p>
          <w:p w14:paraId="578280F2">
            <w:pPr>
              <w:keepNext w:val="0"/>
              <w:keepLines w:val="0"/>
              <w:pageBreakBefore w:val="0"/>
              <w:widowControl/>
              <w:kinsoku/>
              <w:wordWrap/>
              <w:overflowPunct/>
              <w:topLinePunct w:val="0"/>
              <w:bidi w:val="0"/>
              <w:adjustRightInd w:val="0"/>
              <w:spacing w:line="288" w:lineRule="auto"/>
              <w:jc w:val="left"/>
              <w:textAlignment w:val="center"/>
              <w:rPr>
                <w:rFonts w:hint="eastAsia"/>
              </w:rPr>
            </w:pPr>
            <w:r>
              <w:rPr>
                <w:rFonts w:hint="eastAsia" w:ascii="宋体" w:hAnsi="宋体" w:eastAsia="宋体" w:cs="宋体"/>
                <w:sz w:val="24"/>
                <w:szCs w:val="24"/>
                <w:highlight w:val="none"/>
                <w:lang w:eastAsia="zh-CN"/>
              </w:rPr>
              <w:t>无优惠或优惠幅度小，得</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eastAsia="zh-CN"/>
              </w:rPr>
              <w:t>分；有一定优惠，但幅度较小，得2分；优惠幅度大，性价比高，得3分。</w:t>
            </w:r>
          </w:p>
        </w:tc>
        <w:tc>
          <w:tcPr>
            <w:tcW w:w="741" w:type="dxa"/>
            <w:tcBorders>
              <w:tl2br w:val="nil"/>
              <w:tr2bl w:val="nil"/>
            </w:tcBorders>
            <w:vAlign w:val="center"/>
          </w:tcPr>
          <w:p w14:paraId="3217A992">
            <w:pPr>
              <w:widowControl/>
              <w:spacing w:line="360" w:lineRule="auto"/>
              <w:jc w:val="center"/>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6</w:t>
            </w:r>
          </w:p>
        </w:tc>
      </w:tr>
    </w:tbl>
    <w:p w14:paraId="2332FC3F">
      <w:pPr>
        <w:pStyle w:val="2"/>
        <w:rPr>
          <w:rFonts w:hint="eastAsia" w:ascii="宋体" w:hAnsi="宋体" w:eastAsia="宋体" w:cs="宋体"/>
          <w:b/>
          <w:sz w:val="32"/>
          <w:szCs w:val="20"/>
          <w:highlight w:val="none"/>
          <w:lang w:val="zh-CN"/>
        </w:rPr>
      </w:pPr>
    </w:p>
    <w:p w14:paraId="14D71415">
      <w:pPr>
        <w:snapToGrid w:val="0"/>
        <w:spacing w:line="360" w:lineRule="auto"/>
        <w:rPr>
          <w:rFonts w:hint="eastAsia" w:ascii="宋体" w:hAnsi="宋体" w:eastAsia="宋体" w:cs="宋体"/>
          <w:b/>
          <w:sz w:val="24"/>
          <w:highlight w:val="none"/>
        </w:rPr>
      </w:pPr>
      <w:r>
        <w:rPr>
          <w:rFonts w:hint="eastAsia" w:ascii="宋体" w:hAnsi="宋体" w:eastAsia="宋体" w:cs="宋体"/>
          <w:sz w:val="20"/>
          <w:szCs w:val="20"/>
          <w:highlight w:val="none"/>
          <w:shd w:val="clear" w:color="auto" w:fill="FFFFFF"/>
        </w:rPr>
        <w:t>*</w:t>
      </w:r>
      <w:r>
        <w:rPr>
          <w:rFonts w:hint="eastAsia" w:ascii="宋体" w:hAnsi="宋体" w:eastAsia="宋体" w:cs="宋体"/>
          <w:b/>
          <w:sz w:val="24"/>
          <w:highlight w:val="none"/>
        </w:rPr>
        <w:t>备注：</w:t>
      </w:r>
      <w:r>
        <w:rPr>
          <w:rFonts w:hint="eastAsia" w:ascii="宋体" w:hAnsi="宋体" w:eastAsia="宋体" w:cs="宋体"/>
          <w:sz w:val="24"/>
          <w:highlight w:val="none"/>
        </w:rPr>
        <w:t>投标人编制投标文件（商务技术文件部分）时，建议按此目录（序号和内容）提供评标标准相应的商务技术资料。 </w:t>
      </w:r>
    </w:p>
    <w:tbl>
      <w:tblPr>
        <w:tblStyle w:val="66"/>
        <w:tblW w:w="10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1410"/>
        <w:gridCol w:w="7050"/>
        <w:gridCol w:w="822"/>
      </w:tblGrid>
      <w:tr w14:paraId="4A1FF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0089" w:type="dxa"/>
            <w:gridSpan w:val="4"/>
            <w:tcBorders>
              <w:tl2br w:val="nil"/>
              <w:tr2bl w:val="nil"/>
            </w:tcBorders>
            <w:noWrap w:val="0"/>
            <w:vAlign w:val="center"/>
          </w:tcPr>
          <w:p w14:paraId="2994442E">
            <w:pPr>
              <w:adjustRightInd/>
              <w:spacing w:line="240" w:lineRule="auto"/>
              <w:jc w:val="center"/>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eastAsia="zh-CN"/>
              </w:rPr>
              <w:t>报价文件部分（</w:t>
            </w:r>
            <w:r>
              <w:rPr>
                <w:rFonts w:hint="eastAsia" w:ascii="宋体" w:hAnsi="宋体" w:eastAsia="宋体" w:cs="宋体"/>
                <w:b/>
                <w:bCs/>
                <w:sz w:val="24"/>
                <w:szCs w:val="24"/>
                <w:highlight w:val="none"/>
                <w:lang w:val="en-US" w:eastAsia="zh-CN"/>
              </w:rPr>
              <w:t>30分</w:t>
            </w:r>
            <w:r>
              <w:rPr>
                <w:rFonts w:hint="eastAsia" w:ascii="宋体" w:hAnsi="宋体" w:eastAsia="宋体" w:cs="宋体"/>
                <w:b/>
                <w:bCs/>
                <w:sz w:val="24"/>
                <w:szCs w:val="24"/>
                <w:highlight w:val="none"/>
                <w:lang w:eastAsia="zh-CN"/>
              </w:rPr>
              <w:t>）</w:t>
            </w:r>
          </w:p>
        </w:tc>
      </w:tr>
      <w:tr w14:paraId="45B13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07" w:type="dxa"/>
            <w:tcBorders>
              <w:tl2br w:val="nil"/>
              <w:tr2bl w:val="nil"/>
            </w:tcBorders>
            <w:noWrap w:val="0"/>
            <w:vAlign w:val="center"/>
          </w:tcPr>
          <w:p w14:paraId="273E06C1">
            <w:pPr>
              <w:adjustRightInd/>
              <w:spacing w:line="240" w:lineRule="auto"/>
              <w:jc w:val="center"/>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rPr>
              <w:t>序号</w:t>
            </w:r>
          </w:p>
        </w:tc>
        <w:tc>
          <w:tcPr>
            <w:tcW w:w="1410" w:type="dxa"/>
            <w:tcBorders>
              <w:tl2br w:val="nil"/>
              <w:tr2bl w:val="nil"/>
            </w:tcBorders>
            <w:noWrap w:val="0"/>
            <w:vAlign w:val="center"/>
          </w:tcPr>
          <w:p w14:paraId="25FE31C0">
            <w:pPr>
              <w:adjustRightInd/>
              <w:spacing w:line="240" w:lineRule="auto"/>
              <w:jc w:val="center"/>
              <w:rPr>
                <w:rFonts w:hint="eastAsia" w:ascii="宋体" w:hAnsi="宋体" w:eastAsia="宋体" w:cs="宋体"/>
                <w:sz w:val="24"/>
                <w:szCs w:val="24"/>
                <w:highlight w:val="none"/>
                <w:lang w:val="zh-CN" w:eastAsia="zh-CN"/>
              </w:rPr>
            </w:pPr>
            <w:r>
              <w:rPr>
                <w:rFonts w:hint="eastAsia" w:ascii="宋体" w:hAnsi="宋体" w:eastAsia="宋体" w:cs="宋体"/>
                <w:b/>
                <w:bCs/>
                <w:sz w:val="24"/>
                <w:szCs w:val="24"/>
                <w:highlight w:val="none"/>
              </w:rPr>
              <w:t>评标内容</w:t>
            </w:r>
          </w:p>
        </w:tc>
        <w:tc>
          <w:tcPr>
            <w:tcW w:w="7050" w:type="dxa"/>
            <w:tcBorders>
              <w:tl2br w:val="nil"/>
              <w:tr2bl w:val="nil"/>
            </w:tcBorders>
            <w:noWrap w:val="0"/>
            <w:vAlign w:val="center"/>
          </w:tcPr>
          <w:p w14:paraId="20D66CEC">
            <w:pPr>
              <w:adjustRightInd/>
              <w:spacing w:line="240" w:lineRule="auto"/>
              <w:jc w:val="center"/>
              <w:rPr>
                <w:rFonts w:hint="eastAsia" w:ascii="宋体" w:hAnsi="宋体" w:eastAsia="宋体" w:cs="宋体"/>
                <w:sz w:val="24"/>
                <w:szCs w:val="24"/>
                <w:highlight w:val="none"/>
                <w:lang w:val="zh-CN" w:eastAsia="zh-CN"/>
              </w:rPr>
            </w:pPr>
            <w:r>
              <w:rPr>
                <w:rFonts w:hint="eastAsia" w:ascii="宋体" w:hAnsi="宋体" w:eastAsia="宋体" w:cs="宋体"/>
                <w:b/>
                <w:bCs/>
                <w:sz w:val="24"/>
                <w:szCs w:val="24"/>
                <w:highlight w:val="none"/>
              </w:rPr>
              <w:t>评标标准</w:t>
            </w:r>
          </w:p>
        </w:tc>
        <w:tc>
          <w:tcPr>
            <w:tcW w:w="822" w:type="dxa"/>
            <w:tcBorders>
              <w:tl2br w:val="nil"/>
              <w:tr2bl w:val="nil"/>
            </w:tcBorders>
            <w:noWrap w:val="0"/>
            <w:vAlign w:val="center"/>
          </w:tcPr>
          <w:p w14:paraId="2C5C9EC6">
            <w:pPr>
              <w:adjustRightInd/>
              <w:spacing w:line="240" w:lineRule="auto"/>
              <w:jc w:val="center"/>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eastAsia="zh-CN"/>
              </w:rPr>
              <w:t>权重</w:t>
            </w:r>
          </w:p>
        </w:tc>
      </w:tr>
      <w:tr w14:paraId="0385A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807" w:type="dxa"/>
            <w:tcBorders>
              <w:tl2br w:val="nil"/>
              <w:tr2bl w:val="nil"/>
            </w:tcBorders>
            <w:noWrap w:val="0"/>
            <w:vAlign w:val="center"/>
          </w:tcPr>
          <w:p w14:paraId="7BC1771B">
            <w:pPr>
              <w:adjustRightInd/>
              <w:spacing w:line="240" w:lineRule="auto"/>
              <w:ind w:left="0" w:leftChars="0" w:firstLine="0" w:firstLineChars="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1410" w:type="dxa"/>
            <w:tcBorders>
              <w:tl2br w:val="nil"/>
              <w:tr2bl w:val="nil"/>
            </w:tcBorders>
            <w:noWrap w:val="0"/>
            <w:vAlign w:val="center"/>
          </w:tcPr>
          <w:p w14:paraId="0F49665E">
            <w:pPr>
              <w:adjustRightInd/>
              <w:spacing w:line="240" w:lineRule="auto"/>
              <w:ind w:left="0" w:leftChars="0" w:firstLine="0" w:firstLineChars="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报价</w:t>
            </w:r>
          </w:p>
        </w:tc>
        <w:tc>
          <w:tcPr>
            <w:tcW w:w="7050" w:type="dxa"/>
            <w:tcBorders>
              <w:tl2br w:val="nil"/>
              <w:tr2bl w:val="nil"/>
            </w:tcBorders>
            <w:noWrap w:val="0"/>
            <w:vAlign w:val="center"/>
          </w:tcPr>
          <w:p w14:paraId="2CA704FB">
            <w:pPr>
              <w:adjustRightInd/>
              <w:spacing w:line="240" w:lineRule="auto"/>
              <w:ind w:left="0" w:leftChars="0" w:firstLine="0" w:firstLineChars="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有效投标报价的最低价作为评标基准价，其最低报价为满分；按［投标报价得分=（评标基准价/投标报价）*</w:t>
            </w:r>
            <w:r>
              <w:rPr>
                <w:rFonts w:hint="eastAsia" w:ascii="宋体" w:hAnsi="宋体" w:eastAsia="宋体" w:cs="宋体"/>
                <w:sz w:val="24"/>
                <w:szCs w:val="24"/>
                <w:highlight w:val="none"/>
                <w:lang w:val="en-US" w:eastAsia="zh-CN"/>
              </w:rPr>
              <w:t xml:space="preserve">30 </w:t>
            </w:r>
            <w:r>
              <w:rPr>
                <w:rFonts w:hint="eastAsia" w:ascii="宋体" w:hAnsi="宋体" w:eastAsia="宋体" w:cs="宋体"/>
                <w:sz w:val="24"/>
                <w:szCs w:val="24"/>
                <w:highlight w:val="none"/>
                <w:lang w:val="zh-CN" w:eastAsia="zh-CN"/>
              </w:rPr>
              <w:t>］的计算公式计算。</w:t>
            </w:r>
          </w:p>
          <w:p w14:paraId="013B8C48">
            <w:pPr>
              <w:adjustRightInd/>
              <w:spacing w:line="240" w:lineRule="auto"/>
              <w:ind w:left="0" w:leftChars="0" w:firstLine="0" w:firstLineChars="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评标过程中，不得去掉报价中的最高报价和最低报价。</w:t>
            </w:r>
          </w:p>
          <w:p w14:paraId="6E8AEBE9">
            <w:pPr>
              <w:adjustRightInd/>
              <w:spacing w:line="240" w:lineRule="auto"/>
              <w:ind w:left="0" w:leftChars="0" w:firstLine="0" w:firstLineChars="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因落实政府采购政策需要进行价格调整的，以调整后的价格计算评标基准价和投标报价。</w:t>
            </w:r>
          </w:p>
        </w:tc>
        <w:tc>
          <w:tcPr>
            <w:tcW w:w="822" w:type="dxa"/>
            <w:tcBorders>
              <w:tl2br w:val="nil"/>
              <w:tr2bl w:val="nil"/>
            </w:tcBorders>
            <w:noWrap w:val="0"/>
            <w:vAlign w:val="center"/>
          </w:tcPr>
          <w:p w14:paraId="0CCBEC1A">
            <w:pPr>
              <w:adjustRightInd/>
              <w:spacing w:line="240" w:lineRule="auto"/>
              <w:ind w:left="0" w:leftChars="0" w:firstLine="0" w:firstLineChars="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30分</w:t>
            </w:r>
          </w:p>
        </w:tc>
      </w:tr>
    </w:tbl>
    <w:p w14:paraId="385AF1A4">
      <w:pPr>
        <w:snapToGrid w:val="0"/>
        <w:spacing w:line="360" w:lineRule="auto"/>
        <w:rPr>
          <w:rFonts w:hint="eastAsia" w:ascii="宋体" w:hAnsi="宋体" w:eastAsia="宋体" w:cs="宋体"/>
          <w:b/>
          <w:sz w:val="28"/>
          <w:szCs w:val="28"/>
          <w:highlight w:val="none"/>
        </w:rPr>
      </w:pPr>
      <w:r>
        <w:rPr>
          <w:rFonts w:hint="eastAsia" w:ascii="宋体" w:hAnsi="宋体" w:eastAsia="宋体" w:cs="宋体"/>
          <w:b/>
          <w:sz w:val="32"/>
          <w:highlight w:val="none"/>
        </w:rPr>
        <w:t>一、评标方法</w:t>
      </w:r>
    </w:p>
    <w:p w14:paraId="3B6B9EA5">
      <w:pPr>
        <w:adjustRightInd/>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1.本项目采用综合评分法。</w:t>
      </w:r>
      <w:r>
        <w:rPr>
          <w:rFonts w:hint="eastAsia" w:ascii="宋体" w:hAnsi="宋体" w:eastAsia="宋体" w:cs="宋体"/>
          <w:kern w:val="0"/>
          <w:sz w:val="24"/>
          <w:highlight w:val="none"/>
        </w:rPr>
        <w:t>综合评分法，是指投标文件满足招标文件全部实质性要求，且按照评审因素的量化指标评审得分最高的投标人为中标候选人的评标方法。</w:t>
      </w:r>
    </w:p>
    <w:p w14:paraId="603764F0">
      <w:pPr>
        <w:snapToGrid w:val="0"/>
        <w:spacing w:line="360" w:lineRule="auto"/>
        <w:rPr>
          <w:rFonts w:hint="eastAsia" w:ascii="宋体" w:hAnsi="宋体" w:eastAsia="宋体" w:cs="宋体"/>
          <w:b/>
          <w:sz w:val="32"/>
          <w:highlight w:val="none"/>
        </w:rPr>
      </w:pPr>
      <w:r>
        <w:rPr>
          <w:rFonts w:hint="eastAsia" w:ascii="宋体" w:hAnsi="宋体" w:eastAsia="宋体" w:cs="宋体"/>
          <w:b/>
          <w:sz w:val="32"/>
          <w:highlight w:val="none"/>
        </w:rPr>
        <w:t>二、评标标准</w:t>
      </w:r>
    </w:p>
    <w:p w14:paraId="2F582F13">
      <w:pPr>
        <w:spacing w:line="360" w:lineRule="auto"/>
        <w:ind w:firstLine="472" w:firstLineChars="196"/>
        <w:rPr>
          <w:rFonts w:hint="eastAsia" w:ascii="宋体" w:hAnsi="宋体" w:eastAsia="宋体" w:cs="宋体"/>
          <w:b/>
          <w:sz w:val="24"/>
          <w:highlight w:val="none"/>
        </w:rPr>
      </w:pPr>
      <w:r>
        <w:rPr>
          <w:rFonts w:hint="eastAsia" w:ascii="宋体" w:hAnsi="宋体" w:eastAsia="宋体" w:cs="宋体"/>
          <w:b/>
          <w:sz w:val="24"/>
          <w:highlight w:val="none"/>
        </w:rPr>
        <w:t>2.评标标准：</w:t>
      </w:r>
      <w:r>
        <w:rPr>
          <w:rFonts w:hint="eastAsia" w:ascii="宋体" w:hAnsi="宋体" w:eastAsia="宋体" w:cs="宋体"/>
          <w:kern w:val="0"/>
          <w:sz w:val="24"/>
          <w:highlight w:val="none"/>
        </w:rPr>
        <w:t>见第四部分评标办法。</w:t>
      </w:r>
    </w:p>
    <w:p w14:paraId="478A7D64">
      <w:pPr>
        <w:snapToGrid w:val="0"/>
        <w:spacing w:line="360" w:lineRule="auto"/>
        <w:rPr>
          <w:rFonts w:hint="eastAsia" w:ascii="宋体" w:hAnsi="宋体" w:eastAsia="宋体" w:cs="宋体"/>
          <w:b/>
          <w:sz w:val="32"/>
          <w:highlight w:val="none"/>
        </w:rPr>
      </w:pPr>
      <w:r>
        <w:rPr>
          <w:rFonts w:hint="eastAsia" w:ascii="宋体" w:hAnsi="宋体" w:eastAsia="宋体" w:cs="宋体"/>
          <w:b/>
          <w:sz w:val="32"/>
          <w:highlight w:val="none"/>
        </w:rPr>
        <w:t>三、评标程序</w:t>
      </w:r>
    </w:p>
    <w:p w14:paraId="07367C78">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3.1符合性审查。</w:t>
      </w:r>
      <w:r>
        <w:rPr>
          <w:rFonts w:hint="eastAsia" w:ascii="宋体" w:hAnsi="宋体" w:eastAsia="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7678B079">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3.2 比较与评价。</w:t>
      </w:r>
      <w:r>
        <w:rPr>
          <w:rFonts w:hint="eastAsia" w:ascii="宋体" w:hAnsi="宋体" w:eastAsia="宋体" w:cs="宋体"/>
          <w:kern w:val="0"/>
          <w:sz w:val="24"/>
          <w:highlight w:val="none"/>
        </w:rPr>
        <w:t>评标委员会应当按照招标文件中规定的评标方法和标准，对符合性审查合格的投标文件进行商务和技术评估，综合比较与评价。</w:t>
      </w:r>
    </w:p>
    <w:p w14:paraId="3C0BF42B">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3.3汇总商务技术得分。</w:t>
      </w:r>
      <w:r>
        <w:rPr>
          <w:rFonts w:hint="eastAsia" w:ascii="宋体" w:hAnsi="宋体" w:eastAsia="宋体" w:cs="宋体"/>
          <w:kern w:val="0"/>
          <w:sz w:val="24"/>
          <w:highlight w:val="none"/>
        </w:rPr>
        <w:t>评标委员会各成员应当独立对每个投标人的商务技术文件进行评价，并汇总商务技术得分情况。</w:t>
      </w:r>
    </w:p>
    <w:p w14:paraId="38F3F164">
      <w:pPr>
        <w:spacing w:line="360" w:lineRule="auto"/>
        <w:ind w:firstLine="472" w:firstLineChars="196"/>
        <w:rPr>
          <w:rFonts w:hint="eastAsia" w:ascii="宋体" w:hAnsi="宋体" w:eastAsia="宋体" w:cs="宋体"/>
          <w:b/>
          <w:kern w:val="0"/>
          <w:sz w:val="24"/>
          <w:highlight w:val="none"/>
        </w:rPr>
      </w:pPr>
      <w:r>
        <w:rPr>
          <w:rFonts w:hint="eastAsia" w:ascii="宋体" w:hAnsi="宋体" w:eastAsia="宋体" w:cs="宋体"/>
          <w:b/>
          <w:kern w:val="0"/>
          <w:sz w:val="24"/>
          <w:highlight w:val="none"/>
        </w:rPr>
        <w:t>3.4报价评审。</w:t>
      </w:r>
    </w:p>
    <w:p w14:paraId="4FE00F2F">
      <w:pPr>
        <w:pStyle w:val="133"/>
        <w:spacing w:before="0"/>
        <w:ind w:firstLine="508" w:firstLineChars="212"/>
        <w:rPr>
          <w:rFonts w:hint="eastAsia" w:ascii="宋体" w:hAnsi="宋体" w:eastAsia="宋体" w:cs="宋体"/>
          <w:kern w:val="0"/>
          <w:highlight w:val="none"/>
        </w:rPr>
      </w:pPr>
      <w:r>
        <w:rPr>
          <w:rFonts w:hint="eastAsia" w:ascii="宋体" w:hAnsi="宋体" w:eastAsia="宋体" w:cs="宋体"/>
          <w:kern w:val="0"/>
          <w:highlight w:val="none"/>
        </w:rPr>
        <w:t>3.4.1投标文件报价出现前后不一致的，按照下列规定修正：</w:t>
      </w:r>
    </w:p>
    <w:p w14:paraId="0AD2D6B8">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3.4.1.1投标文件中开标一览表(报价表)内容与投标文件中相应内容不一致的，以开标一览表(报价表)为准;</w:t>
      </w:r>
    </w:p>
    <w:p w14:paraId="2D4971FA">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3.4.1.2大写金额和小写金额不一致的，以大写金额为准;</w:t>
      </w:r>
    </w:p>
    <w:p w14:paraId="64E5379F">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3.4.1.3单价金额小数点或者百分比有明显错位的，以开标一览表的总价为准，并修改单价;</w:t>
      </w:r>
    </w:p>
    <w:p w14:paraId="00462E4D">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3.4.1.4总价金额与按单价汇总金额不一致的，以单价金额计算结果为准。</w:t>
      </w:r>
    </w:p>
    <w:p w14:paraId="71740242">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18F0478">
      <w:pPr>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3.4.2投标文件出现不是唯一的、有选择性投标报价的，投标无效。</w:t>
      </w:r>
    </w:p>
    <w:p w14:paraId="0B47ED84">
      <w:pPr>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3.4.3投标报价超过招标文件中规定的预算金额或者最高限价的，投标无效。</w:t>
      </w:r>
    </w:p>
    <w:p w14:paraId="7ACDDC21">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AC5D9EE">
      <w:pPr>
        <w:pStyle w:val="133"/>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17D9945">
      <w:pPr>
        <w:spacing w:line="360" w:lineRule="auto"/>
        <w:ind w:firstLine="482" w:firstLineChars="200"/>
        <w:rPr>
          <w:rFonts w:hint="eastAsia" w:ascii="宋体" w:hAnsi="宋体" w:eastAsia="宋体" w:cs="宋体"/>
          <w:kern w:val="0"/>
          <w:sz w:val="24"/>
          <w:highlight w:val="none"/>
        </w:rPr>
      </w:pPr>
      <w:r>
        <w:rPr>
          <w:rFonts w:hint="eastAsia" w:ascii="宋体" w:hAnsi="宋体" w:eastAsia="宋体" w:cs="宋体"/>
          <w:b/>
          <w:kern w:val="0"/>
          <w:sz w:val="24"/>
          <w:highlight w:val="none"/>
        </w:rPr>
        <w:t>3.5排序与推荐。</w:t>
      </w:r>
      <w:r>
        <w:rPr>
          <w:rFonts w:hint="eastAsia" w:ascii="宋体" w:hAnsi="宋体" w:eastAsia="宋体" w:cs="宋体"/>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910A3EC">
      <w:pPr>
        <w:spacing w:line="360" w:lineRule="auto"/>
        <w:rPr>
          <w:rFonts w:hint="eastAsia" w:ascii="宋体" w:hAnsi="宋体" w:eastAsia="宋体" w:cs="宋体"/>
          <w:b/>
          <w:kern w:val="0"/>
          <w:sz w:val="24"/>
          <w:highlight w:val="none"/>
        </w:rPr>
      </w:pPr>
      <w:r>
        <w:rPr>
          <w:rFonts w:hint="eastAsia" w:ascii="宋体" w:hAnsi="宋体" w:eastAsia="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AB68ADB">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3.6编写评标报告。</w:t>
      </w:r>
      <w:r>
        <w:rPr>
          <w:rFonts w:hint="eastAsia" w:ascii="宋体" w:hAnsi="宋体" w:eastAsia="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824B0AA">
      <w:pPr>
        <w:snapToGrid w:val="0"/>
        <w:spacing w:line="360" w:lineRule="auto"/>
        <w:rPr>
          <w:rFonts w:hint="eastAsia" w:ascii="宋体" w:hAnsi="宋体" w:eastAsia="宋体" w:cs="宋体"/>
          <w:b/>
          <w:sz w:val="32"/>
          <w:highlight w:val="none"/>
        </w:rPr>
      </w:pPr>
      <w:r>
        <w:rPr>
          <w:rFonts w:hint="eastAsia" w:ascii="宋体" w:hAnsi="宋体" w:eastAsia="宋体" w:cs="宋体"/>
          <w:b/>
          <w:sz w:val="32"/>
          <w:highlight w:val="none"/>
        </w:rPr>
        <w:t>四、评标中的其他事项</w:t>
      </w:r>
    </w:p>
    <w:p w14:paraId="6514D22D">
      <w:pPr>
        <w:pStyle w:val="133"/>
        <w:spacing w:before="0"/>
        <w:ind w:firstLine="472" w:firstLineChars="196"/>
        <w:rPr>
          <w:rFonts w:hint="eastAsia" w:ascii="宋体" w:hAnsi="宋体" w:eastAsia="宋体" w:cs="宋体"/>
          <w:kern w:val="0"/>
          <w:szCs w:val="24"/>
          <w:highlight w:val="none"/>
        </w:rPr>
      </w:pPr>
      <w:r>
        <w:rPr>
          <w:rFonts w:hint="eastAsia" w:ascii="宋体" w:hAnsi="宋体" w:eastAsia="宋体" w:cs="宋体"/>
          <w:b/>
          <w:kern w:val="0"/>
          <w:szCs w:val="24"/>
          <w:highlight w:val="none"/>
        </w:rPr>
        <w:t>4.1投标人澄清、说明或者补正。</w:t>
      </w:r>
      <w:r>
        <w:rPr>
          <w:rFonts w:hint="eastAsia" w:ascii="宋体" w:hAnsi="宋体" w:eastAsia="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25AC4F9">
      <w:pPr>
        <w:pStyle w:val="31"/>
        <w:spacing w:line="360" w:lineRule="auto"/>
        <w:ind w:left="954" w:leftChars="226" w:hanging="479" w:firstLineChars="0"/>
        <w:rPr>
          <w:rFonts w:hint="eastAsia" w:ascii="宋体" w:hAnsi="宋体" w:eastAsia="宋体" w:cs="宋体"/>
          <w:szCs w:val="21"/>
          <w:highlight w:val="none"/>
        </w:rPr>
      </w:pPr>
      <w:r>
        <w:rPr>
          <w:rFonts w:hint="eastAsia" w:ascii="宋体" w:hAnsi="宋体" w:eastAsia="宋体" w:cs="宋体"/>
          <w:b/>
          <w:kern w:val="0"/>
          <w:highlight w:val="none"/>
        </w:rPr>
        <w:t>4.2投标无效。</w:t>
      </w:r>
      <w:r>
        <w:rPr>
          <w:rFonts w:hint="eastAsia" w:ascii="宋体" w:hAnsi="宋体" w:eastAsia="宋体" w:cs="宋体"/>
          <w:szCs w:val="21"/>
          <w:highlight w:val="none"/>
        </w:rPr>
        <w:t>有下列情况之一的，投标无效：</w:t>
      </w:r>
    </w:p>
    <w:p w14:paraId="282054C1">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4.2.1投标人不具备招标文件中规定的资格要求的（投标人未提供有效的资格文件的，视为投标人不具备招标文件中规定的资格要求）；</w:t>
      </w:r>
    </w:p>
    <w:p w14:paraId="7DE30B9E">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4.2.2投标文件未按照招标文件要求签署、盖章的；</w:t>
      </w:r>
    </w:p>
    <w:p w14:paraId="25BC5CD6">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4237830E">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4.2.4投标文件含有采购人不能接受的附加条件的；</w:t>
      </w:r>
    </w:p>
    <w:p w14:paraId="4E98D43C">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4.2.5投标文件中承诺的投标有效期少于招标文件中载明的投标有效期的；</w:t>
      </w:r>
    </w:p>
    <w:p w14:paraId="71736293">
      <w:pPr>
        <w:snapToGrid w:val="0"/>
        <w:spacing w:line="360" w:lineRule="auto"/>
        <w:ind w:firstLine="120" w:firstLineChars="50"/>
        <w:jc w:val="left"/>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4.2.6投标文件出现不是唯一的、有选择性投标报价的;</w:t>
      </w:r>
    </w:p>
    <w:p w14:paraId="7058C37F">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4.2.7投标报价超过招标文件中规定的预算金额或者最高限价的;</w:t>
      </w:r>
    </w:p>
    <w:p w14:paraId="58A27711">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2044219">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4.2.9投标人对根据修正原则修正后的报价不确认的；</w:t>
      </w:r>
    </w:p>
    <w:p w14:paraId="5A2E869D">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4.2.10投标人提供虚假材料投标的；</w:t>
      </w:r>
    </w:p>
    <w:p w14:paraId="07780B7B">
      <w:pPr>
        <w:spacing w:line="360" w:lineRule="auto"/>
        <w:ind w:firstLine="240" w:firstLineChars="100"/>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4.2.11投标人有恶意串通、妨碍其他投标人的竞争行为、损害采购人或者其他投标人的合法权益情形的；</w:t>
      </w:r>
    </w:p>
    <w:p w14:paraId="353AC8F8">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4.2.12投标人仅提交备份投标文件，没有在电子交易平台传输递交投标文件的，投标无效；</w:t>
      </w:r>
    </w:p>
    <w:p w14:paraId="28B665C1">
      <w:pPr>
        <w:pStyle w:val="4"/>
        <w:ind w:left="862" w:leftChars="205"/>
        <w:rPr>
          <w:rFonts w:hint="default"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rPr>
        <w:t>4.2.13</w:t>
      </w:r>
      <w:r>
        <w:rPr>
          <w:rFonts w:hint="eastAsia" w:ascii="宋体" w:hAnsi="宋体" w:eastAsia="宋体" w:cs="宋体"/>
          <w:b w:val="0"/>
          <w:bCs w:val="0"/>
          <w:kern w:val="0"/>
          <w:sz w:val="24"/>
          <w:szCs w:val="24"/>
          <w:highlight w:val="none"/>
          <w:lang w:val="en-US" w:eastAsia="zh-CN"/>
        </w:rPr>
        <w:t xml:space="preserve"> 不同供应商存在IP、MAC、设备硬件信息一致的；</w:t>
      </w:r>
    </w:p>
    <w:p w14:paraId="14599E10">
      <w:pPr>
        <w:pStyle w:val="4"/>
        <w:ind w:left="862" w:leftChars="205"/>
        <w:rPr>
          <w:rFonts w:hint="eastAsia"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w:t>
      </w:r>
      <w:r>
        <w:rPr>
          <w:rFonts w:hint="eastAsia" w:ascii="宋体" w:hAnsi="宋体" w:eastAsia="宋体" w:cs="宋体"/>
          <w:b w:val="0"/>
          <w:bCs w:val="0"/>
          <w:kern w:val="0"/>
          <w:sz w:val="24"/>
          <w:szCs w:val="24"/>
          <w:highlight w:val="none"/>
          <w:lang w:val="en-US" w:eastAsia="zh-CN"/>
        </w:rPr>
        <w:t>4</w:t>
      </w:r>
      <w:r>
        <w:rPr>
          <w:rFonts w:hint="eastAsia" w:ascii="宋体" w:hAnsi="宋体" w:eastAsia="宋体" w:cs="宋体"/>
          <w:b w:val="0"/>
          <w:bCs w:val="0"/>
          <w:kern w:val="0"/>
          <w:sz w:val="24"/>
          <w:szCs w:val="24"/>
          <w:highlight w:val="none"/>
          <w:lang w:val="en-US"/>
        </w:rPr>
        <w:t xml:space="preserve"> 投标文件不满足招标文件的其它实质性要求的；</w:t>
      </w:r>
    </w:p>
    <w:p w14:paraId="617FFADC">
      <w:pPr>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kern w:val="0"/>
          <w:sz w:val="24"/>
          <w:highlight w:val="none"/>
        </w:rPr>
        <w:t>4.2.1</w:t>
      </w:r>
      <w:r>
        <w:rPr>
          <w:rFonts w:hint="eastAsia" w:ascii="宋体" w:hAnsi="宋体" w:cs="宋体"/>
          <w:kern w:val="0"/>
          <w:sz w:val="24"/>
          <w:highlight w:val="none"/>
          <w:lang w:val="en-US" w:eastAsia="zh-CN"/>
        </w:rPr>
        <w:t xml:space="preserve">5 </w:t>
      </w:r>
      <w:r>
        <w:rPr>
          <w:rFonts w:hint="eastAsia" w:ascii="宋体" w:hAnsi="宋体" w:eastAsia="宋体" w:cs="宋体"/>
          <w:kern w:val="0"/>
          <w:sz w:val="24"/>
          <w:highlight w:val="none"/>
        </w:rPr>
        <w:t>法律、法规、规章（适用本市的）及省级以上规范性文件（适用本市的）规定的其他无效情形。</w:t>
      </w:r>
    </w:p>
    <w:p w14:paraId="7FB9744A">
      <w:pPr>
        <w:pStyle w:val="31"/>
        <w:snapToGrid w:val="0"/>
        <w:spacing w:line="360" w:lineRule="auto"/>
        <w:ind w:firstLine="472" w:firstLineChars="196"/>
        <w:rPr>
          <w:rFonts w:hint="eastAsia" w:ascii="宋体" w:hAnsi="宋体" w:eastAsia="宋体" w:cs="宋体"/>
          <w:highlight w:val="none"/>
        </w:rPr>
      </w:pPr>
      <w:r>
        <w:rPr>
          <w:rFonts w:hint="eastAsia" w:ascii="宋体" w:hAnsi="宋体" w:eastAsia="宋体" w:cs="宋体"/>
          <w:b/>
          <w:highlight w:val="none"/>
        </w:rPr>
        <w:t>5.废标。</w:t>
      </w:r>
      <w:r>
        <w:rPr>
          <w:rFonts w:hint="eastAsia" w:ascii="宋体" w:hAnsi="宋体" w:eastAsia="宋体" w:cs="宋体"/>
          <w:highlight w:val="none"/>
        </w:rPr>
        <w:t>根据《中华人民共和国政府采购法》第三十六条之规定，在采购中，出现下列情形之一的，应予废标：</w:t>
      </w:r>
    </w:p>
    <w:p w14:paraId="27A3C3E4">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5.1符合专业条件的供应商或者对招标文件作实质响应的供应商不足3家的；</w:t>
      </w:r>
    </w:p>
    <w:p w14:paraId="3AF428FE">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5.2出现影响采购公正的违法、违规行为的；</w:t>
      </w:r>
    </w:p>
    <w:p w14:paraId="61919D5A">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5.3投标人的报价均超过了采购预算，采购人不能支付的；</w:t>
      </w:r>
    </w:p>
    <w:p w14:paraId="2AF3AE72">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5.4因重大变故，采购任务取消的。</w:t>
      </w:r>
    </w:p>
    <w:p w14:paraId="4ACA07EE">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废标后，采购机构应当将废标理由通知所有投标人。</w:t>
      </w:r>
    </w:p>
    <w:p w14:paraId="4296F933">
      <w:pPr>
        <w:pStyle w:val="31"/>
        <w:snapToGrid w:val="0"/>
        <w:spacing w:line="360" w:lineRule="auto"/>
        <w:ind w:firstLine="590" w:firstLineChars="245"/>
        <w:rPr>
          <w:rFonts w:hint="eastAsia" w:ascii="宋体" w:hAnsi="宋体" w:eastAsia="宋体" w:cs="宋体"/>
          <w:highlight w:val="none"/>
        </w:rPr>
      </w:pPr>
      <w:r>
        <w:rPr>
          <w:rFonts w:hint="eastAsia" w:ascii="宋体" w:hAnsi="宋体" w:eastAsia="宋体" w:cs="宋体"/>
          <w:b/>
          <w:highlight w:val="none"/>
        </w:rPr>
        <w:t>6.修改招标文件，重新组织采购活动。</w:t>
      </w:r>
      <w:r>
        <w:rPr>
          <w:rFonts w:hint="eastAsia" w:ascii="宋体" w:hAnsi="宋体" w:eastAsia="宋体"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12264759">
      <w:pPr>
        <w:pStyle w:val="31"/>
        <w:snapToGrid w:val="0"/>
        <w:spacing w:line="360" w:lineRule="auto"/>
        <w:ind w:firstLine="590" w:firstLineChars="245"/>
        <w:rPr>
          <w:rFonts w:hint="eastAsia" w:ascii="宋体" w:hAnsi="宋体" w:eastAsia="宋体" w:cs="宋体"/>
          <w:highlight w:val="none"/>
        </w:rPr>
      </w:pPr>
      <w:r>
        <w:rPr>
          <w:rFonts w:hint="eastAsia" w:ascii="宋体" w:hAnsi="宋体" w:eastAsia="宋体" w:cs="宋体"/>
          <w:b/>
          <w:kern w:val="0"/>
          <w:highlight w:val="none"/>
        </w:rPr>
        <w:t>7.重新开展采购。</w:t>
      </w:r>
      <w:r>
        <w:rPr>
          <w:rFonts w:hint="eastAsia" w:ascii="宋体" w:hAnsi="宋体" w:eastAsia="宋体" w:cs="宋体"/>
          <w:highlight w:val="none"/>
        </w:rPr>
        <w:t>有政府采购法第七十一条、第七十二条规定的违法行为之一，影响或者可能影响中标、成交结果的，依照下列规定处理：</w:t>
      </w:r>
    </w:p>
    <w:p w14:paraId="76579687">
      <w:pPr>
        <w:pStyle w:val="31"/>
        <w:snapToGrid w:val="0"/>
        <w:spacing w:line="360" w:lineRule="auto"/>
        <w:ind w:firstLine="600" w:firstLineChars="250"/>
        <w:rPr>
          <w:rFonts w:hint="eastAsia" w:ascii="宋体" w:hAnsi="宋体" w:eastAsia="宋体" w:cs="宋体"/>
          <w:highlight w:val="none"/>
        </w:rPr>
      </w:pPr>
      <w:r>
        <w:rPr>
          <w:rFonts w:hint="eastAsia" w:ascii="宋体" w:hAnsi="宋体" w:eastAsia="宋体" w:cs="宋体"/>
          <w:highlight w:val="none"/>
        </w:rPr>
        <w:t>7.1未确定中标或者中标人的，终止本次政府采购活动，重新开展政府采购活动。</w:t>
      </w:r>
    </w:p>
    <w:p w14:paraId="344E894A">
      <w:pPr>
        <w:pStyle w:val="31"/>
        <w:snapToGrid w:val="0"/>
        <w:spacing w:line="360" w:lineRule="auto"/>
        <w:ind w:firstLine="600" w:firstLineChars="250"/>
        <w:rPr>
          <w:rFonts w:hint="eastAsia" w:ascii="宋体" w:hAnsi="宋体" w:eastAsia="宋体" w:cs="宋体"/>
          <w:highlight w:val="none"/>
        </w:rPr>
      </w:pPr>
      <w:r>
        <w:rPr>
          <w:rFonts w:hint="eastAsia" w:ascii="宋体" w:hAnsi="宋体" w:eastAsia="宋体" w:cs="宋体"/>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40532EF8">
      <w:pPr>
        <w:pStyle w:val="31"/>
        <w:snapToGrid w:val="0"/>
        <w:spacing w:line="360" w:lineRule="auto"/>
        <w:ind w:firstLine="600" w:firstLineChars="250"/>
        <w:rPr>
          <w:rFonts w:hint="eastAsia" w:ascii="宋体" w:hAnsi="宋体" w:eastAsia="宋体" w:cs="宋体"/>
          <w:highlight w:val="none"/>
        </w:rPr>
      </w:pPr>
      <w:r>
        <w:rPr>
          <w:rFonts w:hint="eastAsia" w:ascii="宋体" w:hAnsi="宋体" w:eastAsia="宋体" w:cs="宋体"/>
          <w:highlight w:val="none"/>
        </w:rPr>
        <w:t>7.3政府采购合同已签订但尚未履行的，撤销合同，从合格的中标或者成交候选人中另行确定中标或者中标人；没有合格的中标或者成交候选人的，重新开展政府采购活动。</w:t>
      </w:r>
    </w:p>
    <w:p w14:paraId="4ED3657D">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7.4政府采购合同已经履行，给采购人、供应商造成损失的，由责任人承担赔偿责任。</w:t>
      </w:r>
    </w:p>
    <w:p w14:paraId="6998704B">
      <w:pPr>
        <w:pStyle w:val="31"/>
        <w:snapToGrid w:val="0"/>
        <w:spacing w:line="360" w:lineRule="auto"/>
        <w:rPr>
          <w:rFonts w:hint="eastAsia" w:ascii="宋体" w:hAnsi="宋体" w:eastAsia="宋体" w:cs="宋体"/>
          <w:highlight w:val="none"/>
        </w:rPr>
      </w:pPr>
      <w:r>
        <w:rPr>
          <w:rFonts w:hint="eastAsia" w:ascii="宋体" w:hAnsi="宋体" w:eastAsia="宋体" w:cs="宋体"/>
          <w:highlight w:val="none"/>
        </w:rPr>
        <w:t>7.5政府采购当事人有其他违反政府采购法</w:t>
      </w:r>
      <w:r>
        <w:rPr>
          <w:rFonts w:hint="eastAsia" w:ascii="宋体" w:hAnsi="宋体" w:eastAsia="宋体" w:cs="宋体"/>
          <w:kern w:val="0"/>
          <w:highlight w:val="none"/>
        </w:rPr>
        <w:t>或者政府采购法实施条例等法律法规规定</w:t>
      </w:r>
      <w:r>
        <w:rPr>
          <w:rFonts w:hint="eastAsia" w:ascii="宋体" w:hAnsi="宋体" w:eastAsia="宋体" w:cs="宋体"/>
          <w:highlight w:val="none"/>
        </w:rPr>
        <w:t>的行为，经改正后仍然影响或者可能影响中标、成交结果或者依法被认定为中标、成交无效的，依照7.1-7.4规定处理。</w:t>
      </w:r>
    </w:p>
    <w:bookmarkEnd w:id="19"/>
    <w:p w14:paraId="0D830623">
      <w:pPr>
        <w:spacing w:line="360" w:lineRule="auto"/>
        <w:jc w:val="center"/>
        <w:outlineLvl w:val="0"/>
        <w:rPr>
          <w:rFonts w:hint="eastAsia" w:ascii="宋体" w:hAnsi="宋体" w:eastAsia="宋体" w:cs="宋体"/>
          <w:b/>
          <w:sz w:val="36"/>
          <w:szCs w:val="36"/>
          <w:highlight w:val="none"/>
        </w:rPr>
        <w:sectPr>
          <w:pgSz w:w="11907" w:h="16840"/>
          <w:pgMar w:top="1134" w:right="1134" w:bottom="1134" w:left="1134" w:header="851" w:footer="850" w:gutter="0"/>
          <w:pgBorders>
            <w:top w:val="none" w:sz="0" w:space="0"/>
            <w:left w:val="none" w:sz="0" w:space="0"/>
            <w:bottom w:val="none" w:sz="0" w:space="0"/>
            <w:right w:val="none" w:sz="0" w:space="0"/>
          </w:pgBorders>
          <w:pgNumType w:fmt="decimal"/>
          <w:cols w:space="0" w:num="1"/>
          <w:rtlGutter w:val="0"/>
          <w:docGrid w:linePitch="0" w:charSpace="0"/>
        </w:sectPr>
      </w:pPr>
      <w:bookmarkStart w:id="387" w:name="第五部分"/>
      <w:bookmarkStart w:id="388" w:name="_Toc86217003"/>
    </w:p>
    <w:p w14:paraId="727997DE">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第五部分 拟签订的合同文本</w:t>
      </w:r>
    </w:p>
    <w:p w14:paraId="4A43396F">
      <w:pPr>
        <w:numPr>
          <w:ilvl w:val="0"/>
          <w:numId w:val="0"/>
        </w:numPr>
        <w:spacing w:line="360" w:lineRule="auto"/>
        <w:jc w:val="center"/>
        <w:outlineLvl w:val="0"/>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t>（仅供参考，具体以合同签订为准）</w:t>
      </w:r>
    </w:p>
    <w:p w14:paraId="48F2BF2C">
      <w:pPr>
        <w:spacing w:line="480" w:lineRule="auto"/>
        <w:jc w:val="center"/>
        <w:rPr>
          <w:rFonts w:hint="eastAsia" w:ascii="宋体" w:hAnsi="宋体" w:eastAsia="宋体" w:cs="宋体"/>
          <w:b/>
          <w:sz w:val="28"/>
          <w:szCs w:val="28"/>
          <w:highlight w:val="none"/>
        </w:rPr>
      </w:pPr>
    </w:p>
    <w:p w14:paraId="69C73E33">
      <w:pPr>
        <w:spacing w:line="480" w:lineRule="auto"/>
        <w:jc w:val="center"/>
        <w:rPr>
          <w:rFonts w:hint="eastAsia" w:ascii="宋体" w:hAnsi="宋体" w:eastAsia="宋体" w:cs="宋体"/>
          <w:b/>
          <w:sz w:val="24"/>
          <w:highlight w:val="none"/>
        </w:rPr>
      </w:pPr>
    </w:p>
    <w:bookmarkEnd w:id="387"/>
    <w:bookmarkEnd w:id="388"/>
    <w:p w14:paraId="25E27B7E">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66944276">
      <w:pPr>
        <w:spacing w:line="480" w:lineRule="auto"/>
        <w:jc w:val="center"/>
        <w:rPr>
          <w:rFonts w:ascii="宋体" w:hAnsi="宋体" w:cs="宋体"/>
          <w:b/>
          <w:sz w:val="36"/>
          <w:szCs w:val="36"/>
          <w:highlight w:val="none"/>
        </w:rPr>
      </w:pPr>
      <w:r>
        <w:rPr>
          <w:rFonts w:hint="eastAsia" w:ascii="宋体" w:hAnsi="宋体" w:cs="宋体"/>
          <w:b/>
          <w:sz w:val="36"/>
          <w:szCs w:val="36"/>
          <w:highlight w:val="none"/>
        </w:rPr>
        <w:t>（货物类）</w:t>
      </w:r>
    </w:p>
    <w:p w14:paraId="57F72490">
      <w:pPr>
        <w:pStyle w:val="703"/>
        <w:rPr>
          <w:rFonts w:ascii="宋体" w:hAnsi="宋体" w:cs="宋体"/>
          <w:szCs w:val="24"/>
          <w:highlight w:val="none"/>
        </w:rPr>
      </w:pPr>
    </w:p>
    <w:p w14:paraId="5C4C8CAB">
      <w:pPr>
        <w:pStyle w:val="703"/>
        <w:rPr>
          <w:rFonts w:ascii="宋体" w:hAnsi="宋体" w:cs="宋体"/>
          <w:szCs w:val="24"/>
          <w:highlight w:val="none"/>
        </w:rPr>
      </w:pPr>
    </w:p>
    <w:p w14:paraId="604D84AC">
      <w:pPr>
        <w:pStyle w:val="703"/>
        <w:jc w:val="center"/>
        <w:rPr>
          <w:rFonts w:ascii="宋体" w:hAnsi="宋体" w:cs="宋体"/>
          <w:szCs w:val="24"/>
          <w:highlight w:val="none"/>
        </w:rPr>
      </w:pPr>
    </w:p>
    <w:p w14:paraId="174E0A7F">
      <w:pPr>
        <w:pStyle w:val="703"/>
        <w:ind w:firstLine="2843" w:firstLineChars="1180"/>
        <w:rPr>
          <w:rFonts w:ascii="宋体" w:hAnsi="宋体" w:cs="宋体"/>
          <w:b/>
          <w:szCs w:val="24"/>
          <w:highlight w:val="none"/>
        </w:rPr>
      </w:pPr>
      <w:r>
        <w:rPr>
          <w:rFonts w:hint="eastAsia" w:ascii="宋体" w:hAnsi="宋体" w:cs="宋体"/>
          <w:b/>
          <w:szCs w:val="24"/>
          <w:highlight w:val="none"/>
        </w:rPr>
        <w:t>第一部分 合同书</w:t>
      </w:r>
    </w:p>
    <w:p w14:paraId="0BC8B045">
      <w:pPr>
        <w:pStyle w:val="703"/>
        <w:rPr>
          <w:rFonts w:ascii="宋体" w:hAnsi="宋体" w:cs="宋体"/>
          <w:szCs w:val="24"/>
          <w:highlight w:val="none"/>
        </w:rPr>
      </w:pPr>
    </w:p>
    <w:p w14:paraId="4E73E7B4">
      <w:pPr>
        <w:pStyle w:val="703"/>
        <w:rPr>
          <w:rFonts w:ascii="宋体" w:hAnsi="宋体" w:cs="宋体"/>
          <w:szCs w:val="24"/>
          <w:highlight w:val="none"/>
        </w:rPr>
      </w:pPr>
    </w:p>
    <w:p w14:paraId="35AEDFA1">
      <w:pPr>
        <w:spacing w:before="120" w:line="22" w:lineRule="atLeast"/>
        <w:rPr>
          <w:rFonts w:ascii="宋体" w:hAnsi="宋体" w:cs="宋体"/>
          <w:sz w:val="24"/>
          <w:highlight w:val="none"/>
        </w:rPr>
      </w:pPr>
    </w:p>
    <w:p w14:paraId="706155B3">
      <w:pPr>
        <w:spacing w:before="120" w:line="22" w:lineRule="atLeast"/>
        <w:ind w:left="96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2F9A8A18">
      <w:pPr>
        <w:pStyle w:val="600"/>
        <w:spacing w:before="120" w:line="22" w:lineRule="atLeast"/>
        <w:rPr>
          <w:rFonts w:ascii="宋体" w:hAnsi="宋体" w:eastAsia="宋体" w:cs="宋体"/>
          <w:szCs w:val="24"/>
          <w:highlight w:val="none"/>
        </w:rPr>
      </w:pPr>
    </w:p>
    <w:p w14:paraId="70FD604E">
      <w:pPr>
        <w:pStyle w:val="600"/>
        <w:spacing w:before="120" w:line="22" w:lineRule="atLeast"/>
        <w:rPr>
          <w:rFonts w:ascii="宋体" w:hAnsi="宋体" w:eastAsia="宋体" w:cs="宋体"/>
          <w:szCs w:val="24"/>
          <w:highlight w:val="none"/>
        </w:rPr>
      </w:pPr>
    </w:p>
    <w:p w14:paraId="5BEE538E">
      <w:pPr>
        <w:rPr>
          <w:rFonts w:ascii="宋体" w:hAnsi="宋体" w:cs="宋体"/>
          <w:sz w:val="24"/>
          <w:highlight w:val="none"/>
        </w:rPr>
      </w:pPr>
    </w:p>
    <w:p w14:paraId="240749D1">
      <w:pPr>
        <w:spacing w:before="120" w:line="22" w:lineRule="atLeast"/>
        <w:ind w:left="96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46E29B86">
      <w:pPr>
        <w:spacing w:before="120" w:line="22" w:lineRule="atLeast"/>
        <w:rPr>
          <w:rFonts w:ascii="宋体" w:hAnsi="宋体" w:cs="宋体"/>
          <w:sz w:val="24"/>
          <w:highlight w:val="none"/>
        </w:rPr>
      </w:pPr>
    </w:p>
    <w:p w14:paraId="3B874993">
      <w:pPr>
        <w:spacing w:before="120" w:line="22" w:lineRule="atLeast"/>
        <w:ind w:left="96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7CC9F506">
      <w:pPr>
        <w:spacing w:before="120" w:line="22" w:lineRule="atLeast"/>
        <w:rPr>
          <w:rFonts w:ascii="宋体" w:hAnsi="宋体" w:cs="宋体"/>
          <w:sz w:val="24"/>
          <w:highlight w:val="none"/>
        </w:rPr>
      </w:pPr>
    </w:p>
    <w:p w14:paraId="54B6EB03">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0BFC1F25">
      <w:pPr>
        <w:spacing w:before="120" w:line="22" w:lineRule="atLeast"/>
        <w:rPr>
          <w:rFonts w:ascii="宋体" w:hAnsi="宋体" w:cs="宋体"/>
          <w:sz w:val="24"/>
          <w:highlight w:val="none"/>
        </w:rPr>
      </w:pPr>
    </w:p>
    <w:p w14:paraId="3C3463B2">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55FF8E4D">
      <w:pPr>
        <w:widowControl/>
        <w:jc w:val="left"/>
        <w:rPr>
          <w:rFonts w:ascii="宋体" w:hAnsi="宋体" w:cs="宋体"/>
          <w:kern w:val="0"/>
          <w:sz w:val="24"/>
          <w:highlight w:val="none"/>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6A8D6741">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u w:val="single"/>
          <w:lang w:val="zh-CN"/>
        </w:rPr>
        <w:t xml:space="preserve">        </w:t>
      </w:r>
      <w:r>
        <w:rPr>
          <w:rFonts w:hint="eastAsia" w:ascii="宋体" w:hAnsi="宋体" w:cs="宋体"/>
          <w:sz w:val="24"/>
          <w:highlight w:val="none"/>
          <w:lang w:val="zh-CN"/>
        </w:rPr>
        <w:t>年</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月</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日</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color w:val="0000FF"/>
          <w:sz w:val="24"/>
          <w:highlight w:val="none"/>
          <w:u w:val="single"/>
        </w:rPr>
        <w:t>（采购人）</w:t>
      </w:r>
      <w:r>
        <w:rPr>
          <w:rFonts w:hint="eastAsia" w:ascii="宋体" w:hAnsi="宋体" w:cs="宋体"/>
          <w:sz w:val="24"/>
          <w:highlight w:val="none"/>
          <w:u w:val="single"/>
        </w:rPr>
        <w:t xml:space="preserve">   </w:t>
      </w:r>
      <w:r>
        <w:rPr>
          <w:rFonts w:hint="eastAsia" w:ascii="宋体" w:hAnsi="宋体" w:cs="宋体"/>
          <w:sz w:val="24"/>
          <w:highlight w:val="none"/>
        </w:rPr>
        <w:t>以</w:t>
      </w:r>
      <w:r>
        <w:rPr>
          <w:rFonts w:hint="eastAsia" w:ascii="宋体" w:hAnsi="宋体" w:cs="宋体"/>
          <w:sz w:val="24"/>
          <w:highlight w:val="none"/>
          <w:u w:val="single"/>
        </w:rPr>
        <w:t xml:space="preserve">   （政府采购方式）  </w:t>
      </w:r>
      <w:r>
        <w:rPr>
          <w:rFonts w:hint="eastAsia" w:ascii="宋体" w:hAnsi="宋体" w:cs="宋体"/>
          <w:sz w:val="24"/>
          <w:highlight w:val="none"/>
        </w:rPr>
        <w:t>对</w:t>
      </w:r>
      <w:r>
        <w:rPr>
          <w:rFonts w:hint="eastAsia" w:ascii="宋体" w:hAnsi="宋体" w:cs="宋体"/>
          <w:sz w:val="24"/>
          <w:highlight w:val="none"/>
          <w:u w:val="single"/>
        </w:rPr>
        <w:t xml:space="preserve">   </w:t>
      </w:r>
      <w:r>
        <w:rPr>
          <w:rFonts w:hint="eastAsia" w:ascii="宋体" w:hAnsi="宋体" w:cs="宋体"/>
          <w:color w:val="0000FF"/>
          <w:sz w:val="24"/>
          <w:highlight w:val="none"/>
          <w:u w:val="single"/>
        </w:rPr>
        <w:t xml:space="preserve">（项目名称、编号）  </w:t>
      </w:r>
      <w:r>
        <w:rPr>
          <w:rFonts w:hint="eastAsia" w:ascii="宋体" w:hAnsi="宋体" w:cs="宋体"/>
          <w:sz w:val="24"/>
          <w:highlight w:val="none"/>
          <w:u w:val="single"/>
        </w:rPr>
        <w:t xml:space="preserve"> </w:t>
      </w:r>
      <w:r>
        <w:rPr>
          <w:rFonts w:hint="eastAsia" w:ascii="宋体" w:hAnsi="宋体" w:cs="宋体"/>
          <w:sz w:val="24"/>
          <w:highlight w:val="none"/>
        </w:rPr>
        <w:t>项目进行了采购。经</w:t>
      </w:r>
      <w:r>
        <w:rPr>
          <w:rFonts w:hint="eastAsia" w:ascii="宋体" w:hAnsi="宋体" w:cs="宋体"/>
          <w:sz w:val="24"/>
          <w:highlight w:val="none"/>
          <w:u w:val="single"/>
        </w:rPr>
        <w:t xml:space="preserve">   （相关评定主体名称）   </w:t>
      </w:r>
      <w:r>
        <w:rPr>
          <w:rFonts w:hint="eastAsia" w:ascii="宋体" w:hAnsi="宋体" w:cs="宋体"/>
          <w:sz w:val="24"/>
          <w:highlight w:val="none"/>
        </w:rPr>
        <w:t>评定，</w:t>
      </w:r>
      <w:r>
        <w:rPr>
          <w:rFonts w:hint="eastAsia" w:ascii="宋体" w:hAnsi="宋体" w:cs="宋体"/>
          <w:sz w:val="24"/>
          <w:highlight w:val="none"/>
          <w:u w:val="single"/>
        </w:rPr>
        <w:t xml:space="preserve">   （中标或者成交供应商名称）</w:t>
      </w:r>
      <w:r>
        <w:rPr>
          <w:rFonts w:hint="eastAsia" w:ascii="宋体" w:hAnsi="宋体" w:cs="宋体"/>
          <w:sz w:val="24"/>
          <w:highlight w:val="none"/>
        </w:rPr>
        <w:t>为该项目中标或者成交供应商。现于中标或者成交通知书发出之日起10个工作日内，按照采购文件等确定的事项签订本合同。</w:t>
      </w:r>
    </w:p>
    <w:p w14:paraId="6F467CE4">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sz w:val="24"/>
          <w:highlight w:val="none"/>
          <w:u w:val="single"/>
        </w:rPr>
        <w:t xml:space="preserve">   （采购人）   </w:t>
      </w:r>
      <w:r>
        <w:rPr>
          <w:rFonts w:hint="eastAsia" w:ascii="宋体" w:hAnsi="宋体" w:cs="宋体"/>
          <w:sz w:val="24"/>
          <w:highlight w:val="none"/>
          <w:lang w:val="zh-CN"/>
        </w:rPr>
        <w:t>(以下简称：甲方)和</w:t>
      </w:r>
      <w:r>
        <w:rPr>
          <w:rFonts w:hint="eastAsia" w:ascii="宋体" w:hAnsi="宋体" w:cs="宋体"/>
          <w:sz w:val="24"/>
          <w:highlight w:val="none"/>
          <w:u w:val="single"/>
        </w:rPr>
        <w:t xml:space="preserve">   （中标或者成交供应商名称）   </w:t>
      </w:r>
      <w:r>
        <w:rPr>
          <w:rFonts w:hint="eastAsia" w:ascii="宋体" w:hAnsi="宋体" w:cs="宋体"/>
          <w:sz w:val="24"/>
          <w:highlight w:val="none"/>
          <w:lang w:val="zh-CN"/>
        </w:rPr>
        <w:t>(以下简称：乙方)协商一致，约定以下合同</w:t>
      </w:r>
      <w:r>
        <w:rPr>
          <w:rFonts w:hint="eastAsia" w:ascii="宋体" w:hAnsi="宋体" w:cs="宋体"/>
          <w:sz w:val="24"/>
          <w:highlight w:val="none"/>
        </w:rPr>
        <w:t>条款，以兹共同遵守、全面履行。</w:t>
      </w:r>
    </w:p>
    <w:p w14:paraId="4EE0EEEB">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389" w:name="_Toc2232"/>
      <w:bookmarkStart w:id="390" w:name="_Toc24059"/>
      <w:bookmarkStart w:id="391" w:name="_Toc3029"/>
      <w:r>
        <w:rPr>
          <w:rFonts w:hint="eastAsia" w:ascii="宋体" w:hAnsi="宋体" w:cs="宋体"/>
          <w:b/>
          <w:sz w:val="24"/>
          <w:highlight w:val="none"/>
        </w:rPr>
        <w:t>1.1 合同组成部分</w:t>
      </w:r>
      <w:bookmarkEnd w:id="389"/>
      <w:bookmarkEnd w:id="390"/>
      <w:bookmarkEnd w:id="391"/>
    </w:p>
    <w:p w14:paraId="7839D88C">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267AB1E">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1.1.1 本合同及其补充合同、变更协议；</w:t>
      </w:r>
    </w:p>
    <w:p w14:paraId="0C59F2AC">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1.1.2 中标或者成交通知书；</w:t>
      </w:r>
    </w:p>
    <w:p w14:paraId="047059C0">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1.1.3 投标或者响应文件（含澄清或者说明文件）；</w:t>
      </w:r>
    </w:p>
    <w:p w14:paraId="66951E2B">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1.1.4 采购文件（含澄清或者修改文件）；</w:t>
      </w:r>
    </w:p>
    <w:p w14:paraId="21019138">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1.1.5 其他相关采购文件。</w:t>
      </w:r>
    </w:p>
    <w:p w14:paraId="26351D6B">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392" w:name="_Toc24300"/>
      <w:bookmarkStart w:id="393" w:name="_Toc27126"/>
      <w:bookmarkStart w:id="394" w:name="_Toc21295"/>
      <w:r>
        <w:rPr>
          <w:rFonts w:hint="eastAsia" w:ascii="宋体" w:hAnsi="宋体" w:cs="宋体"/>
          <w:b/>
          <w:sz w:val="24"/>
          <w:highlight w:val="none"/>
        </w:rPr>
        <w:t>1.2 货物</w:t>
      </w:r>
      <w:bookmarkEnd w:id="392"/>
      <w:bookmarkEnd w:id="393"/>
      <w:bookmarkEnd w:id="394"/>
    </w:p>
    <w:p w14:paraId="63598766">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u w:val="single"/>
        </w:rPr>
      </w:pPr>
      <w:r>
        <w:rPr>
          <w:rFonts w:hint="eastAsia" w:ascii="宋体" w:hAnsi="宋体" w:cs="宋体"/>
          <w:sz w:val="24"/>
          <w:highlight w:val="none"/>
        </w:rPr>
        <w:t>1.2.1 货物名称、品牌、规格型号、花色：</w:t>
      </w:r>
      <w:r>
        <w:rPr>
          <w:rFonts w:hint="eastAsia" w:ascii="宋体" w:hAnsi="宋体" w:cs="宋体"/>
          <w:sz w:val="24"/>
          <w:highlight w:val="none"/>
          <w:u w:val="single"/>
        </w:rPr>
        <w:t xml:space="preserve">                             </w:t>
      </w:r>
      <w:r>
        <w:rPr>
          <w:rFonts w:hint="eastAsia" w:ascii="宋体" w:hAnsi="宋体" w:cs="宋体"/>
          <w:sz w:val="24"/>
          <w:highlight w:val="none"/>
        </w:rPr>
        <w:t>；</w:t>
      </w:r>
    </w:p>
    <w:p w14:paraId="45AF4148">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u w:val="single"/>
        </w:rPr>
      </w:pPr>
      <w:r>
        <w:rPr>
          <w:rFonts w:hint="eastAsia" w:ascii="宋体" w:hAnsi="宋体" w:cs="宋体"/>
          <w:sz w:val="24"/>
          <w:highlight w:val="none"/>
        </w:rPr>
        <w:t>1.2.2 货物数量：</w:t>
      </w:r>
      <w:r>
        <w:rPr>
          <w:rFonts w:hint="eastAsia" w:ascii="宋体" w:hAnsi="宋体" w:cs="宋体"/>
          <w:sz w:val="24"/>
          <w:highlight w:val="none"/>
          <w:u w:val="single"/>
        </w:rPr>
        <w:t xml:space="preserve">                                                </w:t>
      </w:r>
      <w:r>
        <w:rPr>
          <w:rFonts w:hint="eastAsia" w:ascii="宋体" w:hAnsi="宋体" w:cs="宋体"/>
          <w:sz w:val="24"/>
          <w:highlight w:val="none"/>
        </w:rPr>
        <w:t>；</w:t>
      </w:r>
    </w:p>
    <w:p w14:paraId="589F6399">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u w:val="single"/>
        </w:rPr>
      </w:pPr>
      <w:r>
        <w:rPr>
          <w:rFonts w:hint="eastAsia" w:ascii="宋体" w:hAnsi="宋体" w:cs="宋体"/>
          <w:sz w:val="24"/>
          <w:highlight w:val="none"/>
        </w:rPr>
        <w:t>1.2.3 货物质量：</w:t>
      </w:r>
      <w:r>
        <w:rPr>
          <w:rFonts w:hint="eastAsia" w:ascii="宋体" w:hAnsi="宋体" w:cs="宋体"/>
          <w:sz w:val="24"/>
          <w:highlight w:val="none"/>
          <w:u w:val="single"/>
        </w:rPr>
        <w:t>　　　　　　　　　                      　      ；</w:t>
      </w:r>
    </w:p>
    <w:p w14:paraId="15D09031">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395" w:name="_Toc21551"/>
      <w:bookmarkStart w:id="396" w:name="_Toc23292"/>
      <w:bookmarkStart w:id="397" w:name="_Toc21631"/>
      <w:r>
        <w:rPr>
          <w:rFonts w:hint="eastAsia" w:ascii="宋体" w:hAnsi="宋体" w:cs="宋体"/>
          <w:b/>
          <w:sz w:val="24"/>
          <w:highlight w:val="none"/>
        </w:rPr>
        <w:t>1.3 价款</w:t>
      </w:r>
      <w:bookmarkEnd w:id="395"/>
      <w:bookmarkEnd w:id="396"/>
      <w:bookmarkEnd w:id="397"/>
    </w:p>
    <w:p w14:paraId="38C723C3">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本合同总价（含税）为：￥</w:t>
      </w:r>
      <w:r>
        <w:rPr>
          <w:rFonts w:hint="eastAsia" w:ascii="宋体" w:hAnsi="宋体" w:cs="宋体"/>
          <w:sz w:val="24"/>
          <w:highlight w:val="none"/>
          <w:u w:val="single"/>
        </w:rPr>
        <w:t xml:space="preserve">           </w:t>
      </w:r>
      <w:r>
        <w:rPr>
          <w:rFonts w:hint="eastAsia" w:ascii="宋体" w:hAnsi="宋体" w:cs="宋体"/>
          <w:sz w:val="24"/>
          <w:highlight w:val="none"/>
        </w:rPr>
        <w:t>元（大写：</w:t>
      </w:r>
      <w:r>
        <w:rPr>
          <w:rFonts w:hint="eastAsia" w:ascii="宋体" w:hAnsi="宋体" w:cs="宋体"/>
          <w:sz w:val="24"/>
          <w:highlight w:val="none"/>
          <w:u w:val="single"/>
        </w:rPr>
        <w:t xml:space="preserve">                 </w:t>
      </w:r>
      <w:r>
        <w:rPr>
          <w:rFonts w:hint="eastAsia" w:ascii="宋体" w:hAnsi="宋体" w:cs="宋体"/>
          <w:sz w:val="24"/>
          <w:highlight w:val="none"/>
        </w:rPr>
        <w:t>元人民币）。</w:t>
      </w:r>
    </w:p>
    <w:p w14:paraId="12FC69F8">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u w:val="single"/>
        </w:rPr>
      </w:pPr>
      <w:r>
        <w:rPr>
          <w:rFonts w:hint="eastAsia" w:ascii="宋体" w:hAnsi="宋体" w:cs="宋体"/>
          <w:sz w:val="24"/>
          <w:highlight w:val="none"/>
        </w:rPr>
        <w:t>分项价格：</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66C1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775ABD5">
            <w:pPr>
              <w:pStyle w:val="321"/>
              <w:pageBreakBefore w:val="0"/>
              <w:kinsoku/>
              <w:wordWrap/>
              <w:overflowPunct/>
              <w:topLinePunct w:val="0"/>
              <w:autoSpaceDE/>
              <w:autoSpaceDN/>
              <w:bidi w:val="0"/>
              <w:snapToGrid/>
              <w:spacing w:line="360" w:lineRule="auto"/>
              <w:ind w:left="0" w:leftChars="0" w:right="0" w:rightChars="0"/>
              <w:jc w:val="center"/>
              <w:textAlignment w:val="auto"/>
              <w:rPr>
                <w:rFonts w:hAnsi="宋体" w:cs="宋体"/>
                <w:sz w:val="24"/>
                <w:szCs w:val="24"/>
                <w:highlight w:val="none"/>
              </w:rPr>
            </w:pPr>
            <w:r>
              <w:rPr>
                <w:rFonts w:hint="eastAsia" w:hAnsi="宋体" w:cs="宋体"/>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3AC614E2">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r>
              <w:rPr>
                <w:rFonts w:hint="eastAsia" w:hAnsi="宋体" w:cs="宋体"/>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46979A0B">
            <w:pPr>
              <w:pStyle w:val="321"/>
              <w:pageBreakBefore w:val="0"/>
              <w:kinsoku/>
              <w:wordWrap/>
              <w:overflowPunct/>
              <w:topLinePunct w:val="0"/>
              <w:autoSpaceDE/>
              <w:autoSpaceDN/>
              <w:bidi w:val="0"/>
              <w:snapToGrid/>
              <w:spacing w:line="360" w:lineRule="auto"/>
              <w:ind w:left="0" w:leftChars="0" w:right="0" w:rightChars="0"/>
              <w:jc w:val="center"/>
              <w:textAlignment w:val="auto"/>
              <w:rPr>
                <w:rFonts w:hAnsi="宋体" w:cs="宋体"/>
                <w:sz w:val="24"/>
                <w:szCs w:val="24"/>
                <w:highlight w:val="none"/>
              </w:rPr>
            </w:pPr>
            <w:r>
              <w:rPr>
                <w:rFonts w:hint="eastAsia" w:hAnsi="宋体" w:cs="宋体"/>
                <w:sz w:val="24"/>
                <w:szCs w:val="24"/>
                <w:highlight w:val="none"/>
              </w:rPr>
              <w:t>分项价格</w:t>
            </w:r>
          </w:p>
        </w:tc>
      </w:tr>
      <w:tr w14:paraId="04D9E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C6F88EE">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5D908D8">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184062A0">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r>
      <w:tr w14:paraId="28C7D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6D2B916">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3B40BFB0">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43F078F0">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r>
      <w:tr w14:paraId="52E78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BFAFB48">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8C887DC">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167FCD55">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r>
      <w:tr w14:paraId="17E77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42938E3">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68C0FD95">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1D6C4822">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r>
      <w:tr w14:paraId="7FD4B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7AB5A1BE">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r>
              <w:rPr>
                <w:rFonts w:hint="eastAsia" w:hAnsi="宋体" w:cs="宋体"/>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3EE41EC2">
            <w:pPr>
              <w:pStyle w:val="321"/>
              <w:pageBreakBefore w:val="0"/>
              <w:kinsoku/>
              <w:wordWrap/>
              <w:overflowPunct/>
              <w:topLinePunct w:val="0"/>
              <w:autoSpaceDE/>
              <w:autoSpaceDN/>
              <w:bidi w:val="0"/>
              <w:snapToGrid/>
              <w:spacing w:line="360" w:lineRule="auto"/>
              <w:ind w:left="0" w:leftChars="0" w:right="0" w:rightChars="0" w:firstLine="200"/>
              <w:jc w:val="center"/>
              <w:textAlignment w:val="auto"/>
              <w:rPr>
                <w:rFonts w:hAnsi="宋体" w:cs="宋体"/>
                <w:sz w:val="24"/>
                <w:szCs w:val="24"/>
                <w:highlight w:val="none"/>
              </w:rPr>
            </w:pPr>
          </w:p>
        </w:tc>
      </w:tr>
    </w:tbl>
    <w:p w14:paraId="596502BB">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b/>
          <w:highlight w:val="none"/>
        </w:rPr>
      </w:pPr>
      <w:bookmarkStart w:id="398" w:name="_Toc1814"/>
      <w:bookmarkStart w:id="399" w:name="_Toc10340"/>
      <w:bookmarkStart w:id="400" w:name="_Toc22618"/>
      <w:r>
        <w:rPr>
          <w:rFonts w:hint="eastAsia"/>
          <w:b/>
          <w:highlight w:val="none"/>
        </w:rPr>
        <w:t>1.4履约保证金</w:t>
      </w:r>
    </w:p>
    <w:p w14:paraId="6819C539">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highlight w:val="none"/>
        </w:rPr>
      </w:pPr>
      <w:r>
        <w:rPr>
          <w:rFonts w:hint="eastAsia"/>
          <w:highlight w:val="none"/>
        </w:rPr>
        <w:t>乙方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否）需要支付履约保证金。若需要支付履约保证金的，则：</w:t>
      </w:r>
    </w:p>
    <w:p w14:paraId="2CDDD19C">
      <w:pPr>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ascii="宋体" w:hAnsi="宋体" w:cs="宋体"/>
          <w:kern w:val="0"/>
          <w:sz w:val="24"/>
          <w:highlight w:val="none"/>
        </w:rPr>
      </w:pPr>
      <w:r>
        <w:rPr>
          <w:rFonts w:hint="eastAsia" w:ascii="宋体" w:hAnsi="宋体" w:cs="宋体"/>
          <w:kern w:val="0"/>
          <w:sz w:val="24"/>
          <w:highlight w:val="none"/>
        </w:rPr>
        <w:t>1.4.1履约保证金的比例为合同金额的</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3865A2A8">
      <w:pPr>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ascii="宋体" w:hAnsi="宋体" w:cs="宋体"/>
          <w:kern w:val="0"/>
          <w:sz w:val="24"/>
          <w:highlight w:val="none"/>
        </w:rPr>
      </w:pPr>
      <w:r>
        <w:rPr>
          <w:rFonts w:hint="eastAsia" w:ascii="宋体" w:hAnsi="宋体" w:cs="宋体"/>
          <w:kern w:val="0"/>
          <w:sz w:val="24"/>
          <w:highlight w:val="none"/>
        </w:rPr>
        <w:t>1.4.2履约保证金支付方式详见</w:t>
      </w:r>
      <w:r>
        <w:rPr>
          <w:rFonts w:hint="eastAsia" w:ascii="宋体" w:hAnsi="宋体" w:cs="宋体"/>
          <w:kern w:val="0"/>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4039E509">
      <w:pPr>
        <w:pStyle w:val="4"/>
        <w:pageBreakBefore w:val="0"/>
        <w:tabs>
          <w:tab w:val="left" w:pos="0"/>
          <w:tab w:val="clear" w:pos="432"/>
        </w:tabs>
        <w:kinsoku/>
        <w:wordWrap/>
        <w:overflowPunct/>
        <w:topLinePunct w:val="0"/>
        <w:autoSpaceDE/>
        <w:autoSpaceDN/>
        <w:bidi w:val="0"/>
        <w:snapToGrid/>
        <w:spacing w:line="360" w:lineRule="auto"/>
        <w:ind w:left="0" w:leftChars="0" w:right="0" w:rightChars="0" w:firstLine="480" w:firstLineChars="200"/>
        <w:textAlignment w:val="auto"/>
        <w:rPr>
          <w:rFonts w:eastAsia="宋体"/>
          <w:highlight w:val="none"/>
          <w:lang w:val="en-US"/>
        </w:rPr>
      </w:pPr>
      <w:r>
        <w:rPr>
          <w:rFonts w:hint="eastAsia" w:ascii="宋体" w:hAnsi="宋体" w:eastAsia="宋体" w:cs="宋体"/>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4C066A2">
      <w:pPr>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highlight w:val="none"/>
        </w:rPr>
      </w:pPr>
      <w:r>
        <w:rPr>
          <w:rFonts w:hint="eastAsia" w:ascii="宋体" w:hAnsi="宋体" w:cs="宋体"/>
          <w:kern w:val="0"/>
          <w:sz w:val="24"/>
          <w:highlight w:val="none"/>
        </w:rPr>
        <w:t>1.4.4 甲方在项目验收结束后及时退还履约保证金。甲方在项目通过验收之日起</w:t>
      </w:r>
      <w:r>
        <w:rPr>
          <w:rFonts w:hint="eastAsia" w:ascii="宋体" w:hAnsi="宋体" w:cs="宋体"/>
          <w:kern w:val="0"/>
          <w:sz w:val="24"/>
          <w:highlight w:val="none"/>
          <w:u w:val="single"/>
        </w:rPr>
        <w:t xml:space="preserve">       </w:t>
      </w:r>
      <w:r>
        <w:rPr>
          <w:rFonts w:hint="eastAsia" w:ascii="宋体" w:hAnsi="宋体" w:cs="宋体"/>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kern w:val="0"/>
          <w:sz w:val="24"/>
          <w:highlight w:val="none"/>
          <w:u w:val="single"/>
        </w:rPr>
        <w:t xml:space="preserve">  0.05（可根据情况修改）</w:t>
      </w:r>
      <w:r>
        <w:rPr>
          <w:rFonts w:hint="eastAsia" w:ascii="宋体" w:hAnsi="宋体" w:cs="宋体"/>
          <w:sz w:val="24"/>
          <w:highlight w:val="none"/>
          <w:u w:val="single"/>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rPr>
        <w:t>%计算，最高限额为本合同履约保证金的</w:t>
      </w:r>
      <w:r>
        <w:rPr>
          <w:rFonts w:hint="eastAsia" w:ascii="宋体" w:hAnsi="宋体" w:cs="宋体"/>
          <w:kern w:val="0"/>
          <w:sz w:val="24"/>
          <w:highlight w:val="none"/>
          <w:u w:val="single"/>
        </w:rPr>
        <w:t xml:space="preserve">  20  </w:t>
      </w:r>
      <w:r>
        <w:rPr>
          <w:rFonts w:hint="eastAsia" w:ascii="宋体" w:hAnsi="宋体" w:cs="宋体"/>
          <w:kern w:val="0"/>
          <w:sz w:val="24"/>
          <w:highlight w:val="none"/>
        </w:rPr>
        <w:t xml:space="preserve"> %。</w:t>
      </w:r>
    </w:p>
    <w:p w14:paraId="4610FA97">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r>
        <w:rPr>
          <w:rFonts w:hint="eastAsia" w:ascii="宋体" w:hAnsi="宋体" w:cs="宋体"/>
          <w:b/>
          <w:sz w:val="24"/>
          <w:highlight w:val="none"/>
        </w:rPr>
        <w:t>1.5</w:t>
      </w:r>
      <w:bookmarkEnd w:id="398"/>
      <w:bookmarkEnd w:id="399"/>
      <w:bookmarkEnd w:id="400"/>
      <w:r>
        <w:rPr>
          <w:rFonts w:hint="eastAsia" w:ascii="宋体" w:hAnsi="宋体" w:cs="宋体"/>
          <w:b/>
          <w:sz w:val="24"/>
          <w:highlight w:val="none"/>
        </w:rPr>
        <w:t>预付款</w:t>
      </w:r>
    </w:p>
    <w:p w14:paraId="1DD81A8B">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highlight w:val="none"/>
        </w:rPr>
      </w:pPr>
      <w:r>
        <w:rPr>
          <w:rFonts w:hint="eastAsia"/>
          <w:highlight w:val="none"/>
        </w:rPr>
        <w:t>甲方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否）需要支付预付款。若需要支付预付款的，则：</w:t>
      </w:r>
    </w:p>
    <w:p w14:paraId="27BF5D9E">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kern w:val="0"/>
          <w:sz w:val="24"/>
          <w:highlight w:val="none"/>
        </w:rPr>
      </w:pPr>
      <w:r>
        <w:rPr>
          <w:rFonts w:hint="eastAsia" w:ascii="宋体" w:hAnsi="宋体" w:cs="宋体"/>
          <w:kern w:val="0"/>
          <w:sz w:val="24"/>
          <w:highlight w:val="none"/>
        </w:rPr>
        <w:t>1.5.1预付款比例、支付方式、时间详见</w:t>
      </w:r>
      <w:r>
        <w:rPr>
          <w:rFonts w:hint="eastAsia" w:ascii="宋体" w:hAnsi="宋体" w:cs="宋体"/>
          <w:kern w:val="0"/>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208AC1E9">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highlight w:val="none"/>
        </w:rPr>
      </w:pPr>
      <w:r>
        <w:rPr>
          <w:rFonts w:hint="eastAsia"/>
          <w:highlight w:val="none"/>
        </w:rPr>
        <w:t>1.5.2预付款的扣回方式详见</w:t>
      </w:r>
      <w:r>
        <w:rPr>
          <w:rFonts w:hint="eastAsia"/>
          <w:highlight w:val="none"/>
          <w:u w:val="single"/>
        </w:rPr>
        <w:t xml:space="preserve">    </w:t>
      </w:r>
      <w:r>
        <w:rPr>
          <w:rFonts w:hint="eastAsia"/>
          <w:b/>
          <w:i/>
          <w:highlight w:val="none"/>
          <w:u w:val="single"/>
        </w:rPr>
        <w:t>合同专用条款</w:t>
      </w:r>
      <w:r>
        <w:rPr>
          <w:rFonts w:hint="eastAsia"/>
          <w:highlight w:val="none"/>
          <w:u w:val="single"/>
        </w:rPr>
        <w:t xml:space="preserve">           </w:t>
      </w:r>
      <w:r>
        <w:rPr>
          <w:rFonts w:hint="eastAsia"/>
          <w:highlight w:val="none"/>
        </w:rPr>
        <w:t>；</w:t>
      </w:r>
    </w:p>
    <w:p w14:paraId="16671238">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highlight w:val="none"/>
          <w:u w:val="single"/>
        </w:rPr>
      </w:pPr>
      <w:r>
        <w:rPr>
          <w:rFonts w:hint="eastAsia"/>
          <w:highlight w:val="none"/>
        </w:rPr>
        <w:t>1.5.3预付款的担保措施详见</w:t>
      </w:r>
      <w:r>
        <w:rPr>
          <w:rFonts w:hint="eastAsia"/>
          <w:highlight w:val="none"/>
          <w:u w:val="single"/>
        </w:rPr>
        <w:t xml:space="preserve">    </w:t>
      </w:r>
      <w:r>
        <w:rPr>
          <w:rFonts w:hint="eastAsia"/>
          <w:b/>
          <w:i/>
          <w:highlight w:val="none"/>
          <w:u w:val="single"/>
        </w:rPr>
        <w:t>合同专用条款</w:t>
      </w:r>
      <w:r>
        <w:rPr>
          <w:rFonts w:hint="eastAsia"/>
          <w:highlight w:val="none"/>
          <w:u w:val="single"/>
        </w:rPr>
        <w:t xml:space="preserve">          </w:t>
      </w:r>
      <w:r>
        <w:rPr>
          <w:rFonts w:hint="eastAsia"/>
          <w:highlight w:val="none"/>
        </w:rPr>
        <w:t>。</w:t>
      </w:r>
    </w:p>
    <w:p w14:paraId="7A75B233">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b/>
          <w:bCs/>
          <w:highlight w:val="none"/>
        </w:rPr>
      </w:pPr>
      <w:r>
        <w:rPr>
          <w:rFonts w:hint="eastAsia"/>
          <w:b/>
          <w:bCs/>
          <w:highlight w:val="none"/>
        </w:rPr>
        <w:t>1.6资金支付</w:t>
      </w:r>
    </w:p>
    <w:p w14:paraId="32BD5292">
      <w:pPr>
        <w:pStyle w:val="962"/>
        <w:pageBreakBefore w:val="0"/>
        <w:kinsoku/>
        <w:wordWrap/>
        <w:overflowPunct/>
        <w:topLinePunct w:val="0"/>
        <w:autoSpaceDE/>
        <w:autoSpaceDN/>
        <w:bidi w:val="0"/>
        <w:snapToGrid/>
        <w:spacing w:before="0" w:beforeAutospacing="0" w:after="0" w:afterAutospacing="0" w:line="360" w:lineRule="auto"/>
        <w:ind w:left="0" w:leftChars="0" w:right="0" w:rightChars="0" w:firstLine="480"/>
        <w:textAlignment w:val="auto"/>
        <w:rPr>
          <w:highlight w:val="none"/>
        </w:rPr>
      </w:pPr>
      <w:r>
        <w:rPr>
          <w:rFonts w:hint="eastAsia"/>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1664588">
      <w:pPr>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ascii="宋体" w:hAnsi="宋体" w:cs="宋体"/>
          <w:sz w:val="24"/>
          <w:highlight w:val="none"/>
        </w:rPr>
      </w:pPr>
      <w:r>
        <w:rPr>
          <w:rFonts w:hint="eastAsia" w:ascii="宋体" w:hAnsi="宋体" w:cs="宋体"/>
          <w:sz w:val="24"/>
          <w:highlight w:val="none"/>
        </w:rPr>
        <w:t>1.6.2资金支付的方式、时间和条件详见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74ECE81D">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401" w:name="_Toc2846"/>
      <w:bookmarkStart w:id="402" w:name="_Toc32071"/>
      <w:bookmarkStart w:id="403" w:name="_Toc19304"/>
      <w:r>
        <w:rPr>
          <w:rFonts w:hint="eastAsia" w:ascii="宋体" w:hAnsi="宋体" w:cs="宋体"/>
          <w:b/>
          <w:sz w:val="24"/>
          <w:highlight w:val="none"/>
        </w:rPr>
        <w:t>1.7货物交付期限、地点和方式</w:t>
      </w:r>
      <w:bookmarkEnd w:id="401"/>
      <w:bookmarkEnd w:id="402"/>
      <w:bookmarkEnd w:id="403"/>
    </w:p>
    <w:p w14:paraId="2EE044A6">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u w:val="single"/>
        </w:rPr>
      </w:pPr>
      <w:r>
        <w:rPr>
          <w:rFonts w:hint="eastAsia" w:ascii="宋体" w:hAnsi="宋体" w:cs="宋体"/>
          <w:sz w:val="24"/>
          <w:highlight w:val="none"/>
        </w:rPr>
        <w:t>1.7.1 交付期限：详见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B7F2AA4">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1.7.2 交付地点：</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2D89A4F">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1.7.3 交付方式：</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3160155">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404" w:name="_Toc21423"/>
      <w:bookmarkStart w:id="405" w:name="_Toc19554"/>
      <w:bookmarkStart w:id="406" w:name="_Toc27250"/>
      <w:r>
        <w:rPr>
          <w:rFonts w:hint="eastAsia" w:ascii="宋体" w:hAnsi="宋体" w:cs="宋体"/>
          <w:b/>
          <w:sz w:val="24"/>
          <w:highlight w:val="none"/>
        </w:rPr>
        <w:t>1.8违约责任</w:t>
      </w:r>
      <w:bookmarkEnd w:id="404"/>
      <w:bookmarkEnd w:id="405"/>
      <w:bookmarkEnd w:id="406"/>
    </w:p>
    <w:p w14:paraId="26978E14">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highlight w:val="none"/>
          <w:u w:val="single"/>
        </w:rPr>
        <w:t xml:space="preserve">  0.05</w:t>
      </w:r>
      <w:r>
        <w:rPr>
          <w:rFonts w:hint="eastAsia" w:ascii="宋体" w:hAnsi="宋体" w:cs="宋体"/>
          <w:kern w:val="0"/>
          <w:sz w:val="24"/>
          <w:highlight w:val="none"/>
          <w:u w:val="single"/>
        </w:rPr>
        <w:t>（可根据情况修改）</w:t>
      </w:r>
      <w:r>
        <w:rPr>
          <w:rFonts w:hint="eastAsia" w:ascii="宋体" w:hAnsi="宋体" w:cs="宋体"/>
          <w:sz w:val="24"/>
          <w:highlight w:val="none"/>
          <w:u w:val="single"/>
        </w:rPr>
        <w:t xml:space="preserve">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20   </w:t>
      </w:r>
      <w:r>
        <w:rPr>
          <w:rFonts w:hint="eastAsia" w:ascii="宋体" w:hAnsi="宋体" w:cs="宋体"/>
          <w:sz w:val="24"/>
          <w:highlight w:val="none"/>
        </w:rPr>
        <w:t>%；迟延交付货物的违约金计算数额达到前述最高限额之日起，甲方有权在要求乙方支付违约金的同时，书面通知乙方解除本合同；</w:t>
      </w:r>
    </w:p>
    <w:p w14:paraId="792121EB">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1.8.2 除不可抗力外，如果甲方没有按照本合同约定的付款方式付款，那么乙方可要求甲方支付违约金，违约金按每迟延付款一日的应付而未付款的</w:t>
      </w:r>
      <w:r>
        <w:rPr>
          <w:rFonts w:hint="eastAsia" w:ascii="宋体" w:hAnsi="宋体" w:cs="宋体"/>
          <w:sz w:val="24"/>
          <w:highlight w:val="none"/>
          <w:u w:val="single"/>
        </w:rPr>
        <w:t xml:space="preserve"> 0.05</w:t>
      </w:r>
      <w:r>
        <w:rPr>
          <w:rFonts w:hint="eastAsia" w:ascii="宋体" w:hAnsi="宋体" w:cs="宋体"/>
          <w:kern w:val="0"/>
          <w:sz w:val="24"/>
          <w:highlight w:val="none"/>
          <w:u w:val="single"/>
        </w:rPr>
        <w:t>（可根据情况修改）</w:t>
      </w:r>
      <w:r>
        <w:rPr>
          <w:rFonts w:hint="eastAsia" w:ascii="宋体" w:hAnsi="宋体" w:cs="宋体"/>
          <w:sz w:val="24"/>
          <w:highlight w:val="none"/>
          <w:u w:val="single"/>
        </w:rPr>
        <w:t xml:space="preserve">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20   </w:t>
      </w:r>
      <w:r>
        <w:rPr>
          <w:rFonts w:hint="eastAsia" w:ascii="宋体" w:hAnsi="宋体" w:cs="宋体"/>
          <w:sz w:val="24"/>
          <w:highlight w:val="none"/>
        </w:rPr>
        <w:t>%；迟延付款的违约金计算数额达到前述最高限额之日起，乙方有权在要求甲方支付违约金的同时，书面通知甲方解除本合同；</w:t>
      </w:r>
    </w:p>
    <w:p w14:paraId="6CD549EE">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25BE263">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01DCD13">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sz w:val="24"/>
          <w:highlight w:val="none"/>
        </w:rPr>
      </w:pPr>
      <w:r>
        <w:rPr>
          <w:rFonts w:hint="eastAsia" w:ascii="宋体" w:hAnsi="宋体" w:cs="宋体"/>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14:paraId="00DDF1BB">
      <w:pPr>
        <w:pageBreakBefore w:val="0"/>
        <w:kinsoku/>
        <w:wordWrap/>
        <w:overflowPunct/>
        <w:topLinePunct w:val="0"/>
        <w:autoSpaceDE/>
        <w:autoSpaceDN/>
        <w:bidi w:val="0"/>
        <w:snapToGrid/>
        <w:spacing w:line="360" w:lineRule="auto"/>
        <w:ind w:left="0" w:leftChars="0" w:right="0" w:rightChars="0" w:firstLine="960" w:firstLineChars="400"/>
        <w:textAlignment w:val="auto"/>
        <w:rPr>
          <w:rFonts w:ascii="宋体" w:hAnsi="宋体" w:cs="宋体"/>
          <w:highlight w:val="none"/>
        </w:rPr>
      </w:pPr>
      <w:r>
        <w:rPr>
          <w:rFonts w:hint="eastAsia" w:ascii="宋体" w:hAnsi="宋体" w:cs="宋体"/>
          <w:sz w:val="24"/>
          <w:highlight w:val="none"/>
        </w:rPr>
        <w:t>1.8.6违约责任</w:t>
      </w:r>
      <w:r>
        <w:rPr>
          <w:rFonts w:hint="eastAsia" w:ascii="宋体" w:hAnsi="宋体" w:cs="宋体"/>
          <w:b/>
          <w:i/>
          <w:sz w:val="24"/>
          <w:highlight w:val="none"/>
          <w:u w:val="single"/>
        </w:rPr>
        <w:t>合同专用条款</w:t>
      </w:r>
      <w:r>
        <w:rPr>
          <w:rFonts w:hint="eastAsia" w:ascii="宋体" w:hAnsi="宋体" w:cs="宋体"/>
          <w:sz w:val="24"/>
          <w:highlight w:val="none"/>
        </w:rPr>
        <w:t>另有约定的，从其约定。</w:t>
      </w:r>
    </w:p>
    <w:p w14:paraId="04F19F86">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407" w:name="_Toc15583"/>
      <w:bookmarkStart w:id="408" w:name="_Toc28375"/>
      <w:bookmarkStart w:id="409" w:name="_Toc16021"/>
      <w:r>
        <w:rPr>
          <w:rFonts w:hint="eastAsia" w:ascii="宋体" w:hAnsi="宋体" w:cs="宋体"/>
          <w:b/>
          <w:sz w:val="24"/>
          <w:highlight w:val="none"/>
        </w:rPr>
        <w:t>1.9合同争议的解决</w:t>
      </w:r>
      <w:bookmarkEnd w:id="407"/>
      <w:bookmarkEnd w:id="408"/>
      <w:bookmarkEnd w:id="409"/>
    </w:p>
    <w:p w14:paraId="2566E8B7">
      <w:pPr>
        <w:pageBreakBefore w:val="0"/>
        <w:kinsoku/>
        <w:wordWrap/>
        <w:overflowPunct/>
        <w:topLinePunct w:val="0"/>
        <w:autoSpaceDE/>
        <w:autoSpaceDN/>
        <w:bidi w:val="0"/>
        <w:snapToGrid/>
        <w:spacing w:line="360" w:lineRule="auto"/>
        <w:ind w:left="0" w:leftChars="0" w:right="0" w:rightChars="0" w:firstLine="240" w:firstLineChars="100"/>
        <w:textAlignment w:val="auto"/>
        <w:rPr>
          <w:rFonts w:ascii="宋体" w:hAnsi="宋体" w:cs="宋体"/>
          <w:sz w:val="24"/>
          <w:highlight w:val="none"/>
        </w:rPr>
      </w:pPr>
      <w:r>
        <w:rPr>
          <w:rFonts w:hint="eastAsia" w:ascii="宋体" w:hAnsi="宋体" w:cs="宋体"/>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sz w:val="24"/>
          <w:highlight w:val="none"/>
          <w:u w:val="single"/>
        </w:rPr>
        <w:t xml:space="preserve">      </w:t>
      </w:r>
      <w:r>
        <w:rPr>
          <w:rFonts w:hint="eastAsia" w:ascii="宋体" w:hAnsi="宋体" w:cs="宋体"/>
          <w:sz w:val="24"/>
          <w:highlight w:val="none"/>
        </w:rPr>
        <w:t>条款规定的方式解决：</w:t>
      </w:r>
    </w:p>
    <w:p w14:paraId="35C4456D">
      <w:pPr>
        <w:pageBreakBefore w:val="0"/>
        <w:kinsoku/>
        <w:wordWrap/>
        <w:overflowPunct/>
        <w:topLinePunct w:val="0"/>
        <w:autoSpaceDE/>
        <w:autoSpaceDN/>
        <w:bidi w:val="0"/>
        <w:snapToGrid/>
        <w:spacing w:line="360" w:lineRule="auto"/>
        <w:ind w:left="0" w:leftChars="0" w:right="0" w:rightChars="0" w:firstLine="840" w:firstLineChars="350"/>
        <w:textAlignment w:val="auto"/>
        <w:rPr>
          <w:rFonts w:ascii="宋体" w:hAnsi="宋体" w:cs="宋体"/>
          <w:sz w:val="24"/>
          <w:highlight w:val="none"/>
        </w:rPr>
      </w:pPr>
      <w:r>
        <w:rPr>
          <w:rFonts w:hint="eastAsia" w:ascii="宋体" w:hAnsi="宋体" w:cs="宋体"/>
          <w:sz w:val="24"/>
          <w:highlight w:val="none"/>
        </w:rPr>
        <w:t>1.9.1 将争议提交</w:t>
      </w:r>
      <w:r>
        <w:rPr>
          <w:rFonts w:hint="eastAsia" w:ascii="宋体" w:hAnsi="宋体" w:cs="宋体"/>
          <w:b/>
          <w:i/>
          <w:sz w:val="24"/>
          <w:highlight w:val="none"/>
          <w:u w:val="single"/>
        </w:rPr>
        <w:t>合同专用条款</w:t>
      </w:r>
      <w:r>
        <w:rPr>
          <w:rFonts w:hint="eastAsia" w:ascii="宋体" w:hAnsi="宋体" w:cs="宋体"/>
          <w:sz w:val="24"/>
          <w:highlight w:val="none"/>
        </w:rPr>
        <w:t>仲裁委员会依申请仲裁时其现行有效的仲裁规则裁决；</w:t>
      </w:r>
    </w:p>
    <w:p w14:paraId="16C5D635">
      <w:pPr>
        <w:pageBreakBefore w:val="0"/>
        <w:kinsoku/>
        <w:wordWrap/>
        <w:overflowPunct/>
        <w:topLinePunct w:val="0"/>
        <w:autoSpaceDE/>
        <w:autoSpaceDN/>
        <w:bidi w:val="0"/>
        <w:snapToGrid/>
        <w:spacing w:line="360" w:lineRule="auto"/>
        <w:ind w:left="0" w:leftChars="0" w:right="0" w:rightChars="0" w:firstLine="840" w:firstLineChars="350"/>
        <w:textAlignment w:val="auto"/>
        <w:rPr>
          <w:rFonts w:ascii="宋体" w:hAnsi="宋体" w:cs="宋体"/>
          <w:sz w:val="24"/>
          <w:highlight w:val="none"/>
        </w:rPr>
      </w:pPr>
      <w:r>
        <w:rPr>
          <w:rFonts w:hint="eastAsia" w:ascii="宋体" w:hAnsi="宋体" w:cs="宋体"/>
          <w:sz w:val="24"/>
          <w:highlight w:val="none"/>
        </w:rPr>
        <w:t>1.9.2 向</w:t>
      </w:r>
      <w:r>
        <w:rPr>
          <w:rFonts w:hint="eastAsia" w:ascii="宋体" w:hAnsi="宋体" w:cs="宋体"/>
          <w:b/>
          <w:i/>
          <w:sz w:val="24"/>
          <w:highlight w:val="none"/>
          <w:u w:val="single"/>
        </w:rPr>
        <w:t>合同专用条款</w:t>
      </w:r>
      <w:r>
        <w:rPr>
          <w:rFonts w:hint="eastAsia" w:ascii="宋体" w:hAnsi="宋体" w:cs="宋体"/>
          <w:sz w:val="24"/>
          <w:highlight w:val="none"/>
        </w:rPr>
        <w:t>人民法院起诉。</w:t>
      </w:r>
    </w:p>
    <w:p w14:paraId="288F1A82">
      <w:pPr>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ascii="宋体" w:hAnsi="宋体" w:cs="宋体"/>
          <w:b/>
          <w:sz w:val="24"/>
          <w:highlight w:val="none"/>
        </w:rPr>
      </w:pPr>
      <w:bookmarkStart w:id="410" w:name="_Toc11173"/>
      <w:bookmarkStart w:id="411" w:name="_Toc7245"/>
      <w:bookmarkStart w:id="412" w:name="_Toc15322"/>
      <w:r>
        <w:rPr>
          <w:rFonts w:hint="eastAsia" w:ascii="宋体" w:hAnsi="宋体" w:cs="宋体"/>
          <w:b/>
          <w:sz w:val="24"/>
          <w:highlight w:val="none"/>
        </w:rPr>
        <w:t>2.0 合同生效</w:t>
      </w:r>
      <w:bookmarkEnd w:id="410"/>
      <w:bookmarkEnd w:id="411"/>
      <w:bookmarkEnd w:id="412"/>
    </w:p>
    <w:p w14:paraId="6040E33E">
      <w:pPr>
        <w:pageBreakBefore w:val="0"/>
        <w:kinsoku/>
        <w:wordWrap/>
        <w:overflowPunct/>
        <w:topLinePunct w:val="0"/>
        <w:autoSpaceDE/>
        <w:autoSpaceDN/>
        <w:bidi w:val="0"/>
        <w:snapToGrid/>
        <w:spacing w:line="360" w:lineRule="auto"/>
        <w:ind w:left="0" w:leftChars="0" w:right="0" w:rightChars="0" w:firstLine="480" w:firstLineChars="200"/>
        <w:textAlignment w:val="auto"/>
        <w:rPr>
          <w:rFonts w:ascii="宋体" w:hAnsi="宋体" w:cs="宋体"/>
          <w:b/>
          <w:sz w:val="24"/>
          <w:highlight w:val="none"/>
        </w:rPr>
      </w:pPr>
      <w:r>
        <w:rPr>
          <w:rFonts w:hint="eastAsia" w:ascii="宋体" w:hAnsi="宋体" w:cs="宋体"/>
          <w:sz w:val="24"/>
          <w:highlight w:val="none"/>
        </w:rPr>
        <w:t>本合同自双方当事人盖章签字时生效。</w:t>
      </w:r>
    </w:p>
    <w:p w14:paraId="70810EBF">
      <w:pPr>
        <w:autoSpaceDE w:val="0"/>
        <w:autoSpaceDN w:val="0"/>
        <w:spacing w:line="560" w:lineRule="exact"/>
        <w:rPr>
          <w:rFonts w:ascii="宋体" w:hAnsi="宋体" w:cs="宋体"/>
          <w:sz w:val="24"/>
          <w:highlight w:val="none"/>
          <w:lang w:val="zh-CN"/>
        </w:rPr>
      </w:pPr>
    </w:p>
    <w:p w14:paraId="601B38E9">
      <w:pPr>
        <w:autoSpaceDE w:val="0"/>
        <w:autoSpaceDN w:val="0"/>
        <w:spacing w:line="560" w:lineRule="exact"/>
        <w:rPr>
          <w:rFonts w:ascii="宋体" w:hAnsi="宋体" w:cs="宋体"/>
          <w:sz w:val="24"/>
          <w:highlight w:val="none"/>
          <w:lang w:val="zh-CN"/>
        </w:rPr>
      </w:pPr>
      <w:r>
        <w:rPr>
          <w:rFonts w:hint="eastAsia" w:ascii="宋体" w:hAnsi="宋体" w:cs="宋体"/>
          <w:b/>
          <w:sz w:val="24"/>
          <w:highlight w:val="none"/>
          <w:lang w:val="zh-CN"/>
        </w:rPr>
        <w:t>甲方</w:t>
      </w:r>
      <w:r>
        <w:rPr>
          <w:rFonts w:hint="eastAsia" w:ascii="宋体" w:hAnsi="宋体" w:cs="宋体"/>
          <w:sz w:val="24"/>
          <w:highlight w:val="none"/>
          <w:lang w:val="zh-CN"/>
        </w:rPr>
        <w:t xml:space="preserve">：                             </w:t>
      </w:r>
      <w:r>
        <w:rPr>
          <w:rFonts w:hint="eastAsia" w:ascii="宋体" w:hAnsi="宋体" w:cs="宋体"/>
          <w:b/>
          <w:sz w:val="24"/>
          <w:highlight w:val="none"/>
          <w:lang w:val="zh-CN"/>
        </w:rPr>
        <w:t xml:space="preserve">      乙方</w:t>
      </w:r>
      <w:r>
        <w:rPr>
          <w:rFonts w:hint="eastAsia" w:ascii="宋体" w:hAnsi="宋体" w:cs="宋体"/>
          <w:sz w:val="24"/>
          <w:highlight w:val="none"/>
          <w:lang w:val="zh-CN"/>
        </w:rPr>
        <w:t>：</w:t>
      </w:r>
    </w:p>
    <w:p w14:paraId="6E78FF1F">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统一社会信用代码：                        统一社会信用代码或身份证号码：</w:t>
      </w:r>
    </w:p>
    <w:p w14:paraId="656BF70B">
      <w:pPr>
        <w:autoSpaceDE w:val="0"/>
        <w:autoSpaceDN w:val="0"/>
        <w:spacing w:line="560" w:lineRule="exact"/>
        <w:rPr>
          <w:rFonts w:ascii="宋体" w:hAnsi="宋体" w:cs="宋体"/>
          <w:sz w:val="24"/>
          <w:highlight w:val="none"/>
          <w:lang w:val="zh-CN"/>
        </w:rPr>
      </w:pPr>
    </w:p>
    <w:p w14:paraId="350FE175">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住所：                                   住所：</w:t>
      </w:r>
    </w:p>
    <w:p w14:paraId="643C0D56">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法定代表人或                             法定代表人</w:t>
      </w:r>
    </w:p>
    <w:p w14:paraId="7A87AB63">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 xml:space="preserve">授权代表（签字）：                        或授权代表（签字）: </w:t>
      </w:r>
    </w:p>
    <w:p w14:paraId="1C64155C">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联系人：                                 联系人：</w:t>
      </w:r>
    </w:p>
    <w:p w14:paraId="63E67D40">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约定送达地址：                           约定送达地址：</w:t>
      </w:r>
    </w:p>
    <w:p w14:paraId="6F700F7E">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邮政编码：                               邮政编码：</w:t>
      </w:r>
    </w:p>
    <w:p w14:paraId="6D5058A5">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 xml:space="preserve">电话:                                    电话: </w:t>
      </w:r>
    </w:p>
    <w:p w14:paraId="6070DB24">
      <w:pPr>
        <w:autoSpaceDE w:val="0"/>
        <w:autoSpaceDN w:val="0"/>
        <w:spacing w:line="560" w:lineRule="exact"/>
        <w:rPr>
          <w:rFonts w:ascii="宋体" w:hAnsi="宋体" w:cs="宋体"/>
          <w:sz w:val="24"/>
          <w:highlight w:val="none"/>
          <w:lang w:val="zh-CN"/>
        </w:rPr>
      </w:pPr>
      <w:r>
        <w:rPr>
          <w:rFonts w:hint="eastAsia" w:ascii="宋体" w:hAnsi="宋体" w:cs="宋体"/>
          <w:sz w:val="24"/>
          <w:highlight w:val="none"/>
          <w:lang w:val="zh-CN"/>
        </w:rPr>
        <w:t>传真:                                    传真:</w:t>
      </w:r>
    </w:p>
    <w:p w14:paraId="449F90E5">
      <w:pPr>
        <w:autoSpaceDE w:val="0"/>
        <w:autoSpaceDN w:val="0"/>
        <w:spacing w:line="560" w:lineRule="exact"/>
        <w:rPr>
          <w:rFonts w:ascii="宋体" w:hAnsi="宋体" w:cs="宋体"/>
          <w:sz w:val="24"/>
          <w:highlight w:val="none"/>
        </w:rPr>
      </w:pPr>
      <w:r>
        <w:rPr>
          <w:rFonts w:hint="eastAsia" w:ascii="宋体" w:hAnsi="宋体" w:cs="宋体"/>
          <w:sz w:val="24"/>
          <w:highlight w:val="none"/>
          <w:lang w:val="zh-CN"/>
        </w:rPr>
        <w:t>电子邮箱：                               电子邮箱：</w:t>
      </w:r>
    </w:p>
    <w:p w14:paraId="7C8C0227">
      <w:pPr>
        <w:autoSpaceDE w:val="0"/>
        <w:autoSpaceDN w:val="0"/>
        <w:spacing w:line="560" w:lineRule="exact"/>
        <w:rPr>
          <w:rFonts w:ascii="宋体" w:hAnsi="宋体" w:cs="宋体"/>
          <w:sz w:val="24"/>
          <w:highlight w:val="none"/>
        </w:rPr>
      </w:pPr>
      <w:r>
        <w:rPr>
          <w:rFonts w:hint="eastAsia" w:ascii="宋体" w:hAnsi="宋体" w:cs="宋体"/>
          <w:sz w:val="24"/>
          <w:highlight w:val="none"/>
        </w:rPr>
        <w:t xml:space="preserve">开户银行：                               开户银行： </w:t>
      </w:r>
    </w:p>
    <w:p w14:paraId="6110E3C1">
      <w:pPr>
        <w:autoSpaceDE w:val="0"/>
        <w:autoSpaceDN w:val="0"/>
        <w:spacing w:line="560" w:lineRule="exact"/>
        <w:rPr>
          <w:rFonts w:ascii="宋体" w:hAnsi="宋体" w:cs="宋体"/>
          <w:sz w:val="24"/>
          <w:highlight w:val="none"/>
        </w:rPr>
      </w:pPr>
      <w:r>
        <w:rPr>
          <w:rFonts w:hint="eastAsia" w:ascii="宋体" w:hAnsi="宋体" w:cs="宋体"/>
          <w:sz w:val="24"/>
          <w:highlight w:val="none"/>
        </w:rPr>
        <w:t xml:space="preserve">开户名称：                               开户名称： </w:t>
      </w:r>
    </w:p>
    <w:p w14:paraId="09D0585B">
      <w:pPr>
        <w:autoSpaceDE w:val="0"/>
        <w:autoSpaceDN w:val="0"/>
        <w:spacing w:line="560" w:lineRule="exact"/>
        <w:rPr>
          <w:rFonts w:ascii="宋体" w:hAnsi="宋体" w:cs="宋体"/>
          <w:sz w:val="24"/>
          <w:highlight w:val="none"/>
        </w:rPr>
      </w:pPr>
      <w:r>
        <w:rPr>
          <w:rFonts w:hint="eastAsia" w:ascii="宋体" w:hAnsi="宋体" w:cs="宋体"/>
          <w:sz w:val="24"/>
          <w:highlight w:val="none"/>
        </w:rPr>
        <w:t>开户账号：</w:t>
      </w:r>
      <w:r>
        <w:rPr>
          <w:rFonts w:hint="eastAsia" w:ascii="宋体" w:hAnsi="宋体" w:cs="宋体"/>
          <w:sz w:val="24"/>
          <w:highlight w:val="none"/>
          <w:lang w:val="zh-CN"/>
        </w:rPr>
        <w:t xml:space="preserve">                               </w:t>
      </w:r>
      <w:r>
        <w:rPr>
          <w:rFonts w:hint="eastAsia" w:ascii="宋体" w:hAnsi="宋体" w:cs="宋体"/>
          <w:sz w:val="24"/>
          <w:highlight w:val="none"/>
        </w:rPr>
        <w:t>开户账号：</w:t>
      </w:r>
    </w:p>
    <w:p w14:paraId="30B55F60">
      <w:pPr>
        <w:rPr>
          <w:rFonts w:ascii="宋体" w:hAnsi="宋体" w:cs="宋体"/>
          <w:sz w:val="24"/>
          <w:highlight w:val="none"/>
        </w:rPr>
      </w:pPr>
    </w:p>
    <w:p w14:paraId="6F29963F">
      <w:pPr>
        <w:pStyle w:val="703"/>
        <w:spacing w:line="560" w:lineRule="exact"/>
        <w:ind w:firstLine="482"/>
        <w:jc w:val="center"/>
        <w:rPr>
          <w:rFonts w:ascii="宋体" w:hAnsi="宋体" w:cs="宋体"/>
          <w:b/>
          <w:szCs w:val="24"/>
          <w:highlight w:val="none"/>
        </w:rPr>
      </w:pPr>
      <w:r>
        <w:rPr>
          <w:rFonts w:hint="eastAsia" w:ascii="宋体" w:hAnsi="宋体" w:cs="宋体"/>
          <w:b/>
          <w:szCs w:val="24"/>
          <w:highlight w:val="none"/>
        </w:rPr>
        <w:t>第二部分 合同一般条款</w:t>
      </w:r>
    </w:p>
    <w:p w14:paraId="4172BF1A">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13" w:name="_Ref467379225"/>
      <w:bookmarkStart w:id="414" w:name="_Ref467378463"/>
      <w:bookmarkStart w:id="415" w:name="_Ref467379214"/>
      <w:bookmarkStart w:id="416" w:name="_Ref467379109"/>
      <w:bookmarkStart w:id="417" w:name="_Ref467378499"/>
      <w:bookmarkStart w:id="418" w:name="_Ref467379195"/>
      <w:bookmarkStart w:id="419" w:name="_Toc487900349"/>
      <w:bookmarkStart w:id="420" w:name="_Toc279701240"/>
      <w:bookmarkStart w:id="421" w:name="_Toc16917"/>
      <w:bookmarkStart w:id="422" w:name="_Toc259093669"/>
      <w:bookmarkStart w:id="423" w:name="_Ref467379094"/>
      <w:bookmarkStart w:id="424" w:name="_Toc28763"/>
      <w:bookmarkStart w:id="425" w:name="_Toc19614"/>
      <w:bookmarkStart w:id="426" w:name="_Ref467379205"/>
      <w:bookmarkStart w:id="427" w:name="_Ref467379101"/>
      <w:bookmarkStart w:id="428" w:name="_Ref467378404"/>
      <w:r>
        <w:rPr>
          <w:rFonts w:hint="eastAsia" w:ascii="宋体" w:hAnsi="宋体" w:cs="宋体"/>
          <w:b/>
          <w:sz w:val="24"/>
          <w:highlight w:val="none"/>
        </w:rPr>
        <w:t>2.1 定义</w:t>
      </w:r>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p>
    <w:p w14:paraId="501A5F7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本合同中的下列词语应按以下内容进行解释：</w:t>
      </w:r>
    </w:p>
    <w:p w14:paraId="5A65C22D">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2.1.1 “合同”系指采购人和中标或成交供应商签订的载明双方当事人所达成的协议，并包括所有的附件、附录和构成合同的其他文件。</w:t>
      </w:r>
    </w:p>
    <w:p w14:paraId="4157664E">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2.1.2 “合同价”系指根据合同约定，中标或成交供应商在完全履行合同义务后，采购人应支付给中标或成交供应商的价格。</w:t>
      </w:r>
    </w:p>
    <w:p w14:paraId="5F37E59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14:paraId="637877A6">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429" w:name="_Ref467378840"/>
      <w:r>
        <w:rPr>
          <w:rFonts w:hint="eastAsia" w:ascii="宋体" w:hAnsi="宋体" w:cs="宋体"/>
          <w:sz w:val="24"/>
          <w:highlight w:val="none"/>
        </w:rPr>
        <w:t>2.1.4 “甲方”系指与中标或成交供应商签署合同的采购人</w:t>
      </w:r>
      <w:bookmarkEnd w:id="429"/>
      <w:r>
        <w:rPr>
          <w:rFonts w:hint="eastAsia" w:ascii="宋体" w:hAnsi="宋体" w:cs="宋体"/>
          <w:sz w:val="24"/>
          <w:highlight w:val="none"/>
        </w:rPr>
        <w:t>；采购人委托采购代理机构代表其与乙方签订合同的，采购人的授权委托书作为合同附件。</w:t>
      </w:r>
    </w:p>
    <w:p w14:paraId="2F7F6286">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430" w:name="_Ref467379400"/>
      <w:r>
        <w:rPr>
          <w:rFonts w:hint="eastAsia" w:ascii="宋体" w:hAnsi="宋体" w:cs="宋体"/>
          <w:sz w:val="24"/>
          <w:highlight w:val="none"/>
        </w:rPr>
        <w:t>2.1.5 “乙方”系指根据合同约定交付货物的中标或成交供应商</w:t>
      </w:r>
      <w:bookmarkEnd w:id="430"/>
      <w:r>
        <w:rPr>
          <w:rFonts w:hint="eastAsia" w:ascii="宋体" w:hAnsi="宋体" w:cs="宋体"/>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30B5A49">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431" w:name="_Ref467379436"/>
      <w:r>
        <w:rPr>
          <w:rFonts w:hint="eastAsia" w:ascii="宋体" w:hAnsi="宋体" w:cs="宋体"/>
          <w:sz w:val="24"/>
          <w:highlight w:val="none"/>
        </w:rPr>
        <w:t>2.1.6 “现场”系指合同约定货物将要运至或者安装的地点。</w:t>
      </w:r>
      <w:bookmarkEnd w:id="431"/>
    </w:p>
    <w:p w14:paraId="05AECD86">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32" w:name="_Toc279701241"/>
      <w:bookmarkStart w:id="433" w:name="_Toc32504"/>
      <w:bookmarkStart w:id="434" w:name="_Toc13336"/>
      <w:bookmarkStart w:id="435" w:name="_Toc27635"/>
      <w:bookmarkStart w:id="436" w:name="_Toc487900350"/>
      <w:bookmarkStart w:id="437" w:name="_Toc259093670"/>
      <w:r>
        <w:rPr>
          <w:rFonts w:hint="eastAsia" w:ascii="宋体" w:hAnsi="宋体" w:cs="宋体"/>
          <w:b/>
          <w:sz w:val="24"/>
          <w:highlight w:val="none"/>
        </w:rPr>
        <w:t>2.2 技术规范</w:t>
      </w:r>
      <w:bookmarkEnd w:id="432"/>
      <w:bookmarkEnd w:id="433"/>
      <w:bookmarkEnd w:id="434"/>
      <w:bookmarkEnd w:id="435"/>
      <w:bookmarkEnd w:id="436"/>
      <w:bookmarkEnd w:id="437"/>
    </w:p>
    <w:p w14:paraId="45128D4E">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96D256C">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38" w:name="_Toc9829"/>
      <w:bookmarkStart w:id="439" w:name="_Toc279701242"/>
      <w:bookmarkStart w:id="440" w:name="_Toc487900351"/>
      <w:bookmarkStart w:id="441" w:name="_Toc31634"/>
      <w:bookmarkStart w:id="442" w:name="_Toc27853"/>
      <w:bookmarkStart w:id="443" w:name="_Toc259093671"/>
      <w:r>
        <w:rPr>
          <w:rFonts w:hint="eastAsia" w:ascii="宋体" w:hAnsi="宋体" w:cs="宋体"/>
          <w:b/>
          <w:sz w:val="24"/>
          <w:highlight w:val="none"/>
        </w:rPr>
        <w:t>2.3 知识产权</w:t>
      </w:r>
      <w:bookmarkEnd w:id="438"/>
      <w:bookmarkEnd w:id="439"/>
      <w:bookmarkEnd w:id="440"/>
      <w:bookmarkEnd w:id="441"/>
      <w:bookmarkEnd w:id="442"/>
      <w:bookmarkEnd w:id="443"/>
    </w:p>
    <w:p w14:paraId="59B5D56C">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highlight w:val="none"/>
        </w:rPr>
        <w:t>乙方还应及时澄清相关信息，使甲方声誉免受损害，甲方保留追责的权利。</w:t>
      </w:r>
    </w:p>
    <w:p w14:paraId="540EF018">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2.3.2具有知识产权的计算机软件等货物的知识产权归属，详见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8DBB7EC">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44" w:name="_Toc11932"/>
      <w:bookmarkStart w:id="445" w:name="_Toc29149"/>
      <w:bookmarkStart w:id="446" w:name="_Toc4194"/>
      <w:r>
        <w:rPr>
          <w:rFonts w:hint="eastAsia" w:ascii="宋体" w:hAnsi="宋体" w:cs="宋体"/>
          <w:b/>
          <w:sz w:val="24"/>
          <w:highlight w:val="none"/>
        </w:rPr>
        <w:t>2.4 包装和装运</w:t>
      </w:r>
      <w:bookmarkEnd w:id="444"/>
      <w:bookmarkEnd w:id="445"/>
      <w:bookmarkEnd w:id="446"/>
    </w:p>
    <w:p w14:paraId="00A86249">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2.4.1除</w:t>
      </w:r>
      <w:r>
        <w:rPr>
          <w:rFonts w:hint="eastAsia" w:ascii="宋体" w:hAnsi="宋体" w:cs="宋体"/>
          <w:b/>
          <w:i/>
          <w:sz w:val="24"/>
          <w:highlight w:val="none"/>
          <w:u w:val="single"/>
        </w:rPr>
        <w:t>合同专用条款</w:t>
      </w:r>
      <w:r>
        <w:rPr>
          <w:rFonts w:hint="eastAsia" w:ascii="宋体" w:hAnsi="宋体" w:cs="宋体"/>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AD61F79">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75C4918B">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2.4.3 装运货物的要求和通知，详见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90A533D">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47" w:name="_Ref467379542"/>
      <w:bookmarkStart w:id="448" w:name="_Toc279701245"/>
      <w:bookmarkStart w:id="449" w:name="_Ref467378541"/>
      <w:bookmarkStart w:id="450" w:name="_Ref467379527"/>
      <w:bookmarkStart w:id="451" w:name="_Toc259093674"/>
      <w:bookmarkStart w:id="452" w:name="_Ref467379536"/>
      <w:bookmarkStart w:id="453" w:name="_Toc487900354"/>
      <w:bookmarkStart w:id="454" w:name="_Ref467378591"/>
      <w:bookmarkStart w:id="455" w:name="_Toc30272"/>
      <w:bookmarkStart w:id="456" w:name="_Toc19074"/>
      <w:bookmarkStart w:id="457" w:name="_Toc26182"/>
      <w:r>
        <w:rPr>
          <w:rFonts w:hint="eastAsia" w:ascii="宋体" w:hAnsi="宋体" w:cs="宋体"/>
          <w:b/>
          <w:sz w:val="24"/>
          <w:highlight w:val="none"/>
        </w:rPr>
        <w:t>2.</w:t>
      </w:r>
      <w:bookmarkEnd w:id="447"/>
      <w:bookmarkEnd w:id="448"/>
      <w:bookmarkEnd w:id="449"/>
      <w:bookmarkEnd w:id="450"/>
      <w:bookmarkEnd w:id="451"/>
      <w:bookmarkEnd w:id="452"/>
      <w:bookmarkEnd w:id="453"/>
      <w:bookmarkEnd w:id="454"/>
      <w:r>
        <w:rPr>
          <w:rFonts w:hint="eastAsia" w:ascii="宋体" w:hAnsi="宋体" w:cs="宋体"/>
          <w:b/>
          <w:sz w:val="24"/>
          <w:highlight w:val="none"/>
        </w:rPr>
        <w:t>5 履约检查和问题反馈</w:t>
      </w:r>
      <w:bookmarkEnd w:id="455"/>
      <w:bookmarkEnd w:id="456"/>
      <w:bookmarkEnd w:id="457"/>
    </w:p>
    <w:p w14:paraId="33D9BA0A">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458" w:name="_Ref467379657"/>
      <w:r>
        <w:rPr>
          <w:rFonts w:hint="eastAsia" w:ascii="宋体" w:hAnsi="宋体" w:cs="宋体"/>
          <w:sz w:val="24"/>
          <w:highlight w:val="none"/>
        </w:rPr>
        <w:t>2.5.1</w:t>
      </w:r>
      <w:bookmarkEnd w:id="458"/>
      <w:bookmarkStart w:id="459" w:name="_Toc186431854"/>
      <w:bookmarkStart w:id="460" w:name="_Ref467379807"/>
      <w:bookmarkStart w:id="461" w:name="_Ref467379793"/>
      <w:bookmarkStart w:id="462" w:name="_Toc487900357"/>
      <w:bookmarkStart w:id="463" w:name="_Toc279701247"/>
      <w:bookmarkStart w:id="464" w:name="_Toc259093676"/>
      <w:r>
        <w:rPr>
          <w:rFonts w:hint="eastAsia" w:ascii="宋体" w:hAnsi="宋体" w:cs="宋体"/>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712FB66F">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2.5.2 合同履行期间，甲方有权将履行过程中出现的问题反馈给乙方，双方当事人应以书面形式约定需要完善和改进的内容</w:t>
      </w:r>
      <w:bookmarkEnd w:id="459"/>
      <w:bookmarkStart w:id="465" w:name="_Toc186431855"/>
      <w:r>
        <w:rPr>
          <w:rFonts w:hint="eastAsia" w:ascii="宋体" w:hAnsi="宋体" w:cs="宋体"/>
          <w:sz w:val="24"/>
          <w:highlight w:val="none"/>
        </w:rPr>
        <w:t>。</w:t>
      </w:r>
    </w:p>
    <w:bookmarkEnd w:id="460"/>
    <w:bookmarkEnd w:id="461"/>
    <w:bookmarkEnd w:id="462"/>
    <w:bookmarkEnd w:id="463"/>
    <w:bookmarkEnd w:id="464"/>
    <w:bookmarkEnd w:id="465"/>
    <w:p w14:paraId="04C01CEC">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66" w:name="_Toc279701248"/>
      <w:bookmarkStart w:id="467" w:name="_Ref467379923"/>
      <w:bookmarkStart w:id="468" w:name="_Toc259093677"/>
      <w:bookmarkStart w:id="469" w:name="_Ref467379852"/>
      <w:bookmarkStart w:id="470" w:name="_Toc487900358"/>
      <w:bookmarkStart w:id="471" w:name="_Ref467379863"/>
      <w:bookmarkStart w:id="472" w:name="_Toc3225"/>
      <w:bookmarkStart w:id="473" w:name="_Toc16110"/>
      <w:bookmarkStart w:id="474" w:name="_Toc774"/>
      <w:r>
        <w:rPr>
          <w:rFonts w:hint="eastAsia" w:ascii="宋体" w:hAnsi="宋体" w:cs="宋体"/>
          <w:b/>
          <w:sz w:val="24"/>
          <w:highlight w:val="none"/>
        </w:rPr>
        <w:t>2.6 技术资料</w:t>
      </w:r>
      <w:bookmarkEnd w:id="466"/>
      <w:bookmarkEnd w:id="467"/>
      <w:bookmarkEnd w:id="468"/>
      <w:bookmarkEnd w:id="469"/>
      <w:bookmarkEnd w:id="470"/>
      <w:bookmarkEnd w:id="471"/>
      <w:r>
        <w:rPr>
          <w:rFonts w:hint="eastAsia" w:ascii="宋体" w:hAnsi="宋体" w:cs="宋体"/>
          <w:b/>
          <w:sz w:val="24"/>
          <w:highlight w:val="none"/>
        </w:rPr>
        <w:t>和保密义务</w:t>
      </w:r>
      <w:bookmarkEnd w:id="472"/>
      <w:bookmarkEnd w:id="473"/>
      <w:bookmarkEnd w:id="474"/>
    </w:p>
    <w:p w14:paraId="15F753FB">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2.6.1 乙方有权依据合同约定和项目需要，向甲方了解有关情况，调阅有关资料等，甲方应予积极配合；</w:t>
      </w:r>
    </w:p>
    <w:p w14:paraId="3FCB30B7">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2.6.2 乙方有义务妥善保管和保护由甲方提供的前款信息和资料等；</w:t>
      </w:r>
    </w:p>
    <w:p w14:paraId="4714BAFC">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208D2D5">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75" w:name="_Toc7860"/>
      <w:r>
        <w:rPr>
          <w:rFonts w:hint="eastAsia" w:ascii="宋体" w:hAnsi="宋体" w:cs="宋体"/>
          <w:b/>
          <w:sz w:val="24"/>
          <w:highlight w:val="none"/>
        </w:rPr>
        <w:t>2.7 质量保证</w:t>
      </w:r>
      <w:bookmarkEnd w:id="475"/>
    </w:p>
    <w:p w14:paraId="789676EE">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2.7.1 乙方应建立和完善履行合同的内部质量保证体系，并提供相关内部规章制度给甲方，以便甲方进行监督检查；</w:t>
      </w:r>
    </w:p>
    <w:p w14:paraId="11704467">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2.7.2 乙方应保证履行合同的人员数量和素质、软件和硬件设备的配置、场地、环境和设施等满足全面履行合同的要求，并应接受甲方的监督检查。</w:t>
      </w:r>
    </w:p>
    <w:p w14:paraId="69CAD47E">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76" w:name="_Toc17244"/>
      <w:bookmarkStart w:id="477" w:name="_Toc259093681"/>
      <w:bookmarkStart w:id="478" w:name="_Toc279701252"/>
      <w:bookmarkStart w:id="479" w:name="_Toc487900362"/>
      <w:r>
        <w:rPr>
          <w:rFonts w:hint="eastAsia" w:ascii="宋体" w:hAnsi="宋体" w:cs="宋体"/>
          <w:b/>
          <w:sz w:val="24"/>
          <w:highlight w:val="none"/>
        </w:rPr>
        <w:t>2.8 货物的风险负担</w:t>
      </w:r>
      <w:bookmarkEnd w:id="476"/>
    </w:p>
    <w:p w14:paraId="187701A8">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b/>
          <w:sz w:val="24"/>
          <w:highlight w:val="none"/>
        </w:rPr>
      </w:pPr>
      <w:r>
        <w:rPr>
          <w:rFonts w:hint="eastAsia" w:ascii="宋体" w:hAnsi="宋体" w:cs="宋体"/>
          <w:sz w:val="24"/>
          <w:highlight w:val="none"/>
        </w:rPr>
        <w:t>货物或者在途货物或者交付给第一承运人后的货物毁损、灭失的风险负担详见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347221D6">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80" w:name="_Toc14055"/>
      <w:r>
        <w:rPr>
          <w:rFonts w:hint="eastAsia" w:ascii="宋体" w:hAnsi="宋体" w:cs="宋体"/>
          <w:b/>
          <w:sz w:val="24"/>
          <w:highlight w:val="none"/>
        </w:rPr>
        <w:t>2.9 延迟交货</w:t>
      </w:r>
      <w:bookmarkEnd w:id="477"/>
      <w:bookmarkEnd w:id="478"/>
      <w:bookmarkEnd w:id="479"/>
      <w:bookmarkEnd w:id="480"/>
    </w:p>
    <w:p w14:paraId="61659891">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sz w:val="24"/>
          <w:highlight w:val="none"/>
        </w:rPr>
        <w:t>甲乙双方签订合同后，乙方应按照合同约定履行合同义务，除不可抗力外，乙方不得延迟交货。</w:t>
      </w:r>
      <w:r>
        <w:rPr>
          <w:rFonts w:hint="eastAsia" w:ascii="宋体" w:hAnsi="宋体" w:cs="宋体"/>
          <w:sz w:val="24"/>
          <w:highlight w:val="none"/>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08CD7383">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81" w:name="_Toc7502"/>
      <w:bookmarkStart w:id="482" w:name="_Toc279701254"/>
      <w:bookmarkStart w:id="483" w:name="_Toc487900364"/>
      <w:bookmarkStart w:id="484" w:name="_Toc259093683"/>
      <w:bookmarkStart w:id="485" w:name="_Ref467378121"/>
      <w:r>
        <w:rPr>
          <w:rFonts w:hint="eastAsia" w:ascii="宋体" w:hAnsi="宋体" w:cs="宋体"/>
          <w:b/>
          <w:sz w:val="24"/>
          <w:highlight w:val="none"/>
        </w:rPr>
        <w:t>2.10 合同变更</w:t>
      </w:r>
      <w:bookmarkEnd w:id="481"/>
    </w:p>
    <w:p w14:paraId="231EEB10">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合同继续履行将损害国家利益和社会公共利益的，双方当事人应当以书面形式变更合同。有过错的一方应当承担赔偿责任，双方当事人都有过错的，各自承担相应的责任。</w:t>
      </w:r>
      <w:bookmarkStart w:id="486" w:name="_Toc279701259"/>
      <w:bookmarkStart w:id="487" w:name="_Toc487900369"/>
      <w:bookmarkStart w:id="488" w:name="_Toc259093688"/>
    </w:p>
    <w:p w14:paraId="52481B14">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89" w:name="_Toc15237"/>
      <w:bookmarkStart w:id="490" w:name="_Toc22955"/>
      <w:bookmarkStart w:id="491" w:name="_Toc10366"/>
      <w:r>
        <w:rPr>
          <w:rFonts w:hint="eastAsia" w:ascii="宋体" w:hAnsi="宋体" w:cs="宋体"/>
          <w:b/>
          <w:sz w:val="24"/>
          <w:highlight w:val="none"/>
        </w:rPr>
        <w:t>2.11 合同转让</w:t>
      </w:r>
      <w:bookmarkEnd w:id="486"/>
      <w:bookmarkEnd w:id="487"/>
      <w:bookmarkEnd w:id="488"/>
      <w:r>
        <w:rPr>
          <w:rFonts w:hint="eastAsia" w:ascii="宋体" w:hAnsi="宋体" w:cs="宋体"/>
          <w:b/>
          <w:sz w:val="24"/>
          <w:highlight w:val="none"/>
        </w:rPr>
        <w:t>和分包</w:t>
      </w:r>
      <w:bookmarkEnd w:id="489"/>
      <w:bookmarkEnd w:id="490"/>
      <w:bookmarkEnd w:id="491"/>
    </w:p>
    <w:p w14:paraId="6A01CB41">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B6C0D8D">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2.11.2乙方采取分包方式履行合同的，甲方可直接向分包供应商支付款项。</w:t>
      </w:r>
    </w:p>
    <w:p w14:paraId="6B38C24F">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92" w:name="_Toc16508"/>
      <w:bookmarkStart w:id="493" w:name="_Toc13566"/>
      <w:bookmarkStart w:id="494" w:name="_Toc14066"/>
      <w:r>
        <w:rPr>
          <w:rFonts w:hint="eastAsia" w:ascii="宋体" w:hAnsi="宋体" w:cs="宋体"/>
          <w:b/>
          <w:sz w:val="24"/>
          <w:highlight w:val="none"/>
        </w:rPr>
        <w:t>2.12 不可抗力</w:t>
      </w:r>
      <w:bookmarkEnd w:id="492"/>
      <w:bookmarkEnd w:id="493"/>
      <w:bookmarkEnd w:id="494"/>
    </w:p>
    <w:p w14:paraId="5C2CA6B2">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2.12.1如果任何一方遭遇法律规定的不可抗力，致使合同履行受阻时，履行合同的期限应予延长，延长的期限应相当于不可抗力所影响的时间；</w:t>
      </w:r>
    </w:p>
    <w:p w14:paraId="55EA987B">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2.12.2 因不可抗力致使不能实现合同目的的，当事人可以解除合同；</w:t>
      </w:r>
    </w:p>
    <w:p w14:paraId="508F814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2.12.3 因不可抗力致使合同有变更必要的，双方当事人应在</w:t>
      </w:r>
      <w:r>
        <w:rPr>
          <w:rFonts w:hint="eastAsia" w:ascii="宋体" w:hAnsi="宋体" w:cs="宋体"/>
          <w:b/>
          <w:i/>
          <w:sz w:val="24"/>
          <w:highlight w:val="none"/>
          <w:u w:val="single"/>
        </w:rPr>
        <w:t>合同专用条款</w:t>
      </w:r>
      <w:r>
        <w:rPr>
          <w:rFonts w:hint="eastAsia" w:ascii="宋体" w:hAnsi="宋体" w:cs="宋体"/>
          <w:sz w:val="24"/>
          <w:highlight w:val="none"/>
        </w:rPr>
        <w:t>约定时间内以书面形式变更合同；</w:t>
      </w:r>
    </w:p>
    <w:p w14:paraId="217368AA">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2.12.4受不可抗力影响的一方在不可抗力发生后，应在</w:t>
      </w:r>
      <w:r>
        <w:rPr>
          <w:rFonts w:hint="eastAsia" w:ascii="宋体" w:hAnsi="宋体" w:cs="宋体"/>
          <w:b/>
          <w:i/>
          <w:sz w:val="24"/>
          <w:highlight w:val="none"/>
          <w:u w:val="single"/>
        </w:rPr>
        <w:t>合同专用条款</w:t>
      </w:r>
      <w:r>
        <w:rPr>
          <w:rFonts w:hint="eastAsia" w:ascii="宋体" w:hAnsi="宋体" w:cs="宋体"/>
          <w:sz w:val="24"/>
          <w:highlight w:val="none"/>
        </w:rPr>
        <w:t>约定时间内以书面形式通知对方当事人，并在</w:t>
      </w:r>
      <w:r>
        <w:rPr>
          <w:rFonts w:hint="eastAsia" w:ascii="宋体" w:hAnsi="宋体" w:cs="宋体"/>
          <w:b/>
          <w:i/>
          <w:sz w:val="24"/>
          <w:highlight w:val="none"/>
          <w:u w:val="single"/>
        </w:rPr>
        <w:t>合同专用条款</w:t>
      </w:r>
      <w:r>
        <w:rPr>
          <w:rFonts w:hint="eastAsia" w:ascii="宋体" w:hAnsi="宋体" w:cs="宋体"/>
          <w:sz w:val="24"/>
          <w:highlight w:val="none"/>
        </w:rPr>
        <w:t>约定时间内，将有关部门出具的证明文件送达对方当事人。</w:t>
      </w:r>
    </w:p>
    <w:p w14:paraId="381BCD62">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495" w:name="_Toc6969"/>
      <w:bookmarkStart w:id="496" w:name="_Toc30676"/>
      <w:bookmarkStart w:id="497" w:name="_Toc487900365"/>
      <w:bookmarkStart w:id="498" w:name="_Toc259093684"/>
      <w:bookmarkStart w:id="499" w:name="_Toc279701255"/>
      <w:bookmarkStart w:id="500" w:name="_Toc689"/>
      <w:r>
        <w:rPr>
          <w:rFonts w:hint="eastAsia" w:ascii="宋体" w:hAnsi="宋体" w:cs="宋体"/>
          <w:b/>
          <w:sz w:val="24"/>
          <w:highlight w:val="none"/>
        </w:rPr>
        <w:t>2.13 税费</w:t>
      </w:r>
      <w:bookmarkEnd w:id="495"/>
      <w:bookmarkEnd w:id="496"/>
      <w:bookmarkEnd w:id="497"/>
      <w:bookmarkEnd w:id="498"/>
      <w:bookmarkEnd w:id="499"/>
      <w:bookmarkEnd w:id="500"/>
    </w:p>
    <w:p w14:paraId="40D7B79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与合同有关的一切税费，均按照中华人民共和国法律的相关规定。</w:t>
      </w:r>
    </w:p>
    <w:p w14:paraId="5F6EFA52">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01" w:name="_Toc16959"/>
      <w:bookmarkStart w:id="502" w:name="_Toc259093687"/>
      <w:bookmarkStart w:id="503" w:name="_Toc487900368"/>
      <w:bookmarkStart w:id="504" w:name="_Toc279701258"/>
      <w:bookmarkStart w:id="505" w:name="_Toc7102"/>
      <w:bookmarkStart w:id="506" w:name="_Toc8298"/>
      <w:r>
        <w:rPr>
          <w:rFonts w:hint="eastAsia" w:ascii="宋体" w:hAnsi="宋体" w:cs="宋体"/>
          <w:b/>
          <w:sz w:val="24"/>
          <w:highlight w:val="none"/>
        </w:rPr>
        <w:t>2.14乙方破产</w:t>
      </w:r>
      <w:bookmarkEnd w:id="501"/>
      <w:bookmarkEnd w:id="502"/>
      <w:bookmarkEnd w:id="503"/>
      <w:bookmarkEnd w:id="504"/>
      <w:bookmarkEnd w:id="505"/>
      <w:bookmarkEnd w:id="506"/>
    </w:p>
    <w:p w14:paraId="0DDA3C7A">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C9D2CD6">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07" w:name="_Toc15387"/>
      <w:bookmarkStart w:id="508" w:name="_Toc29333"/>
      <w:bookmarkStart w:id="509" w:name="_Toc6134"/>
      <w:r>
        <w:rPr>
          <w:rFonts w:hint="eastAsia" w:ascii="宋体" w:hAnsi="宋体" w:cs="宋体"/>
          <w:b/>
          <w:sz w:val="24"/>
          <w:highlight w:val="none"/>
        </w:rPr>
        <w:t>2.15 合同中止、终止</w:t>
      </w:r>
      <w:bookmarkEnd w:id="507"/>
      <w:bookmarkEnd w:id="508"/>
      <w:bookmarkEnd w:id="509"/>
    </w:p>
    <w:p w14:paraId="08699E2D">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2.15.1 双方当事人不得擅自中止或者终止合同；</w:t>
      </w:r>
    </w:p>
    <w:p w14:paraId="72B4583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2.15.2合同继续履行将损害国家利益和社会公共利益的，双方当事人应当中止或者终止合同。有过错的一方应当承担赔偿责任，双方当事人都有过错的，各自承担相应的责任。</w:t>
      </w:r>
    </w:p>
    <w:p w14:paraId="3EDF866C">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10" w:name="_Toc1125"/>
      <w:bookmarkStart w:id="511" w:name="_Toc6596"/>
      <w:bookmarkStart w:id="512" w:name="_Toc14563"/>
      <w:r>
        <w:rPr>
          <w:rFonts w:hint="eastAsia" w:ascii="宋体" w:hAnsi="宋体" w:cs="宋体"/>
          <w:b/>
          <w:sz w:val="24"/>
          <w:highlight w:val="none"/>
        </w:rPr>
        <w:t>2.16检验和验收</w:t>
      </w:r>
      <w:bookmarkEnd w:id="510"/>
      <w:bookmarkEnd w:id="511"/>
      <w:bookmarkEnd w:id="512"/>
    </w:p>
    <w:p w14:paraId="50C7F4D3">
      <w:pPr>
        <w:keepNext w:val="0"/>
        <w:keepLines w:val="0"/>
        <w:pageBreakBefore w:val="0"/>
        <w:widowControl w:val="0"/>
        <w:tabs>
          <w:tab w:val="left" w:pos="360"/>
          <w:tab w:val="left" w:pos="540"/>
          <w:tab w:val="left" w:pos="1080"/>
        </w:tabs>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2.16.1货物交付前，乙方应对货物的质量、数量等方面进行详细、全面的检验，并向甲方出具证明货物符合合同约定的文件；货物交付时，甲方在</w:t>
      </w:r>
      <w:r>
        <w:rPr>
          <w:rFonts w:hint="eastAsia" w:ascii="宋体" w:hAnsi="宋体" w:cs="宋体"/>
          <w:b/>
          <w:i/>
          <w:sz w:val="24"/>
          <w:highlight w:val="none"/>
          <w:u w:val="single"/>
        </w:rPr>
        <w:t>合同专用条款</w:t>
      </w:r>
      <w:r>
        <w:rPr>
          <w:rFonts w:hint="eastAsia" w:ascii="宋体" w:hAnsi="宋体" w:cs="宋体"/>
          <w:sz w:val="24"/>
          <w:highlight w:val="none"/>
        </w:rPr>
        <w:t>约定时间内组织验收，并可依法邀请相关方参加，验收应出具验收书。</w:t>
      </w:r>
    </w:p>
    <w:p w14:paraId="156FA0C0">
      <w:pPr>
        <w:keepNext w:val="0"/>
        <w:keepLines w:val="0"/>
        <w:pageBreakBefore w:val="0"/>
        <w:widowControl w:val="0"/>
        <w:tabs>
          <w:tab w:val="left" w:pos="360"/>
          <w:tab w:val="left" w:pos="540"/>
          <w:tab w:val="left" w:pos="1080"/>
        </w:tabs>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59B34DF1">
      <w:pPr>
        <w:keepNext w:val="0"/>
        <w:keepLines w:val="0"/>
        <w:pageBreakBefore w:val="0"/>
        <w:widowControl w:val="0"/>
        <w:tabs>
          <w:tab w:val="left" w:pos="360"/>
          <w:tab w:val="left" w:pos="540"/>
          <w:tab w:val="left" w:pos="1080"/>
        </w:tabs>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2.16.3 检验和验收标准、程序等具体内容以及前述验收书的效力详见</w:t>
      </w:r>
      <w:r>
        <w:rPr>
          <w:rFonts w:hint="eastAsia" w:ascii="宋体" w:hAnsi="宋体" w:cs="宋体"/>
          <w:b/>
          <w:i/>
          <w:sz w:val="24"/>
          <w:highlight w:val="none"/>
          <w:u w:val="single"/>
        </w:rPr>
        <w:t>合同专用条款</w:t>
      </w:r>
      <w:r>
        <w:rPr>
          <w:rFonts w:hint="eastAsia" w:ascii="宋体" w:hAnsi="宋体" w:cs="宋体"/>
          <w:i/>
          <w:sz w:val="24"/>
          <w:highlight w:val="none"/>
        </w:rPr>
        <w:t>。</w:t>
      </w:r>
    </w:p>
    <w:bookmarkEnd w:id="482"/>
    <w:bookmarkEnd w:id="483"/>
    <w:bookmarkEnd w:id="484"/>
    <w:bookmarkEnd w:id="485"/>
    <w:p w14:paraId="12979B2E">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13" w:name="_Toc259093690"/>
      <w:bookmarkStart w:id="514" w:name="_Toc279701261"/>
      <w:bookmarkStart w:id="515" w:name="_Toc487900371"/>
      <w:bookmarkStart w:id="516" w:name="_Toc19604"/>
      <w:bookmarkStart w:id="517" w:name="_Toc25182"/>
      <w:bookmarkStart w:id="518" w:name="_Toc11284"/>
      <w:r>
        <w:rPr>
          <w:rFonts w:hint="eastAsia" w:ascii="宋体" w:hAnsi="宋体" w:cs="宋体"/>
          <w:b/>
          <w:sz w:val="24"/>
          <w:highlight w:val="none"/>
        </w:rPr>
        <w:t>2.17 通知</w:t>
      </w:r>
      <w:bookmarkEnd w:id="513"/>
      <w:bookmarkEnd w:id="514"/>
      <w:bookmarkEnd w:id="515"/>
      <w:r>
        <w:rPr>
          <w:rFonts w:hint="eastAsia" w:ascii="宋体" w:hAnsi="宋体" w:cs="宋体"/>
          <w:b/>
          <w:sz w:val="24"/>
          <w:highlight w:val="none"/>
        </w:rPr>
        <w:t>和送达</w:t>
      </w:r>
      <w:bookmarkEnd w:id="516"/>
      <w:bookmarkEnd w:id="517"/>
      <w:bookmarkEnd w:id="518"/>
    </w:p>
    <w:p w14:paraId="5BB8FD65">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519" w:name="_Toc6698"/>
      <w:bookmarkStart w:id="520" w:name="_Toc3135"/>
      <w:bookmarkStart w:id="521" w:name="_Toc259093691"/>
      <w:bookmarkStart w:id="522" w:name="_Toc487900372"/>
      <w:bookmarkStart w:id="523" w:name="_Toc279701262"/>
      <w:r>
        <w:rPr>
          <w:rFonts w:hint="eastAsia" w:ascii="宋体" w:hAnsi="宋体" w:cs="宋体"/>
          <w:sz w:val="24"/>
          <w:highlight w:val="none"/>
        </w:rPr>
        <w:t xml:space="preserve">2.17.1任何一方因履行合同而以合同第一部分尾部所列明的传真或电子邮件 </w:t>
      </w:r>
      <w:r>
        <w:rPr>
          <w:rFonts w:hint="eastAsia" w:ascii="宋体" w:hAnsi="宋体" w:cs="宋体"/>
          <w:sz w:val="24"/>
          <w:highlight w:val="none"/>
          <w:u w:val="single"/>
        </w:rPr>
        <w:t xml:space="preserve">       </w:t>
      </w:r>
      <w:r>
        <w:rPr>
          <w:rFonts w:hint="eastAsia" w:ascii="宋体" w:hAnsi="宋体" w:cs="宋体"/>
          <w:sz w:val="24"/>
          <w:highlight w:val="none"/>
        </w:rPr>
        <w:t>发出的所有通知、文件、材料，均视为已向对方当事人送达；任何一方变更上述送达方式或者地址的，应于</w:t>
      </w:r>
      <w:r>
        <w:rPr>
          <w:rFonts w:hint="eastAsia" w:ascii="宋体" w:hAnsi="宋体" w:cs="宋体"/>
          <w:sz w:val="24"/>
          <w:highlight w:val="none"/>
          <w:u w:val="single"/>
        </w:rPr>
        <w:t>3</w:t>
      </w:r>
      <w:r>
        <w:rPr>
          <w:rFonts w:hint="eastAsia" w:ascii="宋体" w:hAnsi="宋体" w:cs="宋体"/>
          <w:sz w:val="24"/>
          <w:highlight w:val="none"/>
        </w:rPr>
        <w:t>个工作日内书面通知对方当事人，在对方当事人收到有关变更通知之前，变更前的约定送达方式或者地址仍视为有效。</w:t>
      </w:r>
      <w:bookmarkEnd w:id="519"/>
      <w:bookmarkEnd w:id="520"/>
    </w:p>
    <w:p w14:paraId="148B8AD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bookmarkStart w:id="524" w:name="_Toc23128"/>
      <w:bookmarkStart w:id="525" w:name="_Toc23294"/>
      <w:r>
        <w:rPr>
          <w:rFonts w:hint="eastAsia" w:ascii="宋体" w:hAnsi="宋体" w:cs="宋体"/>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4"/>
      <w:bookmarkEnd w:id="525"/>
    </w:p>
    <w:p w14:paraId="27617E96">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26" w:name="_Toc4355"/>
      <w:bookmarkStart w:id="527" w:name="_Toc18540"/>
      <w:bookmarkStart w:id="528" w:name="_Toc30599"/>
      <w:r>
        <w:rPr>
          <w:rFonts w:hint="eastAsia" w:ascii="宋体" w:hAnsi="宋体" w:cs="宋体"/>
          <w:b/>
          <w:sz w:val="24"/>
          <w:highlight w:val="none"/>
        </w:rPr>
        <w:t>2.18 计量单位</w:t>
      </w:r>
      <w:bookmarkEnd w:id="521"/>
      <w:bookmarkEnd w:id="522"/>
      <w:bookmarkEnd w:id="523"/>
      <w:bookmarkEnd w:id="526"/>
      <w:bookmarkEnd w:id="527"/>
      <w:bookmarkEnd w:id="528"/>
    </w:p>
    <w:p w14:paraId="53163562">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除技术规范中另有规定外,合同的计量单位均使用国家法定计量单位。</w:t>
      </w:r>
    </w:p>
    <w:p w14:paraId="6AEF8DC2">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29" w:name="_Toc10330"/>
      <w:bookmarkStart w:id="530" w:name="_Toc279701263"/>
      <w:bookmarkStart w:id="531" w:name="_Toc18567"/>
      <w:bookmarkStart w:id="532" w:name="_Toc12773"/>
      <w:bookmarkStart w:id="533" w:name="_Toc487900373"/>
      <w:bookmarkStart w:id="534" w:name="_Toc259093692"/>
      <w:r>
        <w:rPr>
          <w:rFonts w:hint="eastAsia" w:ascii="宋体" w:hAnsi="宋体" w:cs="宋体"/>
          <w:b/>
          <w:sz w:val="24"/>
          <w:highlight w:val="none"/>
        </w:rPr>
        <w:t>2.19 合同使用的文字和适用的法律</w:t>
      </w:r>
      <w:bookmarkEnd w:id="529"/>
      <w:bookmarkEnd w:id="530"/>
      <w:bookmarkEnd w:id="531"/>
      <w:bookmarkEnd w:id="532"/>
      <w:bookmarkEnd w:id="533"/>
      <w:bookmarkEnd w:id="534"/>
    </w:p>
    <w:p w14:paraId="01929FC5">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2.19.1 合同使用汉语书就、变更和解释；</w:t>
      </w:r>
    </w:p>
    <w:p w14:paraId="10FBC560">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2.19.2 合同适用中华人民共和国法律。</w:t>
      </w:r>
    </w:p>
    <w:p w14:paraId="1F903298">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outlineLvl w:val="0"/>
        <w:rPr>
          <w:rFonts w:ascii="宋体" w:hAnsi="宋体" w:cs="宋体"/>
          <w:b/>
          <w:sz w:val="24"/>
          <w:highlight w:val="none"/>
        </w:rPr>
      </w:pPr>
      <w:bookmarkStart w:id="535" w:name="_Toc14001"/>
      <w:bookmarkStart w:id="536" w:name="_Toc6885"/>
      <w:bookmarkStart w:id="537" w:name="_Toc19890"/>
      <w:r>
        <w:rPr>
          <w:rFonts w:hint="eastAsia" w:ascii="宋体" w:hAnsi="宋体" w:cs="宋体"/>
          <w:b/>
          <w:sz w:val="24"/>
          <w:highlight w:val="none"/>
        </w:rPr>
        <w:t>2.20 合同份数</w:t>
      </w:r>
      <w:bookmarkEnd w:id="535"/>
      <w:bookmarkEnd w:id="536"/>
      <w:bookmarkEnd w:id="537"/>
    </w:p>
    <w:p w14:paraId="68938D58">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宋体" w:hAnsi="宋体" w:cs="宋体"/>
          <w:sz w:val="24"/>
          <w:highlight w:val="none"/>
        </w:rPr>
      </w:pPr>
      <w:r>
        <w:rPr>
          <w:rFonts w:hint="eastAsia" w:ascii="宋体" w:hAnsi="宋体" w:cs="宋体"/>
          <w:sz w:val="24"/>
          <w:highlight w:val="none"/>
        </w:rPr>
        <w:t>合同份数按</w:t>
      </w:r>
      <w:r>
        <w:rPr>
          <w:rFonts w:hint="eastAsia" w:ascii="宋体" w:hAnsi="宋体" w:cs="宋体"/>
          <w:b/>
          <w:i/>
          <w:sz w:val="24"/>
          <w:highlight w:val="none"/>
          <w:u w:val="single"/>
        </w:rPr>
        <w:t>合同专用条款</w:t>
      </w:r>
      <w:r>
        <w:rPr>
          <w:rFonts w:hint="eastAsia" w:ascii="宋体" w:hAnsi="宋体" w:cs="宋体"/>
          <w:sz w:val="24"/>
          <w:highlight w:val="none"/>
        </w:rPr>
        <w:t>规定，每份均具有同等法律效力。</w:t>
      </w:r>
    </w:p>
    <w:p w14:paraId="06EE079E">
      <w:pPr>
        <w:keepNext w:val="0"/>
        <w:keepLines w:val="0"/>
        <w:pageBreakBefore w:val="0"/>
        <w:widowControl w:val="0"/>
        <w:kinsoku/>
        <w:wordWrap/>
        <w:overflowPunct/>
        <w:topLinePunct w:val="0"/>
        <w:autoSpaceDE/>
        <w:autoSpaceDN/>
        <w:bidi w:val="0"/>
        <w:adjustRightInd/>
        <w:snapToGrid/>
        <w:spacing w:line="360" w:lineRule="auto"/>
        <w:ind w:firstLine="3845" w:firstLineChars="1197"/>
        <w:textAlignment w:val="auto"/>
        <w:outlineLvl w:val="0"/>
        <w:rPr>
          <w:rFonts w:hint="eastAsia" w:ascii="宋体" w:hAnsi="宋体" w:cs="宋体"/>
          <w:b/>
          <w:sz w:val="32"/>
          <w:szCs w:val="20"/>
          <w:highlight w:val="none"/>
        </w:rPr>
      </w:pPr>
    </w:p>
    <w:p w14:paraId="7AD6CA18">
      <w:pPr>
        <w:keepNext w:val="0"/>
        <w:keepLines w:val="0"/>
        <w:pageBreakBefore w:val="0"/>
        <w:widowControl w:val="0"/>
        <w:kinsoku/>
        <w:wordWrap/>
        <w:overflowPunct/>
        <w:topLinePunct w:val="0"/>
        <w:autoSpaceDE/>
        <w:autoSpaceDN/>
        <w:bidi w:val="0"/>
        <w:adjustRightInd/>
        <w:snapToGrid/>
        <w:spacing w:line="360" w:lineRule="auto"/>
        <w:ind w:firstLine="2249" w:firstLineChars="700"/>
        <w:textAlignment w:val="auto"/>
        <w:outlineLvl w:val="0"/>
        <w:rPr>
          <w:rFonts w:ascii="宋体" w:hAnsi="宋体" w:cs="宋体"/>
          <w:b/>
          <w:highlight w:val="none"/>
        </w:rPr>
      </w:pPr>
      <w:r>
        <w:rPr>
          <w:rFonts w:hint="eastAsia" w:ascii="宋体" w:hAnsi="宋体" w:cs="宋体"/>
          <w:b/>
          <w:sz w:val="32"/>
          <w:szCs w:val="20"/>
          <w:highlight w:val="none"/>
        </w:rPr>
        <w:t xml:space="preserve"> 第三部分  合同专用条款</w:t>
      </w:r>
    </w:p>
    <w:p w14:paraId="2BC9C9F0">
      <w:pPr>
        <w:spacing w:line="560" w:lineRule="exact"/>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6"/>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097A52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7FE3DB1F">
            <w:pPr>
              <w:spacing w:line="360" w:lineRule="auto"/>
              <w:jc w:val="center"/>
              <w:rPr>
                <w:rFonts w:ascii="宋体" w:hAnsi="宋体" w:cs="宋体"/>
                <w:b/>
                <w:sz w:val="24"/>
                <w:highlight w:val="none"/>
              </w:rPr>
            </w:pPr>
            <w:r>
              <w:rPr>
                <w:rFonts w:hint="eastAsia" w:ascii="宋体" w:hAnsi="宋体" w:cs="宋体"/>
                <w:b/>
                <w:sz w:val="24"/>
                <w:highlight w:val="none"/>
              </w:rPr>
              <w:t>条款号</w:t>
            </w:r>
          </w:p>
        </w:tc>
        <w:tc>
          <w:tcPr>
            <w:tcW w:w="4534" w:type="pct"/>
            <w:vAlign w:val="center"/>
          </w:tcPr>
          <w:p w14:paraId="356DDDEE">
            <w:pPr>
              <w:spacing w:line="360" w:lineRule="auto"/>
              <w:jc w:val="center"/>
              <w:rPr>
                <w:rFonts w:ascii="宋体" w:hAnsi="宋体" w:cs="宋体"/>
                <w:b/>
                <w:sz w:val="24"/>
                <w:highlight w:val="none"/>
              </w:rPr>
            </w:pPr>
            <w:r>
              <w:rPr>
                <w:rFonts w:hint="eastAsia" w:ascii="宋体" w:hAnsi="宋体" w:cs="宋体"/>
                <w:b/>
                <w:sz w:val="24"/>
                <w:highlight w:val="none"/>
              </w:rPr>
              <w:t>约定内容</w:t>
            </w:r>
          </w:p>
        </w:tc>
      </w:tr>
      <w:tr w14:paraId="16D73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509E702">
            <w:pPr>
              <w:spacing w:line="360" w:lineRule="auto"/>
              <w:rPr>
                <w:rFonts w:ascii="宋体" w:hAnsi="宋体" w:cs="宋体"/>
                <w:sz w:val="24"/>
                <w:highlight w:val="none"/>
              </w:rPr>
            </w:pPr>
            <w:r>
              <w:rPr>
                <w:rFonts w:hint="eastAsia" w:ascii="宋体" w:hAnsi="宋体" w:cs="宋体"/>
                <w:sz w:val="24"/>
                <w:highlight w:val="none"/>
              </w:rPr>
              <w:t>1.4.2</w:t>
            </w:r>
          </w:p>
        </w:tc>
        <w:tc>
          <w:tcPr>
            <w:tcW w:w="4534" w:type="pct"/>
            <w:vAlign w:val="center"/>
          </w:tcPr>
          <w:p w14:paraId="735BEFE2">
            <w:pPr>
              <w:spacing w:line="360" w:lineRule="auto"/>
              <w:rPr>
                <w:rFonts w:ascii="宋体" w:hAnsi="宋体" w:cs="宋体"/>
                <w:sz w:val="24"/>
                <w:highlight w:val="none"/>
              </w:rPr>
            </w:pPr>
          </w:p>
        </w:tc>
      </w:tr>
      <w:tr w14:paraId="2C1243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D401AFE">
            <w:pPr>
              <w:spacing w:line="360" w:lineRule="auto"/>
              <w:rPr>
                <w:rFonts w:ascii="宋体" w:hAnsi="宋体" w:cs="宋体"/>
                <w:sz w:val="24"/>
                <w:highlight w:val="none"/>
              </w:rPr>
            </w:pPr>
            <w:r>
              <w:rPr>
                <w:rFonts w:hint="eastAsia" w:ascii="宋体" w:hAnsi="宋体" w:cs="宋体"/>
                <w:sz w:val="24"/>
                <w:highlight w:val="none"/>
              </w:rPr>
              <w:t>1.5.1</w:t>
            </w:r>
          </w:p>
        </w:tc>
        <w:tc>
          <w:tcPr>
            <w:tcW w:w="4534" w:type="pct"/>
            <w:vAlign w:val="center"/>
          </w:tcPr>
          <w:p w14:paraId="5DCA9BD5">
            <w:pPr>
              <w:spacing w:line="360" w:lineRule="auto"/>
              <w:rPr>
                <w:rFonts w:ascii="宋体" w:hAnsi="宋体" w:cs="宋体"/>
                <w:sz w:val="24"/>
                <w:highlight w:val="none"/>
              </w:rPr>
            </w:pPr>
          </w:p>
        </w:tc>
      </w:tr>
      <w:tr w14:paraId="4FF6F0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16B513F">
            <w:pPr>
              <w:spacing w:line="360" w:lineRule="auto"/>
              <w:rPr>
                <w:rFonts w:ascii="宋体" w:hAnsi="宋体" w:cs="宋体"/>
                <w:sz w:val="24"/>
                <w:highlight w:val="none"/>
              </w:rPr>
            </w:pPr>
            <w:r>
              <w:rPr>
                <w:rFonts w:hint="eastAsia" w:ascii="宋体" w:hAnsi="宋体" w:cs="宋体"/>
                <w:sz w:val="24"/>
                <w:highlight w:val="none"/>
              </w:rPr>
              <w:t xml:space="preserve">1.5.2 </w:t>
            </w:r>
          </w:p>
        </w:tc>
        <w:tc>
          <w:tcPr>
            <w:tcW w:w="4534" w:type="pct"/>
            <w:vAlign w:val="center"/>
          </w:tcPr>
          <w:p w14:paraId="6F4D9473">
            <w:pPr>
              <w:spacing w:line="360" w:lineRule="auto"/>
              <w:rPr>
                <w:rFonts w:ascii="宋体" w:hAnsi="宋体" w:cs="宋体"/>
                <w:sz w:val="24"/>
                <w:highlight w:val="none"/>
              </w:rPr>
            </w:pPr>
          </w:p>
        </w:tc>
      </w:tr>
      <w:tr w14:paraId="592C71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EF63517">
            <w:pPr>
              <w:spacing w:line="360" w:lineRule="auto"/>
              <w:rPr>
                <w:rFonts w:ascii="宋体" w:hAnsi="宋体" w:cs="宋体"/>
                <w:sz w:val="24"/>
                <w:highlight w:val="none"/>
              </w:rPr>
            </w:pPr>
            <w:r>
              <w:rPr>
                <w:rFonts w:hint="eastAsia" w:ascii="宋体" w:hAnsi="宋体" w:cs="宋体"/>
                <w:sz w:val="24"/>
                <w:highlight w:val="none"/>
              </w:rPr>
              <w:t>1.5.3</w:t>
            </w:r>
          </w:p>
        </w:tc>
        <w:tc>
          <w:tcPr>
            <w:tcW w:w="4534" w:type="pct"/>
            <w:vAlign w:val="center"/>
          </w:tcPr>
          <w:p w14:paraId="711AF01A">
            <w:pPr>
              <w:spacing w:line="360" w:lineRule="auto"/>
              <w:rPr>
                <w:rFonts w:ascii="宋体" w:hAnsi="宋体" w:cs="宋体"/>
                <w:sz w:val="24"/>
                <w:highlight w:val="none"/>
              </w:rPr>
            </w:pPr>
          </w:p>
        </w:tc>
      </w:tr>
      <w:tr w14:paraId="6C5000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470ECF2">
            <w:pPr>
              <w:spacing w:line="360" w:lineRule="auto"/>
              <w:rPr>
                <w:rFonts w:ascii="宋体" w:hAnsi="宋体" w:cs="宋体"/>
                <w:sz w:val="24"/>
                <w:highlight w:val="none"/>
              </w:rPr>
            </w:pPr>
            <w:r>
              <w:rPr>
                <w:rFonts w:hint="eastAsia" w:ascii="宋体" w:hAnsi="宋体" w:cs="宋体"/>
                <w:sz w:val="24"/>
                <w:highlight w:val="none"/>
              </w:rPr>
              <w:t>1.6.2</w:t>
            </w:r>
          </w:p>
        </w:tc>
        <w:tc>
          <w:tcPr>
            <w:tcW w:w="4534" w:type="pct"/>
            <w:vAlign w:val="center"/>
          </w:tcPr>
          <w:p w14:paraId="2364A849">
            <w:pPr>
              <w:spacing w:line="360" w:lineRule="auto"/>
              <w:rPr>
                <w:rFonts w:ascii="宋体" w:hAnsi="宋体" w:cs="宋体"/>
                <w:sz w:val="24"/>
                <w:highlight w:val="none"/>
              </w:rPr>
            </w:pPr>
          </w:p>
        </w:tc>
      </w:tr>
      <w:tr w14:paraId="5AA767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68D1A67">
            <w:pPr>
              <w:spacing w:line="360" w:lineRule="auto"/>
              <w:rPr>
                <w:rFonts w:ascii="宋体" w:hAnsi="宋体" w:cs="宋体"/>
                <w:sz w:val="24"/>
                <w:highlight w:val="none"/>
              </w:rPr>
            </w:pPr>
            <w:r>
              <w:rPr>
                <w:rFonts w:hint="eastAsia" w:ascii="宋体" w:hAnsi="宋体" w:cs="宋体"/>
                <w:sz w:val="24"/>
                <w:highlight w:val="none"/>
              </w:rPr>
              <w:t>1.7.1</w:t>
            </w:r>
          </w:p>
        </w:tc>
        <w:tc>
          <w:tcPr>
            <w:tcW w:w="4534" w:type="pct"/>
            <w:vAlign w:val="center"/>
          </w:tcPr>
          <w:p w14:paraId="0398224F">
            <w:pPr>
              <w:spacing w:line="360" w:lineRule="auto"/>
              <w:rPr>
                <w:rFonts w:ascii="宋体" w:hAnsi="宋体" w:cs="宋体"/>
                <w:sz w:val="24"/>
                <w:highlight w:val="none"/>
              </w:rPr>
            </w:pPr>
          </w:p>
        </w:tc>
      </w:tr>
      <w:tr w14:paraId="019B39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8DA36DB">
            <w:pPr>
              <w:spacing w:line="360" w:lineRule="auto"/>
              <w:rPr>
                <w:rFonts w:ascii="宋体" w:hAnsi="宋体" w:cs="宋体"/>
                <w:sz w:val="24"/>
                <w:highlight w:val="none"/>
              </w:rPr>
            </w:pPr>
            <w:r>
              <w:rPr>
                <w:rFonts w:hint="eastAsia" w:ascii="宋体" w:hAnsi="宋体" w:cs="宋体"/>
                <w:sz w:val="24"/>
                <w:highlight w:val="none"/>
              </w:rPr>
              <w:t>1.7.2</w:t>
            </w:r>
          </w:p>
        </w:tc>
        <w:tc>
          <w:tcPr>
            <w:tcW w:w="4534" w:type="pct"/>
            <w:vAlign w:val="center"/>
          </w:tcPr>
          <w:p w14:paraId="43B4BD5A">
            <w:pPr>
              <w:spacing w:line="360" w:lineRule="auto"/>
              <w:rPr>
                <w:rFonts w:ascii="宋体" w:hAnsi="宋体" w:cs="宋体"/>
                <w:sz w:val="24"/>
                <w:highlight w:val="none"/>
              </w:rPr>
            </w:pPr>
          </w:p>
        </w:tc>
      </w:tr>
      <w:tr w14:paraId="016645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82EC826">
            <w:pPr>
              <w:spacing w:line="360" w:lineRule="auto"/>
              <w:rPr>
                <w:rFonts w:ascii="宋体" w:hAnsi="宋体" w:cs="宋体"/>
                <w:sz w:val="24"/>
                <w:highlight w:val="none"/>
              </w:rPr>
            </w:pPr>
            <w:r>
              <w:rPr>
                <w:rFonts w:hint="eastAsia" w:ascii="宋体" w:hAnsi="宋体" w:cs="宋体"/>
                <w:sz w:val="24"/>
                <w:highlight w:val="none"/>
              </w:rPr>
              <w:t>1.7.3</w:t>
            </w:r>
          </w:p>
        </w:tc>
        <w:tc>
          <w:tcPr>
            <w:tcW w:w="4534" w:type="pct"/>
            <w:vAlign w:val="center"/>
          </w:tcPr>
          <w:p w14:paraId="37F8FEA6">
            <w:pPr>
              <w:spacing w:line="360" w:lineRule="auto"/>
              <w:rPr>
                <w:rFonts w:ascii="宋体" w:hAnsi="宋体" w:cs="宋体"/>
                <w:sz w:val="24"/>
                <w:highlight w:val="none"/>
              </w:rPr>
            </w:pPr>
          </w:p>
        </w:tc>
      </w:tr>
      <w:tr w14:paraId="0F41F6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D0D6392">
            <w:pPr>
              <w:spacing w:line="360" w:lineRule="auto"/>
              <w:rPr>
                <w:rFonts w:ascii="宋体" w:hAnsi="宋体" w:cs="宋体"/>
                <w:sz w:val="24"/>
                <w:highlight w:val="none"/>
              </w:rPr>
            </w:pPr>
            <w:r>
              <w:rPr>
                <w:rFonts w:hint="eastAsia" w:ascii="宋体" w:hAnsi="宋体" w:cs="宋体"/>
                <w:sz w:val="24"/>
                <w:highlight w:val="none"/>
              </w:rPr>
              <w:t>1.8.6</w:t>
            </w:r>
          </w:p>
        </w:tc>
        <w:tc>
          <w:tcPr>
            <w:tcW w:w="4534" w:type="pct"/>
            <w:vAlign w:val="center"/>
          </w:tcPr>
          <w:p w14:paraId="6354AB84">
            <w:pPr>
              <w:spacing w:line="360" w:lineRule="auto"/>
              <w:rPr>
                <w:rFonts w:ascii="宋体" w:hAnsi="宋体" w:cs="宋体"/>
                <w:sz w:val="24"/>
                <w:highlight w:val="none"/>
              </w:rPr>
            </w:pPr>
          </w:p>
        </w:tc>
      </w:tr>
      <w:tr w14:paraId="202750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F3B77F8">
            <w:pPr>
              <w:spacing w:line="360" w:lineRule="auto"/>
              <w:rPr>
                <w:rFonts w:ascii="宋体" w:hAnsi="宋体" w:cs="宋体"/>
                <w:sz w:val="24"/>
                <w:highlight w:val="none"/>
              </w:rPr>
            </w:pPr>
            <w:r>
              <w:rPr>
                <w:rFonts w:hint="eastAsia" w:ascii="宋体" w:hAnsi="宋体" w:cs="宋体"/>
                <w:sz w:val="24"/>
                <w:highlight w:val="none"/>
              </w:rPr>
              <w:t>1.9</w:t>
            </w:r>
          </w:p>
        </w:tc>
        <w:tc>
          <w:tcPr>
            <w:tcW w:w="4534" w:type="pct"/>
            <w:vAlign w:val="center"/>
          </w:tcPr>
          <w:p w14:paraId="242F6AE5">
            <w:pPr>
              <w:spacing w:line="360" w:lineRule="auto"/>
              <w:rPr>
                <w:rFonts w:ascii="宋体" w:hAnsi="宋体" w:cs="宋体"/>
                <w:sz w:val="24"/>
                <w:highlight w:val="none"/>
              </w:rPr>
            </w:pPr>
          </w:p>
        </w:tc>
      </w:tr>
      <w:tr w14:paraId="33C8A6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836F80A">
            <w:pPr>
              <w:spacing w:line="360" w:lineRule="auto"/>
              <w:rPr>
                <w:rFonts w:ascii="宋体" w:hAnsi="宋体" w:cs="宋体"/>
                <w:sz w:val="24"/>
                <w:highlight w:val="none"/>
              </w:rPr>
            </w:pPr>
            <w:r>
              <w:rPr>
                <w:rFonts w:hint="eastAsia" w:ascii="宋体" w:hAnsi="宋体" w:cs="宋体"/>
                <w:sz w:val="24"/>
                <w:highlight w:val="none"/>
              </w:rPr>
              <w:t>2.3.2</w:t>
            </w:r>
          </w:p>
        </w:tc>
        <w:tc>
          <w:tcPr>
            <w:tcW w:w="4534" w:type="pct"/>
            <w:vAlign w:val="center"/>
          </w:tcPr>
          <w:p w14:paraId="7BC2C65A">
            <w:pPr>
              <w:spacing w:line="360" w:lineRule="auto"/>
              <w:ind w:left="-420" w:leftChars="-200" w:right="-420" w:rightChars="-200" w:firstLine="480" w:firstLineChars="200"/>
              <w:rPr>
                <w:rFonts w:ascii="宋体" w:hAnsi="宋体" w:cs="宋体"/>
                <w:sz w:val="24"/>
                <w:highlight w:val="none"/>
              </w:rPr>
            </w:pPr>
          </w:p>
        </w:tc>
      </w:tr>
      <w:tr w14:paraId="5D04C0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623B521">
            <w:pPr>
              <w:spacing w:line="360" w:lineRule="auto"/>
              <w:rPr>
                <w:rFonts w:ascii="宋体" w:hAnsi="宋体" w:cs="宋体"/>
                <w:sz w:val="24"/>
                <w:highlight w:val="none"/>
              </w:rPr>
            </w:pPr>
            <w:r>
              <w:rPr>
                <w:rFonts w:hint="eastAsia" w:ascii="宋体" w:hAnsi="宋体" w:cs="宋体"/>
                <w:sz w:val="24"/>
                <w:highlight w:val="none"/>
              </w:rPr>
              <w:t>2.4.1</w:t>
            </w:r>
          </w:p>
        </w:tc>
        <w:tc>
          <w:tcPr>
            <w:tcW w:w="4534" w:type="pct"/>
            <w:vAlign w:val="center"/>
          </w:tcPr>
          <w:p w14:paraId="24E43FC4">
            <w:pPr>
              <w:spacing w:line="360" w:lineRule="auto"/>
              <w:ind w:left="-420" w:leftChars="-200" w:right="-420" w:rightChars="-200" w:firstLine="480" w:firstLineChars="200"/>
              <w:rPr>
                <w:rFonts w:ascii="宋体" w:hAnsi="宋体" w:cs="宋体"/>
                <w:sz w:val="24"/>
                <w:highlight w:val="none"/>
              </w:rPr>
            </w:pPr>
          </w:p>
        </w:tc>
      </w:tr>
      <w:tr w14:paraId="6DFBA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D54CF12">
            <w:pPr>
              <w:spacing w:line="360" w:lineRule="auto"/>
              <w:rPr>
                <w:rFonts w:ascii="宋体" w:hAnsi="宋体" w:cs="宋体"/>
                <w:sz w:val="24"/>
                <w:highlight w:val="none"/>
              </w:rPr>
            </w:pPr>
            <w:r>
              <w:rPr>
                <w:rFonts w:hint="eastAsia" w:ascii="宋体" w:hAnsi="宋体" w:cs="宋体"/>
                <w:sz w:val="24"/>
                <w:highlight w:val="none"/>
              </w:rPr>
              <w:t>2.4.3</w:t>
            </w:r>
          </w:p>
        </w:tc>
        <w:tc>
          <w:tcPr>
            <w:tcW w:w="4534" w:type="pct"/>
            <w:vAlign w:val="center"/>
          </w:tcPr>
          <w:p w14:paraId="46D90484">
            <w:pPr>
              <w:spacing w:line="360" w:lineRule="auto"/>
              <w:rPr>
                <w:rFonts w:ascii="宋体" w:hAnsi="宋体" w:cs="宋体"/>
                <w:sz w:val="24"/>
                <w:highlight w:val="none"/>
              </w:rPr>
            </w:pPr>
          </w:p>
        </w:tc>
      </w:tr>
      <w:tr w14:paraId="24ACF0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1E4CACDB">
            <w:pPr>
              <w:spacing w:line="360" w:lineRule="auto"/>
              <w:rPr>
                <w:rFonts w:ascii="宋体" w:hAnsi="宋体" w:cs="宋体"/>
                <w:sz w:val="24"/>
                <w:highlight w:val="none"/>
              </w:rPr>
            </w:pPr>
            <w:r>
              <w:rPr>
                <w:rFonts w:hint="eastAsia" w:ascii="宋体" w:hAnsi="宋体" w:cs="宋体"/>
                <w:sz w:val="24"/>
                <w:highlight w:val="none"/>
              </w:rPr>
              <w:t xml:space="preserve">2.8 </w:t>
            </w:r>
          </w:p>
        </w:tc>
        <w:tc>
          <w:tcPr>
            <w:tcW w:w="4534" w:type="pct"/>
          </w:tcPr>
          <w:p w14:paraId="1289048C">
            <w:pPr>
              <w:spacing w:line="360" w:lineRule="auto"/>
              <w:rPr>
                <w:rFonts w:ascii="宋体" w:hAnsi="宋体" w:cs="宋体"/>
                <w:sz w:val="24"/>
                <w:highlight w:val="none"/>
              </w:rPr>
            </w:pPr>
          </w:p>
        </w:tc>
      </w:tr>
      <w:tr w14:paraId="60E3AA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6AA1AD2">
            <w:pPr>
              <w:spacing w:line="360" w:lineRule="auto"/>
              <w:rPr>
                <w:rFonts w:ascii="宋体" w:hAnsi="宋体" w:cs="宋体"/>
                <w:sz w:val="24"/>
                <w:highlight w:val="none"/>
              </w:rPr>
            </w:pPr>
            <w:r>
              <w:rPr>
                <w:rFonts w:hint="eastAsia" w:ascii="宋体" w:hAnsi="宋体" w:cs="宋体"/>
                <w:sz w:val="24"/>
                <w:highlight w:val="none"/>
              </w:rPr>
              <w:t>2.12.3</w:t>
            </w:r>
          </w:p>
        </w:tc>
        <w:tc>
          <w:tcPr>
            <w:tcW w:w="4534" w:type="pct"/>
            <w:vAlign w:val="center"/>
          </w:tcPr>
          <w:p w14:paraId="6EC4F81F">
            <w:pPr>
              <w:spacing w:line="360" w:lineRule="auto"/>
              <w:rPr>
                <w:rFonts w:ascii="宋体" w:hAnsi="宋体" w:cs="宋体"/>
                <w:sz w:val="24"/>
                <w:highlight w:val="none"/>
              </w:rPr>
            </w:pPr>
          </w:p>
        </w:tc>
      </w:tr>
      <w:tr w14:paraId="134D31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0575456">
            <w:pPr>
              <w:spacing w:line="360" w:lineRule="auto"/>
              <w:rPr>
                <w:rFonts w:ascii="宋体" w:hAnsi="宋体" w:cs="宋体"/>
                <w:sz w:val="24"/>
                <w:highlight w:val="none"/>
              </w:rPr>
            </w:pPr>
            <w:r>
              <w:rPr>
                <w:rFonts w:hint="eastAsia" w:ascii="宋体" w:hAnsi="宋体" w:cs="宋体"/>
                <w:sz w:val="24"/>
                <w:highlight w:val="none"/>
              </w:rPr>
              <w:t>2.12.4</w:t>
            </w:r>
          </w:p>
        </w:tc>
        <w:tc>
          <w:tcPr>
            <w:tcW w:w="4534" w:type="pct"/>
            <w:vAlign w:val="center"/>
          </w:tcPr>
          <w:p w14:paraId="13EE7B7A">
            <w:pPr>
              <w:spacing w:line="360" w:lineRule="auto"/>
              <w:rPr>
                <w:rFonts w:ascii="宋体" w:hAnsi="宋体" w:cs="宋体"/>
                <w:sz w:val="24"/>
                <w:highlight w:val="none"/>
              </w:rPr>
            </w:pPr>
          </w:p>
        </w:tc>
      </w:tr>
      <w:tr w14:paraId="62EDF7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83C6D1E">
            <w:pPr>
              <w:spacing w:line="360" w:lineRule="auto"/>
              <w:rPr>
                <w:rFonts w:ascii="宋体" w:hAnsi="宋体" w:cs="宋体"/>
                <w:sz w:val="24"/>
                <w:highlight w:val="none"/>
              </w:rPr>
            </w:pPr>
            <w:r>
              <w:rPr>
                <w:rFonts w:hint="eastAsia" w:ascii="宋体" w:hAnsi="宋体" w:cs="宋体"/>
                <w:sz w:val="24"/>
                <w:highlight w:val="none"/>
              </w:rPr>
              <w:t>2.16.1</w:t>
            </w:r>
          </w:p>
        </w:tc>
        <w:tc>
          <w:tcPr>
            <w:tcW w:w="4534" w:type="pct"/>
            <w:vAlign w:val="center"/>
          </w:tcPr>
          <w:p w14:paraId="6A889F53">
            <w:pPr>
              <w:spacing w:line="360" w:lineRule="auto"/>
              <w:rPr>
                <w:rFonts w:ascii="宋体" w:hAnsi="宋体" w:cs="宋体"/>
                <w:sz w:val="24"/>
                <w:highlight w:val="none"/>
              </w:rPr>
            </w:pPr>
          </w:p>
        </w:tc>
      </w:tr>
      <w:tr w14:paraId="58EF2C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6A9B61C6">
            <w:pPr>
              <w:spacing w:line="360" w:lineRule="auto"/>
              <w:rPr>
                <w:rFonts w:ascii="宋体" w:hAnsi="宋体" w:cs="宋体"/>
                <w:sz w:val="24"/>
                <w:highlight w:val="none"/>
              </w:rPr>
            </w:pPr>
            <w:r>
              <w:rPr>
                <w:rFonts w:hint="eastAsia" w:ascii="宋体" w:hAnsi="宋体" w:cs="宋体"/>
                <w:sz w:val="24"/>
                <w:highlight w:val="none"/>
              </w:rPr>
              <w:t>2.16.3</w:t>
            </w:r>
          </w:p>
        </w:tc>
        <w:tc>
          <w:tcPr>
            <w:tcW w:w="4534" w:type="pct"/>
            <w:vAlign w:val="center"/>
          </w:tcPr>
          <w:p w14:paraId="7C8E8805">
            <w:pPr>
              <w:spacing w:line="360" w:lineRule="auto"/>
              <w:rPr>
                <w:rFonts w:ascii="宋体" w:hAnsi="宋体" w:cs="宋体"/>
                <w:sz w:val="24"/>
                <w:highlight w:val="none"/>
              </w:rPr>
            </w:pPr>
          </w:p>
        </w:tc>
      </w:tr>
      <w:tr w14:paraId="479116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7490E365">
            <w:pPr>
              <w:spacing w:line="360" w:lineRule="auto"/>
              <w:ind w:left="-420" w:leftChars="-200" w:right="-420" w:rightChars="-200" w:firstLine="480" w:firstLineChars="200"/>
              <w:outlineLvl w:val="0"/>
              <w:rPr>
                <w:rFonts w:ascii="宋体" w:hAnsi="宋体" w:cs="宋体"/>
                <w:sz w:val="24"/>
                <w:highlight w:val="none"/>
              </w:rPr>
            </w:pPr>
            <w:r>
              <w:rPr>
                <w:rFonts w:hint="eastAsia" w:ascii="宋体" w:hAnsi="宋体" w:cs="宋体"/>
                <w:sz w:val="24"/>
                <w:highlight w:val="none"/>
              </w:rPr>
              <w:t xml:space="preserve">2.20 </w:t>
            </w:r>
          </w:p>
        </w:tc>
        <w:tc>
          <w:tcPr>
            <w:tcW w:w="4534" w:type="pct"/>
            <w:vAlign w:val="center"/>
          </w:tcPr>
          <w:p w14:paraId="7D19BB4A">
            <w:pPr>
              <w:spacing w:line="360" w:lineRule="auto"/>
              <w:rPr>
                <w:rFonts w:ascii="宋体" w:hAnsi="宋体" w:cs="宋体"/>
                <w:sz w:val="24"/>
                <w:highlight w:val="none"/>
              </w:rPr>
            </w:pPr>
          </w:p>
        </w:tc>
      </w:tr>
    </w:tbl>
    <w:p w14:paraId="13C16B2C">
      <w:pPr>
        <w:spacing w:line="360" w:lineRule="auto"/>
        <w:ind w:left="-420" w:leftChars="-200" w:right="-420" w:rightChars="-200" w:firstLine="480" w:firstLineChars="200"/>
        <w:rPr>
          <w:rFonts w:ascii="宋体" w:hAnsi="宋体" w:cs="宋体"/>
          <w:sz w:val="24"/>
          <w:highlight w:val="none"/>
        </w:rPr>
      </w:pPr>
    </w:p>
    <w:p w14:paraId="4E63DFDF">
      <w:pPr>
        <w:spacing w:line="360" w:lineRule="auto"/>
        <w:ind w:left="-420" w:leftChars="-200" w:right="-420" w:rightChars="-200"/>
        <w:rPr>
          <w:rFonts w:ascii="宋体" w:hAnsi="宋体" w:cs="宋体"/>
          <w:sz w:val="24"/>
          <w:highlight w:val="none"/>
        </w:rPr>
      </w:pPr>
    </w:p>
    <w:p w14:paraId="64963C75">
      <w:pPr>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第六部分 应提交的有关格式范例</w:t>
      </w:r>
    </w:p>
    <w:p w14:paraId="30AB9B83">
      <w:pPr>
        <w:spacing w:line="360" w:lineRule="auto"/>
        <w:jc w:val="center"/>
        <w:outlineLvl w:val="0"/>
        <w:rPr>
          <w:rFonts w:hint="eastAsia" w:ascii="宋体" w:hAnsi="宋体" w:eastAsia="宋体" w:cs="宋体"/>
          <w:b/>
          <w:kern w:val="0"/>
          <w:sz w:val="36"/>
          <w:szCs w:val="36"/>
          <w:highlight w:val="none"/>
        </w:rPr>
      </w:pPr>
    </w:p>
    <w:p w14:paraId="4FA430DD">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资格文件部分</w:t>
      </w:r>
    </w:p>
    <w:p w14:paraId="0D8417AB">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52542756">
      <w:pPr>
        <w:spacing w:line="360" w:lineRule="auto"/>
        <w:jc w:val="center"/>
        <w:outlineLvl w:val="0"/>
        <w:rPr>
          <w:rFonts w:hint="eastAsia" w:ascii="宋体" w:hAnsi="宋体" w:eastAsia="宋体" w:cs="宋体"/>
          <w:b/>
          <w:kern w:val="0"/>
          <w:sz w:val="36"/>
          <w:szCs w:val="36"/>
          <w:highlight w:val="none"/>
        </w:rPr>
      </w:pPr>
    </w:p>
    <w:p w14:paraId="74AE965B">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（1）提供有效的营业执照(或事业法人登记证或其他工商等登记证明材料)……（页码）</w:t>
      </w:r>
    </w:p>
    <w:p w14:paraId="050AAF0A">
      <w:pPr>
        <w:snapToGrid w:val="0"/>
        <w:spacing w:line="360" w:lineRule="auto"/>
        <w:rPr>
          <w:rFonts w:hint="eastAsia" w:ascii="宋体" w:hAnsi="宋体" w:eastAsia="宋体" w:cs="宋体"/>
          <w:highlight w:val="none"/>
        </w:rPr>
      </w:pPr>
      <w:r>
        <w:rPr>
          <w:rFonts w:hint="eastAsia" w:ascii="宋体" w:hAnsi="宋体" w:eastAsia="宋体" w:cs="宋体"/>
          <w:sz w:val="24"/>
          <w:highlight w:val="none"/>
        </w:rPr>
        <w:t>（2）符合参加政府采购活动应当具备的一般条件的承诺函……………………（页码）</w:t>
      </w:r>
    </w:p>
    <w:p w14:paraId="7B274CB9">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）落实政府采购政策需满足的资格要求；（如有)………………………………（页码）</w:t>
      </w:r>
    </w:p>
    <w:p w14:paraId="7BD36521">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）本项目的特定资格要求。（如有）…………………………………………（页码）</w:t>
      </w:r>
    </w:p>
    <w:p w14:paraId="6B81D2DB">
      <w:pPr>
        <w:snapToGrid w:val="0"/>
        <w:spacing w:line="360" w:lineRule="auto"/>
        <w:ind w:right="480"/>
        <w:jc w:val="center"/>
        <w:rPr>
          <w:rFonts w:hint="eastAsia" w:ascii="宋体" w:hAnsi="宋体" w:eastAsia="宋体" w:cs="宋体"/>
          <w:b/>
          <w:kern w:val="0"/>
          <w:sz w:val="32"/>
          <w:szCs w:val="32"/>
          <w:highlight w:val="none"/>
        </w:rPr>
      </w:pPr>
    </w:p>
    <w:p w14:paraId="3E999AB9">
      <w:pPr>
        <w:snapToGrid w:val="0"/>
        <w:spacing w:line="360" w:lineRule="auto"/>
        <w:ind w:right="480"/>
        <w:jc w:val="both"/>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一、 符合参加政府采购活动应当具备的一般条件的承诺函</w:t>
      </w:r>
    </w:p>
    <w:p w14:paraId="1BB72DC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621F8EA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我方参与（项目名称）【招标编号：（采购编号）】政府采购活动，郑重承诺：</w:t>
      </w:r>
    </w:p>
    <w:p w14:paraId="52B58ACB">
      <w:pPr>
        <w:snapToGrid w:val="0"/>
        <w:spacing w:line="360" w:lineRule="auto"/>
        <w:ind w:firstLine="360" w:firstLineChars="150"/>
        <w:rPr>
          <w:rFonts w:hint="eastAsia" w:ascii="宋体" w:hAnsi="宋体" w:eastAsia="宋体" w:cs="宋体"/>
          <w:sz w:val="24"/>
          <w:highlight w:val="none"/>
        </w:rPr>
      </w:pPr>
      <w:r>
        <w:rPr>
          <w:rFonts w:hint="eastAsia" w:ascii="宋体" w:hAnsi="宋体" w:eastAsia="宋体" w:cs="宋体"/>
          <w:sz w:val="24"/>
          <w:highlight w:val="none"/>
        </w:rPr>
        <w:t>（一）具备《中华人民共和国政府采购法》第二十二条第一款规定的条件：</w:t>
      </w:r>
    </w:p>
    <w:p w14:paraId="7831BCE1">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1、具有独立承担民事责任的能力；</w:t>
      </w:r>
    </w:p>
    <w:p w14:paraId="3342478F">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2、具有良好的商业信誉和健全的财务会计制度； </w:t>
      </w:r>
    </w:p>
    <w:p w14:paraId="7C78DF78">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3、具有履行合同所必需的设备和专业技术能力；</w:t>
      </w:r>
    </w:p>
    <w:p w14:paraId="4C9DC4CC">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4、有依法缴纳税收和社会保障资金的良好记录；</w:t>
      </w:r>
    </w:p>
    <w:p w14:paraId="023B0E44">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5、参加政府采购活动前三年内，在经营活动中没有重大违法记录；</w:t>
      </w:r>
    </w:p>
    <w:p w14:paraId="10D4C8F6">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6、具有法律、行政法规规定的其他条件。</w:t>
      </w:r>
    </w:p>
    <w:p w14:paraId="05723D2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（二）未被信用中国（www.creditchina.gov.cn)、中国政府采购网（www.ccgp.gov.cn）列入失信被执行人、重大税收违法案件当事人名单、政府采购严重违法失信行为记录名单。</w:t>
      </w:r>
    </w:p>
    <w:p w14:paraId="456B0658">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（三）不存在以下情况：</w:t>
      </w:r>
    </w:p>
    <w:p w14:paraId="0218A0D3">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1、单位负责人为同一人或者存在直接控股、管理关系的不同供应商参加同一合同项下的政府采购活动的；</w:t>
      </w:r>
    </w:p>
    <w:p w14:paraId="23968A82">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2、为采购项目提供整体设计、规范编制或者项目管理、监理、检测等服务后再参加该采购项目的其他采购活动的。</w:t>
      </w:r>
    </w:p>
    <w:p w14:paraId="03319FEC">
      <w:pPr>
        <w:snapToGrid w:val="0"/>
        <w:spacing w:line="360" w:lineRule="auto"/>
        <w:ind w:firstLine="5520" w:firstLineChars="2300"/>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投标人名称(电子签名)：</w:t>
      </w:r>
    </w:p>
    <w:p w14:paraId="4DF1A0E5">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 xml:space="preserve">                        </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 xml:space="preserve">：  年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w:t>
      </w:r>
    </w:p>
    <w:p w14:paraId="29ACA76D">
      <w:pPr>
        <w:snapToGrid w:val="0"/>
        <w:spacing w:line="360" w:lineRule="auto"/>
        <w:ind w:right="480"/>
        <w:jc w:val="center"/>
        <w:rPr>
          <w:rFonts w:hint="eastAsia" w:ascii="宋体" w:hAnsi="宋体" w:eastAsia="宋体" w:cs="宋体"/>
          <w:b/>
          <w:kern w:val="0"/>
          <w:sz w:val="32"/>
          <w:szCs w:val="32"/>
          <w:highlight w:val="none"/>
        </w:rPr>
        <w:sectPr>
          <w:headerReference r:id="rId14" w:type="first"/>
          <w:footerReference r:id="rId16" w:type="first"/>
          <w:headerReference r:id="rId13" w:type="default"/>
          <w:footerReference r:id="rId15"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31E99361">
      <w:pPr>
        <w:snapToGrid w:val="0"/>
        <w:spacing w:line="360" w:lineRule="auto"/>
        <w:ind w:right="480"/>
        <w:jc w:val="center"/>
        <w:rPr>
          <w:rFonts w:hint="eastAsia" w:ascii="宋体" w:hAnsi="宋体" w:eastAsia="宋体" w:cs="宋体"/>
          <w:b/>
          <w:kern w:val="0"/>
          <w:sz w:val="32"/>
          <w:szCs w:val="32"/>
          <w:highlight w:val="none"/>
        </w:rPr>
      </w:pPr>
      <w:r>
        <w:rPr>
          <w:rFonts w:hint="eastAsia" w:ascii="宋体" w:hAnsi="宋体" w:cs="宋体"/>
          <w:b/>
          <w:kern w:val="0"/>
          <w:sz w:val="32"/>
          <w:szCs w:val="32"/>
          <w:highlight w:val="none"/>
          <w:lang w:val="en-US" w:eastAsia="zh-CN"/>
        </w:rPr>
        <w:t>二</w:t>
      </w:r>
      <w:r>
        <w:rPr>
          <w:rFonts w:hint="eastAsia" w:ascii="宋体" w:hAnsi="宋体" w:eastAsia="宋体" w:cs="宋体"/>
          <w:b/>
          <w:kern w:val="0"/>
          <w:sz w:val="32"/>
          <w:szCs w:val="32"/>
          <w:highlight w:val="none"/>
        </w:rPr>
        <w:t>、落实政府采购政策需满足的资格要求</w:t>
      </w:r>
    </w:p>
    <w:p w14:paraId="32718756">
      <w:pPr>
        <w:spacing w:line="360" w:lineRule="auto"/>
        <w:rPr>
          <w:rFonts w:hint="eastAsia" w:ascii="宋体" w:hAnsi="宋体" w:eastAsia="宋体" w:cs="宋体"/>
          <w:b w:val="0"/>
          <w:bCs w:val="0"/>
          <w:sz w:val="24"/>
          <w:highlight w:val="none"/>
        </w:rPr>
      </w:pPr>
      <w:r>
        <w:rPr>
          <w:rFonts w:hint="eastAsia" w:ascii="宋体" w:hAnsi="宋体" w:eastAsia="宋体" w:cs="宋体"/>
          <w:b w:val="0"/>
          <w:bCs w:val="0"/>
          <w:sz w:val="24"/>
          <w:highlight w:val="none"/>
        </w:rPr>
        <w:t>（根据招标公告落实政府采购政策需满足的资格要求选择提供相应的材料；未要求的，无需提供）</w:t>
      </w:r>
    </w:p>
    <w:p w14:paraId="46B12616">
      <w:pPr>
        <w:snapToGrid w:val="0"/>
        <w:spacing w:before="50" w:after="50" w:line="360" w:lineRule="auto"/>
        <w:ind w:firstLine="472" w:firstLineChars="196"/>
        <w:jc w:val="left"/>
        <w:rPr>
          <w:rFonts w:hint="eastAsia" w:ascii="宋体" w:hAnsi="宋体" w:eastAsia="宋体" w:cs="宋体"/>
          <w:sz w:val="24"/>
          <w:highlight w:val="none"/>
        </w:rPr>
      </w:pPr>
      <w:r>
        <w:rPr>
          <w:rFonts w:hint="eastAsia" w:ascii="宋体" w:hAnsi="宋体" w:eastAsia="宋体" w:cs="宋体"/>
          <w:b/>
          <w:sz w:val="24"/>
          <w:highlight w:val="none"/>
        </w:rPr>
        <w:t>A</w:t>
      </w:r>
      <w:r>
        <w:rPr>
          <w:rFonts w:hint="eastAsia" w:ascii="宋体" w:hAnsi="宋体" w:eastAsia="宋体" w:cs="宋体"/>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01060160">
      <w:pPr>
        <w:widowControl/>
        <w:spacing w:line="360" w:lineRule="auto"/>
        <w:ind w:firstLine="480"/>
        <w:jc w:val="left"/>
        <w:rPr>
          <w:rFonts w:hint="eastAsia" w:ascii="宋体" w:hAnsi="宋体" w:eastAsia="宋体" w:cs="宋体"/>
          <w:sz w:val="24"/>
          <w:highlight w:val="none"/>
        </w:rPr>
      </w:pPr>
    </w:p>
    <w:p w14:paraId="291D3942">
      <w:pPr>
        <w:widowControl/>
        <w:spacing w:line="360" w:lineRule="auto"/>
        <w:ind w:firstLine="472" w:firstLineChars="196"/>
        <w:jc w:val="left"/>
        <w:rPr>
          <w:rFonts w:hint="eastAsia" w:ascii="宋体" w:hAnsi="宋体" w:eastAsia="宋体" w:cs="宋体"/>
          <w:sz w:val="24"/>
          <w:highlight w:val="none"/>
        </w:rPr>
      </w:pPr>
      <w:r>
        <w:rPr>
          <w:rFonts w:hint="eastAsia" w:ascii="宋体" w:hAnsi="宋体" w:eastAsia="宋体" w:cs="宋体"/>
          <w:b/>
          <w:sz w:val="24"/>
          <w:highlight w:val="none"/>
        </w:rPr>
        <w:t>B.</w:t>
      </w:r>
      <w:r>
        <w:rPr>
          <w:rFonts w:hint="eastAsia" w:ascii="宋体" w:hAnsi="宋体" w:eastAsia="宋体" w:cs="宋体"/>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4C55E889">
      <w:pPr>
        <w:snapToGrid w:val="0"/>
        <w:spacing w:before="50" w:after="50" w:line="360" w:lineRule="auto"/>
        <w:jc w:val="center"/>
        <w:rPr>
          <w:rFonts w:hint="eastAsia" w:ascii="宋体" w:hAnsi="宋体" w:eastAsia="宋体" w:cs="宋体"/>
          <w:b/>
          <w:sz w:val="24"/>
          <w:highlight w:val="none"/>
        </w:rPr>
      </w:pPr>
    </w:p>
    <w:p w14:paraId="6EB65C71">
      <w:pPr>
        <w:widowControl/>
        <w:spacing w:line="360" w:lineRule="auto"/>
        <w:ind w:left="150"/>
        <w:jc w:val="center"/>
        <w:rPr>
          <w:rFonts w:hint="eastAsia" w:ascii="宋体" w:hAnsi="宋体" w:eastAsia="宋体" w:cs="宋体"/>
          <w:b/>
          <w:kern w:val="0"/>
          <w:sz w:val="32"/>
          <w:szCs w:val="32"/>
          <w:highlight w:val="none"/>
        </w:rPr>
      </w:pPr>
    </w:p>
    <w:p w14:paraId="59F0C859">
      <w:pPr>
        <w:widowControl/>
        <w:spacing w:line="360" w:lineRule="auto"/>
        <w:jc w:val="both"/>
        <w:rPr>
          <w:rFonts w:hint="eastAsia" w:ascii="宋体" w:hAnsi="宋体" w:eastAsia="宋体" w:cs="宋体"/>
          <w:b/>
          <w:kern w:val="0"/>
          <w:sz w:val="32"/>
          <w:szCs w:val="32"/>
          <w:highlight w:val="none"/>
        </w:rPr>
      </w:pPr>
    </w:p>
    <w:p w14:paraId="15B33CE9">
      <w:pPr>
        <w:widowControl/>
        <w:spacing w:line="360" w:lineRule="auto"/>
        <w:jc w:val="center"/>
        <w:rPr>
          <w:rFonts w:hint="eastAsia" w:ascii="宋体" w:hAnsi="宋体" w:eastAsia="宋体" w:cs="宋体"/>
          <w:b/>
          <w:kern w:val="0"/>
          <w:sz w:val="32"/>
          <w:szCs w:val="32"/>
          <w:highlight w:val="none"/>
        </w:rPr>
      </w:pPr>
      <w:r>
        <w:rPr>
          <w:rFonts w:hint="eastAsia" w:ascii="宋体" w:hAnsi="宋体" w:cs="宋体"/>
          <w:b/>
          <w:kern w:val="0"/>
          <w:sz w:val="32"/>
          <w:szCs w:val="32"/>
          <w:highlight w:val="none"/>
          <w:lang w:val="en-US" w:eastAsia="zh-CN"/>
        </w:rPr>
        <w:t>三</w:t>
      </w:r>
      <w:r>
        <w:rPr>
          <w:rFonts w:hint="eastAsia" w:ascii="宋体" w:hAnsi="宋体" w:eastAsia="宋体" w:cs="宋体"/>
          <w:b/>
          <w:kern w:val="0"/>
          <w:sz w:val="32"/>
          <w:szCs w:val="32"/>
          <w:highlight w:val="none"/>
        </w:rPr>
        <w:t>、本项目的特定资格要求</w:t>
      </w:r>
    </w:p>
    <w:p w14:paraId="44850F19">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（根据招标公告本项目的特定资格要求提供相应的材料；未要求的，无需提供）</w:t>
      </w:r>
    </w:p>
    <w:p w14:paraId="73A44971">
      <w:pPr>
        <w:spacing w:line="360" w:lineRule="auto"/>
        <w:ind w:right="420"/>
        <w:jc w:val="center"/>
        <w:rPr>
          <w:rFonts w:hint="eastAsia" w:ascii="宋体" w:hAnsi="宋体" w:eastAsia="宋体" w:cs="宋体"/>
          <w:b/>
          <w:kern w:val="0"/>
          <w:sz w:val="36"/>
          <w:szCs w:val="36"/>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2CCE622C">
      <w:pPr>
        <w:spacing w:line="360" w:lineRule="auto"/>
        <w:ind w:right="420"/>
        <w:jc w:val="center"/>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商务技术文件部分</w:t>
      </w:r>
    </w:p>
    <w:p w14:paraId="02A6A75F">
      <w:pPr>
        <w:spacing w:line="360" w:lineRule="auto"/>
        <w:jc w:val="center"/>
        <w:outlineLvl w:val="0"/>
        <w:rPr>
          <w:rFonts w:hint="eastAsia" w:ascii="宋体" w:hAnsi="宋体" w:eastAsia="宋体" w:cs="宋体"/>
          <w:b/>
          <w:kern w:val="0"/>
          <w:sz w:val="24"/>
          <w:highlight w:val="none"/>
        </w:rPr>
      </w:pPr>
    </w:p>
    <w:p w14:paraId="6CF326BE">
      <w:pPr>
        <w:spacing w:line="360" w:lineRule="auto"/>
        <w:jc w:val="center"/>
        <w:outlineLvl w:val="0"/>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rPr>
        <w:t>目录</w:t>
      </w:r>
    </w:p>
    <w:p w14:paraId="3B9C8967">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highlight w:val="none"/>
        </w:rPr>
        <w:t>（1）投标函</w:t>
      </w:r>
      <w:r>
        <w:rPr>
          <w:rFonts w:hint="eastAsia" w:ascii="宋体" w:hAnsi="宋体" w:eastAsia="宋体" w:cs="宋体"/>
          <w:highlight w:val="none"/>
        </w:rPr>
        <w:t>…………………………………………………………………………………（页码）</w:t>
      </w:r>
      <w:r>
        <w:rPr>
          <w:rFonts w:hint="eastAsia" w:ascii="宋体" w:hAnsi="宋体" w:eastAsia="宋体" w:cs="宋体"/>
          <w:sz w:val="24"/>
          <w:highlight w:val="none"/>
        </w:rPr>
        <w:t>（2）授权委托书或法定代表人（单位负责人、自然人本人）身份证明</w:t>
      </w:r>
      <w:r>
        <w:rPr>
          <w:rFonts w:hint="eastAsia" w:ascii="宋体" w:hAnsi="宋体" w:eastAsia="宋体" w:cs="宋体"/>
          <w:highlight w:val="none"/>
        </w:rPr>
        <w:t>………（页码）</w:t>
      </w:r>
    </w:p>
    <w:p w14:paraId="01EDAF1B">
      <w:pPr>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）符合性审查资料</w:t>
      </w:r>
      <w:r>
        <w:rPr>
          <w:rFonts w:hint="eastAsia" w:ascii="宋体" w:hAnsi="宋体" w:eastAsia="宋体" w:cs="宋体"/>
          <w:highlight w:val="none"/>
        </w:rPr>
        <w:t>………………………………………………………………………（页码）</w:t>
      </w:r>
    </w:p>
    <w:p w14:paraId="3482E4B9">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）评标标准相应的商务技术资料</w:t>
      </w:r>
      <w:r>
        <w:rPr>
          <w:rFonts w:hint="eastAsia" w:ascii="宋体" w:hAnsi="宋体" w:eastAsia="宋体" w:cs="宋体"/>
          <w:highlight w:val="none"/>
        </w:rPr>
        <w:t>……………………………………………………（页码）</w:t>
      </w:r>
    </w:p>
    <w:p w14:paraId="19969CB2">
      <w:pPr>
        <w:snapToGrid w:val="0"/>
        <w:spacing w:line="360" w:lineRule="auto"/>
        <w:ind w:left="479" w:leftChars="228"/>
        <w:rPr>
          <w:rFonts w:hint="eastAsia" w:ascii="宋体" w:hAnsi="宋体" w:eastAsia="宋体" w:cs="宋体"/>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）投标标的清单</w:t>
      </w:r>
      <w:r>
        <w:rPr>
          <w:rFonts w:hint="eastAsia" w:ascii="宋体" w:hAnsi="宋体" w:eastAsia="宋体" w:cs="宋体"/>
          <w:color w:val="auto"/>
          <w:highlight w:val="none"/>
        </w:rPr>
        <w:t>………………</w:t>
      </w:r>
      <w:r>
        <w:rPr>
          <w:rFonts w:hint="eastAsia" w:ascii="宋体" w:hAnsi="宋体" w:eastAsia="宋体" w:cs="宋体"/>
          <w:highlight w:val="none"/>
        </w:rPr>
        <w:t>…………………………………………………………</w:t>
      </w:r>
      <w:r>
        <w:rPr>
          <w:rFonts w:hint="eastAsia" w:ascii="宋体" w:hAnsi="宋体" w:eastAsia="宋体" w:cs="宋体"/>
          <w:color w:val="auto"/>
          <w:highlight w:val="none"/>
        </w:rPr>
        <w:t>（页码）</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）商务技术偏离表</w:t>
      </w:r>
      <w:r>
        <w:rPr>
          <w:rFonts w:hint="eastAsia" w:ascii="宋体" w:hAnsi="宋体" w:eastAsia="宋体" w:cs="宋体"/>
          <w:highlight w:val="none"/>
        </w:rPr>
        <w:t>………………………………………………………………………（页码）</w:t>
      </w:r>
    </w:p>
    <w:p w14:paraId="75F233DE">
      <w:pPr>
        <w:snapToGrid w:val="0"/>
        <w:spacing w:line="360" w:lineRule="auto"/>
        <w:ind w:left="479" w:leftChars="228"/>
        <w:rPr>
          <w:rFonts w:hint="eastAsia" w:ascii="宋体" w:hAnsi="宋体" w:eastAsia="宋体" w:cs="宋体"/>
          <w:highlight w:val="none"/>
        </w:rPr>
      </w:pPr>
      <w:r>
        <w:rPr>
          <w:rFonts w:hint="eastAsia" w:ascii="宋体" w:hAnsi="宋体" w:eastAsia="宋体" w:cs="宋体"/>
          <w:sz w:val="24"/>
          <w:highlight w:val="none"/>
          <w:lang w:val="zh-CN"/>
        </w:rPr>
        <w:t>（</w:t>
      </w:r>
      <w:r>
        <w:rPr>
          <w:rFonts w:hint="eastAsia" w:ascii="宋体" w:hAnsi="宋体" w:eastAsia="宋体" w:cs="宋体"/>
          <w:sz w:val="24"/>
          <w:highlight w:val="none"/>
          <w:lang w:val="en-US" w:eastAsia="zh-CN"/>
        </w:rPr>
        <w:t>7</w:t>
      </w:r>
      <w:r>
        <w:rPr>
          <w:rFonts w:hint="eastAsia" w:ascii="宋体" w:hAnsi="宋体" w:eastAsia="宋体" w:cs="宋体"/>
          <w:sz w:val="24"/>
          <w:highlight w:val="none"/>
          <w:lang w:val="zh-CN"/>
        </w:rPr>
        <w:t>）政府采购供应商廉洁自律承诺书</w:t>
      </w:r>
      <w:r>
        <w:rPr>
          <w:rFonts w:hint="eastAsia" w:ascii="宋体" w:hAnsi="宋体" w:eastAsia="宋体" w:cs="宋体"/>
          <w:highlight w:val="none"/>
        </w:rPr>
        <w:t>…………………………………………………（页码）</w:t>
      </w:r>
    </w:p>
    <w:p w14:paraId="2F0F8E11">
      <w:pPr>
        <w:snapToGrid w:val="0"/>
        <w:spacing w:line="360" w:lineRule="auto"/>
        <w:jc w:val="center"/>
        <w:outlineLvl w:val="0"/>
        <w:rPr>
          <w:rFonts w:hint="eastAsia" w:ascii="宋体" w:hAnsi="宋体" w:eastAsia="宋体" w:cs="宋体"/>
          <w:b/>
          <w:kern w:val="0"/>
          <w:sz w:val="32"/>
          <w:szCs w:val="32"/>
          <w:highlight w:val="none"/>
        </w:rPr>
      </w:pPr>
    </w:p>
    <w:p w14:paraId="14545B0F">
      <w:pPr>
        <w:snapToGrid w:val="0"/>
        <w:spacing w:line="360" w:lineRule="auto"/>
        <w:jc w:val="center"/>
        <w:outlineLvl w:val="0"/>
        <w:rPr>
          <w:rFonts w:hint="eastAsia" w:ascii="宋体" w:hAnsi="宋体" w:eastAsia="宋体" w:cs="宋体"/>
          <w:b/>
          <w:kern w:val="0"/>
          <w:sz w:val="32"/>
          <w:szCs w:val="32"/>
          <w:highlight w:val="none"/>
        </w:rPr>
      </w:pPr>
    </w:p>
    <w:p w14:paraId="3685FBF4">
      <w:pPr>
        <w:snapToGrid w:val="0"/>
        <w:spacing w:line="360" w:lineRule="auto"/>
        <w:jc w:val="center"/>
        <w:outlineLvl w:val="0"/>
        <w:rPr>
          <w:rFonts w:hint="eastAsia" w:ascii="宋体" w:hAnsi="宋体" w:eastAsia="宋体" w:cs="宋体"/>
          <w:b/>
          <w:kern w:val="0"/>
          <w:sz w:val="32"/>
          <w:szCs w:val="32"/>
          <w:highlight w:val="none"/>
        </w:rPr>
      </w:pPr>
    </w:p>
    <w:p w14:paraId="754AC5F6">
      <w:pPr>
        <w:snapToGrid w:val="0"/>
        <w:spacing w:line="360" w:lineRule="auto"/>
        <w:jc w:val="center"/>
        <w:outlineLvl w:val="0"/>
        <w:rPr>
          <w:rFonts w:hint="eastAsia" w:ascii="宋体" w:hAnsi="宋体" w:eastAsia="宋体" w:cs="宋体"/>
          <w:b/>
          <w:kern w:val="0"/>
          <w:sz w:val="32"/>
          <w:szCs w:val="32"/>
          <w:highlight w:val="none"/>
        </w:rPr>
      </w:pPr>
    </w:p>
    <w:p w14:paraId="69CD6BA4">
      <w:pPr>
        <w:snapToGrid w:val="0"/>
        <w:spacing w:line="360" w:lineRule="auto"/>
        <w:jc w:val="center"/>
        <w:outlineLvl w:val="0"/>
        <w:rPr>
          <w:rFonts w:hint="eastAsia" w:ascii="宋体" w:hAnsi="宋体" w:eastAsia="宋体" w:cs="宋体"/>
          <w:b/>
          <w:kern w:val="0"/>
          <w:sz w:val="32"/>
          <w:szCs w:val="32"/>
          <w:highlight w:val="none"/>
        </w:rPr>
      </w:pPr>
    </w:p>
    <w:p w14:paraId="5CEDBCB2">
      <w:pPr>
        <w:snapToGrid w:val="0"/>
        <w:spacing w:line="360" w:lineRule="auto"/>
        <w:jc w:val="center"/>
        <w:outlineLvl w:val="0"/>
        <w:rPr>
          <w:rFonts w:hint="eastAsia" w:ascii="宋体" w:hAnsi="宋体" w:eastAsia="宋体" w:cs="宋体"/>
          <w:b/>
          <w:kern w:val="0"/>
          <w:sz w:val="32"/>
          <w:szCs w:val="32"/>
          <w:highlight w:val="none"/>
        </w:rPr>
      </w:pPr>
    </w:p>
    <w:p w14:paraId="2F782664">
      <w:pPr>
        <w:snapToGrid w:val="0"/>
        <w:spacing w:line="360" w:lineRule="auto"/>
        <w:jc w:val="center"/>
        <w:outlineLvl w:val="0"/>
        <w:rPr>
          <w:rFonts w:hint="eastAsia" w:ascii="宋体" w:hAnsi="宋体" w:eastAsia="宋体" w:cs="宋体"/>
          <w:b/>
          <w:kern w:val="0"/>
          <w:sz w:val="32"/>
          <w:szCs w:val="32"/>
          <w:highlight w:val="none"/>
        </w:rPr>
      </w:pPr>
    </w:p>
    <w:p w14:paraId="26B3C250">
      <w:pPr>
        <w:snapToGrid w:val="0"/>
        <w:spacing w:line="360" w:lineRule="auto"/>
        <w:jc w:val="center"/>
        <w:outlineLvl w:val="0"/>
        <w:rPr>
          <w:rFonts w:hint="eastAsia" w:ascii="宋体" w:hAnsi="宋体" w:eastAsia="宋体" w:cs="宋体"/>
          <w:b/>
          <w:kern w:val="0"/>
          <w:sz w:val="32"/>
          <w:szCs w:val="32"/>
          <w:highlight w:val="none"/>
        </w:rPr>
      </w:pPr>
    </w:p>
    <w:p w14:paraId="5B6B69C7">
      <w:pPr>
        <w:snapToGrid w:val="0"/>
        <w:spacing w:line="360" w:lineRule="auto"/>
        <w:jc w:val="center"/>
        <w:outlineLvl w:val="0"/>
        <w:rPr>
          <w:rFonts w:hint="eastAsia" w:ascii="宋体" w:hAnsi="宋体" w:eastAsia="宋体" w:cs="宋体"/>
          <w:b/>
          <w:kern w:val="0"/>
          <w:sz w:val="32"/>
          <w:szCs w:val="32"/>
          <w:highlight w:val="none"/>
        </w:rPr>
      </w:pPr>
    </w:p>
    <w:p w14:paraId="258B3EDB">
      <w:pPr>
        <w:snapToGrid w:val="0"/>
        <w:spacing w:line="360" w:lineRule="auto"/>
        <w:jc w:val="center"/>
        <w:outlineLvl w:val="0"/>
        <w:rPr>
          <w:rFonts w:hint="eastAsia" w:ascii="宋体" w:hAnsi="宋体" w:eastAsia="宋体" w:cs="宋体"/>
          <w:b/>
          <w:kern w:val="0"/>
          <w:sz w:val="32"/>
          <w:szCs w:val="32"/>
          <w:highlight w:val="none"/>
        </w:rPr>
      </w:pPr>
    </w:p>
    <w:p w14:paraId="2F3D906B">
      <w:pPr>
        <w:snapToGrid w:val="0"/>
        <w:spacing w:line="360" w:lineRule="auto"/>
        <w:jc w:val="center"/>
        <w:outlineLvl w:val="0"/>
        <w:rPr>
          <w:rFonts w:hint="eastAsia" w:ascii="宋体" w:hAnsi="宋体" w:eastAsia="宋体" w:cs="宋体"/>
          <w:b/>
          <w:kern w:val="0"/>
          <w:sz w:val="32"/>
          <w:szCs w:val="32"/>
          <w:highlight w:val="none"/>
        </w:rPr>
      </w:pPr>
    </w:p>
    <w:p w14:paraId="076FAA42">
      <w:pPr>
        <w:snapToGrid w:val="0"/>
        <w:spacing w:line="360" w:lineRule="auto"/>
        <w:jc w:val="center"/>
        <w:outlineLvl w:val="0"/>
        <w:rPr>
          <w:rFonts w:hint="eastAsia" w:ascii="宋体" w:hAnsi="宋体" w:eastAsia="宋体" w:cs="宋体"/>
          <w:b/>
          <w:kern w:val="0"/>
          <w:sz w:val="32"/>
          <w:szCs w:val="32"/>
          <w:highlight w:val="none"/>
        </w:rPr>
      </w:pPr>
    </w:p>
    <w:p w14:paraId="450F62F9">
      <w:pPr>
        <w:snapToGrid w:val="0"/>
        <w:spacing w:line="360" w:lineRule="auto"/>
        <w:jc w:val="center"/>
        <w:outlineLvl w:val="0"/>
        <w:rPr>
          <w:rFonts w:hint="eastAsia" w:ascii="宋体" w:hAnsi="宋体" w:eastAsia="宋体" w:cs="宋体"/>
          <w:b/>
          <w:kern w:val="0"/>
          <w:sz w:val="32"/>
          <w:szCs w:val="32"/>
          <w:highlight w:val="none"/>
        </w:rPr>
      </w:pPr>
    </w:p>
    <w:p w14:paraId="79119838">
      <w:pPr>
        <w:snapToGrid w:val="0"/>
        <w:spacing w:line="360" w:lineRule="auto"/>
        <w:jc w:val="center"/>
        <w:outlineLvl w:val="0"/>
        <w:rPr>
          <w:rFonts w:hint="eastAsia" w:ascii="宋体" w:hAnsi="宋体" w:eastAsia="宋体" w:cs="宋体"/>
          <w:b/>
          <w:kern w:val="0"/>
          <w:sz w:val="32"/>
          <w:szCs w:val="32"/>
          <w:highlight w:val="none"/>
        </w:rPr>
      </w:pPr>
    </w:p>
    <w:p w14:paraId="53855211">
      <w:pPr>
        <w:snapToGrid w:val="0"/>
        <w:spacing w:line="360" w:lineRule="auto"/>
        <w:jc w:val="center"/>
        <w:outlineLvl w:val="0"/>
        <w:rPr>
          <w:rFonts w:hint="eastAsia" w:ascii="宋体" w:hAnsi="宋体" w:eastAsia="宋体" w:cs="宋体"/>
          <w:b/>
          <w:sz w:val="32"/>
          <w:szCs w:val="32"/>
          <w:highlight w:val="none"/>
        </w:rPr>
      </w:pPr>
      <w:r>
        <w:rPr>
          <w:rFonts w:hint="eastAsia" w:ascii="宋体" w:hAnsi="宋体" w:eastAsia="宋体" w:cs="宋体"/>
          <w:b/>
          <w:kern w:val="0"/>
          <w:sz w:val="32"/>
          <w:szCs w:val="32"/>
          <w:highlight w:val="none"/>
        </w:rPr>
        <w:t>一、投标</w:t>
      </w:r>
      <w:r>
        <w:rPr>
          <w:rFonts w:hint="eastAsia" w:ascii="宋体" w:hAnsi="宋体" w:eastAsia="宋体" w:cs="宋体"/>
          <w:b/>
          <w:sz w:val="32"/>
          <w:szCs w:val="32"/>
          <w:highlight w:val="none"/>
        </w:rPr>
        <w:t>函</w:t>
      </w:r>
    </w:p>
    <w:p w14:paraId="0C83FA1E">
      <w:pPr>
        <w:keepNext w:val="0"/>
        <w:keepLines w:val="0"/>
        <w:pageBreakBefore w:val="0"/>
        <w:widowControl w:val="0"/>
        <w:kinsoku/>
        <w:wordWrap/>
        <w:overflowPunct/>
        <w:topLinePunct w:val="0"/>
        <w:autoSpaceDE/>
        <w:autoSpaceDN/>
        <w:bidi w:val="0"/>
        <w:adjustRightInd w:val="0"/>
        <w:snapToGrid w:val="0"/>
        <w:spacing w:line="400" w:lineRule="exact"/>
        <w:ind w:left="0" w:leftChars="0"/>
        <w:textAlignment w:val="auto"/>
        <w:rPr>
          <w:rFonts w:hint="eastAsia" w:ascii="宋体" w:hAnsi="宋体" w:eastAsia="宋体" w:cs="宋体"/>
          <w:sz w:val="24"/>
          <w:highlight w:val="none"/>
        </w:rPr>
      </w:pPr>
      <w:r>
        <w:rPr>
          <w:rFonts w:hint="eastAsia" w:ascii="宋体" w:hAnsi="宋体" w:eastAsia="宋体" w:cs="宋体"/>
          <w:sz w:val="24"/>
          <w:highlight w:val="none"/>
        </w:rPr>
        <w:t>（采购人）、（采购代理机构）：</w:t>
      </w:r>
    </w:p>
    <w:p w14:paraId="73F10D40">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我方参加你方组织的（项目名称）【招标编号：（采购编号）】招标的有关活动，并对此项目进行投标。为此：</w:t>
      </w:r>
    </w:p>
    <w:p w14:paraId="0A255A42">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1、我方承诺投标有效期从提交投标文件的截止之日起</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90</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天（不少于90天）</w:t>
      </w:r>
      <w:r>
        <w:rPr>
          <w:rFonts w:hint="eastAsia" w:ascii="宋体" w:hAnsi="宋体" w:eastAsia="宋体" w:cs="宋体"/>
          <w:highlight w:val="none"/>
        </w:rPr>
        <w:t>，</w:t>
      </w:r>
      <w:r>
        <w:rPr>
          <w:rFonts w:hint="eastAsia" w:ascii="宋体" w:hAnsi="宋体" w:eastAsia="宋体" w:cs="宋体"/>
          <w:sz w:val="24"/>
          <w:highlight w:val="none"/>
        </w:rPr>
        <w:t>本投标文件在投标有效期满之前均具有约束力。</w:t>
      </w:r>
    </w:p>
    <w:p w14:paraId="60F315C6">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2、我方的投标文件包括以下内容：</w:t>
      </w:r>
    </w:p>
    <w:p w14:paraId="46C4E2BE">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2.1资格文件：</w:t>
      </w:r>
    </w:p>
    <w:p w14:paraId="4B4A55B6">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2.1.1承诺函；</w:t>
      </w:r>
    </w:p>
    <w:p w14:paraId="0BAA026A">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2.1.2联合协议</w:t>
      </w:r>
      <w:bookmarkStart w:id="538" w:name="_Hlk101257010"/>
      <w:r>
        <w:rPr>
          <w:rFonts w:hint="eastAsia" w:ascii="宋体" w:hAnsi="宋体" w:eastAsia="宋体" w:cs="宋体"/>
          <w:sz w:val="24"/>
          <w:highlight w:val="none"/>
          <w:lang w:eastAsia="zh-CN"/>
        </w:rPr>
        <w:t>；</w:t>
      </w:r>
      <w:r>
        <w:rPr>
          <w:rFonts w:hint="eastAsia" w:ascii="宋体" w:hAnsi="宋体" w:eastAsia="宋体" w:cs="宋体"/>
          <w:sz w:val="24"/>
          <w:highlight w:val="none"/>
        </w:rPr>
        <w:t>（如果有)</w:t>
      </w:r>
      <w:bookmarkEnd w:id="538"/>
    </w:p>
    <w:p w14:paraId="6C550E5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2.1.</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落实政府采购政策需满足的资格要求；</w:t>
      </w:r>
    </w:p>
    <w:p w14:paraId="1CAF3CD5">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2.1.</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本项目的特定资格要求。</w:t>
      </w:r>
    </w:p>
    <w:p w14:paraId="21338A46">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lang w:val="zh-CN"/>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2</w:t>
      </w:r>
      <w:r>
        <w:rPr>
          <w:rFonts w:hint="eastAsia" w:ascii="宋体" w:hAnsi="宋体" w:eastAsia="宋体" w:cs="宋体"/>
          <w:sz w:val="24"/>
          <w:highlight w:val="none"/>
          <w:lang w:val="zh-CN"/>
        </w:rPr>
        <w:t xml:space="preserve"> </w:t>
      </w:r>
      <w:r>
        <w:rPr>
          <w:rFonts w:hint="eastAsia" w:ascii="宋体" w:hAnsi="宋体" w:eastAsia="宋体" w:cs="宋体"/>
          <w:sz w:val="24"/>
          <w:highlight w:val="none"/>
        </w:rPr>
        <w:t>商务技术</w:t>
      </w:r>
      <w:r>
        <w:rPr>
          <w:rFonts w:hint="eastAsia" w:ascii="宋体" w:hAnsi="宋体" w:eastAsia="宋体" w:cs="宋体"/>
          <w:sz w:val="24"/>
          <w:highlight w:val="none"/>
          <w:lang w:val="zh-CN"/>
        </w:rPr>
        <w:t>文件：</w:t>
      </w:r>
    </w:p>
    <w:p w14:paraId="623A298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2.2.1投标函；</w:t>
      </w:r>
      <w:r>
        <w:rPr>
          <w:rFonts w:hint="eastAsia" w:ascii="宋体" w:hAnsi="宋体" w:eastAsia="宋体" w:cs="宋体"/>
          <w:sz w:val="24"/>
          <w:highlight w:val="none"/>
          <w:lang w:val="zh-CN"/>
        </w:rPr>
        <w:t xml:space="preserve"> </w:t>
      </w:r>
    </w:p>
    <w:p w14:paraId="62890C0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2.2.2授权委托书或法定代表人（单位负责人）身份证明；</w:t>
      </w:r>
    </w:p>
    <w:p w14:paraId="3DE8DEF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2.2.</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符合性审查资料；</w:t>
      </w:r>
    </w:p>
    <w:p w14:paraId="14280FAB">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2.2.</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评标标准相应的商务技术资料；</w:t>
      </w:r>
    </w:p>
    <w:p w14:paraId="3E9E81D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lang w:eastAsia="zh-CN"/>
        </w:rPr>
      </w:pPr>
      <w:r>
        <w:rPr>
          <w:rFonts w:hint="eastAsia" w:ascii="宋体" w:hAnsi="宋体" w:eastAsia="宋体" w:cs="宋体"/>
          <w:sz w:val="24"/>
          <w:highlight w:val="none"/>
        </w:rPr>
        <w:t>2.2.</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投标标的清单</w:t>
      </w:r>
      <w:r>
        <w:rPr>
          <w:rFonts w:hint="eastAsia" w:ascii="宋体" w:hAnsi="宋体" w:eastAsia="宋体" w:cs="宋体"/>
          <w:sz w:val="24"/>
          <w:highlight w:val="none"/>
          <w:lang w:eastAsia="zh-CN"/>
        </w:rPr>
        <w:t>；</w:t>
      </w:r>
    </w:p>
    <w:p w14:paraId="21D56A5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2.2.</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商务技术偏离表；</w:t>
      </w:r>
    </w:p>
    <w:p w14:paraId="0A8087C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lang w:val="zh-CN"/>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lang w:val="en-US" w:eastAsia="zh-CN"/>
        </w:rPr>
        <w:t>7</w:t>
      </w:r>
      <w:r>
        <w:rPr>
          <w:rFonts w:hint="eastAsia" w:ascii="宋体" w:hAnsi="宋体" w:eastAsia="宋体" w:cs="宋体"/>
          <w:sz w:val="24"/>
          <w:highlight w:val="none"/>
          <w:lang w:val="zh-CN"/>
        </w:rPr>
        <w:t>政府采购供应商廉洁自律承诺书；</w:t>
      </w:r>
    </w:p>
    <w:p w14:paraId="6735B6C3">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3报价文件</w:t>
      </w:r>
    </w:p>
    <w:p w14:paraId="26B57E83">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2.3.1开标一览表（报价表）；</w:t>
      </w:r>
    </w:p>
    <w:p w14:paraId="4511F4E3">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2.3.2中小企业声明函（如果有）。</w:t>
      </w:r>
    </w:p>
    <w:p w14:paraId="6EBCAF8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3、我方承诺除商务技术偏离表列出的偏离外，我方响应招标文件的全部要求。</w:t>
      </w:r>
    </w:p>
    <w:p w14:paraId="7D3383BC">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4、如我方中标，我方承诺：</w:t>
      </w:r>
    </w:p>
    <w:p w14:paraId="33CEE961">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4.1在收到中标通知书后，在中标通知书规定的期限内与你方签订合同； </w:t>
      </w:r>
    </w:p>
    <w:p w14:paraId="53D5BF49">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4.2在签订合同时不向你方提出附加条件； </w:t>
      </w:r>
    </w:p>
    <w:p w14:paraId="2641ECCA">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4.3按照招标文件要求提交履约保证金； </w:t>
      </w:r>
    </w:p>
    <w:p w14:paraId="084CC2B0">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4.4在合同约定的期限内完成合同规定的全部义务。 </w:t>
      </w:r>
    </w:p>
    <w:p w14:paraId="718F8023">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5、其他补充说明:</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14:paraId="7B03F2D6">
      <w:pPr>
        <w:keepNext w:val="0"/>
        <w:keepLines w:val="0"/>
        <w:pageBreakBefore w:val="0"/>
        <w:widowControl w:val="0"/>
        <w:kinsoku/>
        <w:wordWrap/>
        <w:overflowPunct/>
        <w:topLinePunct w:val="0"/>
        <w:autoSpaceDE/>
        <w:autoSpaceDN/>
        <w:bidi w:val="0"/>
        <w:adjustRightInd w:val="0"/>
        <w:spacing w:line="400" w:lineRule="exact"/>
        <w:ind w:firstLine="3600" w:firstLineChars="1500"/>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投标人名称（电子签名）：                          </w:t>
      </w:r>
    </w:p>
    <w:p w14:paraId="36FB2382">
      <w:pPr>
        <w:keepNext w:val="0"/>
        <w:keepLines w:val="0"/>
        <w:pageBreakBefore w:val="0"/>
        <w:widowControl w:val="0"/>
        <w:kinsoku/>
        <w:wordWrap/>
        <w:overflowPunct/>
        <w:topLinePunct w:val="0"/>
        <w:autoSpaceDE/>
        <w:autoSpaceDN/>
        <w:bidi w:val="0"/>
        <w:adjustRightInd w:val="0"/>
        <w:spacing w:line="400" w:lineRule="exact"/>
        <w:jc w:val="center"/>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     日期：  年   月   日</w:t>
      </w:r>
    </w:p>
    <w:p w14:paraId="3F5DA35A">
      <w:pPr>
        <w:jc w:val="center"/>
        <w:rPr>
          <w:rFonts w:hint="eastAsia" w:ascii="宋体" w:hAnsi="宋体" w:eastAsia="宋体" w:cs="宋体"/>
          <w:b/>
          <w:kern w:val="0"/>
          <w:sz w:val="32"/>
          <w:szCs w:val="32"/>
          <w:highlight w:val="none"/>
          <w:lang w:val="zh-CN"/>
        </w:rPr>
      </w:pPr>
    </w:p>
    <w:p w14:paraId="12B2930A">
      <w:pPr>
        <w:jc w:val="center"/>
        <w:rPr>
          <w:rFonts w:hint="eastAsia" w:ascii="宋体" w:hAnsi="宋体" w:eastAsia="宋体" w:cs="宋体"/>
          <w:b/>
          <w:kern w:val="0"/>
          <w:sz w:val="32"/>
          <w:szCs w:val="32"/>
          <w:highlight w:val="none"/>
          <w:lang w:val="zh-CN"/>
        </w:rPr>
      </w:pPr>
    </w:p>
    <w:p w14:paraId="5ED7A6E6">
      <w:pPr>
        <w:jc w:val="center"/>
        <w:rPr>
          <w:rFonts w:hint="eastAsia" w:ascii="宋体" w:hAnsi="宋体" w:eastAsia="宋体" w:cs="宋体"/>
          <w:b/>
          <w:kern w:val="0"/>
          <w:sz w:val="32"/>
          <w:szCs w:val="32"/>
          <w:highlight w:val="none"/>
          <w:lang w:val="zh-CN"/>
        </w:rPr>
      </w:pPr>
      <w:r>
        <w:rPr>
          <w:rFonts w:hint="eastAsia" w:ascii="宋体" w:hAnsi="宋体" w:eastAsia="宋体" w:cs="宋体"/>
          <w:b/>
          <w:kern w:val="0"/>
          <w:sz w:val="32"/>
          <w:szCs w:val="32"/>
          <w:highlight w:val="none"/>
          <w:lang w:val="zh-CN"/>
        </w:rPr>
        <w:t>二、授权委托书或法定代表人（单位负责人、自然人本人）身份证明</w:t>
      </w:r>
    </w:p>
    <w:p w14:paraId="73B24257">
      <w:pPr>
        <w:snapToGrid w:val="0"/>
        <w:spacing w:line="360" w:lineRule="auto"/>
        <w:rPr>
          <w:rFonts w:hint="eastAsia" w:ascii="宋体" w:hAnsi="宋体" w:eastAsia="宋体" w:cs="宋体"/>
          <w:sz w:val="24"/>
          <w:highlight w:val="none"/>
        </w:rPr>
      </w:pPr>
    </w:p>
    <w:p w14:paraId="4D521038">
      <w:pPr>
        <w:snapToGrid w:val="0"/>
        <w:spacing w:line="360" w:lineRule="auto"/>
        <w:jc w:val="center"/>
        <w:rPr>
          <w:rFonts w:hint="eastAsia" w:ascii="宋体" w:hAnsi="宋体" w:eastAsia="宋体" w:cs="宋体"/>
          <w:highlight w:val="none"/>
        </w:rPr>
      </w:pPr>
      <w:r>
        <w:rPr>
          <w:rFonts w:hint="eastAsia" w:ascii="宋体" w:hAnsi="宋体" w:eastAsia="宋体" w:cs="宋体"/>
          <w:b/>
          <w:kern w:val="0"/>
          <w:sz w:val="32"/>
          <w:szCs w:val="32"/>
          <w:highlight w:val="none"/>
          <w:lang w:val="zh-CN"/>
        </w:rPr>
        <w:t>授权委托书</w:t>
      </w:r>
    </w:p>
    <w:p w14:paraId="08F3C54C">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r>
        <w:rPr>
          <w:rFonts w:hint="eastAsia" w:ascii="宋体" w:hAnsi="宋体" w:eastAsia="宋体" w:cs="宋体"/>
          <w:kern w:val="0"/>
          <w:sz w:val="24"/>
          <w:highlight w:val="none"/>
          <w:lang w:val="zh-CN"/>
        </w:rPr>
        <w:t>：</w:t>
      </w:r>
    </w:p>
    <w:p w14:paraId="625EB8B9">
      <w:pPr>
        <w:snapToGrid w:val="0"/>
        <w:spacing w:line="360" w:lineRule="auto"/>
        <w:ind w:firstLine="576"/>
        <w:rPr>
          <w:rFonts w:hint="eastAsia" w:ascii="宋体" w:hAnsi="宋体" w:eastAsia="宋体" w:cs="宋体"/>
          <w:kern w:val="0"/>
          <w:sz w:val="24"/>
          <w:highlight w:val="none"/>
        </w:rPr>
      </w:pPr>
      <w:r>
        <w:rPr>
          <w:rFonts w:hint="eastAsia" w:ascii="宋体" w:hAnsi="宋体" w:eastAsia="宋体" w:cs="宋体"/>
          <w:kern w:val="0"/>
          <w:sz w:val="24"/>
          <w:highlight w:val="none"/>
        </w:rPr>
        <w:t>现</w:t>
      </w:r>
      <w:r>
        <w:rPr>
          <w:rFonts w:hint="eastAsia" w:ascii="宋体" w:hAnsi="宋体" w:eastAsia="宋体" w:cs="宋体"/>
          <w:kern w:val="0"/>
          <w:sz w:val="24"/>
          <w:highlight w:val="none"/>
          <w:lang w:val="zh-CN"/>
        </w:rPr>
        <w:t>委托（姓名）为我方代理人（身份证号码：，手机：），以我方名义处理</w:t>
      </w:r>
      <w:r>
        <w:rPr>
          <w:rFonts w:hint="eastAsia" w:ascii="宋体" w:hAnsi="宋体" w:eastAsia="宋体" w:cs="宋体"/>
          <w:sz w:val="24"/>
          <w:highlight w:val="none"/>
        </w:rPr>
        <w:t>（项目名称）【招标编号：（采购编号）】</w:t>
      </w:r>
      <w:r>
        <w:rPr>
          <w:rFonts w:hint="eastAsia" w:ascii="宋体" w:hAnsi="宋体" w:eastAsia="宋体" w:cs="宋体"/>
          <w:kern w:val="0"/>
          <w:sz w:val="24"/>
          <w:highlight w:val="none"/>
          <w:lang w:val="zh-CN"/>
        </w:rPr>
        <w:t>政府采购投标的一切事项，其法律后果由我方承担。</w:t>
      </w:r>
    </w:p>
    <w:p w14:paraId="6F8D99E3">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委托期限</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自年月日起至年月日止。</w:t>
      </w:r>
    </w:p>
    <w:p w14:paraId="6812A10D">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特此告知。</w:t>
      </w:r>
    </w:p>
    <w:p w14:paraId="4C829EF7">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 xml:space="preserve">                                                 投标人名称(电子签名)：</w:t>
      </w:r>
    </w:p>
    <w:p w14:paraId="706952CF">
      <w:pPr>
        <w:snapToGrid w:val="0"/>
        <w:spacing w:line="360" w:lineRule="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签发日期：  年  月   日</w:t>
      </w:r>
    </w:p>
    <w:p w14:paraId="1F21F751">
      <w:pPr>
        <w:snapToGrid w:val="0"/>
        <w:spacing w:line="360" w:lineRule="auto"/>
        <w:rPr>
          <w:rFonts w:hint="eastAsia" w:ascii="宋体" w:hAnsi="宋体" w:eastAsia="宋体" w:cs="宋体"/>
          <w:kern w:val="0"/>
          <w:sz w:val="24"/>
          <w:highlight w:val="none"/>
          <w:lang w:val="zh-CN"/>
        </w:rPr>
      </w:pPr>
    </w:p>
    <w:p w14:paraId="5B78EB11">
      <w:pPr>
        <w:autoSpaceDE w:val="0"/>
        <w:autoSpaceDN w:val="0"/>
        <w:spacing w:line="360" w:lineRule="auto"/>
        <w:jc w:val="center"/>
        <w:rPr>
          <w:rFonts w:hint="eastAsia" w:ascii="宋体" w:hAnsi="宋体" w:eastAsia="宋体" w:cs="宋体"/>
          <w:b/>
          <w:sz w:val="24"/>
          <w:highlight w:val="none"/>
        </w:rPr>
      </w:pPr>
      <w:r>
        <w:rPr>
          <w:rFonts w:hint="eastAsia" w:ascii="宋体" w:hAnsi="宋体" w:eastAsia="宋体" w:cs="宋体"/>
          <w:b/>
          <w:kern w:val="0"/>
          <w:sz w:val="32"/>
          <w:szCs w:val="32"/>
          <w:highlight w:val="none"/>
          <w:lang w:val="zh-CN"/>
        </w:rPr>
        <w:t>法定代表人、单位负责人或自然人本人</w:t>
      </w:r>
      <w:r>
        <w:rPr>
          <w:rFonts w:hint="eastAsia" w:ascii="宋体" w:hAnsi="宋体" w:eastAsia="宋体" w:cs="宋体"/>
          <w:b/>
          <w:sz w:val="30"/>
          <w:szCs w:val="30"/>
          <w:highlight w:val="none"/>
        </w:rPr>
        <w:t>的身份证明（适用于法定代表人、单位负责人或者自然人本人代表投标人参加投标）</w:t>
      </w:r>
    </w:p>
    <w:p w14:paraId="616545CA">
      <w:pPr>
        <w:pStyle w:val="151"/>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身份证件扫描件：</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790D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11BB6B">
            <w:pPr>
              <w:pStyle w:val="151"/>
              <w:adjustRightIn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正面：                                 反面：</w:t>
            </w:r>
          </w:p>
          <w:p w14:paraId="635D2246">
            <w:pPr>
              <w:pStyle w:val="151"/>
              <w:adjustRightInd w:val="0"/>
              <w:spacing w:line="360" w:lineRule="auto"/>
              <w:rPr>
                <w:rFonts w:hint="eastAsia" w:ascii="宋体" w:hAnsi="宋体" w:eastAsia="宋体" w:cs="宋体"/>
                <w:bCs/>
                <w:sz w:val="24"/>
                <w:highlight w:val="none"/>
              </w:rPr>
            </w:pPr>
          </w:p>
        </w:tc>
      </w:tr>
    </w:tbl>
    <w:p w14:paraId="0E3DF293">
      <w:pPr>
        <w:snapToGrid w:val="0"/>
        <w:spacing w:line="360" w:lineRule="auto"/>
        <w:ind w:firstLine="576"/>
        <w:jc w:val="center"/>
        <w:rPr>
          <w:rFonts w:hint="eastAsia" w:ascii="宋体" w:hAnsi="宋体" w:eastAsia="宋体" w:cs="宋体"/>
          <w:kern w:val="0"/>
          <w:sz w:val="24"/>
          <w:highlight w:val="none"/>
          <w:lang w:val="zh-CN"/>
        </w:rPr>
      </w:pPr>
    </w:p>
    <w:p w14:paraId="1D6E9FFD">
      <w:pPr>
        <w:snapToGrid w:val="0"/>
        <w:spacing w:line="360" w:lineRule="auto"/>
        <w:ind w:firstLine="576"/>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投标人名称(电子签名)：                              </w:t>
      </w:r>
    </w:p>
    <w:p w14:paraId="2D09EB20">
      <w:pPr>
        <w:spacing w:line="360" w:lineRule="auto"/>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4D940BF1">
      <w:pPr>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三</w:t>
      </w:r>
      <w:r>
        <w:rPr>
          <w:rFonts w:hint="eastAsia" w:ascii="宋体" w:hAnsi="宋体" w:eastAsia="宋体" w:cs="宋体"/>
          <w:b/>
          <w:kern w:val="0"/>
          <w:sz w:val="32"/>
          <w:szCs w:val="32"/>
          <w:highlight w:val="none"/>
        </w:rPr>
        <w:t>、符合性审查资料</w:t>
      </w:r>
    </w:p>
    <w:p w14:paraId="7CE23B69">
      <w:pPr>
        <w:jc w:val="center"/>
        <w:rPr>
          <w:rFonts w:hint="eastAsia" w:ascii="宋体" w:hAnsi="宋体" w:eastAsia="宋体" w:cs="宋体"/>
          <w:b/>
          <w:kern w:val="0"/>
          <w:sz w:val="32"/>
          <w:szCs w:val="32"/>
          <w:highlight w:val="none"/>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C819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4AC1781">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4991" w:type="dxa"/>
            <w:vAlign w:val="center"/>
          </w:tcPr>
          <w:p w14:paraId="7F3D09E8">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实质性要求</w:t>
            </w:r>
          </w:p>
        </w:tc>
        <w:tc>
          <w:tcPr>
            <w:tcW w:w="2551" w:type="dxa"/>
            <w:vAlign w:val="center"/>
          </w:tcPr>
          <w:p w14:paraId="7FE7602C">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需要提供的符合性审查资料</w:t>
            </w:r>
          </w:p>
        </w:tc>
        <w:tc>
          <w:tcPr>
            <w:tcW w:w="1418" w:type="dxa"/>
            <w:vAlign w:val="center"/>
          </w:tcPr>
          <w:p w14:paraId="7FE215AB">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投标文件中的</w:t>
            </w:r>
          </w:p>
          <w:p w14:paraId="2C82541B">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页码位置</w:t>
            </w:r>
          </w:p>
        </w:tc>
      </w:tr>
      <w:tr w14:paraId="43A0A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8A14B2C">
            <w:pPr>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4991" w:type="dxa"/>
            <w:vAlign w:val="center"/>
          </w:tcPr>
          <w:p w14:paraId="2CC7BB7C">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投标文件按照招标文件要求签署、盖章。</w:t>
            </w:r>
          </w:p>
        </w:tc>
        <w:tc>
          <w:tcPr>
            <w:tcW w:w="2551" w:type="dxa"/>
            <w:vAlign w:val="center"/>
          </w:tcPr>
          <w:p w14:paraId="7BD1F5C2">
            <w:pPr>
              <w:rPr>
                <w:rFonts w:hint="eastAsia" w:ascii="宋体" w:hAnsi="宋体" w:eastAsia="宋体" w:cs="宋体"/>
                <w:sz w:val="24"/>
                <w:highlight w:val="none"/>
              </w:rPr>
            </w:pPr>
            <w:r>
              <w:rPr>
                <w:rFonts w:hint="eastAsia" w:ascii="宋体" w:hAnsi="宋体" w:eastAsia="宋体" w:cs="宋体"/>
                <w:sz w:val="24"/>
                <w:highlight w:val="none"/>
              </w:rPr>
              <w:t>需要使用电子签名或者签字盖章的投标文件的组成部分</w:t>
            </w:r>
          </w:p>
        </w:tc>
        <w:tc>
          <w:tcPr>
            <w:tcW w:w="1418" w:type="dxa"/>
            <w:vAlign w:val="center"/>
          </w:tcPr>
          <w:p w14:paraId="0EFB5DF2">
            <w:pPr>
              <w:rPr>
                <w:rFonts w:hint="eastAsia" w:ascii="宋体" w:hAnsi="宋体" w:eastAsia="宋体" w:cs="宋体"/>
                <w:sz w:val="24"/>
                <w:highlight w:val="none"/>
              </w:rPr>
            </w:pPr>
          </w:p>
          <w:p w14:paraId="246373B0">
            <w:pPr>
              <w:rPr>
                <w:rFonts w:hint="eastAsia" w:ascii="宋体" w:hAnsi="宋体" w:eastAsia="宋体" w:cs="宋体"/>
                <w:sz w:val="24"/>
                <w:highlight w:val="none"/>
              </w:rPr>
            </w:pPr>
            <w:r>
              <w:rPr>
                <w:rFonts w:hint="eastAsia" w:ascii="宋体" w:hAnsi="宋体" w:eastAsia="宋体" w:cs="宋体"/>
                <w:sz w:val="24"/>
                <w:highlight w:val="none"/>
              </w:rPr>
              <w:t>见投标文件</w:t>
            </w:r>
          </w:p>
          <w:p w14:paraId="5649B60A">
            <w:pPr>
              <w:rPr>
                <w:rFonts w:hint="eastAsia" w:ascii="宋体" w:hAnsi="宋体" w:eastAsia="宋体" w:cs="宋体"/>
                <w:highlight w:val="none"/>
              </w:rPr>
            </w:pPr>
            <w:r>
              <w:rPr>
                <w:rFonts w:hint="eastAsia" w:ascii="宋体" w:hAnsi="宋体" w:eastAsia="宋体" w:cs="宋体"/>
                <w:sz w:val="24"/>
                <w:highlight w:val="none"/>
              </w:rPr>
              <w:t>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5F13A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F120D2">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4991" w:type="dxa"/>
            <w:vAlign w:val="center"/>
          </w:tcPr>
          <w:p w14:paraId="4155D34E">
            <w:pPr>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7D2599DD">
            <w:pPr>
              <w:rPr>
                <w:rFonts w:hint="eastAsia" w:ascii="宋体" w:hAnsi="宋体" w:eastAsia="宋体" w:cs="宋体"/>
                <w:sz w:val="24"/>
                <w:highlight w:val="none"/>
              </w:rPr>
            </w:pPr>
            <w:r>
              <w:rPr>
                <w:rFonts w:hint="eastAsia" w:ascii="宋体" w:hAnsi="宋体" w:eastAsia="宋体" w:cs="宋体"/>
                <w:sz w:val="24"/>
                <w:highlight w:val="none"/>
              </w:rPr>
              <w:t>节能产品认证证书（本项目拟采购的产品不属于政府强制采购的节能产品品目清单范围的，无需提供）</w:t>
            </w:r>
          </w:p>
        </w:tc>
        <w:tc>
          <w:tcPr>
            <w:tcW w:w="1418" w:type="dxa"/>
            <w:vAlign w:val="center"/>
          </w:tcPr>
          <w:p w14:paraId="0CC0390D">
            <w:pPr>
              <w:rPr>
                <w:rFonts w:hint="eastAsia" w:ascii="宋体" w:hAnsi="宋体" w:eastAsia="宋体" w:cs="宋体"/>
                <w:sz w:val="24"/>
                <w:highlight w:val="none"/>
              </w:rPr>
            </w:pPr>
          </w:p>
          <w:p w14:paraId="35AE4552">
            <w:pPr>
              <w:rPr>
                <w:rFonts w:hint="eastAsia" w:ascii="宋体" w:hAnsi="宋体" w:eastAsia="宋体" w:cs="宋体"/>
                <w:sz w:val="24"/>
                <w:highlight w:val="none"/>
              </w:rPr>
            </w:pPr>
          </w:p>
          <w:p w14:paraId="25AC79D7">
            <w:pPr>
              <w:rPr>
                <w:rFonts w:hint="eastAsia" w:ascii="宋体" w:hAnsi="宋体" w:eastAsia="宋体" w:cs="宋体"/>
                <w:sz w:val="24"/>
                <w:highlight w:val="none"/>
              </w:rPr>
            </w:pPr>
            <w:r>
              <w:rPr>
                <w:rFonts w:hint="eastAsia" w:ascii="宋体" w:hAnsi="宋体" w:eastAsia="宋体" w:cs="宋体"/>
                <w:sz w:val="24"/>
                <w:highlight w:val="none"/>
              </w:rPr>
              <w:t>见投标文件</w:t>
            </w:r>
          </w:p>
          <w:p w14:paraId="0FEE739E">
            <w:pPr>
              <w:pStyle w:val="4"/>
              <w:rPr>
                <w:rFonts w:hint="eastAsia" w:ascii="宋体" w:hAnsi="宋体" w:eastAsia="宋体" w:cs="宋体"/>
                <w:highlight w:val="none"/>
                <w:lang w:val="en-US"/>
              </w:rPr>
            </w:pPr>
            <w:r>
              <w:rPr>
                <w:rFonts w:hint="eastAsia" w:ascii="宋体" w:hAnsi="宋体" w:eastAsia="宋体" w:cs="宋体"/>
                <w:b w:val="0"/>
                <w:bCs w:val="0"/>
                <w:sz w:val="24"/>
                <w:szCs w:val="24"/>
                <w:highlight w:val="none"/>
                <w:lang w:val="en-US"/>
              </w:rPr>
              <w:t>第</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lang w:val="en-US"/>
              </w:rPr>
              <w:t>页</w:t>
            </w:r>
          </w:p>
        </w:tc>
      </w:tr>
      <w:tr w14:paraId="370AA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576418B">
            <w:pPr>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4991" w:type="dxa"/>
            <w:vAlign w:val="center"/>
          </w:tcPr>
          <w:p w14:paraId="41E90C63">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投标文件中承诺的投标有效期不少于招标文件中载明的投标有效期。</w:t>
            </w:r>
          </w:p>
        </w:tc>
        <w:tc>
          <w:tcPr>
            <w:tcW w:w="2551" w:type="dxa"/>
            <w:vAlign w:val="center"/>
          </w:tcPr>
          <w:p w14:paraId="14BD57E0">
            <w:pPr>
              <w:rPr>
                <w:rFonts w:hint="eastAsia" w:ascii="宋体" w:hAnsi="宋体" w:eastAsia="宋体" w:cs="宋体"/>
                <w:sz w:val="24"/>
                <w:highlight w:val="none"/>
              </w:rPr>
            </w:pPr>
            <w:r>
              <w:rPr>
                <w:rFonts w:hint="eastAsia" w:ascii="宋体" w:hAnsi="宋体" w:eastAsia="宋体" w:cs="宋体"/>
                <w:sz w:val="24"/>
                <w:highlight w:val="none"/>
              </w:rPr>
              <w:t>投标函</w:t>
            </w:r>
          </w:p>
        </w:tc>
        <w:tc>
          <w:tcPr>
            <w:tcW w:w="1418" w:type="dxa"/>
            <w:vAlign w:val="center"/>
          </w:tcPr>
          <w:p w14:paraId="22E9E2CA">
            <w:pPr>
              <w:rPr>
                <w:rFonts w:hint="eastAsia" w:ascii="宋体" w:hAnsi="宋体" w:eastAsia="宋体" w:cs="宋体"/>
                <w:highlight w:val="none"/>
              </w:rPr>
            </w:pPr>
            <w:r>
              <w:rPr>
                <w:rFonts w:hint="eastAsia" w:ascii="宋体" w:hAnsi="宋体" w:eastAsia="宋体" w:cs="宋体"/>
                <w:sz w:val="24"/>
                <w:highlight w:val="none"/>
              </w:rPr>
              <w:t>见投标文件第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7491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64D59D1">
            <w:pPr>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4991" w:type="dxa"/>
            <w:vAlign w:val="center"/>
          </w:tcPr>
          <w:p w14:paraId="1D196100">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投标文件满足招标文件的其它实质性要求。</w:t>
            </w:r>
          </w:p>
        </w:tc>
        <w:tc>
          <w:tcPr>
            <w:tcW w:w="2551" w:type="dxa"/>
            <w:vAlign w:val="center"/>
          </w:tcPr>
          <w:p w14:paraId="05DCE9CB">
            <w:pPr>
              <w:rPr>
                <w:rFonts w:hint="eastAsia" w:ascii="宋体" w:hAnsi="宋体" w:eastAsia="宋体" w:cs="宋体"/>
                <w:sz w:val="24"/>
                <w:highlight w:val="none"/>
              </w:rPr>
            </w:pPr>
            <w:r>
              <w:rPr>
                <w:rFonts w:hint="eastAsia" w:ascii="宋体" w:hAnsi="宋体" w:eastAsia="宋体" w:cs="宋体"/>
                <w:kern w:val="0"/>
                <w:sz w:val="24"/>
                <w:highlight w:val="none"/>
              </w:rPr>
              <w:t>招标文件其它实质性要求相应的材料（“▲” 系指实质性要求条款，招标文件无其它实质性要求的，无需提供）</w:t>
            </w:r>
          </w:p>
        </w:tc>
        <w:tc>
          <w:tcPr>
            <w:tcW w:w="1418" w:type="dxa"/>
            <w:vAlign w:val="center"/>
          </w:tcPr>
          <w:p w14:paraId="78B89166">
            <w:pPr>
              <w:rPr>
                <w:rFonts w:hint="eastAsia" w:ascii="宋体" w:hAnsi="宋体" w:eastAsia="宋体" w:cs="宋体"/>
                <w:highlight w:val="none"/>
              </w:rPr>
            </w:pPr>
            <w:r>
              <w:rPr>
                <w:rFonts w:hint="eastAsia" w:ascii="宋体" w:hAnsi="宋体" w:eastAsia="宋体" w:cs="宋体"/>
                <w:sz w:val="24"/>
                <w:highlight w:val="none"/>
              </w:rPr>
              <w:t>见投标文件第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bl>
    <w:p w14:paraId="4A9C30E5">
      <w:pPr>
        <w:jc w:val="center"/>
        <w:rPr>
          <w:rFonts w:hint="eastAsia" w:ascii="宋体" w:hAnsi="宋体" w:eastAsia="宋体" w:cs="宋体"/>
          <w:b/>
          <w:kern w:val="0"/>
          <w:sz w:val="32"/>
          <w:szCs w:val="32"/>
          <w:highlight w:val="none"/>
        </w:rPr>
      </w:pPr>
    </w:p>
    <w:p w14:paraId="5A8606A3">
      <w:pPr>
        <w:jc w:val="center"/>
        <w:rPr>
          <w:rFonts w:hint="eastAsia" w:ascii="宋体" w:hAnsi="宋体" w:eastAsia="宋体" w:cs="宋体"/>
          <w:b/>
          <w:kern w:val="0"/>
          <w:sz w:val="32"/>
          <w:szCs w:val="32"/>
          <w:highlight w:val="none"/>
        </w:rPr>
      </w:pPr>
    </w:p>
    <w:p w14:paraId="01C5E9EB">
      <w:pPr>
        <w:jc w:val="center"/>
        <w:rPr>
          <w:rFonts w:hint="eastAsia" w:ascii="宋体" w:hAnsi="宋体" w:eastAsia="宋体" w:cs="宋体"/>
          <w:b/>
          <w:kern w:val="0"/>
          <w:sz w:val="32"/>
          <w:szCs w:val="32"/>
          <w:highlight w:val="none"/>
        </w:rPr>
      </w:pPr>
    </w:p>
    <w:p w14:paraId="6F977C34">
      <w:pPr>
        <w:jc w:val="center"/>
        <w:rPr>
          <w:rFonts w:hint="eastAsia" w:ascii="宋体" w:hAnsi="宋体" w:eastAsia="宋体" w:cs="宋体"/>
          <w:b/>
          <w:kern w:val="0"/>
          <w:sz w:val="32"/>
          <w:szCs w:val="32"/>
          <w:highlight w:val="none"/>
        </w:rPr>
      </w:pPr>
    </w:p>
    <w:p w14:paraId="51CC443C">
      <w:pPr>
        <w:jc w:val="center"/>
        <w:rPr>
          <w:rFonts w:hint="eastAsia" w:ascii="宋体" w:hAnsi="宋体" w:eastAsia="宋体" w:cs="宋体"/>
          <w:b/>
          <w:kern w:val="0"/>
          <w:sz w:val="32"/>
          <w:szCs w:val="32"/>
          <w:highlight w:val="none"/>
        </w:rPr>
      </w:pPr>
    </w:p>
    <w:p w14:paraId="2F378CF7">
      <w:pPr>
        <w:jc w:val="center"/>
        <w:rPr>
          <w:rFonts w:hint="eastAsia" w:ascii="宋体" w:hAnsi="宋体" w:eastAsia="宋体" w:cs="宋体"/>
          <w:b/>
          <w:kern w:val="0"/>
          <w:sz w:val="32"/>
          <w:szCs w:val="32"/>
          <w:highlight w:val="none"/>
        </w:rPr>
      </w:pPr>
    </w:p>
    <w:p w14:paraId="77823333">
      <w:pPr>
        <w:jc w:val="center"/>
        <w:rPr>
          <w:rFonts w:hint="eastAsia" w:ascii="宋体" w:hAnsi="宋体" w:eastAsia="宋体" w:cs="宋体"/>
          <w:b/>
          <w:kern w:val="0"/>
          <w:sz w:val="32"/>
          <w:szCs w:val="32"/>
          <w:highlight w:val="none"/>
        </w:rPr>
      </w:pPr>
    </w:p>
    <w:p w14:paraId="459929F6">
      <w:pPr>
        <w:jc w:val="center"/>
        <w:rPr>
          <w:rFonts w:hint="eastAsia" w:ascii="宋体" w:hAnsi="宋体" w:eastAsia="宋体" w:cs="宋体"/>
          <w:b/>
          <w:kern w:val="0"/>
          <w:sz w:val="32"/>
          <w:szCs w:val="32"/>
          <w:highlight w:val="none"/>
        </w:rPr>
      </w:pPr>
    </w:p>
    <w:p w14:paraId="0FADD4DA">
      <w:pPr>
        <w:jc w:val="center"/>
        <w:rPr>
          <w:rFonts w:hint="eastAsia" w:ascii="宋体" w:hAnsi="宋体" w:eastAsia="宋体" w:cs="宋体"/>
          <w:b/>
          <w:kern w:val="0"/>
          <w:sz w:val="32"/>
          <w:szCs w:val="32"/>
          <w:highlight w:val="none"/>
        </w:rPr>
      </w:pPr>
    </w:p>
    <w:p w14:paraId="5DC9F4E2">
      <w:pPr>
        <w:jc w:val="center"/>
        <w:rPr>
          <w:rFonts w:hint="eastAsia" w:ascii="宋体" w:hAnsi="宋体" w:eastAsia="宋体" w:cs="宋体"/>
          <w:b/>
          <w:kern w:val="0"/>
          <w:sz w:val="32"/>
          <w:szCs w:val="32"/>
          <w:highlight w:val="none"/>
        </w:rPr>
      </w:pPr>
    </w:p>
    <w:p w14:paraId="097C589B">
      <w:pPr>
        <w:jc w:val="center"/>
        <w:rPr>
          <w:rFonts w:hint="eastAsia" w:ascii="宋体" w:hAnsi="宋体" w:eastAsia="宋体" w:cs="宋体"/>
          <w:b/>
          <w:kern w:val="0"/>
          <w:sz w:val="32"/>
          <w:szCs w:val="32"/>
          <w:highlight w:val="none"/>
        </w:rPr>
      </w:pPr>
    </w:p>
    <w:p w14:paraId="2CD52108">
      <w:pPr>
        <w:jc w:val="center"/>
        <w:rPr>
          <w:rFonts w:hint="eastAsia" w:ascii="宋体" w:hAnsi="宋体" w:eastAsia="宋体" w:cs="宋体"/>
          <w:b/>
          <w:kern w:val="0"/>
          <w:sz w:val="32"/>
          <w:szCs w:val="32"/>
          <w:highlight w:val="none"/>
        </w:rPr>
      </w:pPr>
    </w:p>
    <w:p w14:paraId="57EAFAE0">
      <w:pPr>
        <w:jc w:val="center"/>
        <w:rPr>
          <w:rFonts w:hint="eastAsia" w:ascii="宋体" w:hAnsi="宋体" w:eastAsia="宋体" w:cs="宋体"/>
          <w:b/>
          <w:kern w:val="0"/>
          <w:sz w:val="32"/>
          <w:szCs w:val="32"/>
          <w:highlight w:val="none"/>
        </w:rPr>
      </w:pPr>
    </w:p>
    <w:p w14:paraId="2C83AC15">
      <w:pPr>
        <w:jc w:val="center"/>
        <w:rPr>
          <w:rFonts w:hint="eastAsia" w:ascii="宋体" w:hAnsi="宋体" w:eastAsia="宋体" w:cs="宋体"/>
          <w:b/>
          <w:kern w:val="0"/>
          <w:sz w:val="32"/>
          <w:szCs w:val="32"/>
          <w:highlight w:val="none"/>
        </w:rPr>
      </w:pPr>
    </w:p>
    <w:p w14:paraId="16971606">
      <w:pPr>
        <w:jc w:val="center"/>
        <w:rPr>
          <w:rFonts w:hint="eastAsia" w:ascii="宋体" w:hAnsi="宋体" w:eastAsia="宋体" w:cs="宋体"/>
          <w:b/>
          <w:kern w:val="0"/>
          <w:sz w:val="32"/>
          <w:szCs w:val="32"/>
          <w:highlight w:val="none"/>
        </w:rPr>
      </w:pPr>
    </w:p>
    <w:p w14:paraId="1338B681">
      <w:pPr>
        <w:jc w:val="center"/>
        <w:rPr>
          <w:rFonts w:hint="eastAsia" w:ascii="宋体" w:hAnsi="宋体" w:eastAsia="宋体" w:cs="宋体"/>
          <w:b/>
          <w:kern w:val="0"/>
          <w:sz w:val="32"/>
          <w:szCs w:val="32"/>
          <w:highlight w:val="none"/>
        </w:rPr>
      </w:pPr>
    </w:p>
    <w:p w14:paraId="19A9907E">
      <w:pPr>
        <w:jc w:val="center"/>
        <w:rPr>
          <w:rFonts w:hint="eastAsia" w:ascii="宋体" w:hAnsi="宋体" w:eastAsia="宋体" w:cs="宋体"/>
          <w:highlight w:val="none"/>
        </w:rPr>
      </w:pPr>
      <w:r>
        <w:rPr>
          <w:rFonts w:hint="eastAsia" w:ascii="宋体" w:hAnsi="宋体" w:eastAsia="宋体" w:cs="宋体"/>
          <w:b/>
          <w:kern w:val="0"/>
          <w:sz w:val="32"/>
          <w:szCs w:val="32"/>
          <w:highlight w:val="none"/>
          <w:lang w:eastAsia="zh-CN"/>
        </w:rPr>
        <w:t>四</w:t>
      </w:r>
      <w:r>
        <w:rPr>
          <w:rFonts w:hint="eastAsia" w:ascii="宋体" w:hAnsi="宋体" w:eastAsia="宋体" w:cs="宋体"/>
          <w:b/>
          <w:kern w:val="0"/>
          <w:sz w:val="32"/>
          <w:szCs w:val="32"/>
          <w:highlight w:val="none"/>
        </w:rPr>
        <w:t>、评标标准相应的商务技术资料</w:t>
      </w:r>
    </w:p>
    <w:p w14:paraId="2D8E6DCC">
      <w:pPr>
        <w:snapToGrid w:val="0"/>
        <w:spacing w:line="360" w:lineRule="auto"/>
        <w:jc w:val="left"/>
        <w:rPr>
          <w:rFonts w:hint="eastAsia" w:ascii="宋体" w:hAnsi="宋体" w:eastAsia="宋体" w:cs="宋体"/>
          <w:b/>
          <w:sz w:val="24"/>
          <w:highlight w:val="none"/>
        </w:rPr>
      </w:pPr>
      <w:r>
        <w:rPr>
          <w:rFonts w:hint="eastAsia" w:ascii="宋体" w:hAnsi="宋体" w:eastAsia="宋体" w:cs="宋体"/>
          <w:b/>
          <w:sz w:val="24"/>
          <w:highlight w:val="none"/>
        </w:rPr>
        <w:t>（按招标文件第四部分评标办法前附表中“投标文件中评标标准相应的商务技术资料目录”提供资料）</w:t>
      </w:r>
    </w:p>
    <w:p w14:paraId="49678303">
      <w:pPr>
        <w:jc w:val="center"/>
        <w:rPr>
          <w:rFonts w:hint="eastAsia" w:ascii="宋体" w:hAnsi="宋体" w:eastAsia="宋体" w:cs="宋体"/>
          <w:b/>
          <w:kern w:val="0"/>
          <w:sz w:val="32"/>
          <w:szCs w:val="32"/>
          <w:highlight w:val="none"/>
        </w:rPr>
      </w:pPr>
    </w:p>
    <w:p w14:paraId="0C6EA16C">
      <w:pPr>
        <w:pStyle w:val="4"/>
        <w:rPr>
          <w:rFonts w:hint="eastAsia" w:ascii="宋体" w:hAnsi="宋体" w:eastAsia="宋体" w:cs="宋体"/>
          <w:highlight w:val="none"/>
        </w:rPr>
      </w:pPr>
    </w:p>
    <w:p w14:paraId="5D6A153F">
      <w:pPr>
        <w:rPr>
          <w:rFonts w:hint="eastAsia" w:ascii="宋体" w:hAnsi="宋体" w:eastAsia="宋体" w:cs="宋体"/>
          <w:b/>
          <w:color w:val="auto"/>
          <w:kern w:val="0"/>
          <w:sz w:val="32"/>
          <w:szCs w:val="32"/>
          <w:highlight w:val="none"/>
          <w:lang w:eastAsia="zh-CN"/>
        </w:rPr>
      </w:pPr>
    </w:p>
    <w:p w14:paraId="19D19428">
      <w:pPr>
        <w:ind w:firstLine="2891" w:firstLineChars="900"/>
        <w:rPr>
          <w:rFonts w:hint="eastAsia" w:ascii="宋体" w:hAnsi="宋体" w:eastAsia="宋体" w:cs="宋体"/>
          <w:b/>
          <w:color w:val="auto"/>
          <w:kern w:val="0"/>
          <w:sz w:val="32"/>
          <w:szCs w:val="32"/>
          <w:highlight w:val="none"/>
          <w:lang w:eastAsia="zh-CN"/>
        </w:rPr>
      </w:pPr>
    </w:p>
    <w:p w14:paraId="77FAE4A6">
      <w:pPr>
        <w:ind w:firstLine="2891" w:firstLineChars="900"/>
        <w:rPr>
          <w:rFonts w:hint="eastAsia" w:ascii="宋体" w:hAnsi="宋体" w:eastAsia="宋体" w:cs="宋体"/>
          <w:b/>
          <w:color w:val="auto"/>
          <w:kern w:val="0"/>
          <w:sz w:val="32"/>
          <w:szCs w:val="32"/>
          <w:highlight w:val="none"/>
          <w:lang w:eastAsia="zh-CN"/>
        </w:rPr>
      </w:pPr>
    </w:p>
    <w:p w14:paraId="299A7D5F">
      <w:pPr>
        <w:numPr>
          <w:ilvl w:val="0"/>
          <w:numId w:val="10"/>
        </w:num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投标标的清单</w:t>
      </w:r>
    </w:p>
    <w:p w14:paraId="0A714DB1">
      <w:pPr>
        <w:pStyle w:val="4"/>
        <w:keepNext/>
        <w:keepLines/>
        <w:widowControl w:val="0"/>
        <w:numPr>
          <w:ilvl w:val="0"/>
          <w:numId w:val="0"/>
        </w:numPr>
        <w:adjustRightInd/>
        <w:spacing w:line="360" w:lineRule="auto"/>
        <w:jc w:val="left"/>
        <w:outlineLvl w:val="1"/>
        <w:rPr>
          <w:rFonts w:hint="eastAsia"/>
          <w:highlight w:val="none"/>
        </w:rPr>
      </w:pPr>
    </w:p>
    <w:tbl>
      <w:tblPr>
        <w:tblStyle w:val="66"/>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29828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4577C98">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40B3263">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A734246">
            <w:pPr>
              <w:spacing w:line="360" w:lineRule="auto"/>
              <w:jc w:val="center"/>
              <w:rPr>
                <w:rFonts w:ascii="宋体" w:hAnsi="宋体" w:cs="宋体"/>
                <w:b/>
                <w:sz w:val="24"/>
                <w:highlight w:val="none"/>
              </w:rPr>
            </w:pPr>
          </w:p>
          <w:p w14:paraId="03F0CDF4">
            <w:pPr>
              <w:spacing w:line="360" w:lineRule="auto"/>
              <w:jc w:val="center"/>
              <w:rPr>
                <w:rFonts w:ascii="宋体" w:hAnsi="宋体" w:cs="宋体"/>
                <w:b/>
                <w:sz w:val="24"/>
                <w:highlight w:val="none"/>
              </w:rPr>
            </w:pPr>
            <w:r>
              <w:rPr>
                <w:rFonts w:hint="eastAsia" w:ascii="宋体" w:hAnsi="宋体" w:cs="宋体"/>
                <w:b/>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7C23A48">
            <w:pPr>
              <w:spacing w:line="360" w:lineRule="auto"/>
              <w:jc w:val="center"/>
              <w:rPr>
                <w:rFonts w:ascii="宋体" w:hAnsi="宋体" w:cs="宋体"/>
                <w:b/>
                <w:sz w:val="24"/>
                <w:highlight w:val="none"/>
              </w:rPr>
            </w:pPr>
            <w:r>
              <w:rPr>
                <w:rFonts w:hint="eastAsia" w:ascii="宋体" w:hAnsi="宋体" w:cs="宋体"/>
                <w:b/>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7165BB6">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CE7DAC3">
            <w:pPr>
              <w:spacing w:line="360" w:lineRule="auto"/>
              <w:jc w:val="center"/>
              <w:rPr>
                <w:rFonts w:ascii="宋体" w:hAnsi="宋体" w:cs="宋体"/>
                <w:b/>
                <w:sz w:val="24"/>
                <w:highlight w:val="none"/>
              </w:rPr>
            </w:pPr>
            <w:r>
              <w:rPr>
                <w:rFonts w:hint="eastAsia" w:ascii="宋体" w:hAnsi="宋体" w:cs="宋体"/>
                <w:b/>
                <w:sz w:val="24"/>
                <w:highlight w:val="none"/>
              </w:rPr>
              <w:t>备注</w:t>
            </w:r>
          </w:p>
        </w:tc>
      </w:tr>
      <w:tr w14:paraId="7D46B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E6DD4E7">
            <w:pPr>
              <w:spacing w:line="360" w:lineRule="auto"/>
              <w:jc w:val="center"/>
              <w:rPr>
                <w:rFonts w:ascii="宋体" w:hAnsi="宋体" w:cs="宋体"/>
                <w:sz w:val="24"/>
                <w:highlight w:val="none"/>
              </w:rPr>
            </w:pPr>
            <w:r>
              <w:rPr>
                <w:rFonts w:hint="eastAsia" w:ascii="宋体" w:hAnsi="宋体" w:cs="宋体"/>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FDF3AC0">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0E96996">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0F2E3AA">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A24A1D1">
            <w:pPr>
              <w:spacing w:line="360" w:lineRule="auto"/>
              <w:jc w:val="center"/>
              <w:rPr>
                <w:rFonts w:ascii="宋体" w:hAnsi="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18A70708">
            <w:pPr>
              <w:spacing w:line="360" w:lineRule="auto"/>
              <w:jc w:val="center"/>
              <w:rPr>
                <w:rFonts w:ascii="宋体" w:hAnsi="宋体" w:cs="宋体"/>
                <w:sz w:val="24"/>
                <w:highlight w:val="none"/>
              </w:rPr>
            </w:pPr>
          </w:p>
        </w:tc>
      </w:tr>
      <w:tr w14:paraId="671B7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3A517AB">
            <w:pPr>
              <w:spacing w:line="360" w:lineRule="auto"/>
              <w:jc w:val="center"/>
              <w:rPr>
                <w:rFonts w:ascii="宋体" w:hAnsi="宋体" w:cs="宋体"/>
                <w:sz w:val="24"/>
                <w:highlight w:val="none"/>
              </w:rPr>
            </w:pPr>
            <w:r>
              <w:rPr>
                <w:rFonts w:hint="eastAsia" w:ascii="宋体" w:hAnsi="宋体" w:cs="宋体"/>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8676596">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448A847">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4A10D3C">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6402BDB">
            <w:pPr>
              <w:spacing w:line="360" w:lineRule="auto"/>
              <w:jc w:val="center"/>
              <w:rPr>
                <w:rFonts w:ascii="宋体" w:hAnsi="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755242C">
            <w:pPr>
              <w:spacing w:line="360" w:lineRule="auto"/>
              <w:jc w:val="center"/>
              <w:rPr>
                <w:rFonts w:ascii="宋体" w:hAnsi="宋体" w:cs="宋体"/>
                <w:sz w:val="24"/>
                <w:highlight w:val="none"/>
              </w:rPr>
            </w:pPr>
          </w:p>
        </w:tc>
      </w:tr>
      <w:tr w14:paraId="4056C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EC58D42">
            <w:pPr>
              <w:spacing w:line="360" w:lineRule="auto"/>
              <w:jc w:val="center"/>
              <w:rPr>
                <w:rFonts w:ascii="宋体" w:hAnsi="宋体" w:cs="宋体"/>
                <w:sz w:val="24"/>
                <w:highlight w:val="none"/>
              </w:rPr>
            </w:pPr>
            <w:r>
              <w:rPr>
                <w:rFonts w:hint="eastAsia" w:ascii="宋体" w:hAnsi="宋体" w:cs="宋体"/>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1BFB4AB6">
            <w:pPr>
              <w:snapToGrid w:val="0"/>
              <w:spacing w:line="360" w:lineRule="auto"/>
              <w:jc w:val="center"/>
              <w:rPr>
                <w:rFonts w:ascii="宋体" w:hAnsi="宋体" w:cs="宋体"/>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5E99E8E">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ACE00F0">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696A7FC">
            <w:pPr>
              <w:spacing w:line="360" w:lineRule="auto"/>
              <w:jc w:val="center"/>
              <w:rPr>
                <w:rFonts w:ascii="宋体" w:hAnsi="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3747058">
            <w:pPr>
              <w:spacing w:line="360" w:lineRule="auto"/>
              <w:jc w:val="center"/>
              <w:rPr>
                <w:rFonts w:ascii="宋体" w:hAnsi="宋体" w:cs="宋体"/>
                <w:sz w:val="24"/>
                <w:highlight w:val="none"/>
              </w:rPr>
            </w:pPr>
          </w:p>
        </w:tc>
      </w:tr>
    </w:tbl>
    <w:p w14:paraId="68ADC53E">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D5F183B">
      <w:pPr>
        <w:jc w:val="both"/>
        <w:rPr>
          <w:rFonts w:hint="eastAsia" w:ascii="宋体" w:hAnsi="宋体" w:eastAsia="宋体" w:cs="宋体"/>
          <w:b/>
          <w:kern w:val="0"/>
          <w:sz w:val="32"/>
          <w:szCs w:val="32"/>
          <w:highlight w:val="none"/>
        </w:rPr>
      </w:pPr>
    </w:p>
    <w:p w14:paraId="2E1805D4">
      <w:pPr>
        <w:jc w:val="center"/>
        <w:rPr>
          <w:rFonts w:hint="eastAsia" w:ascii="宋体" w:hAnsi="宋体" w:eastAsia="宋体" w:cs="宋体"/>
          <w:b/>
          <w:kern w:val="0"/>
          <w:sz w:val="32"/>
          <w:szCs w:val="32"/>
          <w:highlight w:val="none"/>
        </w:rPr>
      </w:pPr>
    </w:p>
    <w:p w14:paraId="5FA4DA03">
      <w:pPr>
        <w:jc w:val="center"/>
        <w:rPr>
          <w:rFonts w:hint="eastAsia" w:ascii="宋体" w:hAnsi="宋体" w:eastAsia="宋体" w:cs="宋体"/>
          <w:b/>
          <w:kern w:val="0"/>
          <w:sz w:val="32"/>
          <w:szCs w:val="32"/>
          <w:highlight w:val="none"/>
        </w:rPr>
      </w:pPr>
    </w:p>
    <w:p w14:paraId="21AE2CC5">
      <w:pPr>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六</w:t>
      </w:r>
      <w:r>
        <w:rPr>
          <w:rFonts w:hint="eastAsia" w:ascii="宋体" w:hAnsi="宋体" w:eastAsia="宋体" w:cs="宋体"/>
          <w:b/>
          <w:kern w:val="0"/>
          <w:sz w:val="32"/>
          <w:szCs w:val="32"/>
          <w:highlight w:val="none"/>
        </w:rPr>
        <w:t>、商务技术偏离表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854E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C62F328">
            <w:pPr>
              <w:jc w:val="center"/>
              <w:rPr>
                <w:rFonts w:hint="eastAsia" w:ascii="宋体" w:hAnsi="宋体" w:eastAsia="宋体" w:cs="宋体"/>
                <w:b/>
                <w:bCs/>
                <w:sz w:val="24"/>
                <w:highlight w:val="none"/>
              </w:rPr>
            </w:pPr>
            <w:r>
              <w:rPr>
                <w:rFonts w:hint="eastAsia" w:ascii="宋体" w:hAnsi="宋体" w:eastAsia="宋体" w:cs="宋体"/>
                <w:b/>
                <w:bCs/>
                <w:sz w:val="24"/>
                <w:highlight w:val="none"/>
              </w:rPr>
              <w:t>序号</w:t>
            </w:r>
          </w:p>
        </w:tc>
        <w:tc>
          <w:tcPr>
            <w:tcW w:w="3683" w:type="dxa"/>
          </w:tcPr>
          <w:p w14:paraId="2513CD56">
            <w:pPr>
              <w:jc w:val="center"/>
              <w:rPr>
                <w:rFonts w:hint="eastAsia" w:ascii="宋体" w:hAnsi="宋体" w:eastAsia="宋体" w:cs="宋体"/>
                <w:b/>
                <w:bCs/>
                <w:sz w:val="24"/>
                <w:highlight w:val="none"/>
              </w:rPr>
            </w:pPr>
            <w:r>
              <w:rPr>
                <w:rFonts w:hint="eastAsia" w:ascii="宋体" w:hAnsi="宋体" w:eastAsia="宋体" w:cs="宋体"/>
                <w:b/>
                <w:bCs/>
                <w:sz w:val="24"/>
                <w:highlight w:val="none"/>
              </w:rPr>
              <w:t>招标文件章节及具体内容</w:t>
            </w:r>
          </w:p>
        </w:tc>
        <w:tc>
          <w:tcPr>
            <w:tcW w:w="3546" w:type="dxa"/>
          </w:tcPr>
          <w:p w14:paraId="3E7B49DF">
            <w:pPr>
              <w:jc w:val="center"/>
              <w:rPr>
                <w:rFonts w:hint="eastAsia" w:ascii="宋体" w:hAnsi="宋体" w:eastAsia="宋体" w:cs="宋体"/>
                <w:b/>
                <w:bCs/>
                <w:sz w:val="24"/>
                <w:highlight w:val="none"/>
              </w:rPr>
            </w:pPr>
            <w:r>
              <w:rPr>
                <w:rFonts w:hint="eastAsia" w:ascii="宋体" w:hAnsi="宋体" w:eastAsia="宋体" w:cs="宋体"/>
                <w:b/>
                <w:bCs/>
                <w:sz w:val="24"/>
                <w:highlight w:val="none"/>
              </w:rPr>
              <w:t>投标文件章节及具体内容</w:t>
            </w:r>
          </w:p>
        </w:tc>
        <w:tc>
          <w:tcPr>
            <w:tcW w:w="1276" w:type="dxa"/>
          </w:tcPr>
          <w:p w14:paraId="4C789657">
            <w:pPr>
              <w:jc w:val="center"/>
              <w:rPr>
                <w:rFonts w:hint="eastAsia" w:ascii="宋体" w:hAnsi="宋体" w:eastAsia="宋体" w:cs="宋体"/>
                <w:b/>
                <w:bCs/>
                <w:sz w:val="24"/>
                <w:highlight w:val="none"/>
              </w:rPr>
            </w:pPr>
            <w:r>
              <w:rPr>
                <w:rFonts w:hint="eastAsia" w:ascii="宋体" w:hAnsi="宋体" w:eastAsia="宋体" w:cs="宋体"/>
                <w:b/>
                <w:bCs/>
                <w:sz w:val="24"/>
                <w:highlight w:val="none"/>
              </w:rPr>
              <w:t>偏离说明</w:t>
            </w:r>
          </w:p>
        </w:tc>
      </w:tr>
      <w:tr w14:paraId="70610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4CB4E0">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1</w:t>
            </w:r>
          </w:p>
        </w:tc>
        <w:tc>
          <w:tcPr>
            <w:tcW w:w="3683" w:type="dxa"/>
          </w:tcPr>
          <w:p w14:paraId="393E4F25">
            <w:pPr>
              <w:jc w:val="center"/>
              <w:rPr>
                <w:rFonts w:hint="eastAsia" w:ascii="宋体" w:hAnsi="宋体" w:eastAsia="宋体" w:cs="宋体"/>
                <w:b/>
                <w:kern w:val="0"/>
                <w:sz w:val="32"/>
                <w:szCs w:val="32"/>
                <w:highlight w:val="none"/>
              </w:rPr>
            </w:pPr>
          </w:p>
        </w:tc>
        <w:tc>
          <w:tcPr>
            <w:tcW w:w="3546" w:type="dxa"/>
          </w:tcPr>
          <w:p w14:paraId="2B06BBB3">
            <w:pPr>
              <w:jc w:val="center"/>
              <w:rPr>
                <w:rFonts w:hint="eastAsia" w:ascii="宋体" w:hAnsi="宋体" w:eastAsia="宋体" w:cs="宋体"/>
                <w:b/>
                <w:kern w:val="0"/>
                <w:sz w:val="32"/>
                <w:szCs w:val="32"/>
                <w:highlight w:val="none"/>
              </w:rPr>
            </w:pPr>
          </w:p>
        </w:tc>
        <w:tc>
          <w:tcPr>
            <w:tcW w:w="1276" w:type="dxa"/>
          </w:tcPr>
          <w:p w14:paraId="3BF43D2F">
            <w:pPr>
              <w:jc w:val="center"/>
              <w:rPr>
                <w:rFonts w:hint="eastAsia" w:ascii="宋体" w:hAnsi="宋体" w:eastAsia="宋体" w:cs="宋体"/>
                <w:b/>
                <w:kern w:val="0"/>
                <w:sz w:val="32"/>
                <w:szCs w:val="32"/>
                <w:highlight w:val="none"/>
              </w:rPr>
            </w:pPr>
          </w:p>
        </w:tc>
      </w:tr>
      <w:tr w14:paraId="22626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4926641">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2</w:t>
            </w:r>
          </w:p>
        </w:tc>
        <w:tc>
          <w:tcPr>
            <w:tcW w:w="3683" w:type="dxa"/>
          </w:tcPr>
          <w:p w14:paraId="70E90954">
            <w:pPr>
              <w:jc w:val="center"/>
              <w:rPr>
                <w:rFonts w:hint="eastAsia" w:ascii="宋体" w:hAnsi="宋体" w:eastAsia="宋体" w:cs="宋体"/>
                <w:b/>
                <w:kern w:val="0"/>
                <w:sz w:val="32"/>
                <w:szCs w:val="32"/>
                <w:highlight w:val="none"/>
              </w:rPr>
            </w:pPr>
          </w:p>
        </w:tc>
        <w:tc>
          <w:tcPr>
            <w:tcW w:w="3546" w:type="dxa"/>
          </w:tcPr>
          <w:p w14:paraId="3D4E7874">
            <w:pPr>
              <w:jc w:val="center"/>
              <w:rPr>
                <w:rFonts w:hint="eastAsia" w:ascii="宋体" w:hAnsi="宋体" w:eastAsia="宋体" w:cs="宋体"/>
                <w:b/>
                <w:kern w:val="0"/>
                <w:sz w:val="32"/>
                <w:szCs w:val="32"/>
                <w:highlight w:val="none"/>
              </w:rPr>
            </w:pPr>
          </w:p>
        </w:tc>
        <w:tc>
          <w:tcPr>
            <w:tcW w:w="1276" w:type="dxa"/>
          </w:tcPr>
          <w:p w14:paraId="1D87BE3B">
            <w:pPr>
              <w:jc w:val="center"/>
              <w:rPr>
                <w:rFonts w:hint="eastAsia" w:ascii="宋体" w:hAnsi="宋体" w:eastAsia="宋体" w:cs="宋体"/>
                <w:b/>
                <w:kern w:val="0"/>
                <w:sz w:val="32"/>
                <w:szCs w:val="32"/>
                <w:highlight w:val="none"/>
              </w:rPr>
            </w:pPr>
          </w:p>
        </w:tc>
      </w:tr>
      <w:tr w14:paraId="0CCCB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C0FDD08">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w:t>
            </w:r>
          </w:p>
        </w:tc>
        <w:tc>
          <w:tcPr>
            <w:tcW w:w="3683" w:type="dxa"/>
          </w:tcPr>
          <w:p w14:paraId="33DAE261">
            <w:pPr>
              <w:jc w:val="center"/>
              <w:rPr>
                <w:rFonts w:hint="eastAsia" w:ascii="宋体" w:hAnsi="宋体" w:eastAsia="宋体" w:cs="宋体"/>
                <w:b/>
                <w:kern w:val="0"/>
                <w:sz w:val="32"/>
                <w:szCs w:val="32"/>
                <w:highlight w:val="none"/>
              </w:rPr>
            </w:pPr>
          </w:p>
        </w:tc>
        <w:tc>
          <w:tcPr>
            <w:tcW w:w="3546" w:type="dxa"/>
          </w:tcPr>
          <w:p w14:paraId="54C37BA6">
            <w:pPr>
              <w:jc w:val="center"/>
              <w:rPr>
                <w:rFonts w:hint="eastAsia" w:ascii="宋体" w:hAnsi="宋体" w:eastAsia="宋体" w:cs="宋体"/>
                <w:b/>
                <w:kern w:val="0"/>
                <w:sz w:val="32"/>
                <w:szCs w:val="32"/>
                <w:highlight w:val="none"/>
              </w:rPr>
            </w:pPr>
          </w:p>
        </w:tc>
        <w:tc>
          <w:tcPr>
            <w:tcW w:w="1276" w:type="dxa"/>
          </w:tcPr>
          <w:p w14:paraId="2C7F3411">
            <w:pPr>
              <w:jc w:val="center"/>
              <w:rPr>
                <w:rFonts w:hint="eastAsia" w:ascii="宋体" w:hAnsi="宋体" w:eastAsia="宋体" w:cs="宋体"/>
                <w:b/>
                <w:kern w:val="0"/>
                <w:sz w:val="32"/>
                <w:szCs w:val="32"/>
                <w:highlight w:val="none"/>
              </w:rPr>
            </w:pPr>
          </w:p>
        </w:tc>
      </w:tr>
    </w:tbl>
    <w:p w14:paraId="17CE935A">
      <w:pPr>
        <w:jc w:val="left"/>
        <w:rPr>
          <w:rFonts w:hint="eastAsia" w:ascii="宋体" w:hAnsi="宋体" w:eastAsia="宋体" w:cs="宋体"/>
          <w:kern w:val="0"/>
          <w:sz w:val="24"/>
          <w:highlight w:val="none"/>
        </w:rPr>
      </w:pPr>
      <w:r>
        <w:rPr>
          <w:rFonts w:hint="eastAsia" w:ascii="宋体" w:hAnsi="宋体" w:eastAsia="宋体" w:cs="宋体"/>
          <w:kern w:val="0"/>
          <w:sz w:val="24"/>
          <w:highlight w:val="none"/>
        </w:rPr>
        <w:t>投标人保证：除商务技术偏离表列出的偏离外，投标人响应招标文件的全部要求</w:t>
      </w:r>
    </w:p>
    <w:p w14:paraId="2CC52F34">
      <w:pPr>
        <w:jc w:val="center"/>
        <w:rPr>
          <w:rFonts w:hint="eastAsia" w:ascii="宋体" w:hAnsi="宋体" w:eastAsia="宋体" w:cs="宋体"/>
          <w:b/>
          <w:kern w:val="0"/>
          <w:sz w:val="32"/>
          <w:szCs w:val="32"/>
          <w:highlight w:val="none"/>
        </w:rPr>
      </w:pPr>
    </w:p>
    <w:p w14:paraId="2F2DF8C1">
      <w:pPr>
        <w:jc w:val="center"/>
        <w:rPr>
          <w:rFonts w:hint="eastAsia" w:ascii="宋体" w:hAnsi="宋体" w:eastAsia="宋体" w:cs="宋体"/>
          <w:b/>
          <w:kern w:val="0"/>
          <w:sz w:val="32"/>
          <w:szCs w:val="32"/>
          <w:highlight w:val="none"/>
        </w:rPr>
      </w:pPr>
    </w:p>
    <w:p w14:paraId="4C1311CA">
      <w:pPr>
        <w:jc w:val="center"/>
        <w:rPr>
          <w:rFonts w:hint="eastAsia" w:ascii="宋体" w:hAnsi="宋体" w:eastAsia="宋体" w:cs="宋体"/>
          <w:b/>
          <w:kern w:val="0"/>
          <w:sz w:val="32"/>
          <w:szCs w:val="32"/>
          <w:highlight w:val="none"/>
        </w:rPr>
      </w:pPr>
    </w:p>
    <w:p w14:paraId="33D45070">
      <w:pPr>
        <w:jc w:val="center"/>
        <w:rPr>
          <w:rFonts w:hint="eastAsia" w:ascii="宋体" w:hAnsi="宋体" w:eastAsia="宋体" w:cs="宋体"/>
          <w:b/>
          <w:kern w:val="0"/>
          <w:sz w:val="32"/>
          <w:szCs w:val="32"/>
          <w:highlight w:val="none"/>
        </w:rPr>
      </w:pPr>
    </w:p>
    <w:p w14:paraId="09DF17A5">
      <w:pPr>
        <w:ind w:firstLine="1911" w:firstLineChars="595"/>
        <w:rPr>
          <w:rFonts w:hint="eastAsia" w:ascii="宋体" w:hAnsi="宋体" w:eastAsia="宋体" w:cs="宋体"/>
          <w:b/>
          <w:kern w:val="0"/>
          <w:sz w:val="32"/>
          <w:szCs w:val="32"/>
          <w:highlight w:val="none"/>
        </w:rPr>
      </w:pPr>
    </w:p>
    <w:p w14:paraId="54FCB62E">
      <w:pPr>
        <w:ind w:firstLine="1911" w:firstLineChars="595"/>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七、</w:t>
      </w:r>
      <w:r>
        <w:rPr>
          <w:rFonts w:hint="eastAsia" w:ascii="宋体" w:hAnsi="宋体" w:eastAsia="宋体" w:cs="宋体"/>
          <w:b/>
          <w:kern w:val="0"/>
          <w:sz w:val="32"/>
          <w:szCs w:val="32"/>
          <w:highlight w:val="none"/>
          <w:lang w:val="zh-CN"/>
        </w:rPr>
        <w:t>政府采购供应商廉洁自律承诺书</w:t>
      </w:r>
    </w:p>
    <w:p w14:paraId="265AFB28">
      <w:pPr>
        <w:snapToGrid w:val="0"/>
        <w:spacing w:line="360" w:lineRule="auto"/>
        <w:rPr>
          <w:rFonts w:hint="eastAsia" w:ascii="宋体" w:hAnsi="宋体" w:eastAsia="宋体" w:cs="宋体"/>
          <w:sz w:val="24"/>
          <w:highlight w:val="none"/>
        </w:rPr>
      </w:pPr>
    </w:p>
    <w:p w14:paraId="3E10E9FD">
      <w:pPr>
        <w:snapToGrid w:val="0"/>
        <w:spacing w:line="360" w:lineRule="auto"/>
        <w:rPr>
          <w:rFonts w:hint="eastAsia" w:ascii="宋体" w:hAnsi="宋体" w:eastAsia="宋体" w:cs="宋体"/>
          <w:kern w:val="0"/>
          <w:sz w:val="24"/>
          <w:highlight w:val="none"/>
        </w:rPr>
      </w:pPr>
      <w:r>
        <w:rPr>
          <w:rFonts w:hint="eastAsia" w:ascii="宋体" w:hAnsi="宋体" w:eastAsia="宋体" w:cs="宋体"/>
          <w:sz w:val="24"/>
          <w:highlight w:val="none"/>
        </w:rPr>
        <w:t>（采购人）、（采购代理机构）</w:t>
      </w:r>
      <w:r>
        <w:rPr>
          <w:rFonts w:hint="eastAsia" w:ascii="宋体" w:hAnsi="宋体" w:eastAsia="宋体" w:cs="宋体"/>
          <w:kern w:val="0"/>
          <w:sz w:val="24"/>
          <w:highlight w:val="none"/>
          <w:lang w:val="zh-CN"/>
        </w:rPr>
        <w:t>：</w:t>
      </w:r>
    </w:p>
    <w:p w14:paraId="4520CB4C">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我单位响应你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项目招标要求参加投标。在这次投标过程中和中标后，我们将严格遵守国家法律法规要求，并郑重承诺：</w:t>
      </w:r>
    </w:p>
    <w:p w14:paraId="553199B3">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一、不向项目有关人员及部门赠送礼金礼物、有价证券、回扣以及中介费、介绍费、咨询费等好处费； </w:t>
      </w:r>
    </w:p>
    <w:p w14:paraId="79E5BD37">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二、不为项目有关人员及部门报销应由你方单位或个人支付的费用； </w:t>
      </w:r>
    </w:p>
    <w:p w14:paraId="43B4CA25">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三、不向项目有关人员及部门提供有可能影响公正的宴请和健身娱乐等活动； </w:t>
      </w:r>
    </w:p>
    <w:p w14:paraId="5CB9A6D4">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四、不为项目有关人员及部门出国（境）、旅游等提供方便；</w:t>
      </w:r>
    </w:p>
    <w:p w14:paraId="57D56FE7">
      <w:pPr>
        <w:autoSpaceDE w:val="0"/>
        <w:autoSpaceDN w:val="0"/>
        <w:spacing w:line="360" w:lineRule="auto"/>
        <w:ind w:left="481" w:leftChars="229"/>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五、不为项目有关人员个人装修住房、婚丧嫁娶、配偶子女工作安排等提供</w:t>
      </w:r>
    </w:p>
    <w:p w14:paraId="2F1DF34A">
      <w:pPr>
        <w:autoSpaceDE w:val="0"/>
        <w:autoSpaceDN w:val="0"/>
        <w:spacing w:line="360" w:lineRule="auto"/>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好处；</w:t>
      </w:r>
    </w:p>
    <w:p w14:paraId="7F03A1D9">
      <w:pPr>
        <w:autoSpaceDE w:val="0"/>
        <w:autoSpaceDN w:val="0"/>
        <w:spacing w:line="360" w:lineRule="auto"/>
        <w:ind w:left="481" w:leftChars="229"/>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六、严格遵守《</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政府采购法》《</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招标投标</w:t>
      </w:r>
    </w:p>
    <w:p w14:paraId="1E5149DD">
      <w:pPr>
        <w:autoSpaceDE w:val="0"/>
        <w:autoSpaceDN w:val="0"/>
        <w:spacing w:line="360" w:lineRule="auto"/>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法》</w:t>
      </w:r>
      <w:r>
        <w:rPr>
          <w:rFonts w:hint="eastAsia" w:ascii="宋体" w:hAnsi="宋体" w:eastAsia="宋体" w:cs="宋体"/>
          <w:sz w:val="24"/>
          <w:highlight w:val="none"/>
          <w:lang w:val="zh-CN"/>
        </w:rPr>
        <w:t>《中华人民共和国民法典》</w:t>
      </w:r>
      <w:r>
        <w:rPr>
          <w:rFonts w:hint="eastAsia" w:ascii="宋体" w:hAnsi="宋体" w:eastAsia="宋体" w:cs="宋体"/>
          <w:kern w:val="0"/>
          <w:sz w:val="24"/>
          <w:highlight w:val="none"/>
          <w:lang w:val="zh-CN"/>
        </w:rPr>
        <w:t xml:space="preserve">等法律法规，诚实守信，合法经营，坚决抵制各种违法违纪行为。 </w:t>
      </w:r>
    </w:p>
    <w:p w14:paraId="291E366D">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如违反上述承诺，你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有权立即取消我单位投标、中标或在建项目的建设资格，有权拒绝我单位在一定时期内进入你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进行项目建设或其他经营活动，并通报市财政局。由此引起的相应损失均由我单位承担。</w:t>
      </w:r>
    </w:p>
    <w:p w14:paraId="25E993C5">
      <w:pPr>
        <w:autoSpaceDE w:val="0"/>
        <w:autoSpaceDN w:val="0"/>
        <w:spacing w:line="360" w:lineRule="auto"/>
        <w:ind w:left="2"/>
        <w:jc w:val="left"/>
        <w:rPr>
          <w:rFonts w:hint="eastAsia" w:ascii="宋体" w:hAnsi="宋体" w:eastAsia="宋体" w:cs="宋体"/>
          <w:kern w:val="0"/>
          <w:sz w:val="24"/>
          <w:highlight w:val="none"/>
          <w:lang w:val="zh-CN"/>
        </w:rPr>
      </w:pPr>
    </w:p>
    <w:p w14:paraId="4F57186B">
      <w:pPr>
        <w:autoSpaceDE w:val="0"/>
        <w:autoSpaceDN w:val="0"/>
        <w:spacing w:line="360" w:lineRule="auto"/>
        <w:ind w:left="2"/>
        <w:jc w:val="left"/>
        <w:rPr>
          <w:rFonts w:hint="eastAsia" w:ascii="宋体" w:hAnsi="宋体" w:eastAsia="宋体" w:cs="宋体"/>
          <w:kern w:val="0"/>
          <w:sz w:val="24"/>
          <w:highlight w:val="none"/>
          <w:lang w:val="zh-CN"/>
        </w:rPr>
      </w:pPr>
    </w:p>
    <w:p w14:paraId="203C1DE2">
      <w:pPr>
        <w:autoSpaceDE w:val="0"/>
        <w:autoSpaceDN w:val="0"/>
        <w:spacing w:line="360" w:lineRule="auto"/>
        <w:ind w:left="2"/>
        <w:jc w:val="left"/>
        <w:rPr>
          <w:rFonts w:hint="eastAsia" w:ascii="宋体" w:hAnsi="宋体" w:eastAsia="宋体" w:cs="宋体"/>
          <w:kern w:val="0"/>
          <w:sz w:val="24"/>
          <w:highlight w:val="none"/>
          <w:lang w:val="zh-CN"/>
        </w:rPr>
      </w:pPr>
    </w:p>
    <w:p w14:paraId="45E8C0B9">
      <w:pPr>
        <w:autoSpaceDE w:val="0"/>
        <w:autoSpaceDN w:val="0"/>
        <w:spacing w:line="360" w:lineRule="auto"/>
        <w:ind w:left="2" w:leftChars="1" w:right="1120" w:firstLine="4560" w:firstLineChars="19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22299694">
      <w:pPr>
        <w:spacing w:line="360" w:lineRule="auto"/>
        <w:ind w:left="4620" w:leftChars="2200"/>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17745BF3">
      <w:pPr>
        <w:spacing w:line="360" w:lineRule="auto"/>
        <w:jc w:val="center"/>
        <w:rPr>
          <w:rFonts w:hint="eastAsia" w:ascii="宋体" w:hAnsi="宋体" w:eastAsia="宋体" w:cs="宋体"/>
          <w:b/>
          <w:bCs/>
          <w:sz w:val="24"/>
          <w:highlight w:val="none"/>
        </w:rPr>
      </w:pPr>
    </w:p>
    <w:p w14:paraId="75273865">
      <w:pPr>
        <w:spacing w:line="360" w:lineRule="auto"/>
        <w:jc w:val="center"/>
        <w:rPr>
          <w:rFonts w:hint="eastAsia" w:ascii="宋体" w:hAnsi="宋体" w:eastAsia="宋体" w:cs="宋体"/>
          <w:b/>
          <w:bCs/>
          <w:sz w:val="24"/>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1AB06D5C">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报价文件部分</w:t>
      </w:r>
    </w:p>
    <w:p w14:paraId="62255A37">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55CF73B5">
      <w:pPr>
        <w:spacing w:line="360" w:lineRule="auto"/>
        <w:jc w:val="center"/>
        <w:outlineLvl w:val="0"/>
        <w:rPr>
          <w:rFonts w:hint="eastAsia" w:ascii="宋体" w:hAnsi="宋体" w:eastAsia="宋体" w:cs="宋体"/>
          <w:b/>
          <w:kern w:val="0"/>
          <w:sz w:val="36"/>
          <w:szCs w:val="36"/>
          <w:highlight w:val="none"/>
        </w:rPr>
      </w:pPr>
    </w:p>
    <w:p w14:paraId="2277BBB5">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（1）开标一览表（报价表）………………………………………………………（页码）</w:t>
      </w:r>
    </w:p>
    <w:p w14:paraId="65C4ED0F">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（2）中小企业声明函………………………………………………………………（页码）</w:t>
      </w:r>
    </w:p>
    <w:p w14:paraId="50DEBB02">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836680A">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一、开标一览表（报价表）</w:t>
      </w:r>
    </w:p>
    <w:p w14:paraId="0E60940B">
      <w:pPr>
        <w:snapToGrid w:val="0"/>
        <w:spacing w:line="360" w:lineRule="auto"/>
        <w:rPr>
          <w:rFonts w:ascii="宋体" w:hAnsi="宋体" w:cs="宋体"/>
          <w:kern w:val="0"/>
          <w:sz w:val="24"/>
          <w:highlight w:val="none"/>
        </w:rPr>
      </w:pPr>
      <w:r>
        <w:rPr>
          <w:rFonts w:hint="eastAsia" w:ascii="宋体" w:hAnsi="宋体" w:cs="宋体"/>
          <w:color w:val="0000FF"/>
          <w:sz w:val="24"/>
          <w:highlight w:val="none"/>
        </w:rPr>
        <w:t>（采购人）</w:t>
      </w:r>
      <w:r>
        <w:rPr>
          <w:rFonts w:hint="eastAsia" w:ascii="宋体" w:hAnsi="宋体" w:cs="宋体"/>
          <w:sz w:val="24"/>
          <w:highlight w:val="none"/>
        </w:rPr>
        <w:t>、（采购代理机构）</w:t>
      </w:r>
      <w:r>
        <w:rPr>
          <w:rFonts w:hint="eastAsia" w:ascii="宋体" w:hAnsi="宋体" w:cs="宋体"/>
          <w:kern w:val="0"/>
          <w:sz w:val="24"/>
          <w:highlight w:val="none"/>
          <w:lang w:val="zh-CN"/>
        </w:rPr>
        <w:t>：</w:t>
      </w:r>
    </w:p>
    <w:p w14:paraId="1AA983D4">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highlight w:val="none"/>
        </w:rPr>
        <w:t>（项目名称）</w:t>
      </w:r>
      <w:r>
        <w:rPr>
          <w:rFonts w:hint="eastAsia" w:ascii="宋体" w:hAnsi="宋体" w:cs="宋体"/>
          <w:kern w:val="0"/>
          <w:sz w:val="24"/>
          <w:highlight w:val="none"/>
          <w:lang w:val="zh-CN"/>
        </w:rPr>
        <w:t>【招标编号：</w:t>
      </w:r>
      <w:r>
        <w:rPr>
          <w:rFonts w:hint="eastAsia" w:ascii="宋体" w:hAnsi="宋体" w:cs="宋体"/>
          <w:color w:val="FF0000"/>
          <w:sz w:val="24"/>
          <w:highlight w:val="none"/>
        </w:rPr>
        <w:t>（采购编号）</w:t>
      </w:r>
      <w:r>
        <w:rPr>
          <w:rFonts w:hint="eastAsia" w:ascii="宋体" w:hAnsi="宋体" w:cs="宋体"/>
          <w:sz w:val="24"/>
          <w:highlight w:val="none"/>
        </w:rPr>
        <w:t>】的实施</w:t>
      </w:r>
      <w:r>
        <w:rPr>
          <w:rFonts w:hint="eastAsia" w:ascii="宋体" w:hAnsi="宋体" w:cs="宋体"/>
          <w:kern w:val="0"/>
          <w:sz w:val="24"/>
          <w:highlight w:val="none"/>
          <w:lang w:val="zh-CN"/>
        </w:rPr>
        <w:t>。</w:t>
      </w:r>
    </w:p>
    <w:p w14:paraId="7902FD69">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6"/>
        <w:tblW w:w="146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793"/>
        <w:gridCol w:w="1725"/>
        <w:gridCol w:w="2579"/>
        <w:gridCol w:w="1002"/>
        <w:gridCol w:w="1573"/>
        <w:gridCol w:w="2002"/>
        <w:gridCol w:w="3147"/>
      </w:tblGrid>
      <w:tr w14:paraId="00DF5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553486D3">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793" w:type="dxa"/>
            <w:vAlign w:val="center"/>
          </w:tcPr>
          <w:p w14:paraId="4A4A3532">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725" w:type="dxa"/>
          </w:tcPr>
          <w:p w14:paraId="425D2A67">
            <w:pPr>
              <w:spacing w:line="360" w:lineRule="auto"/>
              <w:jc w:val="center"/>
              <w:rPr>
                <w:rFonts w:ascii="宋体" w:hAnsi="宋体" w:cs="宋体"/>
                <w:b/>
                <w:sz w:val="24"/>
                <w:highlight w:val="none"/>
              </w:rPr>
            </w:pPr>
            <w:r>
              <w:rPr>
                <w:rFonts w:hint="eastAsia" w:ascii="宋体" w:hAnsi="宋体" w:cs="宋体"/>
                <w:b/>
                <w:sz w:val="24"/>
                <w:highlight w:val="none"/>
              </w:rPr>
              <w:t>品牌（如果有）</w:t>
            </w:r>
          </w:p>
        </w:tc>
        <w:tc>
          <w:tcPr>
            <w:tcW w:w="2579" w:type="dxa"/>
            <w:vAlign w:val="center"/>
          </w:tcPr>
          <w:p w14:paraId="01CDBE83">
            <w:pPr>
              <w:spacing w:line="360" w:lineRule="auto"/>
              <w:jc w:val="center"/>
              <w:rPr>
                <w:rFonts w:ascii="宋体" w:hAnsi="宋体" w:cs="宋体"/>
                <w:b/>
                <w:sz w:val="24"/>
                <w:highlight w:val="none"/>
              </w:rPr>
            </w:pPr>
            <w:r>
              <w:rPr>
                <w:rFonts w:hint="eastAsia" w:ascii="宋体" w:hAnsi="宋体" w:cs="宋体"/>
                <w:b/>
                <w:sz w:val="24"/>
                <w:highlight w:val="none"/>
              </w:rPr>
              <w:t>规格型号</w:t>
            </w:r>
          </w:p>
        </w:tc>
        <w:tc>
          <w:tcPr>
            <w:tcW w:w="1002" w:type="dxa"/>
            <w:vAlign w:val="center"/>
          </w:tcPr>
          <w:p w14:paraId="344C1100">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1573" w:type="dxa"/>
            <w:vAlign w:val="center"/>
          </w:tcPr>
          <w:p w14:paraId="54327910">
            <w:pPr>
              <w:spacing w:line="360" w:lineRule="auto"/>
              <w:jc w:val="center"/>
              <w:rPr>
                <w:rFonts w:ascii="宋体" w:hAnsi="宋体" w:cs="宋体"/>
                <w:b/>
                <w:sz w:val="24"/>
                <w:highlight w:val="none"/>
              </w:rPr>
            </w:pPr>
            <w:r>
              <w:rPr>
                <w:rFonts w:hint="eastAsia" w:ascii="宋体" w:hAnsi="宋体" w:cs="宋体"/>
                <w:b/>
                <w:sz w:val="24"/>
                <w:highlight w:val="none"/>
              </w:rPr>
              <w:t>单价</w:t>
            </w:r>
          </w:p>
        </w:tc>
        <w:tc>
          <w:tcPr>
            <w:tcW w:w="2002" w:type="dxa"/>
            <w:vAlign w:val="center"/>
          </w:tcPr>
          <w:p w14:paraId="58A9CD9F">
            <w:pPr>
              <w:spacing w:line="360" w:lineRule="auto"/>
              <w:jc w:val="center"/>
              <w:rPr>
                <w:rFonts w:ascii="宋体" w:hAnsi="宋体" w:cs="宋体"/>
                <w:b/>
                <w:sz w:val="24"/>
                <w:highlight w:val="none"/>
              </w:rPr>
            </w:pPr>
            <w:r>
              <w:rPr>
                <w:rFonts w:hint="eastAsia" w:ascii="宋体" w:hAnsi="宋体" w:cs="宋体"/>
                <w:b/>
                <w:sz w:val="24"/>
                <w:highlight w:val="none"/>
              </w:rPr>
              <w:t>合计</w:t>
            </w:r>
          </w:p>
        </w:tc>
        <w:tc>
          <w:tcPr>
            <w:tcW w:w="3147" w:type="dxa"/>
            <w:vAlign w:val="center"/>
          </w:tcPr>
          <w:p w14:paraId="0C290A0D">
            <w:pPr>
              <w:spacing w:line="360" w:lineRule="auto"/>
              <w:jc w:val="center"/>
              <w:rPr>
                <w:rFonts w:ascii="宋体" w:hAnsi="宋体" w:cs="宋体"/>
                <w:b/>
                <w:sz w:val="24"/>
                <w:highlight w:val="none"/>
              </w:rPr>
            </w:pPr>
            <w:r>
              <w:rPr>
                <w:rFonts w:hint="eastAsia" w:ascii="宋体" w:hAnsi="宋体" w:cs="宋体"/>
                <w:b/>
                <w:sz w:val="24"/>
                <w:highlight w:val="none"/>
              </w:rPr>
              <w:t>备注（如果有）</w:t>
            </w:r>
          </w:p>
        </w:tc>
      </w:tr>
      <w:tr w14:paraId="4D86C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3393895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cs="宋体"/>
                <w:color w:val="0000FF"/>
                <w:sz w:val="24"/>
                <w:highlight w:val="none"/>
              </w:rPr>
            </w:pPr>
            <w:r>
              <w:rPr>
                <w:rFonts w:hint="eastAsia" w:ascii="宋体" w:hAnsi="宋体" w:cs="宋体"/>
                <w:i w:val="0"/>
                <w:iCs w:val="0"/>
                <w:color w:val="000000"/>
                <w:sz w:val="21"/>
                <w:szCs w:val="21"/>
                <w:highlight w:val="none"/>
                <w:u w:val="none"/>
                <w:lang w:val="en-US" w:eastAsia="zh-CN"/>
              </w:rPr>
              <w:t>1</w:t>
            </w:r>
          </w:p>
        </w:tc>
        <w:tc>
          <w:tcPr>
            <w:tcW w:w="1793" w:type="dxa"/>
            <w:vAlign w:val="center"/>
          </w:tcPr>
          <w:p w14:paraId="53D53D14">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i w:val="0"/>
                <w:iCs w:val="0"/>
                <w:color w:val="000000"/>
                <w:kern w:val="2"/>
                <w:sz w:val="21"/>
                <w:szCs w:val="21"/>
                <w:highlight w:val="none"/>
                <w:u w:val="none"/>
                <w:lang w:val="en-US" w:eastAsia="zh-CN" w:bidi="ar-SA"/>
              </w:rPr>
            </w:pPr>
          </w:p>
        </w:tc>
        <w:tc>
          <w:tcPr>
            <w:tcW w:w="1725" w:type="dxa"/>
            <w:vAlign w:val="center"/>
          </w:tcPr>
          <w:p w14:paraId="353AC641">
            <w:pPr>
              <w:snapToGrid w:val="0"/>
              <w:spacing w:line="360" w:lineRule="auto"/>
              <w:jc w:val="center"/>
              <w:rPr>
                <w:rFonts w:ascii="宋体" w:hAnsi="宋体" w:cs="宋体"/>
                <w:color w:val="0000FF"/>
                <w:sz w:val="24"/>
                <w:highlight w:val="none"/>
              </w:rPr>
            </w:pPr>
          </w:p>
        </w:tc>
        <w:tc>
          <w:tcPr>
            <w:tcW w:w="2579" w:type="dxa"/>
            <w:vAlign w:val="center"/>
          </w:tcPr>
          <w:p w14:paraId="45AC6EA7">
            <w:pPr>
              <w:snapToGrid w:val="0"/>
              <w:spacing w:line="360" w:lineRule="auto"/>
              <w:jc w:val="center"/>
              <w:rPr>
                <w:rFonts w:ascii="宋体" w:hAnsi="宋体" w:cs="宋体"/>
                <w:color w:val="0000FF"/>
                <w:sz w:val="24"/>
                <w:highlight w:val="none"/>
              </w:rPr>
            </w:pPr>
          </w:p>
        </w:tc>
        <w:tc>
          <w:tcPr>
            <w:tcW w:w="1002" w:type="dxa"/>
            <w:vAlign w:val="center"/>
          </w:tcPr>
          <w:p w14:paraId="5F638AC9">
            <w:pPr>
              <w:snapToGrid w:val="0"/>
              <w:spacing w:line="360" w:lineRule="auto"/>
              <w:jc w:val="center"/>
              <w:rPr>
                <w:rFonts w:ascii="宋体" w:hAnsi="宋体" w:cs="宋体"/>
                <w:color w:val="0000FF"/>
                <w:sz w:val="24"/>
                <w:highlight w:val="none"/>
              </w:rPr>
            </w:pPr>
          </w:p>
        </w:tc>
        <w:tc>
          <w:tcPr>
            <w:tcW w:w="1573" w:type="dxa"/>
            <w:vAlign w:val="center"/>
          </w:tcPr>
          <w:p w14:paraId="316EE673">
            <w:pPr>
              <w:spacing w:line="360" w:lineRule="auto"/>
              <w:jc w:val="center"/>
              <w:rPr>
                <w:rFonts w:ascii="宋体" w:hAnsi="宋体" w:cs="宋体"/>
                <w:color w:val="0000FF"/>
                <w:sz w:val="24"/>
                <w:highlight w:val="none"/>
              </w:rPr>
            </w:pPr>
          </w:p>
        </w:tc>
        <w:tc>
          <w:tcPr>
            <w:tcW w:w="2002" w:type="dxa"/>
            <w:vAlign w:val="center"/>
          </w:tcPr>
          <w:p w14:paraId="2919701B">
            <w:pPr>
              <w:spacing w:line="360" w:lineRule="auto"/>
              <w:jc w:val="center"/>
              <w:rPr>
                <w:rFonts w:ascii="宋体" w:hAnsi="宋体" w:cs="宋体"/>
                <w:color w:val="0000FF"/>
                <w:sz w:val="24"/>
                <w:highlight w:val="none"/>
              </w:rPr>
            </w:pPr>
          </w:p>
        </w:tc>
        <w:tc>
          <w:tcPr>
            <w:tcW w:w="3147" w:type="dxa"/>
            <w:vAlign w:val="center"/>
          </w:tcPr>
          <w:p w14:paraId="13490333">
            <w:pPr>
              <w:spacing w:line="360" w:lineRule="auto"/>
              <w:jc w:val="center"/>
              <w:rPr>
                <w:rFonts w:ascii="宋体" w:hAnsi="宋体" w:cs="宋体"/>
                <w:color w:val="0000FF"/>
                <w:sz w:val="24"/>
                <w:highlight w:val="none"/>
              </w:rPr>
            </w:pPr>
          </w:p>
        </w:tc>
      </w:tr>
      <w:tr w14:paraId="2EDF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0CAC6AD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color w:val="0000FF"/>
                <w:sz w:val="24"/>
                <w:highlight w:val="none"/>
                <w:lang w:val="en-US" w:eastAsia="zh-CN"/>
              </w:rPr>
            </w:pPr>
            <w:r>
              <w:rPr>
                <w:rFonts w:hint="eastAsia" w:ascii="宋体" w:hAnsi="宋体" w:cs="宋体"/>
                <w:i w:val="0"/>
                <w:iCs w:val="0"/>
                <w:color w:val="000000"/>
                <w:sz w:val="21"/>
                <w:szCs w:val="21"/>
                <w:highlight w:val="none"/>
                <w:u w:val="none"/>
                <w:lang w:val="en-US" w:eastAsia="zh-CN"/>
              </w:rPr>
              <w:t>2</w:t>
            </w:r>
          </w:p>
        </w:tc>
        <w:tc>
          <w:tcPr>
            <w:tcW w:w="1793" w:type="dxa"/>
            <w:vAlign w:val="center"/>
          </w:tcPr>
          <w:p w14:paraId="788BE8C8">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i w:val="0"/>
                <w:iCs w:val="0"/>
                <w:color w:val="000000"/>
                <w:kern w:val="2"/>
                <w:sz w:val="21"/>
                <w:szCs w:val="21"/>
                <w:highlight w:val="none"/>
                <w:u w:val="none"/>
                <w:lang w:val="en-US" w:eastAsia="zh-CN" w:bidi="ar-SA"/>
              </w:rPr>
            </w:pPr>
          </w:p>
        </w:tc>
        <w:tc>
          <w:tcPr>
            <w:tcW w:w="1725" w:type="dxa"/>
            <w:vAlign w:val="center"/>
          </w:tcPr>
          <w:p w14:paraId="5DA8F610">
            <w:pPr>
              <w:snapToGrid w:val="0"/>
              <w:spacing w:line="360" w:lineRule="auto"/>
              <w:jc w:val="center"/>
              <w:rPr>
                <w:rFonts w:ascii="宋体" w:hAnsi="宋体" w:cs="宋体"/>
                <w:color w:val="0000FF"/>
                <w:sz w:val="24"/>
                <w:highlight w:val="none"/>
              </w:rPr>
            </w:pPr>
          </w:p>
        </w:tc>
        <w:tc>
          <w:tcPr>
            <w:tcW w:w="2579" w:type="dxa"/>
            <w:vAlign w:val="center"/>
          </w:tcPr>
          <w:p w14:paraId="33AC02CD">
            <w:pPr>
              <w:snapToGrid w:val="0"/>
              <w:spacing w:line="360" w:lineRule="auto"/>
              <w:jc w:val="center"/>
              <w:rPr>
                <w:rFonts w:ascii="宋体" w:hAnsi="宋体" w:cs="宋体"/>
                <w:color w:val="0000FF"/>
                <w:sz w:val="24"/>
                <w:highlight w:val="none"/>
              </w:rPr>
            </w:pPr>
          </w:p>
        </w:tc>
        <w:tc>
          <w:tcPr>
            <w:tcW w:w="1002" w:type="dxa"/>
            <w:vAlign w:val="center"/>
          </w:tcPr>
          <w:p w14:paraId="6F0165CC">
            <w:pPr>
              <w:snapToGrid w:val="0"/>
              <w:spacing w:line="360" w:lineRule="auto"/>
              <w:jc w:val="center"/>
              <w:rPr>
                <w:rFonts w:ascii="宋体" w:hAnsi="宋体" w:cs="宋体"/>
                <w:color w:val="0000FF"/>
                <w:sz w:val="24"/>
                <w:highlight w:val="none"/>
              </w:rPr>
            </w:pPr>
          </w:p>
        </w:tc>
        <w:tc>
          <w:tcPr>
            <w:tcW w:w="1573" w:type="dxa"/>
            <w:vAlign w:val="center"/>
          </w:tcPr>
          <w:p w14:paraId="01968A1F">
            <w:pPr>
              <w:spacing w:line="360" w:lineRule="auto"/>
              <w:jc w:val="center"/>
              <w:rPr>
                <w:rFonts w:ascii="宋体" w:hAnsi="宋体" w:cs="宋体"/>
                <w:color w:val="0000FF"/>
                <w:sz w:val="24"/>
                <w:highlight w:val="none"/>
              </w:rPr>
            </w:pPr>
          </w:p>
        </w:tc>
        <w:tc>
          <w:tcPr>
            <w:tcW w:w="2002" w:type="dxa"/>
            <w:vAlign w:val="center"/>
          </w:tcPr>
          <w:p w14:paraId="11B1F2CD">
            <w:pPr>
              <w:spacing w:line="360" w:lineRule="auto"/>
              <w:jc w:val="center"/>
              <w:rPr>
                <w:rFonts w:ascii="宋体" w:hAnsi="宋体" w:cs="宋体"/>
                <w:color w:val="0000FF"/>
                <w:sz w:val="24"/>
                <w:highlight w:val="none"/>
              </w:rPr>
            </w:pPr>
          </w:p>
        </w:tc>
        <w:tc>
          <w:tcPr>
            <w:tcW w:w="3147" w:type="dxa"/>
            <w:vAlign w:val="center"/>
          </w:tcPr>
          <w:p w14:paraId="1E858E62">
            <w:pPr>
              <w:spacing w:line="360" w:lineRule="auto"/>
              <w:jc w:val="center"/>
              <w:rPr>
                <w:rFonts w:ascii="宋体" w:hAnsi="宋体" w:cs="宋体"/>
                <w:color w:val="0000FF"/>
                <w:sz w:val="24"/>
                <w:highlight w:val="none"/>
              </w:rPr>
            </w:pPr>
          </w:p>
        </w:tc>
      </w:tr>
      <w:tr w14:paraId="1F66F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973" w:type="dxa"/>
            <w:gridSpan w:val="4"/>
            <w:vAlign w:val="center"/>
          </w:tcPr>
          <w:p w14:paraId="6F0535DE">
            <w:pPr>
              <w:spacing w:line="360" w:lineRule="auto"/>
              <w:jc w:val="center"/>
              <w:rPr>
                <w:rFonts w:ascii="宋体" w:hAnsi="宋体" w:cs="宋体"/>
                <w:b/>
                <w:sz w:val="24"/>
                <w:highlight w:val="none"/>
              </w:rPr>
            </w:pPr>
            <w:r>
              <w:rPr>
                <w:rFonts w:hint="eastAsia" w:ascii="宋体" w:hAnsi="宋体" w:cs="宋体"/>
                <w:b/>
                <w:sz w:val="24"/>
                <w:highlight w:val="none"/>
              </w:rPr>
              <w:t>投标报价（小写）</w:t>
            </w:r>
          </w:p>
        </w:tc>
        <w:tc>
          <w:tcPr>
            <w:tcW w:w="7724" w:type="dxa"/>
            <w:gridSpan w:val="4"/>
            <w:vAlign w:val="center"/>
          </w:tcPr>
          <w:p w14:paraId="6219E040">
            <w:pPr>
              <w:spacing w:line="360" w:lineRule="auto"/>
              <w:jc w:val="center"/>
              <w:rPr>
                <w:rFonts w:ascii="宋体" w:hAnsi="宋体" w:cs="宋体"/>
                <w:sz w:val="24"/>
                <w:highlight w:val="none"/>
              </w:rPr>
            </w:pPr>
          </w:p>
        </w:tc>
      </w:tr>
      <w:tr w14:paraId="02160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6973" w:type="dxa"/>
            <w:gridSpan w:val="4"/>
            <w:vAlign w:val="center"/>
          </w:tcPr>
          <w:p w14:paraId="2CC395C4">
            <w:pPr>
              <w:spacing w:line="360" w:lineRule="auto"/>
              <w:jc w:val="center"/>
              <w:rPr>
                <w:rFonts w:ascii="宋体" w:hAnsi="宋体" w:cs="宋体"/>
                <w:b/>
                <w:sz w:val="24"/>
                <w:highlight w:val="none"/>
              </w:rPr>
            </w:pPr>
            <w:r>
              <w:rPr>
                <w:rFonts w:hint="eastAsia" w:ascii="宋体" w:hAnsi="宋体" w:cs="宋体"/>
                <w:b/>
                <w:sz w:val="24"/>
                <w:highlight w:val="none"/>
              </w:rPr>
              <w:t>投标报价（大写）</w:t>
            </w:r>
          </w:p>
        </w:tc>
        <w:tc>
          <w:tcPr>
            <w:tcW w:w="7724" w:type="dxa"/>
            <w:gridSpan w:val="4"/>
            <w:vAlign w:val="center"/>
          </w:tcPr>
          <w:p w14:paraId="23EA9732">
            <w:pPr>
              <w:spacing w:line="360" w:lineRule="auto"/>
              <w:jc w:val="center"/>
              <w:rPr>
                <w:rFonts w:ascii="宋体" w:hAnsi="宋体" w:cs="宋体"/>
                <w:sz w:val="24"/>
                <w:highlight w:val="none"/>
              </w:rPr>
            </w:pPr>
          </w:p>
        </w:tc>
      </w:tr>
    </w:tbl>
    <w:p w14:paraId="42E97535">
      <w:pPr>
        <w:snapToGrid w:val="0"/>
        <w:spacing w:line="360" w:lineRule="auto"/>
        <w:ind w:left="480"/>
        <w:rPr>
          <w:rFonts w:ascii="宋体" w:hAnsi="宋体" w:cs="宋体"/>
          <w:b/>
          <w:kern w:val="0"/>
          <w:sz w:val="24"/>
          <w:highlight w:val="none"/>
          <w:lang w:val="zh-CN"/>
        </w:rPr>
      </w:pPr>
      <w:r>
        <w:rPr>
          <w:rFonts w:hint="eastAsia" w:ascii="宋体" w:hAnsi="宋体" w:cs="宋体"/>
          <w:b/>
          <w:kern w:val="0"/>
          <w:sz w:val="24"/>
          <w:highlight w:val="none"/>
          <w:lang w:val="zh-CN"/>
        </w:rPr>
        <w:t>注：</w:t>
      </w:r>
    </w:p>
    <w:p w14:paraId="23F87C52">
      <w:pPr>
        <w:keepNext w:val="0"/>
        <w:keepLines w:val="0"/>
        <w:pageBreakBefore w:val="0"/>
        <w:widowControl w:val="0"/>
        <w:kinsoku/>
        <w:wordWrap/>
        <w:overflowPunct/>
        <w:topLinePunct w:val="0"/>
        <w:autoSpaceDE/>
        <w:autoSpaceDN/>
        <w:bidi w:val="0"/>
        <w:adjustRightInd w:val="0"/>
        <w:spacing w:line="400" w:lineRule="exact"/>
        <w:ind w:left="0" w:leftChars="0" w:firstLine="480" w:firstLineChars="200"/>
        <w:textAlignment w:val="auto"/>
        <w:rPr>
          <w:rFonts w:ascii="宋体" w:hAnsi="宋体" w:cs="宋体"/>
          <w:kern w:val="0"/>
          <w:sz w:val="24"/>
          <w:highlight w:val="none"/>
          <w:lang w:val="zh-CN"/>
        </w:rPr>
      </w:pPr>
      <w:r>
        <w:rPr>
          <w:rFonts w:hint="eastAsia" w:ascii="宋体" w:hAnsi="宋体" w:cs="宋体"/>
          <w:kern w:val="0"/>
          <w:sz w:val="24"/>
          <w:highlight w:val="none"/>
          <w:lang w:val="zh-CN"/>
        </w:rPr>
        <w:t>1、投标人需按本表格式填写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kern w:val="0"/>
          <w:sz w:val="24"/>
          <w:highlight w:val="none"/>
          <w:lang w:val="zh-CN"/>
        </w:rPr>
        <w:t>。</w:t>
      </w:r>
    </w:p>
    <w:p w14:paraId="2DEB116A">
      <w:pPr>
        <w:keepNext w:val="0"/>
        <w:keepLines w:val="0"/>
        <w:pageBreakBefore w:val="0"/>
        <w:widowControl w:val="0"/>
        <w:kinsoku/>
        <w:wordWrap/>
        <w:overflowPunct/>
        <w:topLinePunct w:val="0"/>
        <w:autoSpaceDE/>
        <w:autoSpaceDN/>
        <w:bidi w:val="0"/>
        <w:adjustRightInd w:val="0"/>
        <w:spacing w:line="400" w:lineRule="exact"/>
        <w:ind w:left="0" w:leftChars="0" w:firstLine="480" w:firstLineChars="200"/>
        <w:textAlignment w:val="auto"/>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w:t>
      </w:r>
      <w:r>
        <w:rPr>
          <w:rFonts w:hint="eastAsia" w:ascii="宋体" w:hAnsi="宋体" w:cs="宋体"/>
          <w:b/>
          <w:kern w:val="0"/>
          <w:sz w:val="24"/>
          <w:highlight w:val="none"/>
          <w:lang w:val="zh-CN"/>
        </w:rPr>
        <w:t>采购人将以合同形式有偿取得货物或服务，不接受投标人给予的赠品、回扣或者与采购无关的其他商品、服务</w:t>
      </w:r>
      <w:r>
        <w:rPr>
          <w:rFonts w:hint="eastAsia" w:ascii="宋体" w:hAnsi="宋体" w:cs="宋体"/>
          <w:kern w:val="0"/>
          <w:sz w:val="24"/>
          <w:highlight w:val="none"/>
          <w:lang w:val="zh-CN"/>
        </w:rPr>
        <w:t>，</w:t>
      </w:r>
      <w:r>
        <w:rPr>
          <w:rFonts w:hint="eastAsia" w:ascii="宋体" w:hAnsi="宋体" w:cs="宋体"/>
          <w:b/>
          <w:kern w:val="0"/>
          <w:sz w:val="24"/>
          <w:highlight w:val="none"/>
          <w:lang w:val="zh-CN"/>
        </w:rPr>
        <w:t>不得出现“0元”“免费赠送”等形式的无偿报价，</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b/>
          <w:kern w:val="0"/>
          <w:sz w:val="24"/>
          <w:highlight w:val="none"/>
          <w:lang w:val="zh-CN"/>
        </w:rPr>
        <w:t>；采购内容未包含在《开标一览表（报价表）》名称栏中，投标人不能作出合理解释的，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421D0B7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ascii="宋体" w:hAnsi="宋体" w:cs="宋体"/>
          <w:kern w:val="0"/>
          <w:sz w:val="24"/>
          <w:highlight w:val="none"/>
          <w:lang w:val="zh-CN"/>
        </w:rPr>
      </w:pPr>
      <w:r>
        <w:rPr>
          <w:rFonts w:hint="eastAsia" w:ascii="宋体" w:hAnsi="宋体" w:cs="宋体"/>
          <w:kern w:val="0"/>
          <w:sz w:val="24"/>
          <w:highlight w:val="none"/>
          <w:lang w:val="zh-CN"/>
        </w:rPr>
        <w:t>3、特别提示：采购代理机构将对项目名称和项目编号，中标供应商名称、地址和中标金额，主要中标标的名称、品牌（如果有）、规格型号、数量、单价等予以公示。</w:t>
      </w:r>
    </w:p>
    <w:p w14:paraId="2791A6EC">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ascii="宋体" w:hAnsi="宋体" w:cs="宋体"/>
          <w:color w:val="FF0000"/>
          <w:kern w:val="0"/>
          <w:sz w:val="24"/>
          <w:highlight w:val="none"/>
          <w:lang w:val="zh-CN"/>
        </w:rPr>
      </w:pPr>
      <w:r>
        <w:rPr>
          <w:rFonts w:ascii="宋体" w:hAnsi="宋体" w:cs="宋体"/>
          <w:color w:val="FF0000"/>
          <w:kern w:val="0"/>
          <w:sz w:val="24"/>
          <w:szCs w:val="22"/>
          <w:highlight w:val="none"/>
          <w:lang w:val="zh-CN"/>
        </w:rPr>
        <w:t>4</w:t>
      </w:r>
      <w:r>
        <w:rPr>
          <w:rFonts w:hint="eastAsia" w:ascii="宋体" w:hAnsi="宋体" w:cs="宋体"/>
          <w:color w:val="FF0000"/>
          <w:kern w:val="0"/>
          <w:sz w:val="24"/>
          <w:szCs w:val="22"/>
          <w:highlight w:val="none"/>
          <w:lang w:val="zh-CN"/>
        </w:rPr>
        <w:t>、</w:t>
      </w:r>
      <w:r>
        <w:rPr>
          <w:rFonts w:hint="eastAsia" w:ascii="宋体" w:hAnsi="宋体" w:cs="宋体"/>
          <w:color w:val="FF0000"/>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FCA23A7">
      <w:pPr>
        <w:pStyle w:val="694"/>
        <w:keepNext w:val="0"/>
        <w:keepLines w:val="0"/>
        <w:pageBreakBefore w:val="0"/>
        <w:widowControl w:val="0"/>
        <w:tabs>
          <w:tab w:val="clear" w:pos="720"/>
        </w:tabs>
        <w:kinsoku/>
        <w:wordWrap/>
        <w:overflowPunct/>
        <w:topLinePunct w:val="0"/>
        <w:autoSpaceDE/>
        <w:autoSpaceDN/>
        <w:bidi w:val="0"/>
        <w:adjustRightInd w:val="0"/>
        <w:snapToGrid w:val="0"/>
        <w:spacing w:line="400" w:lineRule="exact"/>
        <w:ind w:left="0" w:leftChars="0" w:firstLine="643"/>
        <w:textAlignment w:val="auto"/>
        <w:outlineLvl w:val="9"/>
        <w:rPr>
          <w:rFonts w:hint="eastAsia" w:ascii="宋体" w:hAnsi="宋体" w:eastAsia="宋体" w:cs="宋体"/>
          <w:kern w:val="2"/>
          <w:sz w:val="32"/>
          <w:szCs w:val="32"/>
          <w:highlight w:val="none"/>
        </w:rPr>
        <w:sectPr>
          <w:headerReference r:id="rId22" w:type="first"/>
          <w:footerReference r:id="rId24" w:type="first"/>
          <w:headerReference r:id="rId21" w:type="default"/>
          <w:footerReference r:id="rId23" w:type="default"/>
          <w:pgSz w:w="16838" w:h="11906" w:orient="landscape"/>
          <w:pgMar w:top="1417" w:right="1440" w:bottom="1417"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999A0C5">
      <w:pPr>
        <w:pStyle w:val="694"/>
        <w:keepNext w:val="0"/>
        <w:pageBreakBefore w:val="0"/>
        <w:tabs>
          <w:tab w:val="clear" w:pos="720"/>
        </w:tabs>
        <w:snapToGrid w:val="0"/>
        <w:spacing w:before="120" w:after="120"/>
        <w:ind w:firstLine="643"/>
        <w:outlineLvl w:val="9"/>
        <w:rPr>
          <w:rFonts w:hint="eastAsia" w:ascii="宋体" w:hAnsi="宋体" w:eastAsia="宋体" w:cs="宋体"/>
          <w:sz w:val="32"/>
          <w:szCs w:val="32"/>
          <w:highlight w:val="none"/>
        </w:rPr>
      </w:pPr>
      <w:r>
        <w:rPr>
          <w:rFonts w:hint="eastAsia" w:ascii="宋体" w:hAnsi="宋体" w:eastAsia="宋体" w:cs="宋体"/>
          <w:kern w:val="2"/>
          <w:sz w:val="32"/>
          <w:szCs w:val="32"/>
          <w:highlight w:val="none"/>
        </w:rPr>
        <w:t>二、</w:t>
      </w:r>
      <w:r>
        <w:rPr>
          <w:rFonts w:hint="eastAsia" w:ascii="宋体" w:hAnsi="宋体" w:eastAsia="宋体" w:cs="宋体"/>
          <w:sz w:val="32"/>
          <w:szCs w:val="32"/>
          <w:highlight w:val="none"/>
        </w:rPr>
        <w:t>中小企业声明函</w:t>
      </w:r>
    </w:p>
    <w:p w14:paraId="3EABF616">
      <w:pPr>
        <w:widowControl/>
        <w:spacing w:line="360" w:lineRule="auto"/>
        <w:ind w:firstLine="120" w:firstLineChars="50"/>
        <w:jc w:val="left"/>
        <w:rPr>
          <w:rFonts w:hint="eastAsia" w:ascii="宋体" w:hAnsi="宋体" w:eastAsia="宋体" w:cs="宋体"/>
          <w:b/>
          <w:sz w:val="24"/>
          <w:highlight w:val="none"/>
        </w:rPr>
      </w:pPr>
      <w:r>
        <w:rPr>
          <w:rFonts w:hint="eastAsia" w:ascii="宋体" w:hAnsi="宋体" w:eastAsia="宋体" w:cs="宋体"/>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4CBE712E">
      <w:pPr>
        <w:tabs>
          <w:tab w:val="left" w:pos="8085"/>
        </w:tabs>
        <w:spacing w:line="360" w:lineRule="auto"/>
        <w:ind w:firstLine="1285" w:firstLineChars="400"/>
        <w:jc w:val="left"/>
        <w:rPr>
          <w:rFonts w:hint="eastAsia" w:ascii="宋体" w:hAnsi="宋体" w:eastAsia="宋体" w:cs="宋体"/>
          <w:b/>
          <w:sz w:val="32"/>
          <w:szCs w:val="32"/>
          <w:highlight w:val="none"/>
        </w:rPr>
      </w:pPr>
    </w:p>
    <w:p w14:paraId="4F194FBC">
      <w:pPr>
        <w:tabs>
          <w:tab w:val="left" w:pos="8085"/>
        </w:tabs>
        <w:spacing w:line="360" w:lineRule="auto"/>
        <w:ind w:firstLine="1285" w:firstLineChars="400"/>
        <w:jc w:val="left"/>
        <w:rPr>
          <w:rFonts w:hint="eastAsia" w:ascii="宋体" w:hAnsi="宋体" w:eastAsia="宋体" w:cs="宋体"/>
          <w:b/>
          <w:sz w:val="32"/>
          <w:szCs w:val="32"/>
          <w:highlight w:val="none"/>
        </w:rPr>
      </w:pPr>
    </w:p>
    <w:p w14:paraId="4EA4A2E8">
      <w:pPr>
        <w:tabs>
          <w:tab w:val="left" w:pos="8085"/>
        </w:tabs>
        <w:spacing w:line="360" w:lineRule="auto"/>
        <w:ind w:firstLine="1285" w:firstLineChars="400"/>
        <w:jc w:val="left"/>
        <w:rPr>
          <w:rFonts w:hint="eastAsia" w:ascii="宋体" w:hAnsi="宋体" w:eastAsia="宋体" w:cs="宋体"/>
          <w:b/>
          <w:sz w:val="32"/>
          <w:szCs w:val="32"/>
          <w:highlight w:val="none"/>
        </w:rPr>
      </w:pPr>
    </w:p>
    <w:p w14:paraId="580E906C">
      <w:pPr>
        <w:tabs>
          <w:tab w:val="left" w:pos="8085"/>
        </w:tabs>
        <w:spacing w:line="360" w:lineRule="auto"/>
        <w:ind w:firstLine="1285" w:firstLineChars="400"/>
        <w:jc w:val="left"/>
        <w:rPr>
          <w:rFonts w:hint="eastAsia" w:ascii="宋体" w:hAnsi="宋体" w:eastAsia="宋体" w:cs="宋体"/>
          <w:b/>
          <w:sz w:val="32"/>
          <w:szCs w:val="32"/>
          <w:highlight w:val="none"/>
        </w:rPr>
      </w:pPr>
    </w:p>
    <w:p w14:paraId="1BB49E8F">
      <w:pPr>
        <w:tabs>
          <w:tab w:val="left" w:pos="8085"/>
        </w:tabs>
        <w:spacing w:line="360" w:lineRule="auto"/>
        <w:ind w:firstLine="1285" w:firstLineChars="400"/>
        <w:jc w:val="left"/>
        <w:rPr>
          <w:rFonts w:hint="eastAsia" w:ascii="宋体" w:hAnsi="宋体" w:eastAsia="宋体" w:cs="宋体"/>
          <w:b/>
          <w:sz w:val="32"/>
          <w:szCs w:val="32"/>
          <w:highlight w:val="none"/>
        </w:rPr>
      </w:pPr>
    </w:p>
    <w:p w14:paraId="41252B67">
      <w:pPr>
        <w:tabs>
          <w:tab w:val="left" w:pos="8085"/>
        </w:tabs>
        <w:spacing w:line="360" w:lineRule="auto"/>
        <w:ind w:firstLine="1285" w:firstLineChars="400"/>
        <w:jc w:val="left"/>
        <w:rPr>
          <w:rFonts w:hint="eastAsia" w:ascii="宋体" w:hAnsi="宋体" w:eastAsia="宋体" w:cs="宋体"/>
          <w:b/>
          <w:sz w:val="32"/>
          <w:szCs w:val="32"/>
          <w:highlight w:val="none"/>
        </w:rPr>
      </w:pPr>
    </w:p>
    <w:p w14:paraId="7940DDA2">
      <w:pPr>
        <w:tabs>
          <w:tab w:val="left" w:pos="8085"/>
        </w:tabs>
        <w:spacing w:line="360" w:lineRule="auto"/>
        <w:ind w:firstLine="1285" w:firstLineChars="400"/>
        <w:jc w:val="left"/>
        <w:rPr>
          <w:rFonts w:hint="eastAsia" w:ascii="宋体" w:hAnsi="宋体" w:eastAsia="宋体" w:cs="宋体"/>
          <w:b/>
          <w:sz w:val="32"/>
          <w:szCs w:val="32"/>
          <w:highlight w:val="none"/>
        </w:rPr>
      </w:pPr>
    </w:p>
    <w:p w14:paraId="53F862AB">
      <w:pPr>
        <w:tabs>
          <w:tab w:val="left" w:pos="8085"/>
        </w:tabs>
        <w:spacing w:line="360" w:lineRule="auto"/>
        <w:ind w:firstLine="1285" w:firstLineChars="400"/>
        <w:jc w:val="left"/>
        <w:rPr>
          <w:rFonts w:hint="eastAsia" w:ascii="宋体" w:hAnsi="宋体" w:eastAsia="宋体" w:cs="宋体"/>
          <w:b/>
          <w:sz w:val="32"/>
          <w:szCs w:val="32"/>
          <w:highlight w:val="none"/>
        </w:rPr>
      </w:pPr>
    </w:p>
    <w:p w14:paraId="52967E62">
      <w:pPr>
        <w:tabs>
          <w:tab w:val="left" w:pos="8085"/>
        </w:tabs>
        <w:spacing w:line="360" w:lineRule="auto"/>
        <w:ind w:firstLine="1285" w:firstLineChars="400"/>
        <w:jc w:val="left"/>
        <w:rPr>
          <w:rFonts w:hint="eastAsia" w:ascii="宋体" w:hAnsi="宋体" w:eastAsia="宋体" w:cs="宋体"/>
          <w:b/>
          <w:sz w:val="32"/>
          <w:szCs w:val="32"/>
          <w:highlight w:val="none"/>
        </w:rPr>
      </w:pPr>
    </w:p>
    <w:p w14:paraId="259A1E34">
      <w:pPr>
        <w:tabs>
          <w:tab w:val="left" w:pos="8085"/>
        </w:tabs>
        <w:spacing w:line="360" w:lineRule="auto"/>
        <w:ind w:firstLine="1285" w:firstLineChars="400"/>
        <w:jc w:val="left"/>
        <w:rPr>
          <w:rFonts w:hint="eastAsia" w:ascii="宋体" w:hAnsi="宋体" w:eastAsia="宋体" w:cs="宋体"/>
          <w:b/>
          <w:sz w:val="32"/>
          <w:szCs w:val="32"/>
          <w:highlight w:val="none"/>
        </w:rPr>
      </w:pPr>
    </w:p>
    <w:p w14:paraId="34D086A9">
      <w:pPr>
        <w:tabs>
          <w:tab w:val="left" w:pos="8085"/>
        </w:tabs>
        <w:spacing w:line="360" w:lineRule="auto"/>
        <w:ind w:firstLine="1285" w:firstLineChars="400"/>
        <w:jc w:val="left"/>
        <w:rPr>
          <w:rFonts w:hint="eastAsia" w:ascii="宋体" w:hAnsi="宋体" w:eastAsia="宋体" w:cs="宋体"/>
          <w:b/>
          <w:sz w:val="32"/>
          <w:szCs w:val="32"/>
          <w:highlight w:val="none"/>
        </w:rPr>
      </w:pPr>
    </w:p>
    <w:p w14:paraId="1A28C957">
      <w:pPr>
        <w:tabs>
          <w:tab w:val="left" w:pos="8085"/>
        </w:tabs>
        <w:spacing w:line="360" w:lineRule="auto"/>
        <w:ind w:firstLine="1285" w:firstLineChars="400"/>
        <w:jc w:val="left"/>
        <w:rPr>
          <w:rFonts w:hint="eastAsia" w:ascii="宋体" w:hAnsi="宋体" w:eastAsia="宋体" w:cs="宋体"/>
          <w:b/>
          <w:sz w:val="32"/>
          <w:szCs w:val="32"/>
          <w:highlight w:val="none"/>
        </w:rPr>
      </w:pPr>
    </w:p>
    <w:p w14:paraId="3BB17329">
      <w:pPr>
        <w:tabs>
          <w:tab w:val="left" w:pos="8085"/>
        </w:tabs>
        <w:spacing w:line="360" w:lineRule="auto"/>
        <w:ind w:firstLine="1285" w:firstLineChars="400"/>
        <w:jc w:val="left"/>
        <w:rPr>
          <w:rFonts w:hint="eastAsia" w:ascii="宋体" w:hAnsi="宋体" w:eastAsia="宋体" w:cs="宋体"/>
          <w:b/>
          <w:sz w:val="32"/>
          <w:szCs w:val="32"/>
          <w:highlight w:val="none"/>
        </w:rPr>
      </w:pPr>
    </w:p>
    <w:p w14:paraId="0E2BECE1">
      <w:pPr>
        <w:tabs>
          <w:tab w:val="left" w:pos="8085"/>
        </w:tabs>
        <w:spacing w:line="360" w:lineRule="auto"/>
        <w:ind w:firstLine="1285" w:firstLineChars="400"/>
        <w:jc w:val="left"/>
        <w:rPr>
          <w:rFonts w:hint="eastAsia" w:ascii="宋体" w:hAnsi="宋体" w:eastAsia="宋体" w:cs="宋体"/>
          <w:b/>
          <w:sz w:val="32"/>
          <w:szCs w:val="32"/>
          <w:highlight w:val="none"/>
        </w:rPr>
      </w:pPr>
    </w:p>
    <w:p w14:paraId="12CD3C11">
      <w:pPr>
        <w:tabs>
          <w:tab w:val="left" w:pos="8085"/>
        </w:tabs>
        <w:spacing w:line="360" w:lineRule="auto"/>
        <w:ind w:firstLine="1285" w:firstLineChars="400"/>
        <w:jc w:val="left"/>
        <w:rPr>
          <w:rFonts w:hint="eastAsia" w:ascii="宋体" w:hAnsi="宋体" w:eastAsia="宋体" w:cs="宋体"/>
          <w:b/>
          <w:sz w:val="32"/>
          <w:szCs w:val="32"/>
          <w:highlight w:val="none"/>
        </w:rPr>
      </w:pPr>
    </w:p>
    <w:p w14:paraId="10A00CCD">
      <w:pPr>
        <w:tabs>
          <w:tab w:val="left" w:pos="8085"/>
        </w:tabs>
        <w:spacing w:line="360" w:lineRule="auto"/>
        <w:ind w:firstLine="1285" w:firstLineChars="400"/>
        <w:jc w:val="left"/>
        <w:rPr>
          <w:rFonts w:hint="eastAsia" w:ascii="宋体" w:hAnsi="宋体" w:eastAsia="宋体" w:cs="宋体"/>
          <w:b/>
          <w:sz w:val="32"/>
          <w:szCs w:val="32"/>
          <w:highlight w:val="none"/>
        </w:rPr>
      </w:pPr>
    </w:p>
    <w:p w14:paraId="7E4DA47B">
      <w:pPr>
        <w:tabs>
          <w:tab w:val="left" w:pos="8085"/>
        </w:tabs>
        <w:spacing w:line="360" w:lineRule="auto"/>
        <w:ind w:firstLine="1285" w:firstLineChars="400"/>
        <w:jc w:val="left"/>
        <w:rPr>
          <w:rFonts w:hint="eastAsia" w:ascii="宋体" w:hAnsi="宋体" w:eastAsia="宋体" w:cs="宋体"/>
          <w:b/>
          <w:sz w:val="32"/>
          <w:szCs w:val="32"/>
          <w:highlight w:val="none"/>
        </w:rPr>
      </w:pPr>
    </w:p>
    <w:p w14:paraId="029B4905">
      <w:pPr>
        <w:tabs>
          <w:tab w:val="left" w:pos="8085"/>
        </w:tabs>
        <w:spacing w:line="360" w:lineRule="auto"/>
        <w:ind w:firstLine="1285" w:firstLineChars="400"/>
        <w:jc w:val="left"/>
        <w:rPr>
          <w:rFonts w:hint="eastAsia" w:ascii="宋体" w:hAnsi="宋体" w:eastAsia="宋体" w:cs="宋体"/>
          <w:b/>
          <w:sz w:val="32"/>
          <w:szCs w:val="32"/>
          <w:highlight w:val="none"/>
        </w:rPr>
      </w:pPr>
    </w:p>
    <w:p w14:paraId="4DE1934F">
      <w:pPr>
        <w:tabs>
          <w:tab w:val="left" w:pos="8085"/>
        </w:tabs>
        <w:spacing w:line="360" w:lineRule="auto"/>
        <w:ind w:firstLine="1285" w:firstLineChars="400"/>
        <w:jc w:val="left"/>
        <w:rPr>
          <w:rFonts w:hint="eastAsia" w:ascii="宋体" w:hAnsi="宋体" w:eastAsia="宋体" w:cs="宋体"/>
          <w:b/>
          <w:sz w:val="32"/>
          <w:szCs w:val="32"/>
          <w:highlight w:val="none"/>
        </w:rPr>
      </w:pPr>
    </w:p>
    <w:p w14:paraId="7B79B070">
      <w:pPr>
        <w:tabs>
          <w:tab w:val="left" w:pos="8085"/>
        </w:tabs>
        <w:spacing w:line="360" w:lineRule="auto"/>
        <w:ind w:firstLine="1285" w:firstLineChars="400"/>
        <w:jc w:val="left"/>
        <w:rPr>
          <w:rFonts w:hint="eastAsia" w:ascii="宋体" w:hAnsi="宋体" w:eastAsia="宋体" w:cs="宋体"/>
          <w:b/>
          <w:sz w:val="32"/>
          <w:szCs w:val="32"/>
          <w:highlight w:val="none"/>
        </w:rPr>
      </w:pPr>
      <w:r>
        <w:rPr>
          <w:rFonts w:hint="eastAsia" w:ascii="宋体" w:hAnsi="宋体" w:eastAsia="宋体" w:cs="宋体"/>
          <w:b/>
          <w:sz w:val="32"/>
          <w:szCs w:val="32"/>
          <w:highlight w:val="none"/>
        </w:rPr>
        <w:t>政府采购支持中小企业信用融资相关事项通知</w:t>
      </w:r>
    </w:p>
    <w:p w14:paraId="6E45FC1E">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14:paraId="20D3118D">
      <w:pPr>
        <w:pageBreakBefore w:val="0"/>
        <w:widowControl w:val="0"/>
        <w:kinsoku/>
        <w:wordWrap/>
        <w:overflowPunct/>
        <w:topLinePunct w:val="0"/>
        <w:autoSpaceDE/>
        <w:autoSpaceDN/>
        <w:bidi w:val="0"/>
        <w:snapToGrid/>
        <w:spacing w:line="360" w:lineRule="auto"/>
        <w:textAlignment w:val="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中国银保监会浙江监管局、杭州市地方金融监督管理局、杭州市经济和信息化局制定《杭州市政府采购支持中小企业信用融资管理办法》。相关事项通知如下：</w:t>
      </w:r>
    </w:p>
    <w:p w14:paraId="33B0D790">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sz w:val="24"/>
          <w:highlight w:val="none"/>
        </w:rPr>
      </w:pPr>
      <w:r>
        <w:rPr>
          <w:rFonts w:hint="eastAsia" w:ascii="宋体" w:hAnsi="宋体" w:eastAsia="宋体" w:cs="宋体"/>
          <w:b/>
          <w:sz w:val="24"/>
          <w:highlight w:val="none"/>
        </w:rPr>
        <w:t>一、适用对象</w:t>
      </w:r>
    </w:p>
    <w:p w14:paraId="70273C9E">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凡已在浙江政府采购网上注册入库，并取得杭州市政府采购合同的中小企业供应商（以下简称“供应商”），均可申请政府采购信用融资。</w:t>
      </w:r>
    </w:p>
    <w:p w14:paraId="699B58D7">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sz w:val="24"/>
          <w:highlight w:val="none"/>
        </w:rPr>
      </w:pPr>
      <w:r>
        <w:rPr>
          <w:rFonts w:hint="eastAsia" w:ascii="宋体" w:hAnsi="宋体" w:eastAsia="宋体" w:cs="宋体"/>
          <w:b/>
          <w:sz w:val="24"/>
          <w:highlight w:val="none"/>
        </w:rPr>
        <w:t>二、相关信息获取方式</w:t>
      </w:r>
    </w:p>
    <w:p w14:paraId="5DC99E51">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00C17567">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sz w:val="24"/>
          <w:highlight w:val="none"/>
        </w:rPr>
      </w:pPr>
      <w:r>
        <w:rPr>
          <w:rFonts w:hint="eastAsia" w:ascii="宋体" w:hAnsi="宋体" w:eastAsia="宋体" w:cs="宋体"/>
          <w:b/>
          <w:sz w:val="24"/>
          <w:highlight w:val="none"/>
        </w:rPr>
        <w:t>三、　政府采购信用融资操作流程：</w:t>
      </w:r>
    </w:p>
    <w:p w14:paraId="6BAB668C">
      <w:pPr>
        <w:pageBreakBefore w:val="0"/>
        <w:widowControl w:val="0"/>
        <w:kinsoku/>
        <w:wordWrap/>
        <w:overflowPunct/>
        <w:topLinePunct w:val="0"/>
        <w:autoSpaceDE/>
        <w:autoSpaceDN/>
        <w:bidi w:val="0"/>
        <w:snapToGrid/>
        <w:spacing w:line="360" w:lineRule="auto"/>
        <w:ind w:firstLine="960" w:firstLineChars="400"/>
        <w:textAlignment w:val="auto"/>
        <w:rPr>
          <w:rFonts w:hint="eastAsia" w:ascii="宋体" w:hAnsi="宋体" w:eastAsia="宋体" w:cs="宋体"/>
          <w:sz w:val="24"/>
          <w:highlight w:val="none"/>
        </w:rPr>
      </w:pPr>
      <w:r>
        <w:rPr>
          <w:rFonts w:hint="eastAsia" w:ascii="宋体" w:hAnsi="宋体" w:eastAsia="宋体" w:cs="宋体"/>
          <w:sz w:val="24"/>
          <w:highlight w:val="none"/>
        </w:rPr>
        <w:t>（一）线上融资模式：</w:t>
      </w:r>
    </w:p>
    <w:p w14:paraId="114E72FB">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1.供应商根据合作银行提供的方案，自行选择金融产品，并办理开户等手续；</w:t>
      </w:r>
    </w:p>
    <w:p w14:paraId="684DB408">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2.供应商中标后，可通过杭州市政府采购网或“浙里办”测算授信额度；</w:t>
      </w:r>
    </w:p>
    <w:p w14:paraId="06B67FD8">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3.采购合同签订后，供应商在杭州市政府采购网或“浙里办”向合作银行发出融资申请；</w:t>
      </w:r>
    </w:p>
    <w:p w14:paraId="2D9BA559">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4.审批通过后，在线办理放贷手续。</w:t>
      </w:r>
    </w:p>
    <w:p w14:paraId="481B3436">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（二）线下融资模式：</w:t>
      </w:r>
    </w:p>
    <w:p w14:paraId="6A572B72">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1.供应商根据合作银行提供的方案，自行选择金融产品，向合作银行提出信用资格预审，并办理开户等手续；</w:t>
      </w:r>
    </w:p>
    <w:p w14:paraId="1E36336C">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2.采购合同签订后，供应商在杭州市政府采购网或“浙里办”向合作银行发出融资申请；</w:t>
      </w:r>
    </w:p>
    <w:p w14:paraId="3BC8B416">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3.合作银行在信用融资模块受理申请后，供应商提供审批材料。合作银行应对申请信用融资的供应商及备案的政府采购合同信息进行核对和审查；</w:t>
      </w:r>
    </w:p>
    <w:p w14:paraId="0E3E8459">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　　4.审批通过后，合作银行应按照合作备忘录中约定的审批放款期限和优惠利率及时予以放款。</w:t>
      </w:r>
    </w:p>
    <w:p w14:paraId="0B6E2504">
      <w:pPr>
        <w:pStyle w:val="4"/>
        <w:pageBreakBefore w:val="0"/>
        <w:widowControl w:val="0"/>
        <w:numPr>
          <w:ilvl w:val="255"/>
          <w:numId w:val="0"/>
        </w:numPr>
        <w:kinsoku/>
        <w:wordWrap/>
        <w:overflowPunct/>
        <w:topLinePunct w:val="0"/>
        <w:autoSpaceDE/>
        <w:autoSpaceDN/>
        <w:bidi w:val="0"/>
        <w:snapToGrid/>
        <w:ind w:firstLine="960" w:firstLineChars="400"/>
        <w:textAlignment w:val="auto"/>
        <w:rPr>
          <w:rFonts w:hint="eastAsia"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rPr>
        <w:t>（三）杭州e融平台申请融资</w:t>
      </w:r>
    </w:p>
    <w:p w14:paraId="0E0B1F39">
      <w:pPr>
        <w:pStyle w:val="4"/>
        <w:pageBreakBefore w:val="0"/>
        <w:widowControl w:val="0"/>
        <w:numPr>
          <w:ilvl w:val="255"/>
          <w:numId w:val="0"/>
        </w:numPr>
        <w:kinsoku/>
        <w:wordWrap/>
        <w:overflowPunct/>
        <w:topLinePunct w:val="0"/>
        <w:autoSpaceDE/>
        <w:autoSpaceDN/>
        <w:bidi w:val="0"/>
        <w:snapToGrid/>
        <w:ind w:firstLine="960" w:firstLineChars="400"/>
        <w:textAlignment w:val="auto"/>
        <w:rPr>
          <w:rFonts w:hint="eastAsia"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rPr>
        <w:t>供应商通过杭州e融平台政采贷专区，自行选择金融产品，按规定手续办理贷款流程。</w:t>
      </w:r>
    </w:p>
    <w:p w14:paraId="68713DF9">
      <w:pPr>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sz w:val="24"/>
          <w:highlight w:val="none"/>
        </w:rPr>
      </w:pPr>
      <w:r>
        <w:rPr>
          <w:rFonts w:hint="eastAsia" w:ascii="宋体" w:hAnsi="宋体" w:eastAsia="宋体" w:cs="宋体"/>
          <w:b/>
          <w:sz w:val="24"/>
          <w:highlight w:val="none"/>
        </w:rPr>
        <w:t>四、注意事项</w:t>
      </w:r>
    </w:p>
    <w:p w14:paraId="06493126">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1、对拟用于信用融资的政府采购合同，供应商在签订合同时应当在合同中注明融资银行名称及账号，作为在该银行的唯一收款账号。</w:t>
      </w:r>
    </w:p>
    <w:p w14:paraId="3A7D3F12">
      <w:pPr>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14:paraId="32D34770">
      <w:pPr>
        <w:spacing w:line="360" w:lineRule="auto"/>
        <w:ind w:left="5060" w:hanging="5060" w:hangingChars="2100"/>
        <w:rPr>
          <w:rFonts w:hint="eastAsia" w:ascii="宋体" w:hAnsi="宋体" w:eastAsia="宋体" w:cs="宋体"/>
          <w:b/>
          <w:bCs/>
          <w:kern w:val="0"/>
          <w:sz w:val="24"/>
          <w:highlight w:val="none"/>
        </w:rPr>
      </w:pPr>
    </w:p>
    <w:p w14:paraId="73F50100">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highlight w:val="none"/>
        </w:rPr>
      </w:pPr>
      <w:bookmarkStart w:id="539" w:name="_Toc465665161"/>
      <w:r>
        <w:rPr>
          <w:rFonts w:hint="eastAsia" w:ascii="宋体" w:hAnsi="宋体" w:eastAsia="宋体" w:cs="宋体"/>
          <w:highlight w:val="none"/>
        </w:rPr>
        <w:t>附件</w:t>
      </w:r>
      <w:bookmarkEnd w:id="539"/>
    </w:p>
    <w:p w14:paraId="13D951E7">
      <w:pPr>
        <w:spacing w:line="360" w:lineRule="auto"/>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附件1：</w:t>
      </w:r>
    </w:p>
    <w:p w14:paraId="2E795337">
      <w:pPr>
        <w:spacing w:line="360" w:lineRule="auto"/>
        <w:jc w:val="center"/>
        <w:rPr>
          <w:rFonts w:hint="eastAsia" w:ascii="宋体" w:hAnsi="宋体" w:eastAsia="宋体" w:cs="宋体"/>
          <w:b/>
          <w:spacing w:val="6"/>
          <w:sz w:val="32"/>
          <w:szCs w:val="32"/>
          <w:highlight w:val="none"/>
        </w:rPr>
      </w:pPr>
      <w:bookmarkStart w:id="540" w:name="OLE_LINK13"/>
      <w:bookmarkStart w:id="541" w:name="OLE_LINK14"/>
      <w:r>
        <w:rPr>
          <w:rFonts w:hint="eastAsia" w:ascii="宋体" w:hAnsi="宋体" w:eastAsia="宋体" w:cs="宋体"/>
          <w:b/>
          <w:spacing w:val="6"/>
          <w:sz w:val="32"/>
          <w:szCs w:val="32"/>
          <w:highlight w:val="none"/>
        </w:rPr>
        <w:t>残疾人福利性单位声明函</w:t>
      </w:r>
    </w:p>
    <w:bookmarkEnd w:id="540"/>
    <w:bookmarkEnd w:id="541"/>
    <w:p w14:paraId="09AAFF63">
      <w:pPr>
        <w:spacing w:line="360" w:lineRule="auto"/>
        <w:rPr>
          <w:rFonts w:hint="eastAsia" w:ascii="宋体" w:hAnsi="宋体" w:eastAsia="宋体" w:cs="宋体"/>
          <w:b/>
          <w:spacing w:val="6"/>
          <w:sz w:val="30"/>
          <w:szCs w:val="30"/>
          <w:highlight w:val="none"/>
        </w:rPr>
      </w:pPr>
    </w:p>
    <w:p w14:paraId="41F763A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696EA9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本单位对上述声明的真实性负责。如有虚假，将依法承担相应责任。</w:t>
      </w:r>
    </w:p>
    <w:p w14:paraId="34437671">
      <w:pPr>
        <w:spacing w:line="360" w:lineRule="auto"/>
        <w:ind w:firstLine="480" w:firstLineChars="200"/>
        <w:rPr>
          <w:rFonts w:hint="eastAsia" w:ascii="宋体" w:hAnsi="宋体" w:eastAsia="宋体" w:cs="宋体"/>
          <w:sz w:val="24"/>
          <w:highlight w:val="none"/>
        </w:rPr>
      </w:pPr>
    </w:p>
    <w:p w14:paraId="1C9AAD4E">
      <w:pPr>
        <w:spacing w:line="360" w:lineRule="auto"/>
        <w:ind w:firstLine="480" w:firstLineChars="200"/>
        <w:rPr>
          <w:rFonts w:hint="eastAsia" w:ascii="宋体" w:hAnsi="宋体" w:eastAsia="宋体" w:cs="宋体"/>
          <w:sz w:val="24"/>
          <w:highlight w:val="none"/>
        </w:rPr>
      </w:pPr>
    </w:p>
    <w:p w14:paraId="2971E068">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kern w:val="0"/>
          <w:sz w:val="24"/>
          <w:highlight w:val="none"/>
          <w:lang w:val="zh-CN"/>
        </w:rPr>
        <w:t>投标人名称（电子签名）</w:t>
      </w:r>
      <w:r>
        <w:rPr>
          <w:rFonts w:hint="eastAsia" w:ascii="宋体" w:hAnsi="宋体" w:eastAsia="宋体" w:cs="宋体"/>
          <w:sz w:val="24"/>
          <w:highlight w:val="none"/>
        </w:rPr>
        <w:t>：</w:t>
      </w:r>
    </w:p>
    <w:p w14:paraId="1A6D65B2">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 xml:space="preserve">       日  期：</w:t>
      </w:r>
    </w:p>
    <w:p w14:paraId="6C98A3D7">
      <w:pPr>
        <w:spacing w:line="360" w:lineRule="auto"/>
        <w:jc w:val="left"/>
        <w:rPr>
          <w:rFonts w:hint="eastAsia" w:ascii="宋体" w:hAnsi="宋体" w:eastAsia="宋体" w:cs="宋体"/>
          <w:b/>
          <w:spacing w:val="6"/>
          <w:sz w:val="32"/>
          <w:szCs w:val="32"/>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0CF544DA">
      <w:pPr>
        <w:spacing w:line="360" w:lineRule="auto"/>
        <w:jc w:val="left"/>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附件2：质疑函范本及制作说明</w:t>
      </w:r>
    </w:p>
    <w:p w14:paraId="795C0451">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62850387">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508DCBDA">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4E645586">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74349FE1">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05C6C0CA">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185B0440">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22A020A9">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2C901A70">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3075F0A1">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620BCBC1">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4715A2FD">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322C5EB0">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31A1A59A">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515F596F">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42319018">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11C91A11">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346CB41D">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479DDCD6">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665EBE00">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067EDFC3">
      <w:pPr>
        <w:snapToGrid w:val="0"/>
        <w:spacing w:line="360" w:lineRule="auto"/>
        <w:rPr>
          <w:rFonts w:ascii="宋体" w:hAnsi="宋体" w:cs="宋体"/>
          <w:sz w:val="24"/>
          <w:highlight w:val="none"/>
        </w:rPr>
      </w:pPr>
      <w:r>
        <w:rPr>
          <w:rFonts w:hint="eastAsia" w:ascii="宋体" w:hAnsi="宋体" w:cs="宋体"/>
          <w:sz w:val="24"/>
          <w:highlight w:val="none"/>
        </w:rPr>
        <w:t>……</w:t>
      </w:r>
    </w:p>
    <w:p w14:paraId="46A6D9A2">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2680C32A">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5CD78884">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3177C2B7">
      <w:pPr>
        <w:spacing w:line="360" w:lineRule="auto"/>
        <w:rPr>
          <w:rFonts w:ascii="宋体" w:hAnsi="宋体" w:cs="宋体"/>
          <w:sz w:val="24"/>
          <w:highlight w:val="none"/>
        </w:rPr>
      </w:pPr>
      <w:r>
        <w:rPr>
          <w:rFonts w:hint="eastAsia" w:ascii="宋体" w:hAnsi="宋体" w:cs="宋体"/>
          <w:sz w:val="24"/>
          <w:highlight w:val="none"/>
        </w:rPr>
        <w:t xml:space="preserve">日期：    </w:t>
      </w:r>
    </w:p>
    <w:p w14:paraId="361D19B9">
      <w:pPr>
        <w:spacing w:line="360" w:lineRule="auto"/>
        <w:rPr>
          <w:rFonts w:hint="eastAsia" w:ascii="宋体" w:hAnsi="宋体" w:eastAsia="宋体" w:cs="宋体"/>
          <w:b/>
          <w:sz w:val="24"/>
          <w:highlight w:val="none"/>
        </w:rPr>
      </w:pPr>
    </w:p>
    <w:p w14:paraId="06EE07C5">
      <w:pPr>
        <w:spacing w:line="360" w:lineRule="auto"/>
        <w:rPr>
          <w:rFonts w:hint="eastAsia" w:ascii="宋体" w:hAnsi="宋体" w:eastAsia="宋体" w:cs="宋体"/>
          <w:b/>
          <w:sz w:val="24"/>
          <w:highlight w:val="none"/>
        </w:rPr>
      </w:pPr>
    </w:p>
    <w:p w14:paraId="6A4E875A">
      <w:pPr>
        <w:pStyle w:val="4"/>
        <w:rPr>
          <w:rFonts w:hint="eastAsia"/>
          <w:highlight w:val="none"/>
        </w:rPr>
      </w:pPr>
    </w:p>
    <w:p w14:paraId="193DAD5B">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质疑函制作说明：</w:t>
      </w:r>
    </w:p>
    <w:p w14:paraId="66429A07">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1.供应商提出质疑时，应提交质疑函和必要的证明材料。</w:t>
      </w:r>
    </w:p>
    <w:p w14:paraId="2B5F71D7">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2.质疑供应商若委托代理人进行质疑的，质疑函应按要求列明“授权代表”的有关内容，并在附件中提交由质疑</w:t>
      </w:r>
      <w:r>
        <w:rPr>
          <w:rFonts w:hint="eastAsia" w:ascii="宋体" w:hAnsi="宋体" w:eastAsia="宋体" w:cs="宋体"/>
          <w:kern w:val="0"/>
          <w:sz w:val="24"/>
          <w:highlight w:val="none"/>
        </w:rPr>
        <w:t>供应商签署的授权委托书。授权委托书应载明代理人的姓名或者名称、代理事项、具体权限、期限和相关事项。</w:t>
      </w:r>
    </w:p>
    <w:p w14:paraId="577117E9">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3.质疑供应商若对项目的某一分包进行质疑，质疑函中应列明具体分包号。</w:t>
      </w:r>
    </w:p>
    <w:p w14:paraId="07774BF2">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4.质疑函的质疑事项应具体、明确，并有必要的事实依据和法律依据。</w:t>
      </w:r>
    </w:p>
    <w:p w14:paraId="371961C3">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5.质疑函的质疑请求应与质疑事项相关。</w:t>
      </w:r>
    </w:p>
    <w:p w14:paraId="1AB50635">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6.质疑供应商为自然人的，质疑函应由本人签字；质疑供应商为法人或者其他组织的，质疑函应由法定代表人、主要负责人，或者其授权代表签字或者盖章，并加盖公章。</w:t>
      </w:r>
    </w:p>
    <w:p w14:paraId="12C34CAA">
      <w:pPr>
        <w:spacing w:line="360" w:lineRule="auto"/>
        <w:jc w:val="left"/>
        <w:rPr>
          <w:rFonts w:hint="eastAsia" w:ascii="宋体" w:hAnsi="宋体" w:eastAsia="宋体" w:cs="宋体"/>
          <w:b/>
          <w:spacing w:val="6"/>
          <w:sz w:val="32"/>
          <w:szCs w:val="32"/>
          <w:highlight w:val="none"/>
        </w:rPr>
        <w:sectPr>
          <w:pgSz w:w="11906" w:h="16838"/>
          <w:pgMar w:top="1327" w:right="1418" w:bottom="1440" w:left="1361"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4ED7A58A">
      <w:pPr>
        <w:spacing w:line="360" w:lineRule="auto"/>
        <w:jc w:val="left"/>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附件3：投诉书范本及制作说明</w:t>
      </w:r>
    </w:p>
    <w:p w14:paraId="24FC3788">
      <w:pPr>
        <w:spacing w:line="360" w:lineRule="auto"/>
        <w:jc w:val="center"/>
        <w:rPr>
          <w:rFonts w:ascii="宋体" w:hAnsi="宋体" w:cs="宋体"/>
          <w:b/>
          <w:sz w:val="24"/>
          <w:highlight w:val="none"/>
        </w:rPr>
      </w:pPr>
    </w:p>
    <w:p w14:paraId="6F759930">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75A0F5B5">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5DC72398">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56A75717">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28C1646">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050C5212">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2C7AD858">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40F3698B">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0ACA72BB">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33472032">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714F6C8F">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19CCA33">
      <w:pPr>
        <w:spacing w:line="360" w:lineRule="auto"/>
        <w:rPr>
          <w:rFonts w:ascii="宋体" w:hAnsi="宋体" w:cs="宋体"/>
          <w:sz w:val="24"/>
          <w:highlight w:val="none"/>
        </w:rPr>
      </w:pPr>
      <w:r>
        <w:rPr>
          <w:rFonts w:hint="eastAsia" w:ascii="宋体" w:hAnsi="宋体" w:cs="宋体"/>
          <w:sz w:val="24"/>
          <w:highlight w:val="none"/>
        </w:rPr>
        <w:t>被投诉人2</w:t>
      </w:r>
    </w:p>
    <w:p w14:paraId="2F655592">
      <w:pPr>
        <w:spacing w:line="360" w:lineRule="auto"/>
        <w:rPr>
          <w:rFonts w:ascii="宋体" w:hAnsi="宋体" w:cs="宋体"/>
          <w:sz w:val="24"/>
          <w:highlight w:val="none"/>
          <w:u w:val="dotted"/>
        </w:rPr>
      </w:pPr>
      <w:r>
        <w:rPr>
          <w:rFonts w:hint="eastAsia" w:ascii="宋体" w:hAnsi="宋体" w:cs="宋体"/>
          <w:sz w:val="24"/>
          <w:highlight w:val="none"/>
        </w:rPr>
        <w:t>……</w:t>
      </w:r>
    </w:p>
    <w:p w14:paraId="011886E4">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01C76647">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B59511A">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038036E5">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2E98047F">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2A3BFBD6">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23D8F0F8">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6ADCF990">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736D24BB">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2EF1FB12">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74439598">
      <w:pPr>
        <w:spacing w:line="360" w:lineRule="auto"/>
        <w:rPr>
          <w:rFonts w:ascii="宋体" w:hAnsi="宋体" w:cs="宋体"/>
          <w:sz w:val="24"/>
          <w:highlight w:val="none"/>
        </w:rPr>
      </w:pPr>
      <w:r>
        <w:rPr>
          <w:rFonts w:hint="eastAsia" w:ascii="宋体" w:hAnsi="宋体" w:cs="宋体"/>
          <w:sz w:val="24"/>
          <w:highlight w:val="none"/>
        </w:rPr>
        <w:t>三、质疑基本情况</w:t>
      </w:r>
    </w:p>
    <w:p w14:paraId="13ECEEB1">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0FEEEA4F">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2255599F">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日,就质疑事项作出了答复/没有在法定期限内作出答复。</w:t>
      </w:r>
    </w:p>
    <w:p w14:paraId="7C232ED3">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7070578A">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6D78F5B4">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0B016E57">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48062432">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0A28E2CA">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4E84A827">
      <w:pPr>
        <w:spacing w:line="360" w:lineRule="auto"/>
        <w:rPr>
          <w:rFonts w:ascii="宋体" w:hAnsi="宋体" w:cs="宋体"/>
          <w:sz w:val="24"/>
          <w:highlight w:val="none"/>
        </w:rPr>
      </w:pPr>
      <w:r>
        <w:rPr>
          <w:rFonts w:hint="eastAsia" w:ascii="宋体" w:hAnsi="宋体" w:cs="宋体"/>
          <w:sz w:val="24"/>
          <w:highlight w:val="none"/>
        </w:rPr>
        <w:t>投诉事项2</w:t>
      </w:r>
    </w:p>
    <w:p w14:paraId="674F57EC">
      <w:pPr>
        <w:spacing w:line="360" w:lineRule="auto"/>
        <w:rPr>
          <w:rFonts w:ascii="宋体" w:hAnsi="宋体" w:cs="宋体"/>
          <w:sz w:val="24"/>
          <w:highlight w:val="none"/>
          <w:u w:val="dotted"/>
        </w:rPr>
      </w:pPr>
      <w:r>
        <w:rPr>
          <w:rFonts w:hint="eastAsia" w:ascii="宋体" w:hAnsi="宋体" w:cs="宋体"/>
          <w:sz w:val="24"/>
          <w:highlight w:val="none"/>
        </w:rPr>
        <w:t>……</w:t>
      </w:r>
    </w:p>
    <w:p w14:paraId="451C3168">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676C2B04">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388502EB">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5238EFA8">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612B7E27">
      <w:pPr>
        <w:spacing w:line="360" w:lineRule="auto"/>
        <w:rPr>
          <w:rFonts w:ascii="宋体" w:hAnsi="宋体" w:cs="宋体"/>
          <w:sz w:val="24"/>
          <w:highlight w:val="none"/>
        </w:rPr>
      </w:pPr>
      <w:r>
        <w:rPr>
          <w:rFonts w:hint="eastAsia" w:ascii="宋体" w:hAnsi="宋体" w:cs="宋体"/>
          <w:sz w:val="24"/>
          <w:highlight w:val="none"/>
        </w:rPr>
        <w:t xml:space="preserve">日期：    </w:t>
      </w:r>
    </w:p>
    <w:p w14:paraId="1CE99E47">
      <w:pPr>
        <w:spacing w:line="360" w:lineRule="auto"/>
        <w:rPr>
          <w:rFonts w:hint="eastAsia" w:ascii="宋体" w:hAnsi="宋体" w:eastAsia="宋体" w:cs="宋体"/>
          <w:b/>
          <w:sz w:val="24"/>
          <w:highlight w:val="none"/>
        </w:rPr>
      </w:pPr>
    </w:p>
    <w:p w14:paraId="65B45203">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投诉书制作说明：</w:t>
      </w:r>
    </w:p>
    <w:p w14:paraId="247C289F">
      <w:pPr>
        <w:widowControl/>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sz w:val="24"/>
          <w:highlight w:val="none"/>
        </w:rPr>
        <w:t>1.投诉人提起投诉时，应当提交投诉书和必要的证明材料，并按照被投诉人和与投诉事项有关的供应商数量提供投诉书副本。</w:t>
      </w:r>
    </w:p>
    <w:p w14:paraId="398DC371">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sz w:val="24"/>
          <w:highlight w:val="none"/>
        </w:rPr>
        <w:t>2.投诉人若委托代理人进行投诉的，投诉书应按照要求列明“授权代表”的有关内容，并在附件中提交由</w:t>
      </w:r>
      <w:r>
        <w:rPr>
          <w:rFonts w:hint="eastAsia" w:ascii="宋体" w:hAnsi="宋体" w:eastAsia="宋体" w:cs="宋体"/>
          <w:kern w:val="0"/>
          <w:sz w:val="24"/>
          <w:highlight w:val="none"/>
        </w:rPr>
        <w:t>投诉人签署的授权委托书。授权委托书应当载明代理人的姓名或者名称、代理事项、具体权限、期限和相关事项。</w:t>
      </w:r>
    </w:p>
    <w:p w14:paraId="2669FDF3">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3.投诉人若对项目的某一分包进行投诉，投诉书应列明具体分包号。</w:t>
      </w:r>
    </w:p>
    <w:p w14:paraId="43F0E119">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4.投诉书应简要列明质疑事项，质疑函、质疑答复等作为附件材料提供。</w:t>
      </w:r>
    </w:p>
    <w:p w14:paraId="21D441F7">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5.投诉书的投诉事项应具体、明确，并有必要的事实依据和法律依据。</w:t>
      </w:r>
    </w:p>
    <w:p w14:paraId="004827EE">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6.投诉书的投诉请求应与投诉事项相关。</w:t>
      </w:r>
    </w:p>
    <w:p w14:paraId="6F9DFC95">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sz w:val="24"/>
          <w:highlight w:val="none"/>
        </w:rPr>
        <w:t>7.投诉人为自然人的，投诉书应当由本人签字；投诉人为法人或者其他组织的，投诉书应当由法定代表人、主要负责人，或者其授权代表签字或者盖章，并加盖公章。</w:t>
      </w:r>
    </w:p>
    <w:p w14:paraId="05F53E4D">
      <w:pPr>
        <w:autoSpaceDE w:val="0"/>
        <w:autoSpaceDN w:val="0"/>
        <w:jc w:val="center"/>
        <w:rPr>
          <w:rFonts w:hint="eastAsia" w:ascii="宋体" w:hAnsi="宋体" w:eastAsia="宋体" w:cs="宋体"/>
          <w:b/>
          <w:spacing w:val="6"/>
          <w:sz w:val="32"/>
          <w:szCs w:val="32"/>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7E8520EA">
      <w:pPr>
        <w:autoSpaceDE w:val="0"/>
        <w:autoSpaceDN w:val="0"/>
        <w:jc w:val="center"/>
        <w:rPr>
          <w:rFonts w:hint="eastAsia" w:ascii="宋体" w:hAnsi="宋体" w:eastAsia="宋体" w:cs="宋体"/>
          <w:b/>
          <w:bCs/>
          <w:sz w:val="32"/>
          <w:szCs w:val="32"/>
          <w:highlight w:val="none"/>
        </w:rPr>
      </w:pPr>
      <w:r>
        <w:rPr>
          <w:rFonts w:hint="eastAsia" w:ascii="宋体" w:hAnsi="宋体" w:eastAsia="宋体" w:cs="宋体"/>
          <w:b/>
          <w:spacing w:val="6"/>
          <w:sz w:val="32"/>
          <w:szCs w:val="32"/>
          <w:highlight w:val="none"/>
        </w:rPr>
        <w:t>附件4：</w:t>
      </w:r>
      <w:r>
        <w:rPr>
          <w:rFonts w:hint="eastAsia" w:ascii="宋体" w:hAnsi="宋体" w:eastAsia="宋体" w:cs="宋体"/>
          <w:b/>
          <w:bCs/>
          <w:sz w:val="32"/>
          <w:szCs w:val="32"/>
          <w:highlight w:val="none"/>
        </w:rPr>
        <w:t>业务专用章使用说明函</w:t>
      </w:r>
    </w:p>
    <w:p w14:paraId="46C5EC59">
      <w:pPr>
        <w:spacing w:line="360" w:lineRule="auto"/>
        <w:rPr>
          <w:rFonts w:hint="eastAsia" w:ascii="宋体" w:hAnsi="宋体" w:eastAsia="宋体" w:cs="宋体"/>
          <w:sz w:val="24"/>
          <w:highlight w:val="none"/>
        </w:rPr>
      </w:pPr>
      <w:r>
        <w:rPr>
          <w:rFonts w:hint="eastAsia" w:ascii="宋体" w:hAnsi="宋体" w:eastAsia="宋体" w:cs="宋体"/>
          <w:sz w:val="24"/>
          <w:highlight w:val="none"/>
          <w:u w:val="single"/>
        </w:rPr>
        <w:t>（采购人）、（采购代理机构）</w:t>
      </w:r>
    </w:p>
    <w:p w14:paraId="21CAA2F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lang w:val="zh-CN"/>
        </w:rPr>
        <w:t>我方</w:t>
      </w:r>
      <w:r>
        <w:rPr>
          <w:rFonts w:hint="eastAsia" w:ascii="宋体" w:hAnsi="宋体" w:eastAsia="宋体" w:cs="宋体"/>
          <w:sz w:val="24"/>
          <w:highlight w:val="none"/>
        </w:rPr>
        <w:t>(投标人全称)是中华人民共和国依法登记注册的合法企业，</w:t>
      </w:r>
      <w:r>
        <w:rPr>
          <w:rFonts w:hint="eastAsia" w:ascii="宋体" w:hAnsi="宋体" w:eastAsia="宋体" w:cs="宋体"/>
          <w:bCs/>
          <w:sz w:val="24"/>
          <w:highlight w:val="none"/>
        </w:rPr>
        <w:t>在参加</w:t>
      </w:r>
      <w:r>
        <w:rPr>
          <w:rFonts w:hint="eastAsia" w:ascii="宋体" w:hAnsi="宋体" w:eastAsia="宋体" w:cs="宋体"/>
          <w:sz w:val="24"/>
          <w:highlight w:val="none"/>
        </w:rPr>
        <w:t>你方组织的（项目名称）项目【招标编号：（采购编号）】</w:t>
      </w:r>
      <w:r>
        <w:rPr>
          <w:rFonts w:hint="eastAsia" w:ascii="宋体" w:hAnsi="宋体" w:eastAsia="宋体" w:cs="宋体"/>
          <w:bCs/>
          <w:sz w:val="24"/>
          <w:highlight w:val="none"/>
        </w:rPr>
        <w:t>投标活动中作如下说明：</w:t>
      </w:r>
      <w:r>
        <w:rPr>
          <w:rFonts w:hint="eastAsia" w:ascii="宋体" w:hAnsi="宋体" w:eastAsia="宋体" w:cs="宋体"/>
          <w:sz w:val="24"/>
          <w:highlight w:val="none"/>
        </w:rPr>
        <w:t xml:space="preserve">我方所使用的“XX专用章”与法定名称章具有同等的法律效力，对使用“XX专用章”的行为予以完全承认，并愿意承担相应责任。   </w:t>
      </w:r>
    </w:p>
    <w:p w14:paraId="3665286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特此说明。</w:t>
      </w:r>
    </w:p>
    <w:p w14:paraId="0F527E51">
      <w:pPr>
        <w:spacing w:line="360" w:lineRule="auto"/>
        <w:ind w:firstLine="494"/>
        <w:rPr>
          <w:rFonts w:hint="eastAsia" w:ascii="宋体" w:hAnsi="宋体" w:eastAsia="宋体" w:cs="宋体"/>
          <w:sz w:val="24"/>
          <w:highlight w:val="none"/>
        </w:rPr>
      </w:pPr>
    </w:p>
    <w:p w14:paraId="5439A065">
      <w:pPr>
        <w:spacing w:line="360" w:lineRule="auto"/>
        <w:ind w:firstLine="494"/>
        <w:rPr>
          <w:rFonts w:hint="eastAsia" w:ascii="宋体" w:hAnsi="宋体" w:eastAsia="宋体" w:cs="宋体"/>
          <w:sz w:val="24"/>
          <w:highlight w:val="none"/>
        </w:rPr>
      </w:pPr>
    </w:p>
    <w:p w14:paraId="2DA6375E">
      <w:pPr>
        <w:spacing w:line="360" w:lineRule="auto"/>
        <w:ind w:firstLine="494"/>
        <w:rPr>
          <w:rFonts w:hint="eastAsia" w:ascii="宋体" w:hAnsi="宋体" w:eastAsia="宋体" w:cs="宋体"/>
          <w:sz w:val="24"/>
          <w:highlight w:val="none"/>
        </w:rPr>
      </w:pPr>
    </w:p>
    <w:p w14:paraId="455534DB">
      <w:pPr>
        <w:spacing w:line="360" w:lineRule="auto"/>
        <w:ind w:firstLine="494"/>
        <w:rPr>
          <w:rFonts w:hint="eastAsia" w:ascii="宋体" w:hAnsi="宋体" w:eastAsia="宋体" w:cs="宋体"/>
          <w:sz w:val="24"/>
          <w:highlight w:val="none"/>
        </w:rPr>
      </w:pPr>
    </w:p>
    <w:p w14:paraId="53851CE0">
      <w:pPr>
        <w:spacing w:line="360" w:lineRule="auto"/>
        <w:ind w:right="480" w:firstLine="4080" w:firstLineChars="1700"/>
        <w:rPr>
          <w:rFonts w:hint="eastAsia" w:ascii="宋体" w:hAnsi="宋体" w:eastAsia="宋体" w:cs="宋体"/>
          <w:sz w:val="24"/>
          <w:highlight w:val="none"/>
        </w:rPr>
      </w:pPr>
      <w:r>
        <w:rPr>
          <w:rFonts w:hint="eastAsia" w:ascii="宋体" w:hAnsi="宋体" w:eastAsia="宋体" w:cs="宋体"/>
          <w:sz w:val="24"/>
          <w:highlight w:val="none"/>
        </w:rPr>
        <w:t>投标单位（法定名称章）：</w:t>
      </w:r>
    </w:p>
    <w:p w14:paraId="538974CD">
      <w:pPr>
        <w:ind w:right="1440" w:firstLine="494"/>
        <w:jc w:val="center"/>
        <w:rPr>
          <w:rFonts w:hint="eastAsia" w:ascii="宋体" w:hAnsi="宋体" w:eastAsia="宋体" w:cs="宋体"/>
          <w:sz w:val="24"/>
          <w:highlight w:val="none"/>
        </w:rPr>
      </w:pPr>
      <w:r>
        <w:rPr>
          <w:rFonts w:hint="eastAsia" w:ascii="宋体" w:hAnsi="宋体" w:eastAsia="宋体" w:cs="宋体"/>
          <w:sz w:val="24"/>
          <w:highlight w:val="none"/>
        </w:rPr>
        <w:t xml:space="preserve">                              日期：       年     月     日</w:t>
      </w:r>
    </w:p>
    <w:p w14:paraId="1EF1C433">
      <w:pPr>
        <w:rPr>
          <w:rFonts w:hint="eastAsia" w:ascii="宋体" w:hAnsi="宋体" w:eastAsia="宋体" w:cs="宋体"/>
          <w:sz w:val="24"/>
          <w:highlight w:val="none"/>
        </w:rPr>
      </w:pPr>
      <w:r>
        <w:rPr>
          <w:rFonts w:hint="eastAsia" w:ascii="宋体" w:hAnsi="宋体" w:eastAsia="宋体" w:cs="宋体"/>
          <w:b/>
          <w:bCs/>
          <w:sz w:val="24"/>
          <w:highlight w:val="none"/>
        </w:rPr>
        <w:t>附：</w:t>
      </w:r>
    </w:p>
    <w:p w14:paraId="0AAEEC7A">
      <w:pPr>
        <w:spacing w:line="360" w:lineRule="auto"/>
        <w:rPr>
          <w:rFonts w:hint="eastAsia" w:ascii="宋体" w:hAnsi="宋体" w:eastAsia="宋体" w:cs="宋体"/>
          <w:bCs/>
          <w:sz w:val="24"/>
          <w:highlight w:val="none"/>
        </w:rPr>
      </w:pPr>
      <w:r>
        <w:rPr>
          <w:rFonts w:hint="eastAsia" w:ascii="宋体" w:hAnsi="宋体" w:eastAsia="宋体" w:cs="宋体"/>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5B+9DACAACD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1kA8/2AAAAAoBAAAPAAAAAAAAAAEAIAAAACIAAABkcnMvZG93bnJldi54bWxQ&#10;SwECFAAUAAAACACHTuJA15B+9DACAACDBAAADgAAAAAAAAABACAAAAAnAQAAZHJzL2Uyb0RvYy54&#10;bWxQSwUGAAAAAAYABgBZAQAAyQUAAAAA&#10;">
                <v:fill on="t" focussize="0,0"/>
                <v:stroke color="#000000" miterlimit="2" joinstyle="miter"/>
                <v:imagedata o:title=""/>
                <o:lock v:ext="edit" aspectratio="f"/>
              </v:rect>
            </w:pict>
          </mc:Fallback>
        </mc:AlternateContent>
      </w:r>
      <w:r>
        <w:rPr>
          <w:rFonts w:hint="eastAsia" w:ascii="宋体" w:hAnsi="宋体" w:eastAsia="宋体" w:cs="宋体"/>
          <w:b/>
          <w:bCs/>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A7agQ1LwIAAIM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sz w:val="24"/>
          <w:highlight w:val="none"/>
        </w:rPr>
        <w:t>投标单位法定名称章（印模）                投标单位“XX专用章”（印模）</w:t>
      </w:r>
    </w:p>
    <w:p w14:paraId="1BD0CF6B">
      <w:pPr>
        <w:autoSpaceDE w:val="0"/>
        <w:autoSpaceDN w:val="0"/>
        <w:jc w:val="center"/>
        <w:rPr>
          <w:rFonts w:hint="eastAsia" w:ascii="宋体" w:hAnsi="宋体" w:eastAsia="宋体" w:cs="宋体"/>
          <w:b/>
          <w:spacing w:val="6"/>
          <w:sz w:val="32"/>
          <w:szCs w:val="32"/>
          <w:highlight w:val="none"/>
        </w:rPr>
      </w:pPr>
    </w:p>
    <w:p w14:paraId="70603718">
      <w:pPr>
        <w:autoSpaceDE w:val="0"/>
        <w:autoSpaceDN w:val="0"/>
        <w:jc w:val="center"/>
        <w:rPr>
          <w:rFonts w:hint="eastAsia" w:ascii="宋体" w:hAnsi="宋体" w:eastAsia="宋体" w:cs="宋体"/>
          <w:b/>
          <w:spacing w:val="6"/>
          <w:sz w:val="32"/>
          <w:szCs w:val="32"/>
          <w:highlight w:val="none"/>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168CB515">
      <w:pPr>
        <w:autoSpaceDE w:val="0"/>
        <w:autoSpaceDN w:val="0"/>
        <w:jc w:val="center"/>
        <w:rPr>
          <w:rFonts w:hint="eastAsia" w:ascii="宋体" w:hAnsi="宋体" w:eastAsia="宋体" w:cs="宋体"/>
          <w:b/>
          <w:sz w:val="32"/>
          <w:szCs w:val="32"/>
          <w:highlight w:val="none"/>
        </w:rPr>
      </w:pPr>
      <w:r>
        <w:rPr>
          <w:rFonts w:hint="eastAsia" w:ascii="宋体" w:hAnsi="宋体" w:eastAsia="宋体" w:cs="宋体"/>
          <w:b/>
          <w:spacing w:val="6"/>
          <w:sz w:val="32"/>
          <w:szCs w:val="32"/>
          <w:highlight w:val="none"/>
        </w:rPr>
        <w:t>附件</w:t>
      </w:r>
      <w:r>
        <w:rPr>
          <w:rFonts w:hint="eastAsia" w:ascii="宋体" w:hAnsi="宋体" w:cs="宋体"/>
          <w:b/>
          <w:spacing w:val="6"/>
          <w:sz w:val="32"/>
          <w:szCs w:val="32"/>
          <w:highlight w:val="none"/>
          <w:lang w:val="en-US" w:eastAsia="zh-CN"/>
        </w:rPr>
        <w:t>5</w:t>
      </w:r>
      <w:r>
        <w:rPr>
          <w:rFonts w:hint="eastAsia" w:ascii="宋体" w:hAnsi="宋体" w:eastAsia="宋体" w:cs="宋体"/>
          <w:b/>
          <w:spacing w:val="6"/>
          <w:sz w:val="32"/>
          <w:szCs w:val="32"/>
          <w:highlight w:val="none"/>
        </w:rPr>
        <w:t>：</w:t>
      </w:r>
      <w:r>
        <w:rPr>
          <w:rFonts w:hint="eastAsia" w:ascii="宋体" w:hAnsi="宋体" w:eastAsia="宋体" w:cs="宋体"/>
          <w:b/>
          <w:sz w:val="32"/>
          <w:szCs w:val="32"/>
          <w:highlight w:val="none"/>
        </w:rPr>
        <w:t>中小企业声明函</w:t>
      </w:r>
    </w:p>
    <w:p w14:paraId="79139BD8">
      <w:pPr>
        <w:spacing w:line="360" w:lineRule="auto"/>
        <w:jc w:val="center"/>
        <w:rPr>
          <w:rFonts w:hint="eastAsia" w:ascii="宋体" w:hAnsi="宋体" w:eastAsia="宋体" w:cs="宋体"/>
          <w:b/>
          <w:sz w:val="32"/>
          <w:szCs w:val="32"/>
          <w:highlight w:val="none"/>
        </w:rPr>
      </w:pPr>
    </w:p>
    <w:p w14:paraId="7743DF6A">
      <w:pPr>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中小企业声明函（货物）</w:t>
      </w:r>
    </w:p>
    <w:p w14:paraId="50C7E51A">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本公司（联合体）郑重声明，根据《政府采购促进中小企业发展管理办法》（财库﹝2020﹞46 号）的规定，本公司（联合体）参加 </w:t>
      </w:r>
      <w:r>
        <w:rPr>
          <w:rFonts w:hint="eastAsia" w:ascii="宋体" w:hAnsi="宋体" w:cs="宋体"/>
          <w:color w:val="0000FF"/>
          <w:sz w:val="24"/>
          <w:highlight w:val="none"/>
          <w:u w:val="single"/>
        </w:rPr>
        <w:t>（采购人）</w:t>
      </w:r>
      <w:r>
        <w:rPr>
          <w:rFonts w:hint="eastAsia" w:ascii="宋体" w:hAnsi="宋体" w:cs="宋体"/>
          <w:sz w:val="24"/>
          <w:highlight w:val="none"/>
          <w:u w:val="single"/>
        </w:rPr>
        <w:t xml:space="preserve"> </w:t>
      </w:r>
      <w:r>
        <w:rPr>
          <w:rFonts w:hint="eastAsia" w:ascii="宋体" w:hAnsi="宋体" w:cs="宋体"/>
          <w:sz w:val="24"/>
          <w:highlight w:val="none"/>
        </w:rPr>
        <w:t xml:space="preserve">的 </w:t>
      </w:r>
      <w:r>
        <w:rPr>
          <w:rFonts w:hint="eastAsia" w:ascii="宋体" w:hAnsi="宋体" w:cs="宋体"/>
          <w:color w:val="0000FF"/>
          <w:sz w:val="24"/>
          <w:highlight w:val="none"/>
          <w:u w:val="single"/>
        </w:rPr>
        <w:t>（项目名称）</w:t>
      </w:r>
      <w:r>
        <w:rPr>
          <w:rFonts w:hint="eastAsia" w:ascii="宋体" w:hAnsi="宋体" w:cs="宋体"/>
          <w:sz w:val="24"/>
          <w:highlight w:val="none"/>
        </w:rPr>
        <w:t xml:space="preserve"> 采购活动，提供的货物全部由符合政策要求的中小企业制造。相关企业（含联合体中的中小企业、签订分包意向协议的中小企业）的具体情况如下：</w:t>
      </w:r>
    </w:p>
    <w:p w14:paraId="59438780">
      <w:pPr>
        <w:spacing w:line="360" w:lineRule="auto"/>
        <w:ind w:firstLine="480" w:firstLineChars="200"/>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color w:val="0000FF"/>
          <w:sz w:val="24"/>
          <w:highlight w:val="none"/>
          <w:u w:val="single"/>
        </w:rPr>
        <w:t>（标的名称）</w:t>
      </w:r>
      <w:r>
        <w:rPr>
          <w:rFonts w:hint="eastAsia" w:ascii="宋体" w:hAnsi="宋体" w:cs="宋体"/>
          <w:sz w:val="24"/>
          <w:highlight w:val="none"/>
        </w:rPr>
        <w:t xml:space="preserve"> ，属于</w:t>
      </w:r>
      <w:r>
        <w:rPr>
          <w:rFonts w:hint="eastAsia" w:ascii="宋体" w:hAnsi="宋体" w:cs="宋体"/>
          <w:color w:val="0000FF"/>
          <w:sz w:val="24"/>
          <w:highlight w:val="none"/>
        </w:rPr>
        <w:t xml:space="preserve"> </w:t>
      </w:r>
      <w:r>
        <w:rPr>
          <w:rFonts w:hint="eastAsia" w:ascii="宋体" w:hAnsi="宋体" w:cs="宋体"/>
          <w:color w:val="0000FF"/>
          <w:sz w:val="24"/>
          <w:highlight w:val="none"/>
          <w:u w:val="single"/>
        </w:rPr>
        <w:t>（采购文件中明确的所属行业）</w:t>
      </w:r>
      <w:r>
        <w:rPr>
          <w:rFonts w:hint="eastAsia" w:ascii="宋体" w:hAnsi="宋体" w:cs="宋体"/>
          <w:sz w:val="24"/>
          <w:highlight w:val="none"/>
        </w:rPr>
        <w:t>行业 ；制造商为</w:t>
      </w:r>
      <w:r>
        <w:rPr>
          <w:rFonts w:hint="eastAsia" w:ascii="宋体" w:hAnsi="宋体" w:cs="宋体"/>
          <w:sz w:val="24"/>
          <w:highlight w:val="none"/>
          <w:u w:val="single"/>
        </w:rPr>
        <w:t xml:space="preserve"> （企业名称）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w:t>
      </w:r>
      <w:r>
        <w:rPr>
          <w:rFonts w:hint="eastAsia" w:ascii="宋体" w:hAnsi="宋体" w:cs="宋体"/>
          <w:sz w:val="24"/>
          <w:highlight w:val="none"/>
        </w:rPr>
        <w:t xml:space="preserve"> ；</w:t>
      </w:r>
    </w:p>
    <w:p w14:paraId="74E8C437">
      <w:pPr>
        <w:spacing w:line="360" w:lineRule="auto"/>
        <w:ind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highlight w:val="none"/>
        </w:rPr>
        <w:t xml:space="preserve"> </w:t>
      </w:r>
      <w:r>
        <w:rPr>
          <w:rFonts w:hint="eastAsia" w:ascii="宋体" w:hAnsi="宋体" w:cs="宋体"/>
          <w:color w:val="0000FF"/>
          <w:sz w:val="24"/>
          <w:highlight w:val="none"/>
          <w:u w:val="single"/>
        </w:rPr>
        <w:t>（标的名称）</w:t>
      </w:r>
      <w:r>
        <w:rPr>
          <w:rFonts w:hint="eastAsia" w:ascii="宋体" w:hAnsi="宋体" w:cs="宋体"/>
          <w:sz w:val="24"/>
          <w:highlight w:val="none"/>
        </w:rPr>
        <w:t xml:space="preserve"> ，属于 </w:t>
      </w:r>
      <w:r>
        <w:rPr>
          <w:rFonts w:hint="eastAsia" w:ascii="宋体" w:hAnsi="宋体" w:cs="宋体"/>
          <w:color w:val="0000FF"/>
          <w:sz w:val="24"/>
          <w:highlight w:val="none"/>
          <w:u w:val="single"/>
        </w:rPr>
        <w:t>（采购文件中明确的所属行业）</w:t>
      </w:r>
      <w:r>
        <w:rPr>
          <w:rFonts w:hint="eastAsia" w:ascii="宋体" w:hAnsi="宋体" w:cs="宋体"/>
          <w:sz w:val="24"/>
          <w:highlight w:val="none"/>
        </w:rPr>
        <w:t>行业 ；制造商为</w:t>
      </w:r>
      <w:r>
        <w:rPr>
          <w:rFonts w:hint="eastAsia" w:ascii="宋体" w:hAnsi="宋体" w:cs="宋体"/>
          <w:sz w:val="24"/>
          <w:highlight w:val="none"/>
          <w:u w:val="single"/>
        </w:rPr>
        <w:t xml:space="preserve"> （企业名称）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w:t>
      </w:r>
      <w:r>
        <w:rPr>
          <w:rFonts w:hint="eastAsia" w:ascii="宋体" w:hAnsi="宋体" w:cs="宋体"/>
          <w:sz w:val="24"/>
          <w:highlight w:val="none"/>
        </w:rPr>
        <w:t xml:space="preserve"> ；</w:t>
      </w:r>
    </w:p>
    <w:p w14:paraId="1FB24E91">
      <w:pPr>
        <w:spacing w:line="360" w:lineRule="auto"/>
        <w:ind w:firstLine="480" w:firstLineChars="200"/>
        <w:rPr>
          <w:rFonts w:ascii="宋体" w:hAnsi="宋体" w:cs="宋体"/>
          <w:sz w:val="24"/>
          <w:highlight w:val="none"/>
        </w:rPr>
      </w:pPr>
      <w:r>
        <w:rPr>
          <w:rFonts w:hint="eastAsia" w:ascii="宋体" w:hAnsi="宋体" w:cs="宋体"/>
          <w:sz w:val="24"/>
          <w:highlight w:val="none"/>
        </w:rPr>
        <w:t>……</w:t>
      </w:r>
    </w:p>
    <w:p w14:paraId="528E8127">
      <w:pPr>
        <w:spacing w:line="360" w:lineRule="auto"/>
        <w:ind w:firstLine="480" w:firstLineChars="200"/>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4F59DD05">
      <w:pPr>
        <w:spacing w:line="360" w:lineRule="auto"/>
        <w:ind w:firstLine="480" w:firstLineChars="200"/>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37939F21">
      <w:pPr>
        <w:snapToGrid w:val="0"/>
        <w:spacing w:line="360" w:lineRule="auto"/>
        <w:ind w:firstLine="5160" w:firstLineChars="215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3DC56EA2">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07489F89">
      <w:pPr>
        <w:spacing w:line="360" w:lineRule="auto"/>
        <w:jc w:val="left"/>
        <w:rPr>
          <w:rFonts w:ascii="宋体" w:hAnsi="宋体" w:cs="宋体"/>
          <w:sz w:val="18"/>
          <w:szCs w:val="18"/>
          <w:highlight w:val="none"/>
        </w:rPr>
      </w:pPr>
      <w:r>
        <w:rPr>
          <w:rFonts w:hint="eastAsia" w:ascii="宋体" w:hAnsi="宋体" w:cs="宋体"/>
          <w:sz w:val="18"/>
          <w:szCs w:val="18"/>
          <w:highlight w:val="none"/>
        </w:rPr>
        <w:t>从业人员、营业收入、资产总额填报上一年度数据，无上一年度数据的新成立企业可不填报。</w:t>
      </w:r>
    </w:p>
    <w:p w14:paraId="42B4336D">
      <w:pPr>
        <w:spacing w:line="360" w:lineRule="auto"/>
        <w:ind w:right="420" w:firstLine="480" w:firstLineChars="200"/>
        <w:rPr>
          <w:rFonts w:ascii="宋体" w:hAnsi="宋体" w:cs="宋体"/>
          <w:sz w:val="24"/>
          <w:highlight w:val="none"/>
        </w:rPr>
      </w:pPr>
      <w:r>
        <w:rPr>
          <w:rFonts w:hint="eastAsia" w:ascii="宋体" w:hAnsi="宋体" w:cs="宋体"/>
          <w:sz w:val="24"/>
          <w:highlight w:val="none"/>
        </w:rPr>
        <w:t>注：</w:t>
      </w:r>
    </w:p>
    <w:p w14:paraId="5CDEC172">
      <w:pPr>
        <w:spacing w:line="360" w:lineRule="auto"/>
        <w:ind w:right="420" w:firstLine="480" w:firstLineChars="200"/>
        <w:rPr>
          <w:rFonts w:ascii="宋体" w:hAnsi="宋体" w:cs="宋体"/>
          <w:sz w:val="24"/>
          <w:highlight w:val="none"/>
        </w:rPr>
      </w:pPr>
      <w:r>
        <w:rPr>
          <w:rFonts w:hint="eastAsia" w:ascii="宋体" w:hAnsi="宋体" w:cs="宋体"/>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61B96D8">
      <w:pPr>
        <w:spacing w:line="360" w:lineRule="auto"/>
        <w:ind w:right="420" w:firstLine="480" w:firstLineChars="200"/>
        <w:rPr>
          <w:rFonts w:hint="eastAsia" w:ascii="宋体" w:hAnsi="宋体" w:cs="宋体"/>
          <w:sz w:val="24"/>
          <w:highlight w:val="none"/>
        </w:rPr>
      </w:pPr>
      <w:r>
        <w:rPr>
          <w:rFonts w:hint="eastAsia" w:ascii="宋体" w:hAnsi="宋体" w:cs="宋体"/>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7593F7C">
      <w:pPr>
        <w:spacing w:line="360" w:lineRule="auto"/>
        <w:rPr>
          <w:rFonts w:hint="eastAsia" w:ascii="宋体" w:hAnsi="宋体" w:eastAsia="宋体" w:cs="宋体"/>
          <w:bCs/>
          <w:sz w:val="24"/>
          <w:highlight w:val="none"/>
        </w:rPr>
      </w:pPr>
    </w:p>
    <w:p w14:paraId="4F974197">
      <w:pPr>
        <w:pStyle w:val="4"/>
        <w:rPr>
          <w:rFonts w:hint="eastAsia" w:ascii="宋体" w:hAnsi="宋体" w:eastAsia="宋体" w:cs="宋体"/>
          <w:bCs/>
          <w:sz w:val="24"/>
          <w:highlight w:val="none"/>
        </w:rPr>
      </w:pPr>
    </w:p>
    <w:p w14:paraId="791BE677">
      <w:pPr>
        <w:rPr>
          <w:rFonts w:hint="eastAsia" w:ascii="宋体" w:hAnsi="宋体" w:eastAsia="宋体" w:cs="宋体"/>
          <w:bCs/>
          <w:sz w:val="24"/>
          <w:highlight w:val="none"/>
        </w:rPr>
      </w:pPr>
    </w:p>
    <w:p w14:paraId="04A32E13">
      <w:pPr>
        <w:pStyle w:val="4"/>
        <w:rPr>
          <w:rFonts w:hint="eastAsia" w:ascii="宋体" w:hAnsi="宋体" w:eastAsia="宋体" w:cs="宋体"/>
          <w:bCs/>
          <w:sz w:val="24"/>
          <w:highlight w:val="none"/>
        </w:rPr>
      </w:pPr>
    </w:p>
    <w:p w14:paraId="7E976E69">
      <w:pPr>
        <w:rPr>
          <w:rFonts w:hint="eastAsia" w:ascii="宋体" w:hAnsi="宋体" w:eastAsia="宋体" w:cs="宋体"/>
          <w:bCs/>
          <w:sz w:val="24"/>
          <w:highlight w:val="none"/>
        </w:rPr>
      </w:pPr>
    </w:p>
    <w:p w14:paraId="52F857EF">
      <w:pPr>
        <w:pStyle w:val="4"/>
        <w:rPr>
          <w:rFonts w:hint="eastAsia" w:ascii="宋体" w:hAnsi="宋体" w:eastAsia="宋体" w:cs="宋体"/>
          <w:bCs/>
          <w:sz w:val="24"/>
          <w:highlight w:val="none"/>
        </w:rPr>
      </w:pPr>
    </w:p>
    <w:p w14:paraId="35608F4C">
      <w:pPr>
        <w:rPr>
          <w:rFonts w:hint="eastAsia" w:ascii="宋体" w:hAnsi="宋体" w:eastAsia="宋体" w:cs="宋体"/>
          <w:bCs/>
          <w:sz w:val="24"/>
          <w:highlight w:val="none"/>
        </w:rPr>
      </w:pPr>
    </w:p>
    <w:p w14:paraId="35793DDD">
      <w:pPr>
        <w:pStyle w:val="4"/>
        <w:rPr>
          <w:rFonts w:hint="eastAsia" w:ascii="宋体" w:hAnsi="宋体" w:eastAsia="宋体" w:cs="宋体"/>
          <w:bCs/>
          <w:sz w:val="24"/>
          <w:highlight w:val="none"/>
        </w:rPr>
      </w:pPr>
    </w:p>
    <w:p w14:paraId="61A6C7C1">
      <w:pPr>
        <w:rPr>
          <w:rFonts w:hint="eastAsia" w:ascii="宋体" w:hAnsi="宋体" w:eastAsia="宋体" w:cs="宋体"/>
          <w:bCs/>
          <w:sz w:val="24"/>
          <w:highlight w:val="none"/>
        </w:rPr>
      </w:pPr>
    </w:p>
    <w:p w14:paraId="1669083D">
      <w:pPr>
        <w:pStyle w:val="4"/>
        <w:rPr>
          <w:rFonts w:hint="eastAsia" w:ascii="宋体" w:hAnsi="宋体" w:eastAsia="宋体" w:cs="宋体"/>
          <w:bCs/>
          <w:sz w:val="24"/>
          <w:highlight w:val="none"/>
        </w:rPr>
      </w:pPr>
    </w:p>
    <w:p w14:paraId="005F3529">
      <w:pPr>
        <w:rPr>
          <w:rFonts w:hint="eastAsia" w:ascii="宋体" w:hAnsi="宋体" w:eastAsia="宋体" w:cs="宋体"/>
          <w:bCs/>
          <w:sz w:val="24"/>
          <w:highlight w:val="none"/>
        </w:rPr>
      </w:pPr>
    </w:p>
    <w:p w14:paraId="497FE93F">
      <w:pPr>
        <w:pStyle w:val="4"/>
        <w:rPr>
          <w:rFonts w:hint="eastAsia" w:ascii="宋体" w:hAnsi="宋体" w:eastAsia="宋体" w:cs="宋体"/>
          <w:bCs/>
          <w:sz w:val="24"/>
          <w:highlight w:val="none"/>
        </w:rPr>
      </w:pPr>
    </w:p>
    <w:p w14:paraId="795CFD6A">
      <w:pPr>
        <w:rPr>
          <w:rFonts w:hint="eastAsia" w:ascii="宋体" w:hAnsi="宋体" w:eastAsia="宋体" w:cs="宋体"/>
          <w:bCs/>
          <w:sz w:val="24"/>
          <w:highlight w:val="none"/>
        </w:rPr>
      </w:pPr>
    </w:p>
    <w:p w14:paraId="360B2724">
      <w:pPr>
        <w:pStyle w:val="4"/>
        <w:rPr>
          <w:rFonts w:hint="eastAsia" w:ascii="宋体" w:hAnsi="宋体" w:eastAsia="宋体" w:cs="宋体"/>
          <w:bCs/>
          <w:sz w:val="24"/>
          <w:highlight w:val="none"/>
        </w:rPr>
      </w:pPr>
    </w:p>
    <w:p w14:paraId="5144E0FF">
      <w:pPr>
        <w:rPr>
          <w:rFonts w:hint="eastAsia" w:ascii="宋体" w:hAnsi="宋体" w:eastAsia="宋体" w:cs="宋体"/>
          <w:bCs/>
          <w:sz w:val="24"/>
          <w:highlight w:val="none"/>
        </w:rPr>
      </w:pPr>
    </w:p>
    <w:p w14:paraId="03C2D92E">
      <w:pPr>
        <w:pStyle w:val="4"/>
        <w:rPr>
          <w:rFonts w:hint="eastAsia" w:ascii="宋体" w:hAnsi="宋体" w:eastAsia="宋体" w:cs="宋体"/>
          <w:bCs/>
          <w:sz w:val="24"/>
          <w:highlight w:val="none"/>
        </w:rPr>
      </w:pPr>
    </w:p>
    <w:p w14:paraId="6FD5C480">
      <w:pPr>
        <w:rPr>
          <w:rFonts w:hint="eastAsia" w:ascii="宋体" w:hAnsi="宋体" w:eastAsia="宋体" w:cs="宋体"/>
          <w:bCs/>
          <w:sz w:val="24"/>
          <w:highlight w:val="none"/>
        </w:rPr>
      </w:pPr>
    </w:p>
    <w:p w14:paraId="136758CE">
      <w:pPr>
        <w:pStyle w:val="4"/>
        <w:rPr>
          <w:rFonts w:hint="eastAsia" w:ascii="宋体" w:hAnsi="宋体" w:eastAsia="宋体" w:cs="宋体"/>
          <w:bCs/>
          <w:sz w:val="24"/>
          <w:highlight w:val="none"/>
        </w:rPr>
      </w:pPr>
    </w:p>
    <w:p w14:paraId="617C2A61">
      <w:pPr>
        <w:rPr>
          <w:rFonts w:hint="eastAsia" w:ascii="宋体" w:hAnsi="宋体" w:eastAsia="宋体" w:cs="宋体"/>
          <w:bCs/>
          <w:sz w:val="24"/>
          <w:highlight w:val="none"/>
        </w:rPr>
      </w:pPr>
    </w:p>
    <w:p w14:paraId="6EF53002">
      <w:pPr>
        <w:pStyle w:val="4"/>
        <w:rPr>
          <w:rFonts w:hint="eastAsia" w:ascii="宋体" w:hAnsi="宋体" w:eastAsia="宋体" w:cs="宋体"/>
          <w:bCs/>
          <w:sz w:val="24"/>
          <w:highlight w:val="none"/>
        </w:rPr>
      </w:pPr>
    </w:p>
    <w:p w14:paraId="2AB9F28A">
      <w:pPr>
        <w:rPr>
          <w:rFonts w:hint="eastAsia" w:ascii="宋体" w:hAnsi="宋体" w:eastAsia="宋体" w:cs="宋体"/>
          <w:bCs/>
          <w:sz w:val="24"/>
          <w:highlight w:val="none"/>
        </w:rPr>
      </w:pPr>
    </w:p>
    <w:p w14:paraId="08818DBC">
      <w:pPr>
        <w:pStyle w:val="4"/>
        <w:rPr>
          <w:rFonts w:hint="eastAsia" w:ascii="宋体" w:hAnsi="宋体" w:eastAsia="宋体" w:cs="宋体"/>
          <w:bCs/>
          <w:sz w:val="24"/>
          <w:highlight w:val="none"/>
        </w:rPr>
      </w:pPr>
    </w:p>
    <w:p w14:paraId="56B0C78F">
      <w:pPr>
        <w:rPr>
          <w:rFonts w:hint="eastAsia" w:ascii="宋体" w:hAnsi="宋体" w:eastAsia="宋体" w:cs="宋体"/>
          <w:bCs/>
          <w:sz w:val="24"/>
          <w:highlight w:val="none"/>
        </w:rPr>
      </w:pPr>
    </w:p>
    <w:p w14:paraId="1B381C52">
      <w:pPr>
        <w:pStyle w:val="4"/>
        <w:rPr>
          <w:rFonts w:hint="eastAsia" w:ascii="宋体" w:hAnsi="宋体" w:eastAsia="宋体" w:cs="宋体"/>
          <w:bCs/>
          <w:sz w:val="24"/>
          <w:highlight w:val="none"/>
        </w:rPr>
      </w:pPr>
    </w:p>
    <w:p w14:paraId="63F636A3">
      <w:pPr>
        <w:rPr>
          <w:rFonts w:hint="eastAsia" w:ascii="宋体" w:hAnsi="宋体" w:eastAsia="宋体" w:cs="宋体"/>
          <w:bCs/>
          <w:sz w:val="24"/>
          <w:highlight w:val="none"/>
        </w:rPr>
      </w:pPr>
    </w:p>
    <w:p w14:paraId="6B1CB1C6">
      <w:pPr>
        <w:pStyle w:val="4"/>
        <w:rPr>
          <w:rFonts w:hint="eastAsia" w:ascii="宋体" w:hAnsi="宋体" w:eastAsia="宋体" w:cs="宋体"/>
          <w:bCs/>
          <w:sz w:val="24"/>
          <w:highlight w:val="none"/>
        </w:rPr>
      </w:pPr>
    </w:p>
    <w:p w14:paraId="6C72E4A2">
      <w:pPr>
        <w:rPr>
          <w:rFonts w:hint="eastAsia" w:ascii="宋体" w:hAnsi="宋体" w:eastAsia="宋体" w:cs="宋体"/>
          <w:bCs/>
          <w:sz w:val="24"/>
          <w:highlight w:val="none"/>
        </w:rPr>
      </w:pPr>
    </w:p>
    <w:p w14:paraId="07CBA369">
      <w:pPr>
        <w:pStyle w:val="4"/>
        <w:rPr>
          <w:rFonts w:hint="eastAsia" w:ascii="宋体" w:hAnsi="宋体" w:eastAsia="宋体" w:cs="宋体"/>
          <w:bCs/>
          <w:sz w:val="24"/>
          <w:highlight w:val="none"/>
        </w:rPr>
      </w:pPr>
    </w:p>
    <w:p w14:paraId="1BAEC7AF">
      <w:pPr>
        <w:rPr>
          <w:rFonts w:hint="eastAsia"/>
          <w:highlight w:val="none"/>
        </w:rPr>
      </w:pPr>
    </w:p>
    <w:p w14:paraId="6A5DA1C4">
      <w:pPr>
        <w:autoSpaceDE w:val="0"/>
        <w:autoSpaceDN w:val="0"/>
        <w:jc w:val="center"/>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w:t>
      </w:r>
      <w:r>
        <w:rPr>
          <w:rFonts w:hint="eastAsia" w:ascii="宋体" w:hAnsi="宋体" w:eastAsia="宋体" w:cs="宋体"/>
          <w:b/>
          <w:spacing w:val="6"/>
          <w:sz w:val="32"/>
          <w:szCs w:val="32"/>
          <w:highlight w:val="none"/>
          <w:lang w:val="en-US" w:eastAsia="zh-CN"/>
        </w:rPr>
        <w:t>6</w:t>
      </w:r>
      <w:r>
        <w:rPr>
          <w:rFonts w:hint="eastAsia" w:ascii="宋体" w:hAnsi="宋体" w:eastAsia="宋体" w:cs="宋体"/>
          <w:b/>
          <w:spacing w:val="6"/>
          <w:sz w:val="32"/>
          <w:szCs w:val="32"/>
          <w:highlight w:val="none"/>
        </w:rPr>
        <w:t>：中小企业划型标准</w:t>
      </w:r>
    </w:p>
    <w:p w14:paraId="27272FFE">
      <w:pPr>
        <w:pStyle w:val="4"/>
        <w:rPr>
          <w:rFonts w:hint="eastAsia"/>
          <w:highlight w:val="none"/>
        </w:rPr>
      </w:pPr>
    </w:p>
    <w:p w14:paraId="005F2F01">
      <w:pPr>
        <w:spacing w:line="360" w:lineRule="auto"/>
        <w:ind w:right="420" w:firstLine="480" w:firstLineChars="200"/>
        <w:rPr>
          <w:rFonts w:hint="eastAsia" w:ascii="宋体" w:hAnsi="宋体" w:cs="宋体"/>
          <w:sz w:val="24"/>
          <w:highlight w:val="none"/>
        </w:rPr>
      </w:pPr>
      <w:r>
        <w:rPr>
          <w:rFonts w:hint="eastAsia" w:ascii="宋体" w:hAnsi="宋体" w:cs="宋体"/>
          <w:sz w:val="24"/>
          <w:highlight w:val="none"/>
        </w:rPr>
        <w:t>中小企业划型标准规定【工信部联企业〔2011〕300号】</w:t>
      </w:r>
    </w:p>
    <w:p w14:paraId="1ECE2263">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一、根据《中华人民共和国中小企业促进法》和《国务院关于进一步促进中小企业发展的若干意见》(国发〔2009〕36号)，制定本规定。</w:t>
      </w:r>
    </w:p>
    <w:p w14:paraId="3BD250DC">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二、中小企业划分为中型、小型、微型三种类型，具体标准根据企业从业人员、营业收入、资产总额等指标，结合行业特点制定。</w:t>
      </w:r>
    </w:p>
    <w:p w14:paraId="44DD31F6">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64297A4">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四、各行业划型标准为：</w:t>
      </w:r>
    </w:p>
    <w:p w14:paraId="008D30F4">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（一）农、林、牧、渔业。营业收入20000万元以下的为中小微型企业。其中，营业收入500万元及以上的为中型企业，营业收入50万元及以上的为小型企业，营业收入50万元以下的为微型企业。</w:t>
      </w:r>
    </w:p>
    <w:p w14:paraId="01B54B46">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60024F9">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EEEFE3E">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F5A3E2B">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9DFD761">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634A5E7">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FD3988B">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5155F3E4">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32511BC">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6DA911F">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88CD3DB">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B702D1B">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85C28D2">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945CE62">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CB36B89">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（十六）其他未列明行业。从业人员300人以下的为中小微型企业。其中，从业人员100人及以上的为中型企业；从业人员10人及以上的为小型企业；从业人员10人以下的为微型企业。</w:t>
      </w:r>
    </w:p>
    <w:p w14:paraId="7FD9D731">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五、企业类型的划分以统计部门的统计数据为依据。</w:t>
      </w:r>
    </w:p>
    <w:p w14:paraId="6D048824">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六、本规定适用于在中华人民共和国境内依法设立的各类所有制和各种组织形式的企业。个体工商户和本规定以外的行业，参照本规定进行划型。 </w:t>
      </w:r>
    </w:p>
    <w:p w14:paraId="7CC7D6E4">
      <w:pPr>
        <w:pStyle w:val="29"/>
        <w:rPr>
          <w:highlight w:val="none"/>
        </w:rPr>
      </w:pPr>
      <w:r>
        <w:rPr>
          <w:rFonts w:hint="eastAsia" w:ascii="宋体" w:hAnsi="宋体" w:cs="宋体"/>
          <w:sz w:val="24"/>
          <w:highlight w:val="none"/>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B26DCC0">
      <w:pPr>
        <w:rPr>
          <w:rFonts w:hint="eastAsia" w:ascii="宋体" w:hAnsi="宋体" w:eastAsia="宋体" w:cs="宋体"/>
          <w:highlight w:val="none"/>
        </w:rPr>
      </w:pPr>
    </w:p>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ingFang SC">
    <w:altName w:val="Segoe Print"/>
    <w:panose1 w:val="00000000000000000000"/>
    <w:charset w:val="00"/>
    <w:family w:val="auto"/>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FC207">
    <w:pPr>
      <w:pStyle w:val="4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0AA40F">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F0AA40F">
                    <w:pPr>
                      <w:pStyle w:val="44"/>
                    </w:pPr>
                    <w:r>
                      <w:fldChar w:fldCharType="begin"/>
                    </w:r>
                    <w:r>
                      <w:instrText xml:space="preserve"> PAGE  \* MERGEFORMAT </w:instrText>
                    </w:r>
                    <w:r>
                      <w:fldChar w:fldCharType="separate"/>
                    </w:r>
                    <w:r>
                      <w:t>1</w:t>
                    </w:r>
                    <w:r>
                      <w:fldChar w:fldCharType="end"/>
                    </w:r>
                  </w:p>
                </w:txbxContent>
              </v:textbox>
            </v:shape>
          </w:pict>
        </mc:Fallback>
      </mc:AlternateContent>
    </w:r>
  </w:p>
  <w:p w14:paraId="5213B384">
    <w:pPr>
      <w:pStyle w:val="4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D4592">
    <w:pPr>
      <w:pStyle w:val="4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927C">
    <w:pPr>
      <w:pStyle w:val="44"/>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56B185">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B56B185">
                    <w:pPr>
                      <w:pStyle w:val="44"/>
                    </w:pPr>
                    <w:r>
                      <w:fldChar w:fldCharType="begin"/>
                    </w:r>
                    <w:r>
                      <w:instrText xml:space="preserve"> PAGE  \* MERGEFORMAT </w:instrText>
                    </w:r>
                    <w:r>
                      <w:fldChar w:fldCharType="separate"/>
                    </w:r>
                    <w:r>
                      <w:t>1</w:t>
                    </w:r>
                    <w:r>
                      <w:fldChar w:fldCharType="end"/>
                    </w:r>
                  </w:p>
                </w:txbxContent>
              </v:textbox>
            </v:shape>
          </w:pict>
        </mc:Fallback>
      </mc:AlternateContent>
    </w:r>
  </w:p>
  <w:p w14:paraId="3B2A4D85">
    <w:pPr>
      <w:pStyle w:val="4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3681E">
    <w:pPr>
      <w:pStyle w:val="44"/>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E41F5A">
                          <w:pPr>
                            <w:pStyle w:val="44"/>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BE41F5A">
                    <w:pPr>
                      <w:pStyle w:val="44"/>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v:textbox>
            </v:shape>
          </w:pict>
        </mc:Fallback>
      </mc:AlternateContent>
    </w:r>
  </w:p>
  <w:p w14:paraId="5D317182">
    <w:pPr>
      <w:pStyle w:val="4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7F776">
    <w:pPr>
      <w:pStyle w:val="4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A0FFBB">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5A0FFBB">
                    <w:pPr>
                      <w:pStyle w:val="44"/>
                    </w:pPr>
                    <w:r>
                      <w:fldChar w:fldCharType="begin"/>
                    </w:r>
                    <w:r>
                      <w:instrText xml:space="preserve"> PAGE  \* MERGEFORMAT </w:instrText>
                    </w:r>
                    <w:r>
                      <w:fldChar w:fldCharType="separate"/>
                    </w:r>
                    <w:r>
                      <w:t>1</w:t>
                    </w:r>
                    <w:r>
                      <w:fldChar w:fldCharType="end"/>
                    </w:r>
                  </w:p>
                </w:txbxContent>
              </v:textbox>
            </v:shape>
          </w:pict>
        </mc:Fallback>
      </mc:AlternateContent>
    </w:r>
  </w:p>
  <w:p w14:paraId="4839504B">
    <w:pPr>
      <w:pStyle w:val="4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43699242"/>
    </w:sdtPr>
    <w:sdtEndPr>
      <w:rPr>
        <w:sz w:val="21"/>
        <w:szCs w:val="21"/>
      </w:rPr>
    </w:sdtEndPr>
    <w:sdtContent>
      <w:p w14:paraId="784ED444">
        <w:pPr>
          <w:pStyle w:val="41"/>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90</w:t>
        </w:r>
        <w:r>
          <w:rPr>
            <w:sz w:val="21"/>
            <w:szCs w:val="21"/>
          </w:rPr>
          <w:fldChar w:fldCharType="end"/>
        </w:r>
      </w:p>
    </w:sdtContent>
  </w:sdt>
  <w:p w14:paraId="6CD4C4B6">
    <w:pPr>
      <w:pStyle w:val="41"/>
      <w:rPr>
        <w:rFonts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4D0A6">
    <w:pPr>
      <w:rPr>
        <w:rFonts w:ascii="FangSong_GB2312" w:eastAsia="FangSong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A63008">
                          <w:pPr>
                            <w:pStyle w:val="4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6FA63008">
                    <w:pPr>
                      <w:pStyle w:val="4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5B4C">
    <w:pPr>
      <w:rPr>
        <w:rFonts w:ascii="FangSong_GB2312" w:eastAsia="FangSong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3B874B">
                          <w:pPr>
                            <w:pStyle w:val="4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73B874B">
                    <w:pPr>
                      <w:pStyle w:val="4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2DE8">
    <w:pPr>
      <w:rPr>
        <w:rFonts w:ascii="FangSong_GB2312" w:eastAsia="FangSong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FA3443">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3FA3443">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0CFA0">
    <w:pPr>
      <w:rPr>
        <w:rFonts w:ascii="FangSong_GB2312" w:eastAsia="FangSong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7BA521">
                          <w:pPr>
                            <w:pStyle w:val="4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97BA521">
                    <w:pPr>
                      <w:pStyle w:val="4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FA37A">
    <w:pPr>
      <w:pStyle w:val="44"/>
      <w:rPr>
        <w:rFonts w:ascii="FangSong_GB2312" w:eastAsia="FangSong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524E48">
                          <w:pPr>
                            <w:pStyle w:val="4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B524E48">
                    <w:pPr>
                      <w:pStyle w:val="4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56F82">
    <w:pPr>
      <w:pStyle w:val="44"/>
      <w:rPr>
        <w:rFonts w:ascii="FangSong_GB2312" w:eastAsia="FangSong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97D267">
                          <w:pPr>
                            <w:pStyle w:val="4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1397D267">
                    <w:pPr>
                      <w:pStyle w:val="4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23992">
    <w:pPr>
      <w:pStyle w:val="62"/>
      <w:tabs>
        <w:tab w:val="center" w:pos="4535"/>
        <w:tab w:val="right" w:pos="9070"/>
      </w:tabs>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9B4A4">
    <w:pPr>
      <w:pStyle w:val="4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8CBA4">
    <w:pPr>
      <w:pStyle w:val="45"/>
      <w:pBdr>
        <w:bottom w:val="none" w:color="auto" w:sz="0" w:space="0"/>
      </w:pBdr>
      <w:tabs>
        <w:tab w:val="center" w:pos="4535"/>
        <w:tab w:val="right" w:pos="9070"/>
        <w:tab w:val="clear" w:pos="4153"/>
        <w:tab w:val="clear" w:pos="8306"/>
      </w:tabs>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27BCB">
    <w:pPr>
      <w:pStyle w:val="44"/>
      <w:rPr>
        <w:rFonts w:eastAsia="Times New Roma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09347">
    <w:pPr>
      <w:pStyle w:val="45"/>
      <w:pBdr>
        <w:bottom w:val="none" w:color="auto" w:sz="0" w:space="1"/>
      </w:pBdr>
      <w:jc w:val="both"/>
      <w:rPr>
        <w:rFonts w:ascii="FangSong_GB2312" w:eastAsia="FangSong_GB2312"/>
        <w:b/>
        <w:i/>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DC38B">
    <w:pPr>
      <w:pStyle w:val="45"/>
      <w:pBdr>
        <w:bottom w:val="none" w:color="auto" w:sz="0" w:space="1"/>
      </w:pBdr>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2768A">
    <w:pPr>
      <w:pStyle w:val="45"/>
      <w:jc w:val="right"/>
      <w:rPr>
        <w:rFonts w:ascii="FangSong_GB2312" w:eastAsia="FangSong_GB2312"/>
        <w:b/>
        <w:i/>
        <w:u w:val="single"/>
      </w:rPr>
    </w:pPr>
  </w:p>
  <w:p w14:paraId="6E8540D4">
    <w:pPr>
      <w:rPr>
        <w:rFonts w:ascii="FangSong_GB2312" w:eastAsia="FangSong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00F95">
    <w:pPr>
      <w:pStyle w:val="45"/>
      <w:pBdr>
        <w:bottom w:val="none" w:color="auto" w:sz="0" w:space="1"/>
      </w:pBdr>
      <w:jc w:val="both"/>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A0D8D">
    <w:pPr>
      <w:pStyle w:val="45"/>
      <w:pBdr>
        <w:bottom w:val="none" w:color="auto" w:sz="0" w:space="1"/>
      </w:pBdr>
      <w:jc w:val="both"/>
      <w:rPr>
        <w:rFonts w:ascii="FangSong_GB2312" w:eastAsia="FangSong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BD21C">
    <w:pPr>
      <w:pStyle w:val="45"/>
      <w:pBdr>
        <w:bottom w:val="none" w:color="auto" w:sz="0" w:space="1"/>
      </w:pBdr>
      <w:jc w:val="both"/>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D91531"/>
    <w:multiLevelType w:val="singleLevel"/>
    <w:tmpl w:val="80D91531"/>
    <w:lvl w:ilvl="0" w:tentative="0">
      <w:start w:val="1"/>
      <w:numFmt w:val="decimal"/>
      <w:suff w:val="nothing"/>
      <w:lvlText w:val="（%1）"/>
      <w:lvlJc w:val="left"/>
    </w:lvl>
  </w:abstractNum>
  <w:abstractNum w:abstractNumId="1">
    <w:nsid w:val="C8214E01"/>
    <w:multiLevelType w:val="singleLevel"/>
    <w:tmpl w:val="C8214E01"/>
    <w:lvl w:ilvl="0" w:tentative="0">
      <w:start w:val="5"/>
      <w:numFmt w:val="chineseCounting"/>
      <w:suff w:val="nothing"/>
      <w:lvlText w:val="%1、"/>
      <w:lvlJc w:val="left"/>
      <w:rPr>
        <w:rFonts w:hint="eastAsia"/>
      </w:rPr>
    </w:lvl>
  </w:abstractNum>
  <w:abstractNum w:abstractNumId="2">
    <w:nsid w:val="DC9F346D"/>
    <w:multiLevelType w:val="singleLevel"/>
    <w:tmpl w:val="DC9F346D"/>
    <w:lvl w:ilvl="0" w:tentative="0">
      <w:start w:val="1"/>
      <w:numFmt w:val="decimal"/>
      <w:suff w:val="nothing"/>
      <w:lvlText w:val="（%1）"/>
      <w:lvlJc w:val="left"/>
    </w:lvl>
  </w:abstractNum>
  <w:abstractNum w:abstractNumId="3">
    <w:nsid w:val="FB330CAA"/>
    <w:multiLevelType w:val="singleLevel"/>
    <w:tmpl w:val="FB330CAA"/>
    <w:lvl w:ilvl="0" w:tentative="0">
      <w:start w:val="8"/>
      <w:numFmt w:val="decimal"/>
      <w:suff w:val="nothing"/>
      <w:lvlText w:val="%1、"/>
      <w:lvlJc w:val="left"/>
    </w:lvl>
  </w:abstractNum>
  <w:abstractNum w:abstractNumId="4">
    <w:nsid w:val="0E9A5FF7"/>
    <w:multiLevelType w:val="singleLevel"/>
    <w:tmpl w:val="0E9A5FF7"/>
    <w:lvl w:ilvl="0" w:tentative="0">
      <w:start w:val="1"/>
      <w:numFmt w:val="decimal"/>
      <w:suff w:val="nothing"/>
      <w:lvlText w:val="%1、"/>
      <w:lvlJc w:val="left"/>
    </w:lvl>
  </w:abstractNum>
  <w:abstractNum w:abstractNumId="5">
    <w:nsid w:val="1BB06AB4"/>
    <w:multiLevelType w:val="singleLevel"/>
    <w:tmpl w:val="1BB06AB4"/>
    <w:lvl w:ilvl="0" w:tentative="0">
      <w:start w:val="1"/>
      <w:numFmt w:val="decimal"/>
      <w:suff w:val="nothing"/>
      <w:lvlText w:val="（%1）"/>
      <w:lvlJc w:val="left"/>
    </w:lvl>
  </w:abstractNum>
  <w:abstractNum w:abstractNumId="6">
    <w:nsid w:val="28BC1E09"/>
    <w:multiLevelType w:val="singleLevel"/>
    <w:tmpl w:val="28BC1E09"/>
    <w:lvl w:ilvl="0" w:tentative="0">
      <w:start w:val="8"/>
      <w:numFmt w:val="decimal"/>
      <w:suff w:val="nothing"/>
      <w:lvlText w:val="%1，"/>
      <w:lvlJc w:val="left"/>
    </w:lvl>
  </w:abstractNum>
  <w:abstractNum w:abstractNumId="7">
    <w:nsid w:val="333E6ABA"/>
    <w:multiLevelType w:val="singleLevel"/>
    <w:tmpl w:val="333E6ABA"/>
    <w:lvl w:ilvl="0" w:tentative="0">
      <w:start w:val="1"/>
      <w:numFmt w:val="decimal"/>
      <w:lvlText w:val="%1."/>
      <w:lvlJc w:val="left"/>
      <w:pPr>
        <w:tabs>
          <w:tab w:val="left" w:pos="312"/>
        </w:tabs>
      </w:pPr>
    </w:lvl>
  </w:abstractNum>
  <w:abstractNum w:abstractNumId="8">
    <w:nsid w:val="5252C25B"/>
    <w:multiLevelType w:val="singleLevel"/>
    <w:tmpl w:val="5252C25B"/>
    <w:lvl w:ilvl="0" w:tentative="0">
      <w:start w:val="1"/>
      <w:numFmt w:val="chineseCounting"/>
      <w:suff w:val="nothing"/>
      <w:lvlText w:val="%1、"/>
      <w:lvlJc w:val="left"/>
      <w:rPr>
        <w:rFonts w:hint="eastAsia"/>
      </w:rPr>
    </w:lvl>
  </w:abstractNum>
  <w:abstractNum w:abstractNumId="9">
    <w:nsid w:val="5E7C9EEA"/>
    <w:multiLevelType w:val="singleLevel"/>
    <w:tmpl w:val="5E7C9EEA"/>
    <w:lvl w:ilvl="0" w:tentative="0">
      <w:start w:val="8"/>
      <w:numFmt w:val="decimal"/>
      <w:suff w:val="nothing"/>
      <w:lvlText w:val="%1、"/>
      <w:lvlJc w:val="left"/>
    </w:lvl>
  </w:abstractNum>
  <w:num w:numId="1">
    <w:abstractNumId w:val="8"/>
  </w:num>
  <w:num w:numId="2">
    <w:abstractNumId w:val="3"/>
  </w:num>
  <w:num w:numId="3">
    <w:abstractNumId w:val="6"/>
  </w:num>
  <w:num w:numId="4">
    <w:abstractNumId w:val="7"/>
  </w:num>
  <w:num w:numId="5">
    <w:abstractNumId w:val="4"/>
  </w:num>
  <w:num w:numId="6">
    <w:abstractNumId w:val="9"/>
  </w:num>
  <w:num w:numId="7">
    <w:abstractNumId w:val="0"/>
  </w:num>
  <w:num w:numId="8">
    <w:abstractNumId w:val="2"/>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VlMzgzNTA4ODVjOWE4YTEzOWMxYzY0MTE3NjFkZTAifQ=="/>
    <w:docVar w:name="KSO_WPS_MARK_KEY" w:val="efa83b71-4182-4c12-acdd-c278ac153df4"/>
  </w:docVars>
  <w:rsids>
    <w:rsidRoot w:val="00172A27"/>
    <w:rsid w:val="00000451"/>
    <w:rsid w:val="0000108B"/>
    <w:rsid w:val="0000133D"/>
    <w:rsid w:val="00001509"/>
    <w:rsid w:val="000031DB"/>
    <w:rsid w:val="000032B2"/>
    <w:rsid w:val="0000363B"/>
    <w:rsid w:val="000058BD"/>
    <w:rsid w:val="00006109"/>
    <w:rsid w:val="00006150"/>
    <w:rsid w:val="000063E8"/>
    <w:rsid w:val="00006725"/>
    <w:rsid w:val="0000675E"/>
    <w:rsid w:val="00007CAA"/>
    <w:rsid w:val="00010FE9"/>
    <w:rsid w:val="0001122F"/>
    <w:rsid w:val="00011670"/>
    <w:rsid w:val="00011A4B"/>
    <w:rsid w:val="00012251"/>
    <w:rsid w:val="0001337C"/>
    <w:rsid w:val="000138C4"/>
    <w:rsid w:val="00013C1F"/>
    <w:rsid w:val="00013F31"/>
    <w:rsid w:val="000140D8"/>
    <w:rsid w:val="00014530"/>
    <w:rsid w:val="00014BBC"/>
    <w:rsid w:val="000150EE"/>
    <w:rsid w:val="000163EF"/>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E8C"/>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73E"/>
    <w:rsid w:val="00043907"/>
    <w:rsid w:val="00044F48"/>
    <w:rsid w:val="00047354"/>
    <w:rsid w:val="00047C40"/>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0BB7"/>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2D"/>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965"/>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ED1"/>
    <w:rsid w:val="000B268D"/>
    <w:rsid w:val="000B291B"/>
    <w:rsid w:val="000B456C"/>
    <w:rsid w:val="000B45B9"/>
    <w:rsid w:val="000B47CE"/>
    <w:rsid w:val="000B4B56"/>
    <w:rsid w:val="000B4C62"/>
    <w:rsid w:val="000B541D"/>
    <w:rsid w:val="000B54C1"/>
    <w:rsid w:val="000B5553"/>
    <w:rsid w:val="000B5FE8"/>
    <w:rsid w:val="000B666E"/>
    <w:rsid w:val="000B77E6"/>
    <w:rsid w:val="000C0A43"/>
    <w:rsid w:val="000C0CB1"/>
    <w:rsid w:val="000C1411"/>
    <w:rsid w:val="000C1ADE"/>
    <w:rsid w:val="000C1C38"/>
    <w:rsid w:val="000C21DC"/>
    <w:rsid w:val="000C2264"/>
    <w:rsid w:val="000C256B"/>
    <w:rsid w:val="000C3970"/>
    <w:rsid w:val="000C3B1A"/>
    <w:rsid w:val="000C4727"/>
    <w:rsid w:val="000C47AE"/>
    <w:rsid w:val="000C50BD"/>
    <w:rsid w:val="000C51AD"/>
    <w:rsid w:val="000C5374"/>
    <w:rsid w:val="000C5EC0"/>
    <w:rsid w:val="000C6162"/>
    <w:rsid w:val="000C64CC"/>
    <w:rsid w:val="000C6688"/>
    <w:rsid w:val="000C692E"/>
    <w:rsid w:val="000C6B28"/>
    <w:rsid w:val="000C726D"/>
    <w:rsid w:val="000C7BEB"/>
    <w:rsid w:val="000D0124"/>
    <w:rsid w:val="000D04AF"/>
    <w:rsid w:val="000D11E5"/>
    <w:rsid w:val="000D19E8"/>
    <w:rsid w:val="000D1FA1"/>
    <w:rsid w:val="000D259A"/>
    <w:rsid w:val="000D2834"/>
    <w:rsid w:val="000D2CAC"/>
    <w:rsid w:val="000D33F9"/>
    <w:rsid w:val="000D34C8"/>
    <w:rsid w:val="000D34FD"/>
    <w:rsid w:val="000D3BE5"/>
    <w:rsid w:val="000D3C37"/>
    <w:rsid w:val="000D453A"/>
    <w:rsid w:val="000D4AFA"/>
    <w:rsid w:val="000D5155"/>
    <w:rsid w:val="000D5EA6"/>
    <w:rsid w:val="000D5F00"/>
    <w:rsid w:val="000D6C9F"/>
    <w:rsid w:val="000D6E3B"/>
    <w:rsid w:val="000D6F30"/>
    <w:rsid w:val="000D74E4"/>
    <w:rsid w:val="000D7AAF"/>
    <w:rsid w:val="000D7C9D"/>
    <w:rsid w:val="000D7CE0"/>
    <w:rsid w:val="000E0B00"/>
    <w:rsid w:val="000E20D4"/>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9D7"/>
    <w:rsid w:val="000F5DDB"/>
    <w:rsid w:val="000F628E"/>
    <w:rsid w:val="000F68A0"/>
    <w:rsid w:val="000F6A52"/>
    <w:rsid w:val="000F6CC2"/>
    <w:rsid w:val="000F729C"/>
    <w:rsid w:val="000F7BE7"/>
    <w:rsid w:val="000F7D4B"/>
    <w:rsid w:val="0010118C"/>
    <w:rsid w:val="0010125E"/>
    <w:rsid w:val="001015F8"/>
    <w:rsid w:val="00101967"/>
    <w:rsid w:val="00103251"/>
    <w:rsid w:val="00103509"/>
    <w:rsid w:val="0010393D"/>
    <w:rsid w:val="00103EBD"/>
    <w:rsid w:val="00104699"/>
    <w:rsid w:val="0010496A"/>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4CD2"/>
    <w:rsid w:val="0011585B"/>
    <w:rsid w:val="00115B1A"/>
    <w:rsid w:val="001160FF"/>
    <w:rsid w:val="001164F4"/>
    <w:rsid w:val="001168F8"/>
    <w:rsid w:val="001176FF"/>
    <w:rsid w:val="00120958"/>
    <w:rsid w:val="0012153F"/>
    <w:rsid w:val="0012159D"/>
    <w:rsid w:val="00121804"/>
    <w:rsid w:val="00121EC9"/>
    <w:rsid w:val="001224FE"/>
    <w:rsid w:val="001231D3"/>
    <w:rsid w:val="001232A7"/>
    <w:rsid w:val="00123F7C"/>
    <w:rsid w:val="0012419E"/>
    <w:rsid w:val="001248EF"/>
    <w:rsid w:val="00124AC0"/>
    <w:rsid w:val="00124FC4"/>
    <w:rsid w:val="001253AB"/>
    <w:rsid w:val="001255BA"/>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4BB7"/>
    <w:rsid w:val="00134DF9"/>
    <w:rsid w:val="001350F7"/>
    <w:rsid w:val="00135769"/>
    <w:rsid w:val="00135BE9"/>
    <w:rsid w:val="00135E5C"/>
    <w:rsid w:val="001364D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4CE5"/>
    <w:rsid w:val="00145022"/>
    <w:rsid w:val="00145662"/>
    <w:rsid w:val="00145C6D"/>
    <w:rsid w:val="001460FC"/>
    <w:rsid w:val="00146151"/>
    <w:rsid w:val="00146326"/>
    <w:rsid w:val="00147032"/>
    <w:rsid w:val="0014762D"/>
    <w:rsid w:val="0014774C"/>
    <w:rsid w:val="00147EA7"/>
    <w:rsid w:val="00151820"/>
    <w:rsid w:val="00151B2F"/>
    <w:rsid w:val="001524DC"/>
    <w:rsid w:val="001525E5"/>
    <w:rsid w:val="00152A9D"/>
    <w:rsid w:val="00153859"/>
    <w:rsid w:val="00153915"/>
    <w:rsid w:val="001539F0"/>
    <w:rsid w:val="00154BBA"/>
    <w:rsid w:val="00155B95"/>
    <w:rsid w:val="00156853"/>
    <w:rsid w:val="00157432"/>
    <w:rsid w:val="00161185"/>
    <w:rsid w:val="001620BA"/>
    <w:rsid w:val="001623AC"/>
    <w:rsid w:val="001628EB"/>
    <w:rsid w:val="00162BAA"/>
    <w:rsid w:val="00163C40"/>
    <w:rsid w:val="0016488B"/>
    <w:rsid w:val="00164968"/>
    <w:rsid w:val="00165758"/>
    <w:rsid w:val="00165A65"/>
    <w:rsid w:val="00166317"/>
    <w:rsid w:val="00167478"/>
    <w:rsid w:val="00167594"/>
    <w:rsid w:val="001702BE"/>
    <w:rsid w:val="001704B3"/>
    <w:rsid w:val="0017059C"/>
    <w:rsid w:val="0017094E"/>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C7A"/>
    <w:rsid w:val="0017610B"/>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BDC"/>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537"/>
    <w:rsid w:val="00192991"/>
    <w:rsid w:val="00193470"/>
    <w:rsid w:val="00193B94"/>
    <w:rsid w:val="001940A7"/>
    <w:rsid w:val="00194BB1"/>
    <w:rsid w:val="00194BC6"/>
    <w:rsid w:val="00195070"/>
    <w:rsid w:val="00195245"/>
    <w:rsid w:val="0019526D"/>
    <w:rsid w:val="0019553F"/>
    <w:rsid w:val="001956BE"/>
    <w:rsid w:val="0019602C"/>
    <w:rsid w:val="0019660D"/>
    <w:rsid w:val="001969F2"/>
    <w:rsid w:val="00196A21"/>
    <w:rsid w:val="00196CD6"/>
    <w:rsid w:val="0019756A"/>
    <w:rsid w:val="001A0480"/>
    <w:rsid w:val="001A0632"/>
    <w:rsid w:val="001A06B5"/>
    <w:rsid w:val="001A07F8"/>
    <w:rsid w:val="001A0A23"/>
    <w:rsid w:val="001A0C98"/>
    <w:rsid w:val="001A128B"/>
    <w:rsid w:val="001A1475"/>
    <w:rsid w:val="001A1F0E"/>
    <w:rsid w:val="001A3335"/>
    <w:rsid w:val="001A473A"/>
    <w:rsid w:val="001A4ED9"/>
    <w:rsid w:val="001A5649"/>
    <w:rsid w:val="001A5785"/>
    <w:rsid w:val="001A5FD7"/>
    <w:rsid w:val="001A64B6"/>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490D"/>
    <w:rsid w:val="001C6047"/>
    <w:rsid w:val="001C6226"/>
    <w:rsid w:val="001C6698"/>
    <w:rsid w:val="001C6C33"/>
    <w:rsid w:val="001C6C5B"/>
    <w:rsid w:val="001C7399"/>
    <w:rsid w:val="001C7CE0"/>
    <w:rsid w:val="001D005B"/>
    <w:rsid w:val="001D00C1"/>
    <w:rsid w:val="001D0947"/>
    <w:rsid w:val="001D16F5"/>
    <w:rsid w:val="001D1970"/>
    <w:rsid w:val="001D1D55"/>
    <w:rsid w:val="001D21EF"/>
    <w:rsid w:val="001D29A4"/>
    <w:rsid w:val="001D2B73"/>
    <w:rsid w:val="001D2D03"/>
    <w:rsid w:val="001D3136"/>
    <w:rsid w:val="001D330D"/>
    <w:rsid w:val="001D4AB6"/>
    <w:rsid w:val="001D4AD3"/>
    <w:rsid w:val="001D5281"/>
    <w:rsid w:val="001D7A7C"/>
    <w:rsid w:val="001E0A69"/>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76C"/>
    <w:rsid w:val="001F19D1"/>
    <w:rsid w:val="001F1CB9"/>
    <w:rsid w:val="001F1F18"/>
    <w:rsid w:val="001F2F92"/>
    <w:rsid w:val="001F462E"/>
    <w:rsid w:val="001F50BF"/>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093"/>
    <w:rsid w:val="00211185"/>
    <w:rsid w:val="00211A94"/>
    <w:rsid w:val="002126F2"/>
    <w:rsid w:val="00213326"/>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C65"/>
    <w:rsid w:val="00216E7B"/>
    <w:rsid w:val="00217E1F"/>
    <w:rsid w:val="002201B9"/>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84"/>
    <w:rsid w:val="00231B0B"/>
    <w:rsid w:val="00231BBD"/>
    <w:rsid w:val="00232555"/>
    <w:rsid w:val="00233538"/>
    <w:rsid w:val="00234180"/>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5C75"/>
    <w:rsid w:val="0025631F"/>
    <w:rsid w:val="00256986"/>
    <w:rsid w:val="00256D61"/>
    <w:rsid w:val="00256E23"/>
    <w:rsid w:val="00257246"/>
    <w:rsid w:val="00257438"/>
    <w:rsid w:val="002576AE"/>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4C46"/>
    <w:rsid w:val="002751CA"/>
    <w:rsid w:val="0027544D"/>
    <w:rsid w:val="00277196"/>
    <w:rsid w:val="002775ED"/>
    <w:rsid w:val="002778AB"/>
    <w:rsid w:val="002802A5"/>
    <w:rsid w:val="00280CFB"/>
    <w:rsid w:val="00280D24"/>
    <w:rsid w:val="002815C4"/>
    <w:rsid w:val="00281BCB"/>
    <w:rsid w:val="00281C76"/>
    <w:rsid w:val="0028316D"/>
    <w:rsid w:val="00283296"/>
    <w:rsid w:val="00285119"/>
    <w:rsid w:val="0028583E"/>
    <w:rsid w:val="00285853"/>
    <w:rsid w:val="00285AED"/>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561"/>
    <w:rsid w:val="002B2906"/>
    <w:rsid w:val="002B2C66"/>
    <w:rsid w:val="002B302D"/>
    <w:rsid w:val="002B34E3"/>
    <w:rsid w:val="002B3B27"/>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553"/>
    <w:rsid w:val="002C66B8"/>
    <w:rsid w:val="002C70E7"/>
    <w:rsid w:val="002D0C27"/>
    <w:rsid w:val="002D0E88"/>
    <w:rsid w:val="002D0EA7"/>
    <w:rsid w:val="002D0F31"/>
    <w:rsid w:val="002D1593"/>
    <w:rsid w:val="002D1A1E"/>
    <w:rsid w:val="002D22A6"/>
    <w:rsid w:val="002D2695"/>
    <w:rsid w:val="002D2819"/>
    <w:rsid w:val="002D2CD6"/>
    <w:rsid w:val="002D2F81"/>
    <w:rsid w:val="002D38A3"/>
    <w:rsid w:val="002D3BA3"/>
    <w:rsid w:val="002D43EE"/>
    <w:rsid w:val="002D44C3"/>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5F3F"/>
    <w:rsid w:val="002E672A"/>
    <w:rsid w:val="002E682C"/>
    <w:rsid w:val="002E6853"/>
    <w:rsid w:val="002E7EC1"/>
    <w:rsid w:val="002E7EE5"/>
    <w:rsid w:val="002F0323"/>
    <w:rsid w:val="002F0DFB"/>
    <w:rsid w:val="002F134F"/>
    <w:rsid w:val="002F1D0B"/>
    <w:rsid w:val="002F1E1D"/>
    <w:rsid w:val="002F1F02"/>
    <w:rsid w:val="002F238E"/>
    <w:rsid w:val="002F27E5"/>
    <w:rsid w:val="002F2D81"/>
    <w:rsid w:val="002F2F66"/>
    <w:rsid w:val="002F3163"/>
    <w:rsid w:val="002F39D4"/>
    <w:rsid w:val="002F4BA9"/>
    <w:rsid w:val="002F50D7"/>
    <w:rsid w:val="002F541B"/>
    <w:rsid w:val="002F5BFE"/>
    <w:rsid w:val="002F5DA5"/>
    <w:rsid w:val="002F5E17"/>
    <w:rsid w:val="002F647C"/>
    <w:rsid w:val="002F6C6B"/>
    <w:rsid w:val="002F6CB0"/>
    <w:rsid w:val="002F6EFF"/>
    <w:rsid w:val="002F7342"/>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C99"/>
    <w:rsid w:val="00312DFC"/>
    <w:rsid w:val="0031318C"/>
    <w:rsid w:val="00313720"/>
    <w:rsid w:val="00313C9D"/>
    <w:rsid w:val="0031430C"/>
    <w:rsid w:val="00314919"/>
    <w:rsid w:val="00314C5A"/>
    <w:rsid w:val="0031531A"/>
    <w:rsid w:val="00315394"/>
    <w:rsid w:val="00315D77"/>
    <w:rsid w:val="00315D8E"/>
    <w:rsid w:val="00316002"/>
    <w:rsid w:val="00316BA8"/>
    <w:rsid w:val="00316CDE"/>
    <w:rsid w:val="0031752D"/>
    <w:rsid w:val="00317709"/>
    <w:rsid w:val="00320167"/>
    <w:rsid w:val="00320688"/>
    <w:rsid w:val="00320A34"/>
    <w:rsid w:val="00320B75"/>
    <w:rsid w:val="00321DB7"/>
    <w:rsid w:val="00321E7A"/>
    <w:rsid w:val="0032226D"/>
    <w:rsid w:val="003222C5"/>
    <w:rsid w:val="003235E6"/>
    <w:rsid w:val="00324038"/>
    <w:rsid w:val="003243AF"/>
    <w:rsid w:val="00324951"/>
    <w:rsid w:val="003249F6"/>
    <w:rsid w:val="00324B2F"/>
    <w:rsid w:val="00325FCC"/>
    <w:rsid w:val="00326106"/>
    <w:rsid w:val="00326440"/>
    <w:rsid w:val="00326805"/>
    <w:rsid w:val="003269B7"/>
    <w:rsid w:val="00326C0E"/>
    <w:rsid w:val="003272A3"/>
    <w:rsid w:val="003272E4"/>
    <w:rsid w:val="00327B71"/>
    <w:rsid w:val="0033127B"/>
    <w:rsid w:val="00331461"/>
    <w:rsid w:val="003316A8"/>
    <w:rsid w:val="00331C80"/>
    <w:rsid w:val="00331CC9"/>
    <w:rsid w:val="003320D7"/>
    <w:rsid w:val="00332265"/>
    <w:rsid w:val="00332862"/>
    <w:rsid w:val="00332D52"/>
    <w:rsid w:val="00332FBC"/>
    <w:rsid w:val="00333337"/>
    <w:rsid w:val="00333A28"/>
    <w:rsid w:val="00333B6C"/>
    <w:rsid w:val="00333BD0"/>
    <w:rsid w:val="00334927"/>
    <w:rsid w:val="003360AD"/>
    <w:rsid w:val="0033631D"/>
    <w:rsid w:val="003369C7"/>
    <w:rsid w:val="003373A6"/>
    <w:rsid w:val="00337409"/>
    <w:rsid w:val="00337E18"/>
    <w:rsid w:val="003405AF"/>
    <w:rsid w:val="0034088F"/>
    <w:rsid w:val="00340B3E"/>
    <w:rsid w:val="003411F3"/>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56C"/>
    <w:rsid w:val="0035455F"/>
    <w:rsid w:val="00354EFB"/>
    <w:rsid w:val="00355D75"/>
    <w:rsid w:val="00355D8F"/>
    <w:rsid w:val="00356A73"/>
    <w:rsid w:val="00356FF0"/>
    <w:rsid w:val="003577EF"/>
    <w:rsid w:val="00357A60"/>
    <w:rsid w:val="00360304"/>
    <w:rsid w:val="00360A78"/>
    <w:rsid w:val="00361750"/>
    <w:rsid w:val="00363894"/>
    <w:rsid w:val="00363B2A"/>
    <w:rsid w:val="00363BF1"/>
    <w:rsid w:val="003649E6"/>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48E"/>
    <w:rsid w:val="00372842"/>
    <w:rsid w:val="003729A5"/>
    <w:rsid w:val="00372C89"/>
    <w:rsid w:val="00372E9A"/>
    <w:rsid w:val="003735B9"/>
    <w:rsid w:val="00373634"/>
    <w:rsid w:val="00374677"/>
    <w:rsid w:val="0037510C"/>
    <w:rsid w:val="00375850"/>
    <w:rsid w:val="0037632F"/>
    <w:rsid w:val="00376FC6"/>
    <w:rsid w:val="00377076"/>
    <w:rsid w:val="00377B26"/>
    <w:rsid w:val="00377BB0"/>
    <w:rsid w:val="00381014"/>
    <w:rsid w:val="00381604"/>
    <w:rsid w:val="00381C68"/>
    <w:rsid w:val="00381CF2"/>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342"/>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59E6"/>
    <w:rsid w:val="003A6008"/>
    <w:rsid w:val="003A703F"/>
    <w:rsid w:val="003A7E2B"/>
    <w:rsid w:val="003A7E40"/>
    <w:rsid w:val="003B0336"/>
    <w:rsid w:val="003B0A3A"/>
    <w:rsid w:val="003B0D79"/>
    <w:rsid w:val="003B2930"/>
    <w:rsid w:val="003B31A7"/>
    <w:rsid w:val="003B34C0"/>
    <w:rsid w:val="003B414C"/>
    <w:rsid w:val="003B4587"/>
    <w:rsid w:val="003B4821"/>
    <w:rsid w:val="003B4B51"/>
    <w:rsid w:val="003B4FE1"/>
    <w:rsid w:val="003B514E"/>
    <w:rsid w:val="003B532C"/>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A5"/>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E66"/>
    <w:rsid w:val="003D6448"/>
    <w:rsid w:val="003D646C"/>
    <w:rsid w:val="003D663E"/>
    <w:rsid w:val="003D664B"/>
    <w:rsid w:val="003D6793"/>
    <w:rsid w:val="003D6B03"/>
    <w:rsid w:val="003D75D8"/>
    <w:rsid w:val="003E006E"/>
    <w:rsid w:val="003E0947"/>
    <w:rsid w:val="003E0E96"/>
    <w:rsid w:val="003E20F7"/>
    <w:rsid w:val="003E336A"/>
    <w:rsid w:val="003E3982"/>
    <w:rsid w:val="003E3E2F"/>
    <w:rsid w:val="003E4048"/>
    <w:rsid w:val="003E4863"/>
    <w:rsid w:val="003E4CE5"/>
    <w:rsid w:val="003E604C"/>
    <w:rsid w:val="003E60DA"/>
    <w:rsid w:val="003E632E"/>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8D0"/>
    <w:rsid w:val="003F5F1A"/>
    <w:rsid w:val="003F6327"/>
    <w:rsid w:val="003F6B7D"/>
    <w:rsid w:val="003F7425"/>
    <w:rsid w:val="003F749E"/>
    <w:rsid w:val="003F765B"/>
    <w:rsid w:val="003F7CB8"/>
    <w:rsid w:val="00400BA1"/>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00C"/>
    <w:rsid w:val="0041035A"/>
    <w:rsid w:val="0041060C"/>
    <w:rsid w:val="00410A12"/>
    <w:rsid w:val="00410E76"/>
    <w:rsid w:val="004112D1"/>
    <w:rsid w:val="004113C9"/>
    <w:rsid w:val="00411D1E"/>
    <w:rsid w:val="00411DF2"/>
    <w:rsid w:val="004120DF"/>
    <w:rsid w:val="004126B5"/>
    <w:rsid w:val="00414909"/>
    <w:rsid w:val="00415034"/>
    <w:rsid w:val="0041506D"/>
    <w:rsid w:val="0041533B"/>
    <w:rsid w:val="00415B1A"/>
    <w:rsid w:val="00415DFD"/>
    <w:rsid w:val="00416208"/>
    <w:rsid w:val="004163C3"/>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69"/>
    <w:rsid w:val="00425341"/>
    <w:rsid w:val="004255FE"/>
    <w:rsid w:val="00425674"/>
    <w:rsid w:val="00425A82"/>
    <w:rsid w:val="00425C60"/>
    <w:rsid w:val="0042672A"/>
    <w:rsid w:val="00426B2C"/>
    <w:rsid w:val="00427FA8"/>
    <w:rsid w:val="0043009D"/>
    <w:rsid w:val="0043026B"/>
    <w:rsid w:val="00430299"/>
    <w:rsid w:val="004306D4"/>
    <w:rsid w:val="00431336"/>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60C"/>
    <w:rsid w:val="00442731"/>
    <w:rsid w:val="00442C12"/>
    <w:rsid w:val="004434DF"/>
    <w:rsid w:val="0044354B"/>
    <w:rsid w:val="0044493E"/>
    <w:rsid w:val="00444A1F"/>
    <w:rsid w:val="00444FC6"/>
    <w:rsid w:val="00445874"/>
    <w:rsid w:val="00445C38"/>
    <w:rsid w:val="0044647C"/>
    <w:rsid w:val="0044686B"/>
    <w:rsid w:val="004475F7"/>
    <w:rsid w:val="0045057B"/>
    <w:rsid w:val="0045069B"/>
    <w:rsid w:val="00450B22"/>
    <w:rsid w:val="00451709"/>
    <w:rsid w:val="004518FA"/>
    <w:rsid w:val="00451A02"/>
    <w:rsid w:val="0045277C"/>
    <w:rsid w:val="0045332A"/>
    <w:rsid w:val="00453507"/>
    <w:rsid w:val="00453592"/>
    <w:rsid w:val="004543AB"/>
    <w:rsid w:val="004545EC"/>
    <w:rsid w:val="0045475B"/>
    <w:rsid w:val="00455967"/>
    <w:rsid w:val="00455F71"/>
    <w:rsid w:val="00456272"/>
    <w:rsid w:val="004570EF"/>
    <w:rsid w:val="00457517"/>
    <w:rsid w:val="00457C31"/>
    <w:rsid w:val="00457CF7"/>
    <w:rsid w:val="00457D37"/>
    <w:rsid w:val="0046028A"/>
    <w:rsid w:val="00460E3A"/>
    <w:rsid w:val="00460E68"/>
    <w:rsid w:val="004614BC"/>
    <w:rsid w:val="004619A5"/>
    <w:rsid w:val="00461F80"/>
    <w:rsid w:val="0046240D"/>
    <w:rsid w:val="00462898"/>
    <w:rsid w:val="00462D84"/>
    <w:rsid w:val="00463208"/>
    <w:rsid w:val="00463367"/>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1E6A"/>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E4D"/>
    <w:rsid w:val="00476F97"/>
    <w:rsid w:val="00477247"/>
    <w:rsid w:val="004776BB"/>
    <w:rsid w:val="004776FB"/>
    <w:rsid w:val="0048007A"/>
    <w:rsid w:val="0048055E"/>
    <w:rsid w:val="00480C2B"/>
    <w:rsid w:val="00480DC5"/>
    <w:rsid w:val="00480FD9"/>
    <w:rsid w:val="0048131D"/>
    <w:rsid w:val="00481D0B"/>
    <w:rsid w:val="004824A9"/>
    <w:rsid w:val="00483091"/>
    <w:rsid w:val="00483140"/>
    <w:rsid w:val="00483984"/>
    <w:rsid w:val="00483BC7"/>
    <w:rsid w:val="00483CF0"/>
    <w:rsid w:val="00484D4D"/>
    <w:rsid w:val="00485AF6"/>
    <w:rsid w:val="00486516"/>
    <w:rsid w:val="00486529"/>
    <w:rsid w:val="0048664F"/>
    <w:rsid w:val="004868AD"/>
    <w:rsid w:val="00486D00"/>
    <w:rsid w:val="00486F17"/>
    <w:rsid w:val="00487FE1"/>
    <w:rsid w:val="00490707"/>
    <w:rsid w:val="00490815"/>
    <w:rsid w:val="0049117E"/>
    <w:rsid w:val="00492503"/>
    <w:rsid w:val="004925C8"/>
    <w:rsid w:val="00492AF9"/>
    <w:rsid w:val="00492B76"/>
    <w:rsid w:val="0049333E"/>
    <w:rsid w:val="00493528"/>
    <w:rsid w:val="004936F0"/>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2F48"/>
    <w:rsid w:val="004A3A21"/>
    <w:rsid w:val="004A407A"/>
    <w:rsid w:val="004A4E3B"/>
    <w:rsid w:val="004A5953"/>
    <w:rsid w:val="004A5C84"/>
    <w:rsid w:val="004A6110"/>
    <w:rsid w:val="004A61B8"/>
    <w:rsid w:val="004A6415"/>
    <w:rsid w:val="004A64F9"/>
    <w:rsid w:val="004A65F4"/>
    <w:rsid w:val="004A6D2C"/>
    <w:rsid w:val="004A737D"/>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6A1"/>
    <w:rsid w:val="004C27CF"/>
    <w:rsid w:val="004C2CA7"/>
    <w:rsid w:val="004C3592"/>
    <w:rsid w:val="004C45C8"/>
    <w:rsid w:val="004C4F8F"/>
    <w:rsid w:val="004C5416"/>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56CF"/>
    <w:rsid w:val="004D6BF2"/>
    <w:rsid w:val="004D6F29"/>
    <w:rsid w:val="004D7BF5"/>
    <w:rsid w:val="004D7F9C"/>
    <w:rsid w:val="004E03F4"/>
    <w:rsid w:val="004E068F"/>
    <w:rsid w:val="004E0860"/>
    <w:rsid w:val="004E09CF"/>
    <w:rsid w:val="004E0B75"/>
    <w:rsid w:val="004E0C29"/>
    <w:rsid w:val="004E0D19"/>
    <w:rsid w:val="004E0DC4"/>
    <w:rsid w:val="004E109C"/>
    <w:rsid w:val="004E1D61"/>
    <w:rsid w:val="004E1D6F"/>
    <w:rsid w:val="004E1DE9"/>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E7D5D"/>
    <w:rsid w:val="004F07F2"/>
    <w:rsid w:val="004F07F9"/>
    <w:rsid w:val="004F0A50"/>
    <w:rsid w:val="004F0D1F"/>
    <w:rsid w:val="004F0E82"/>
    <w:rsid w:val="004F1523"/>
    <w:rsid w:val="004F1847"/>
    <w:rsid w:val="004F1CE1"/>
    <w:rsid w:val="004F1F9E"/>
    <w:rsid w:val="004F216A"/>
    <w:rsid w:val="004F2CB6"/>
    <w:rsid w:val="004F2E6E"/>
    <w:rsid w:val="004F3015"/>
    <w:rsid w:val="004F313F"/>
    <w:rsid w:val="004F367F"/>
    <w:rsid w:val="004F3EEF"/>
    <w:rsid w:val="004F43A7"/>
    <w:rsid w:val="004F447B"/>
    <w:rsid w:val="004F497C"/>
    <w:rsid w:val="004F4FAC"/>
    <w:rsid w:val="004F4FE8"/>
    <w:rsid w:val="004F531B"/>
    <w:rsid w:val="004F560C"/>
    <w:rsid w:val="004F595B"/>
    <w:rsid w:val="004F5DBB"/>
    <w:rsid w:val="004F60B4"/>
    <w:rsid w:val="004F61A3"/>
    <w:rsid w:val="004F62A5"/>
    <w:rsid w:val="004F6874"/>
    <w:rsid w:val="004F7922"/>
    <w:rsid w:val="004F7A1F"/>
    <w:rsid w:val="004F7B47"/>
    <w:rsid w:val="0050079C"/>
    <w:rsid w:val="0050106A"/>
    <w:rsid w:val="005010BC"/>
    <w:rsid w:val="00501848"/>
    <w:rsid w:val="00502B31"/>
    <w:rsid w:val="00503366"/>
    <w:rsid w:val="0050434C"/>
    <w:rsid w:val="0050537D"/>
    <w:rsid w:val="0050591C"/>
    <w:rsid w:val="005059BD"/>
    <w:rsid w:val="005060AE"/>
    <w:rsid w:val="005064A1"/>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63D"/>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59D"/>
    <w:rsid w:val="005326F0"/>
    <w:rsid w:val="00532764"/>
    <w:rsid w:val="00532AA5"/>
    <w:rsid w:val="00532C5F"/>
    <w:rsid w:val="00533233"/>
    <w:rsid w:val="005335A2"/>
    <w:rsid w:val="00533D13"/>
    <w:rsid w:val="00533DEC"/>
    <w:rsid w:val="00534026"/>
    <w:rsid w:val="00534D55"/>
    <w:rsid w:val="00535B53"/>
    <w:rsid w:val="00536536"/>
    <w:rsid w:val="00536B03"/>
    <w:rsid w:val="00537456"/>
    <w:rsid w:val="0053790C"/>
    <w:rsid w:val="00537B3D"/>
    <w:rsid w:val="00540401"/>
    <w:rsid w:val="005405B2"/>
    <w:rsid w:val="0054076A"/>
    <w:rsid w:val="00540D47"/>
    <w:rsid w:val="00540EE7"/>
    <w:rsid w:val="005415E0"/>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563"/>
    <w:rsid w:val="00564DA7"/>
    <w:rsid w:val="00565204"/>
    <w:rsid w:val="00565473"/>
    <w:rsid w:val="00565DAC"/>
    <w:rsid w:val="00565F0D"/>
    <w:rsid w:val="00566025"/>
    <w:rsid w:val="005662DC"/>
    <w:rsid w:val="00566329"/>
    <w:rsid w:val="005668B9"/>
    <w:rsid w:val="00566E39"/>
    <w:rsid w:val="0056704E"/>
    <w:rsid w:val="00567623"/>
    <w:rsid w:val="005701C2"/>
    <w:rsid w:val="00570763"/>
    <w:rsid w:val="00571027"/>
    <w:rsid w:val="0057200B"/>
    <w:rsid w:val="00572297"/>
    <w:rsid w:val="0057345D"/>
    <w:rsid w:val="0057347D"/>
    <w:rsid w:val="00573560"/>
    <w:rsid w:val="00574079"/>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710"/>
    <w:rsid w:val="00591BA6"/>
    <w:rsid w:val="00592825"/>
    <w:rsid w:val="00594437"/>
    <w:rsid w:val="00594B70"/>
    <w:rsid w:val="00596CFA"/>
    <w:rsid w:val="00596EC6"/>
    <w:rsid w:val="005975CE"/>
    <w:rsid w:val="005A0088"/>
    <w:rsid w:val="005A04F6"/>
    <w:rsid w:val="005A14F0"/>
    <w:rsid w:val="005A1861"/>
    <w:rsid w:val="005A1A31"/>
    <w:rsid w:val="005A31FD"/>
    <w:rsid w:val="005A361D"/>
    <w:rsid w:val="005A36C2"/>
    <w:rsid w:val="005A3719"/>
    <w:rsid w:val="005A3DD7"/>
    <w:rsid w:val="005A40FA"/>
    <w:rsid w:val="005A4C20"/>
    <w:rsid w:val="005A4F48"/>
    <w:rsid w:val="005A54F1"/>
    <w:rsid w:val="005A57B8"/>
    <w:rsid w:val="005A5DDE"/>
    <w:rsid w:val="005A64A8"/>
    <w:rsid w:val="005A65C5"/>
    <w:rsid w:val="005A6875"/>
    <w:rsid w:val="005A6B18"/>
    <w:rsid w:val="005A7016"/>
    <w:rsid w:val="005A7A32"/>
    <w:rsid w:val="005A7F85"/>
    <w:rsid w:val="005B00DD"/>
    <w:rsid w:val="005B03B1"/>
    <w:rsid w:val="005B07D5"/>
    <w:rsid w:val="005B0EA6"/>
    <w:rsid w:val="005B1A8A"/>
    <w:rsid w:val="005B1AAB"/>
    <w:rsid w:val="005B2578"/>
    <w:rsid w:val="005B2930"/>
    <w:rsid w:val="005B2A4E"/>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A95"/>
    <w:rsid w:val="005B7F75"/>
    <w:rsid w:val="005C039B"/>
    <w:rsid w:val="005C059F"/>
    <w:rsid w:val="005C07CE"/>
    <w:rsid w:val="005C0B8F"/>
    <w:rsid w:val="005C194E"/>
    <w:rsid w:val="005C1C83"/>
    <w:rsid w:val="005C1DB1"/>
    <w:rsid w:val="005C226F"/>
    <w:rsid w:val="005C2294"/>
    <w:rsid w:val="005C2E48"/>
    <w:rsid w:val="005C3344"/>
    <w:rsid w:val="005C382C"/>
    <w:rsid w:val="005C4E4D"/>
    <w:rsid w:val="005C58F2"/>
    <w:rsid w:val="005C5A97"/>
    <w:rsid w:val="005C5F77"/>
    <w:rsid w:val="005C644E"/>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8D1"/>
    <w:rsid w:val="005D79F2"/>
    <w:rsid w:val="005D7CB1"/>
    <w:rsid w:val="005D7F57"/>
    <w:rsid w:val="005E0067"/>
    <w:rsid w:val="005E0141"/>
    <w:rsid w:val="005E09CA"/>
    <w:rsid w:val="005E1AB4"/>
    <w:rsid w:val="005E1DF5"/>
    <w:rsid w:val="005E255B"/>
    <w:rsid w:val="005E2A82"/>
    <w:rsid w:val="005E2CF7"/>
    <w:rsid w:val="005E322A"/>
    <w:rsid w:val="005E4543"/>
    <w:rsid w:val="005E4894"/>
    <w:rsid w:val="005E4A1C"/>
    <w:rsid w:val="005E56C9"/>
    <w:rsid w:val="005E5CF7"/>
    <w:rsid w:val="005E5FF0"/>
    <w:rsid w:val="005E642A"/>
    <w:rsid w:val="005E65A7"/>
    <w:rsid w:val="005E721E"/>
    <w:rsid w:val="005F0857"/>
    <w:rsid w:val="005F1470"/>
    <w:rsid w:val="005F15A9"/>
    <w:rsid w:val="005F24F4"/>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B5A"/>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4BF0"/>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7F8"/>
    <w:rsid w:val="0063487C"/>
    <w:rsid w:val="00635B73"/>
    <w:rsid w:val="00635BB7"/>
    <w:rsid w:val="006367D0"/>
    <w:rsid w:val="00636A99"/>
    <w:rsid w:val="00636CC7"/>
    <w:rsid w:val="00637F27"/>
    <w:rsid w:val="0064029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3A3"/>
    <w:rsid w:val="00650D19"/>
    <w:rsid w:val="00651634"/>
    <w:rsid w:val="00652130"/>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0DF"/>
    <w:rsid w:val="00660AF7"/>
    <w:rsid w:val="00660D3E"/>
    <w:rsid w:val="00661691"/>
    <w:rsid w:val="00662D3D"/>
    <w:rsid w:val="00662E39"/>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0B9"/>
    <w:rsid w:val="00677382"/>
    <w:rsid w:val="0067772D"/>
    <w:rsid w:val="00677991"/>
    <w:rsid w:val="00677A9B"/>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08A"/>
    <w:rsid w:val="00691890"/>
    <w:rsid w:val="0069194E"/>
    <w:rsid w:val="00691AAD"/>
    <w:rsid w:val="00692416"/>
    <w:rsid w:val="006925DF"/>
    <w:rsid w:val="00692989"/>
    <w:rsid w:val="00692AFF"/>
    <w:rsid w:val="00692D2D"/>
    <w:rsid w:val="006939A7"/>
    <w:rsid w:val="00693B73"/>
    <w:rsid w:val="006945A1"/>
    <w:rsid w:val="00694A53"/>
    <w:rsid w:val="006952DE"/>
    <w:rsid w:val="00695985"/>
    <w:rsid w:val="00695C78"/>
    <w:rsid w:val="00695E6C"/>
    <w:rsid w:val="00695EAC"/>
    <w:rsid w:val="00696188"/>
    <w:rsid w:val="00696C79"/>
    <w:rsid w:val="00697068"/>
    <w:rsid w:val="006977DE"/>
    <w:rsid w:val="00697D5F"/>
    <w:rsid w:val="006A035B"/>
    <w:rsid w:val="006A0582"/>
    <w:rsid w:val="006A060C"/>
    <w:rsid w:val="006A06F8"/>
    <w:rsid w:val="006A071C"/>
    <w:rsid w:val="006A0DC7"/>
    <w:rsid w:val="006A150D"/>
    <w:rsid w:val="006A1B00"/>
    <w:rsid w:val="006A2766"/>
    <w:rsid w:val="006A278C"/>
    <w:rsid w:val="006A39D0"/>
    <w:rsid w:val="006A3E91"/>
    <w:rsid w:val="006A4321"/>
    <w:rsid w:val="006A4549"/>
    <w:rsid w:val="006A4E20"/>
    <w:rsid w:val="006A4F11"/>
    <w:rsid w:val="006A563C"/>
    <w:rsid w:val="006A5A6F"/>
    <w:rsid w:val="006A5F7E"/>
    <w:rsid w:val="006A6786"/>
    <w:rsid w:val="006A7C29"/>
    <w:rsid w:val="006B0580"/>
    <w:rsid w:val="006B05F8"/>
    <w:rsid w:val="006B0DA2"/>
    <w:rsid w:val="006B0F70"/>
    <w:rsid w:val="006B1486"/>
    <w:rsid w:val="006B169F"/>
    <w:rsid w:val="006B1BEB"/>
    <w:rsid w:val="006B1D06"/>
    <w:rsid w:val="006B2823"/>
    <w:rsid w:val="006B29DC"/>
    <w:rsid w:val="006B2F60"/>
    <w:rsid w:val="006B33DB"/>
    <w:rsid w:val="006B3669"/>
    <w:rsid w:val="006B36E5"/>
    <w:rsid w:val="006B3D00"/>
    <w:rsid w:val="006B42C7"/>
    <w:rsid w:val="006B4CF8"/>
    <w:rsid w:val="006B506B"/>
    <w:rsid w:val="006B54E8"/>
    <w:rsid w:val="006B5FBC"/>
    <w:rsid w:val="006B6A9A"/>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3911"/>
    <w:rsid w:val="006D43C1"/>
    <w:rsid w:val="006D53C1"/>
    <w:rsid w:val="006D5442"/>
    <w:rsid w:val="006D6B31"/>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1AC"/>
    <w:rsid w:val="00702F2D"/>
    <w:rsid w:val="0070353F"/>
    <w:rsid w:val="00704108"/>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6CFC"/>
    <w:rsid w:val="007170AB"/>
    <w:rsid w:val="0071779C"/>
    <w:rsid w:val="00717808"/>
    <w:rsid w:val="007208A7"/>
    <w:rsid w:val="00720B6A"/>
    <w:rsid w:val="007210F6"/>
    <w:rsid w:val="0072129A"/>
    <w:rsid w:val="0072139F"/>
    <w:rsid w:val="0072173F"/>
    <w:rsid w:val="0072198A"/>
    <w:rsid w:val="00721AD9"/>
    <w:rsid w:val="00721FC3"/>
    <w:rsid w:val="00722A75"/>
    <w:rsid w:val="00722A86"/>
    <w:rsid w:val="00722BC6"/>
    <w:rsid w:val="00722C69"/>
    <w:rsid w:val="0072311F"/>
    <w:rsid w:val="0072388C"/>
    <w:rsid w:val="00723C3F"/>
    <w:rsid w:val="0072454E"/>
    <w:rsid w:val="007249D1"/>
    <w:rsid w:val="00724FE4"/>
    <w:rsid w:val="00725829"/>
    <w:rsid w:val="00725D6A"/>
    <w:rsid w:val="007263A2"/>
    <w:rsid w:val="007266B9"/>
    <w:rsid w:val="00727351"/>
    <w:rsid w:val="00727AC5"/>
    <w:rsid w:val="00727C0D"/>
    <w:rsid w:val="00727C65"/>
    <w:rsid w:val="007300F0"/>
    <w:rsid w:val="00730904"/>
    <w:rsid w:val="00731947"/>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1F6A"/>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A1A"/>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08"/>
    <w:rsid w:val="0076497F"/>
    <w:rsid w:val="007660EC"/>
    <w:rsid w:val="007662C7"/>
    <w:rsid w:val="00766862"/>
    <w:rsid w:val="00766A5B"/>
    <w:rsid w:val="00766AD3"/>
    <w:rsid w:val="007675DD"/>
    <w:rsid w:val="007702BF"/>
    <w:rsid w:val="007705F0"/>
    <w:rsid w:val="00770DC2"/>
    <w:rsid w:val="00771CAC"/>
    <w:rsid w:val="00772036"/>
    <w:rsid w:val="00772E5E"/>
    <w:rsid w:val="00773098"/>
    <w:rsid w:val="007737DA"/>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1A"/>
    <w:rsid w:val="00794E46"/>
    <w:rsid w:val="007952DE"/>
    <w:rsid w:val="00795479"/>
    <w:rsid w:val="00796292"/>
    <w:rsid w:val="007965D9"/>
    <w:rsid w:val="00796BA2"/>
    <w:rsid w:val="007972D5"/>
    <w:rsid w:val="0079778D"/>
    <w:rsid w:val="00797D73"/>
    <w:rsid w:val="007A006C"/>
    <w:rsid w:val="007A0789"/>
    <w:rsid w:val="007A0F9D"/>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114"/>
    <w:rsid w:val="007B02C7"/>
    <w:rsid w:val="007B0306"/>
    <w:rsid w:val="007B08E4"/>
    <w:rsid w:val="007B0D86"/>
    <w:rsid w:val="007B0D88"/>
    <w:rsid w:val="007B28C3"/>
    <w:rsid w:val="007B3A8E"/>
    <w:rsid w:val="007B3C9B"/>
    <w:rsid w:val="007B4271"/>
    <w:rsid w:val="007B4349"/>
    <w:rsid w:val="007B497D"/>
    <w:rsid w:val="007B49C3"/>
    <w:rsid w:val="007B4EE9"/>
    <w:rsid w:val="007B509F"/>
    <w:rsid w:val="007B5234"/>
    <w:rsid w:val="007B54C7"/>
    <w:rsid w:val="007B5637"/>
    <w:rsid w:val="007B5DC5"/>
    <w:rsid w:val="007B5F32"/>
    <w:rsid w:val="007B63FC"/>
    <w:rsid w:val="007B6708"/>
    <w:rsid w:val="007B6C20"/>
    <w:rsid w:val="007B6E8D"/>
    <w:rsid w:val="007C0074"/>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A00"/>
    <w:rsid w:val="007D5BA2"/>
    <w:rsid w:val="007D5ED3"/>
    <w:rsid w:val="007D682F"/>
    <w:rsid w:val="007D688D"/>
    <w:rsid w:val="007D6FB9"/>
    <w:rsid w:val="007D7211"/>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E7DFD"/>
    <w:rsid w:val="007F1124"/>
    <w:rsid w:val="007F152D"/>
    <w:rsid w:val="007F20C4"/>
    <w:rsid w:val="007F20EE"/>
    <w:rsid w:val="007F21AC"/>
    <w:rsid w:val="007F23D8"/>
    <w:rsid w:val="007F307A"/>
    <w:rsid w:val="007F30C6"/>
    <w:rsid w:val="007F38FD"/>
    <w:rsid w:val="007F3C18"/>
    <w:rsid w:val="007F4318"/>
    <w:rsid w:val="007F4709"/>
    <w:rsid w:val="007F47DA"/>
    <w:rsid w:val="007F4E52"/>
    <w:rsid w:val="007F4F84"/>
    <w:rsid w:val="007F5382"/>
    <w:rsid w:val="007F55A4"/>
    <w:rsid w:val="007F5AAE"/>
    <w:rsid w:val="007F5D28"/>
    <w:rsid w:val="007F6260"/>
    <w:rsid w:val="007F682B"/>
    <w:rsid w:val="007F78E8"/>
    <w:rsid w:val="007F7E6A"/>
    <w:rsid w:val="007F7F8F"/>
    <w:rsid w:val="0080042E"/>
    <w:rsid w:val="00800509"/>
    <w:rsid w:val="0080078E"/>
    <w:rsid w:val="00800B7F"/>
    <w:rsid w:val="00801005"/>
    <w:rsid w:val="008012B1"/>
    <w:rsid w:val="00801D63"/>
    <w:rsid w:val="00802136"/>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E3B"/>
    <w:rsid w:val="00814FC7"/>
    <w:rsid w:val="0081660C"/>
    <w:rsid w:val="00817195"/>
    <w:rsid w:val="00817416"/>
    <w:rsid w:val="00817658"/>
    <w:rsid w:val="00820407"/>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1229"/>
    <w:rsid w:val="008320D2"/>
    <w:rsid w:val="008321CE"/>
    <w:rsid w:val="0083257C"/>
    <w:rsid w:val="0083261B"/>
    <w:rsid w:val="00832B44"/>
    <w:rsid w:val="00832EC9"/>
    <w:rsid w:val="00833307"/>
    <w:rsid w:val="00833583"/>
    <w:rsid w:val="00833B5B"/>
    <w:rsid w:val="00833E8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281"/>
    <w:rsid w:val="0084357B"/>
    <w:rsid w:val="008465B4"/>
    <w:rsid w:val="00846D25"/>
    <w:rsid w:val="00847F5A"/>
    <w:rsid w:val="00850013"/>
    <w:rsid w:val="008500DD"/>
    <w:rsid w:val="00850A0A"/>
    <w:rsid w:val="00850A94"/>
    <w:rsid w:val="00851E96"/>
    <w:rsid w:val="00851F1C"/>
    <w:rsid w:val="00852BD4"/>
    <w:rsid w:val="00852FA5"/>
    <w:rsid w:val="00853F7D"/>
    <w:rsid w:val="00855037"/>
    <w:rsid w:val="0085517F"/>
    <w:rsid w:val="0085562D"/>
    <w:rsid w:val="00855693"/>
    <w:rsid w:val="00855A78"/>
    <w:rsid w:val="00856154"/>
    <w:rsid w:val="00856286"/>
    <w:rsid w:val="0085657E"/>
    <w:rsid w:val="00856F0E"/>
    <w:rsid w:val="008573AF"/>
    <w:rsid w:val="008576B0"/>
    <w:rsid w:val="00860296"/>
    <w:rsid w:val="008602E3"/>
    <w:rsid w:val="0086092A"/>
    <w:rsid w:val="00860DA4"/>
    <w:rsid w:val="00861146"/>
    <w:rsid w:val="00861948"/>
    <w:rsid w:val="00862011"/>
    <w:rsid w:val="00862A15"/>
    <w:rsid w:val="00862CC9"/>
    <w:rsid w:val="00862D8E"/>
    <w:rsid w:val="00862EF2"/>
    <w:rsid w:val="0086598A"/>
    <w:rsid w:val="00865C3D"/>
    <w:rsid w:val="00865F4C"/>
    <w:rsid w:val="00866453"/>
    <w:rsid w:val="00866C38"/>
    <w:rsid w:val="0086707F"/>
    <w:rsid w:val="00867501"/>
    <w:rsid w:val="00867D8E"/>
    <w:rsid w:val="008700C0"/>
    <w:rsid w:val="0087058B"/>
    <w:rsid w:val="0087099A"/>
    <w:rsid w:val="00870D79"/>
    <w:rsid w:val="00871333"/>
    <w:rsid w:val="00871952"/>
    <w:rsid w:val="00872006"/>
    <w:rsid w:val="00872386"/>
    <w:rsid w:val="00872599"/>
    <w:rsid w:val="008726D7"/>
    <w:rsid w:val="00873128"/>
    <w:rsid w:val="008735BC"/>
    <w:rsid w:val="00873AAC"/>
    <w:rsid w:val="00873C61"/>
    <w:rsid w:val="00873DFD"/>
    <w:rsid w:val="008749BF"/>
    <w:rsid w:val="00875542"/>
    <w:rsid w:val="00875E14"/>
    <w:rsid w:val="0087677E"/>
    <w:rsid w:val="00876940"/>
    <w:rsid w:val="0087712C"/>
    <w:rsid w:val="008772B9"/>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B09"/>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2F66"/>
    <w:rsid w:val="008A3182"/>
    <w:rsid w:val="008A3C76"/>
    <w:rsid w:val="008A3D54"/>
    <w:rsid w:val="008A3E10"/>
    <w:rsid w:val="008A411C"/>
    <w:rsid w:val="008A4630"/>
    <w:rsid w:val="008A47CE"/>
    <w:rsid w:val="008A4DFA"/>
    <w:rsid w:val="008A5F2F"/>
    <w:rsid w:val="008A6BAE"/>
    <w:rsid w:val="008A7350"/>
    <w:rsid w:val="008A75FC"/>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43BC"/>
    <w:rsid w:val="008C5371"/>
    <w:rsid w:val="008C623D"/>
    <w:rsid w:val="008C65F4"/>
    <w:rsid w:val="008C6683"/>
    <w:rsid w:val="008C6E0C"/>
    <w:rsid w:val="008C7125"/>
    <w:rsid w:val="008C7273"/>
    <w:rsid w:val="008C78F8"/>
    <w:rsid w:val="008D05DF"/>
    <w:rsid w:val="008D0939"/>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527"/>
    <w:rsid w:val="008E1C24"/>
    <w:rsid w:val="008E2626"/>
    <w:rsid w:val="008E27A9"/>
    <w:rsid w:val="008E323C"/>
    <w:rsid w:val="008E32E0"/>
    <w:rsid w:val="008E35A6"/>
    <w:rsid w:val="008E36D9"/>
    <w:rsid w:val="008E3A5C"/>
    <w:rsid w:val="008E3A9A"/>
    <w:rsid w:val="008E429E"/>
    <w:rsid w:val="008E4E11"/>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6D34"/>
    <w:rsid w:val="008F7292"/>
    <w:rsid w:val="008F76C0"/>
    <w:rsid w:val="009000F2"/>
    <w:rsid w:val="0090079D"/>
    <w:rsid w:val="0090086A"/>
    <w:rsid w:val="00900D2C"/>
    <w:rsid w:val="00901807"/>
    <w:rsid w:val="00901F0E"/>
    <w:rsid w:val="00902A26"/>
    <w:rsid w:val="00902A57"/>
    <w:rsid w:val="00902B29"/>
    <w:rsid w:val="00902BBA"/>
    <w:rsid w:val="00902D02"/>
    <w:rsid w:val="00903777"/>
    <w:rsid w:val="00903C83"/>
    <w:rsid w:val="00903D77"/>
    <w:rsid w:val="0090408F"/>
    <w:rsid w:val="0090446A"/>
    <w:rsid w:val="00904537"/>
    <w:rsid w:val="00904DC3"/>
    <w:rsid w:val="0090534A"/>
    <w:rsid w:val="00905469"/>
    <w:rsid w:val="00905E63"/>
    <w:rsid w:val="00906078"/>
    <w:rsid w:val="0090629C"/>
    <w:rsid w:val="00906EA2"/>
    <w:rsid w:val="00907278"/>
    <w:rsid w:val="00907B9E"/>
    <w:rsid w:val="00910041"/>
    <w:rsid w:val="0091112B"/>
    <w:rsid w:val="00911D61"/>
    <w:rsid w:val="0091254B"/>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6E4"/>
    <w:rsid w:val="00923E1A"/>
    <w:rsid w:val="009245CC"/>
    <w:rsid w:val="0092490A"/>
    <w:rsid w:val="00925A3E"/>
    <w:rsid w:val="00925E42"/>
    <w:rsid w:val="009261DB"/>
    <w:rsid w:val="00926939"/>
    <w:rsid w:val="00926F4C"/>
    <w:rsid w:val="00927330"/>
    <w:rsid w:val="00927710"/>
    <w:rsid w:val="009307CA"/>
    <w:rsid w:val="009312F9"/>
    <w:rsid w:val="00931445"/>
    <w:rsid w:val="00931AB8"/>
    <w:rsid w:val="00931C19"/>
    <w:rsid w:val="00931C63"/>
    <w:rsid w:val="00931D10"/>
    <w:rsid w:val="0093218A"/>
    <w:rsid w:val="00932376"/>
    <w:rsid w:val="0093386D"/>
    <w:rsid w:val="00934C8E"/>
    <w:rsid w:val="00935194"/>
    <w:rsid w:val="00936EA5"/>
    <w:rsid w:val="00937114"/>
    <w:rsid w:val="0094015D"/>
    <w:rsid w:val="00940916"/>
    <w:rsid w:val="009412B7"/>
    <w:rsid w:val="00941B13"/>
    <w:rsid w:val="00941C9E"/>
    <w:rsid w:val="0094215C"/>
    <w:rsid w:val="00942BB5"/>
    <w:rsid w:val="00942F8E"/>
    <w:rsid w:val="00943543"/>
    <w:rsid w:val="009441DB"/>
    <w:rsid w:val="00944834"/>
    <w:rsid w:val="00946128"/>
    <w:rsid w:val="0094633F"/>
    <w:rsid w:val="00946ADA"/>
    <w:rsid w:val="00947BA5"/>
    <w:rsid w:val="00950272"/>
    <w:rsid w:val="00950805"/>
    <w:rsid w:val="00950FB3"/>
    <w:rsid w:val="00951371"/>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EB8"/>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3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5D64"/>
    <w:rsid w:val="00996055"/>
    <w:rsid w:val="00996EF4"/>
    <w:rsid w:val="00997044"/>
    <w:rsid w:val="00997914"/>
    <w:rsid w:val="00997BC9"/>
    <w:rsid w:val="009A113D"/>
    <w:rsid w:val="009A1431"/>
    <w:rsid w:val="009A1ECA"/>
    <w:rsid w:val="009A1F96"/>
    <w:rsid w:val="009A2BE9"/>
    <w:rsid w:val="009A2BF3"/>
    <w:rsid w:val="009A3043"/>
    <w:rsid w:val="009A3688"/>
    <w:rsid w:val="009A3713"/>
    <w:rsid w:val="009A3C3E"/>
    <w:rsid w:val="009A4153"/>
    <w:rsid w:val="009A4C2C"/>
    <w:rsid w:val="009A5112"/>
    <w:rsid w:val="009A59B3"/>
    <w:rsid w:val="009A5FAE"/>
    <w:rsid w:val="009A6A62"/>
    <w:rsid w:val="009A6ADA"/>
    <w:rsid w:val="009A6B3A"/>
    <w:rsid w:val="009A70A3"/>
    <w:rsid w:val="009A7E7C"/>
    <w:rsid w:val="009B05D2"/>
    <w:rsid w:val="009B126B"/>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EA3"/>
    <w:rsid w:val="009D4207"/>
    <w:rsid w:val="009D4E4A"/>
    <w:rsid w:val="009D5130"/>
    <w:rsid w:val="009D53D1"/>
    <w:rsid w:val="009D53FB"/>
    <w:rsid w:val="009D56A4"/>
    <w:rsid w:val="009D6081"/>
    <w:rsid w:val="009D63A6"/>
    <w:rsid w:val="009D6659"/>
    <w:rsid w:val="009D678C"/>
    <w:rsid w:val="009D681B"/>
    <w:rsid w:val="009D6B9A"/>
    <w:rsid w:val="009D6D30"/>
    <w:rsid w:val="009D7523"/>
    <w:rsid w:val="009D76B5"/>
    <w:rsid w:val="009D7AF1"/>
    <w:rsid w:val="009D7B86"/>
    <w:rsid w:val="009D7BC7"/>
    <w:rsid w:val="009D7FAC"/>
    <w:rsid w:val="009E0109"/>
    <w:rsid w:val="009E0342"/>
    <w:rsid w:val="009E098B"/>
    <w:rsid w:val="009E09AB"/>
    <w:rsid w:val="009E0D7D"/>
    <w:rsid w:val="009E0DAF"/>
    <w:rsid w:val="009E19BB"/>
    <w:rsid w:val="009E1C47"/>
    <w:rsid w:val="009E38D1"/>
    <w:rsid w:val="009E3DF1"/>
    <w:rsid w:val="009E4C3F"/>
    <w:rsid w:val="009E514A"/>
    <w:rsid w:val="009E5177"/>
    <w:rsid w:val="009E5701"/>
    <w:rsid w:val="009E5711"/>
    <w:rsid w:val="009E758E"/>
    <w:rsid w:val="009E7BFB"/>
    <w:rsid w:val="009E7D6B"/>
    <w:rsid w:val="009E7E81"/>
    <w:rsid w:val="009F020A"/>
    <w:rsid w:val="009F05AD"/>
    <w:rsid w:val="009F0659"/>
    <w:rsid w:val="009F08B2"/>
    <w:rsid w:val="009F1109"/>
    <w:rsid w:val="009F143E"/>
    <w:rsid w:val="009F1C4E"/>
    <w:rsid w:val="009F1D81"/>
    <w:rsid w:val="009F1DE8"/>
    <w:rsid w:val="009F2186"/>
    <w:rsid w:val="009F227C"/>
    <w:rsid w:val="009F28DC"/>
    <w:rsid w:val="009F2E6D"/>
    <w:rsid w:val="009F2EDB"/>
    <w:rsid w:val="009F33DC"/>
    <w:rsid w:val="009F42CC"/>
    <w:rsid w:val="009F4550"/>
    <w:rsid w:val="009F56C0"/>
    <w:rsid w:val="009F5C76"/>
    <w:rsid w:val="009F7B73"/>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B68"/>
    <w:rsid w:val="00A176DD"/>
    <w:rsid w:val="00A21838"/>
    <w:rsid w:val="00A22C3E"/>
    <w:rsid w:val="00A22C4D"/>
    <w:rsid w:val="00A2334E"/>
    <w:rsid w:val="00A23442"/>
    <w:rsid w:val="00A249D2"/>
    <w:rsid w:val="00A2503D"/>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339"/>
    <w:rsid w:val="00A36CF6"/>
    <w:rsid w:val="00A37309"/>
    <w:rsid w:val="00A37329"/>
    <w:rsid w:val="00A37558"/>
    <w:rsid w:val="00A3786A"/>
    <w:rsid w:val="00A4008C"/>
    <w:rsid w:val="00A402A8"/>
    <w:rsid w:val="00A40685"/>
    <w:rsid w:val="00A406FE"/>
    <w:rsid w:val="00A40E2F"/>
    <w:rsid w:val="00A41092"/>
    <w:rsid w:val="00A41819"/>
    <w:rsid w:val="00A41C9A"/>
    <w:rsid w:val="00A41CC1"/>
    <w:rsid w:val="00A41D73"/>
    <w:rsid w:val="00A42406"/>
    <w:rsid w:val="00A433E8"/>
    <w:rsid w:val="00A43A1D"/>
    <w:rsid w:val="00A43AB0"/>
    <w:rsid w:val="00A44854"/>
    <w:rsid w:val="00A44A45"/>
    <w:rsid w:val="00A46431"/>
    <w:rsid w:val="00A4665D"/>
    <w:rsid w:val="00A46859"/>
    <w:rsid w:val="00A46D39"/>
    <w:rsid w:val="00A47019"/>
    <w:rsid w:val="00A4705D"/>
    <w:rsid w:val="00A472B8"/>
    <w:rsid w:val="00A5004A"/>
    <w:rsid w:val="00A5017C"/>
    <w:rsid w:val="00A5021E"/>
    <w:rsid w:val="00A502D6"/>
    <w:rsid w:val="00A502F5"/>
    <w:rsid w:val="00A504F4"/>
    <w:rsid w:val="00A507C4"/>
    <w:rsid w:val="00A508AA"/>
    <w:rsid w:val="00A50EE7"/>
    <w:rsid w:val="00A526CE"/>
    <w:rsid w:val="00A54107"/>
    <w:rsid w:val="00A54449"/>
    <w:rsid w:val="00A5453B"/>
    <w:rsid w:val="00A54909"/>
    <w:rsid w:val="00A54DC0"/>
    <w:rsid w:val="00A550C9"/>
    <w:rsid w:val="00A55228"/>
    <w:rsid w:val="00A55410"/>
    <w:rsid w:val="00A55831"/>
    <w:rsid w:val="00A55A04"/>
    <w:rsid w:val="00A564DE"/>
    <w:rsid w:val="00A571B1"/>
    <w:rsid w:val="00A6054E"/>
    <w:rsid w:val="00A60799"/>
    <w:rsid w:val="00A61101"/>
    <w:rsid w:val="00A6170B"/>
    <w:rsid w:val="00A61991"/>
    <w:rsid w:val="00A61B7F"/>
    <w:rsid w:val="00A61B91"/>
    <w:rsid w:val="00A61C3A"/>
    <w:rsid w:val="00A620E8"/>
    <w:rsid w:val="00A63335"/>
    <w:rsid w:val="00A634EB"/>
    <w:rsid w:val="00A63685"/>
    <w:rsid w:val="00A63EA5"/>
    <w:rsid w:val="00A64545"/>
    <w:rsid w:val="00A645AC"/>
    <w:rsid w:val="00A64622"/>
    <w:rsid w:val="00A64C79"/>
    <w:rsid w:val="00A65EFB"/>
    <w:rsid w:val="00A66325"/>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5B89"/>
    <w:rsid w:val="00A762C7"/>
    <w:rsid w:val="00A765B1"/>
    <w:rsid w:val="00A772F2"/>
    <w:rsid w:val="00A77828"/>
    <w:rsid w:val="00A77BAA"/>
    <w:rsid w:val="00A800F9"/>
    <w:rsid w:val="00A803A6"/>
    <w:rsid w:val="00A8073D"/>
    <w:rsid w:val="00A80D02"/>
    <w:rsid w:val="00A80DF3"/>
    <w:rsid w:val="00A815FB"/>
    <w:rsid w:val="00A81AEB"/>
    <w:rsid w:val="00A82D32"/>
    <w:rsid w:val="00A82EAE"/>
    <w:rsid w:val="00A82FC7"/>
    <w:rsid w:val="00A836AB"/>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1E4"/>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5DB"/>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858"/>
    <w:rsid w:val="00AC7F64"/>
    <w:rsid w:val="00AD1065"/>
    <w:rsid w:val="00AD1501"/>
    <w:rsid w:val="00AD159E"/>
    <w:rsid w:val="00AD2AB1"/>
    <w:rsid w:val="00AD3132"/>
    <w:rsid w:val="00AD3DA6"/>
    <w:rsid w:val="00AD3F3C"/>
    <w:rsid w:val="00AD447E"/>
    <w:rsid w:val="00AD4B2F"/>
    <w:rsid w:val="00AD4F10"/>
    <w:rsid w:val="00AD590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55E3"/>
    <w:rsid w:val="00AE6575"/>
    <w:rsid w:val="00AE71EE"/>
    <w:rsid w:val="00AF03CF"/>
    <w:rsid w:val="00AF0A0A"/>
    <w:rsid w:val="00AF1384"/>
    <w:rsid w:val="00AF14FC"/>
    <w:rsid w:val="00AF1ED2"/>
    <w:rsid w:val="00AF1F4E"/>
    <w:rsid w:val="00AF2302"/>
    <w:rsid w:val="00AF262A"/>
    <w:rsid w:val="00AF3557"/>
    <w:rsid w:val="00AF3F86"/>
    <w:rsid w:val="00AF4487"/>
    <w:rsid w:val="00AF4CEE"/>
    <w:rsid w:val="00AF4F4A"/>
    <w:rsid w:val="00AF584C"/>
    <w:rsid w:val="00AF5D84"/>
    <w:rsid w:val="00AF6476"/>
    <w:rsid w:val="00AF669D"/>
    <w:rsid w:val="00AF672C"/>
    <w:rsid w:val="00AF673E"/>
    <w:rsid w:val="00AF6ABE"/>
    <w:rsid w:val="00AF7389"/>
    <w:rsid w:val="00AF79DF"/>
    <w:rsid w:val="00AF7C37"/>
    <w:rsid w:val="00B00378"/>
    <w:rsid w:val="00B006F5"/>
    <w:rsid w:val="00B00D91"/>
    <w:rsid w:val="00B00E84"/>
    <w:rsid w:val="00B01DD9"/>
    <w:rsid w:val="00B01F0E"/>
    <w:rsid w:val="00B038DD"/>
    <w:rsid w:val="00B038F1"/>
    <w:rsid w:val="00B03C1B"/>
    <w:rsid w:val="00B04678"/>
    <w:rsid w:val="00B047C9"/>
    <w:rsid w:val="00B04A04"/>
    <w:rsid w:val="00B04B78"/>
    <w:rsid w:val="00B04C37"/>
    <w:rsid w:val="00B04F00"/>
    <w:rsid w:val="00B05BA6"/>
    <w:rsid w:val="00B066FE"/>
    <w:rsid w:val="00B06912"/>
    <w:rsid w:val="00B06FE5"/>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5DB0"/>
    <w:rsid w:val="00B36617"/>
    <w:rsid w:val="00B367C4"/>
    <w:rsid w:val="00B36D3E"/>
    <w:rsid w:val="00B37B8E"/>
    <w:rsid w:val="00B40222"/>
    <w:rsid w:val="00B404C3"/>
    <w:rsid w:val="00B4065C"/>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75C"/>
    <w:rsid w:val="00B47979"/>
    <w:rsid w:val="00B47A59"/>
    <w:rsid w:val="00B47D21"/>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719"/>
    <w:rsid w:val="00B55F64"/>
    <w:rsid w:val="00B56DBF"/>
    <w:rsid w:val="00B56ECA"/>
    <w:rsid w:val="00B57093"/>
    <w:rsid w:val="00B57B5D"/>
    <w:rsid w:val="00B60613"/>
    <w:rsid w:val="00B61AEC"/>
    <w:rsid w:val="00B6244C"/>
    <w:rsid w:val="00B62A2F"/>
    <w:rsid w:val="00B62B7B"/>
    <w:rsid w:val="00B62F0A"/>
    <w:rsid w:val="00B63484"/>
    <w:rsid w:val="00B634B7"/>
    <w:rsid w:val="00B634F1"/>
    <w:rsid w:val="00B637EF"/>
    <w:rsid w:val="00B6385B"/>
    <w:rsid w:val="00B63EF6"/>
    <w:rsid w:val="00B64200"/>
    <w:rsid w:val="00B6440A"/>
    <w:rsid w:val="00B656C1"/>
    <w:rsid w:val="00B65788"/>
    <w:rsid w:val="00B65844"/>
    <w:rsid w:val="00B66054"/>
    <w:rsid w:val="00B6677F"/>
    <w:rsid w:val="00B66C7A"/>
    <w:rsid w:val="00B672EA"/>
    <w:rsid w:val="00B6747B"/>
    <w:rsid w:val="00B70200"/>
    <w:rsid w:val="00B702D7"/>
    <w:rsid w:val="00B70389"/>
    <w:rsid w:val="00B7058F"/>
    <w:rsid w:val="00B70E01"/>
    <w:rsid w:val="00B7289A"/>
    <w:rsid w:val="00B72CF0"/>
    <w:rsid w:val="00B72E83"/>
    <w:rsid w:val="00B7380E"/>
    <w:rsid w:val="00B740F6"/>
    <w:rsid w:val="00B74615"/>
    <w:rsid w:val="00B74789"/>
    <w:rsid w:val="00B754C1"/>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47E"/>
    <w:rsid w:val="00B85586"/>
    <w:rsid w:val="00B86289"/>
    <w:rsid w:val="00B863B3"/>
    <w:rsid w:val="00B869D3"/>
    <w:rsid w:val="00B86CF8"/>
    <w:rsid w:val="00B86E44"/>
    <w:rsid w:val="00B87359"/>
    <w:rsid w:val="00B87B05"/>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ED2"/>
    <w:rsid w:val="00B96DD9"/>
    <w:rsid w:val="00B96EA6"/>
    <w:rsid w:val="00B975A9"/>
    <w:rsid w:val="00B9789D"/>
    <w:rsid w:val="00B97A4C"/>
    <w:rsid w:val="00BA050E"/>
    <w:rsid w:val="00BA1289"/>
    <w:rsid w:val="00BA14B2"/>
    <w:rsid w:val="00BA15DC"/>
    <w:rsid w:val="00BA1E2F"/>
    <w:rsid w:val="00BA1EB8"/>
    <w:rsid w:val="00BA2AEE"/>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8B3"/>
    <w:rsid w:val="00BB7632"/>
    <w:rsid w:val="00BB777D"/>
    <w:rsid w:val="00BB7EC0"/>
    <w:rsid w:val="00BB7F88"/>
    <w:rsid w:val="00BC0207"/>
    <w:rsid w:val="00BC089F"/>
    <w:rsid w:val="00BC0A0C"/>
    <w:rsid w:val="00BC0A5A"/>
    <w:rsid w:val="00BC0E64"/>
    <w:rsid w:val="00BC22A4"/>
    <w:rsid w:val="00BC25D1"/>
    <w:rsid w:val="00BC2DBD"/>
    <w:rsid w:val="00BC3BCB"/>
    <w:rsid w:val="00BC3CF1"/>
    <w:rsid w:val="00BC428A"/>
    <w:rsid w:val="00BC4B11"/>
    <w:rsid w:val="00BC4C40"/>
    <w:rsid w:val="00BC5A29"/>
    <w:rsid w:val="00BC5AE3"/>
    <w:rsid w:val="00BC5BAD"/>
    <w:rsid w:val="00BC692A"/>
    <w:rsid w:val="00BC76C5"/>
    <w:rsid w:val="00BC7BB7"/>
    <w:rsid w:val="00BC7F94"/>
    <w:rsid w:val="00BD1039"/>
    <w:rsid w:val="00BD10B7"/>
    <w:rsid w:val="00BD138A"/>
    <w:rsid w:val="00BD164A"/>
    <w:rsid w:val="00BD1BDD"/>
    <w:rsid w:val="00BD1D7D"/>
    <w:rsid w:val="00BD1E27"/>
    <w:rsid w:val="00BD2585"/>
    <w:rsid w:val="00BD2B4D"/>
    <w:rsid w:val="00BD2F08"/>
    <w:rsid w:val="00BD2FB9"/>
    <w:rsid w:val="00BD31C2"/>
    <w:rsid w:val="00BD3683"/>
    <w:rsid w:val="00BD450A"/>
    <w:rsid w:val="00BD4717"/>
    <w:rsid w:val="00BD48EA"/>
    <w:rsid w:val="00BD4BA8"/>
    <w:rsid w:val="00BD5624"/>
    <w:rsid w:val="00BD62E6"/>
    <w:rsid w:val="00BD64DB"/>
    <w:rsid w:val="00BD6B0E"/>
    <w:rsid w:val="00BD734D"/>
    <w:rsid w:val="00BD7941"/>
    <w:rsid w:val="00BE0591"/>
    <w:rsid w:val="00BE06D0"/>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87F"/>
    <w:rsid w:val="00BE7EDB"/>
    <w:rsid w:val="00BE7F4D"/>
    <w:rsid w:val="00BF03C0"/>
    <w:rsid w:val="00BF0EBF"/>
    <w:rsid w:val="00BF1534"/>
    <w:rsid w:val="00BF19C3"/>
    <w:rsid w:val="00BF2021"/>
    <w:rsid w:val="00BF21D4"/>
    <w:rsid w:val="00BF2DDC"/>
    <w:rsid w:val="00BF32DE"/>
    <w:rsid w:val="00BF4A15"/>
    <w:rsid w:val="00BF4E0E"/>
    <w:rsid w:val="00BF4E27"/>
    <w:rsid w:val="00BF4F7C"/>
    <w:rsid w:val="00BF537B"/>
    <w:rsid w:val="00BF5901"/>
    <w:rsid w:val="00BF5ACE"/>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8EE"/>
    <w:rsid w:val="00C0702A"/>
    <w:rsid w:val="00C0724C"/>
    <w:rsid w:val="00C07C11"/>
    <w:rsid w:val="00C07E10"/>
    <w:rsid w:val="00C10015"/>
    <w:rsid w:val="00C1110A"/>
    <w:rsid w:val="00C11689"/>
    <w:rsid w:val="00C11BA4"/>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336"/>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115"/>
    <w:rsid w:val="00C332D4"/>
    <w:rsid w:val="00C33A66"/>
    <w:rsid w:val="00C33E51"/>
    <w:rsid w:val="00C34C45"/>
    <w:rsid w:val="00C34C47"/>
    <w:rsid w:val="00C34FCE"/>
    <w:rsid w:val="00C35411"/>
    <w:rsid w:val="00C35EED"/>
    <w:rsid w:val="00C36B2C"/>
    <w:rsid w:val="00C3701A"/>
    <w:rsid w:val="00C37199"/>
    <w:rsid w:val="00C379EF"/>
    <w:rsid w:val="00C37AEF"/>
    <w:rsid w:val="00C405C8"/>
    <w:rsid w:val="00C406D4"/>
    <w:rsid w:val="00C40C2F"/>
    <w:rsid w:val="00C415AC"/>
    <w:rsid w:val="00C4297A"/>
    <w:rsid w:val="00C4360C"/>
    <w:rsid w:val="00C439B8"/>
    <w:rsid w:val="00C43A0B"/>
    <w:rsid w:val="00C43EDA"/>
    <w:rsid w:val="00C43FEC"/>
    <w:rsid w:val="00C4414C"/>
    <w:rsid w:val="00C45512"/>
    <w:rsid w:val="00C4602B"/>
    <w:rsid w:val="00C46262"/>
    <w:rsid w:val="00C46564"/>
    <w:rsid w:val="00C46BFA"/>
    <w:rsid w:val="00C46DDF"/>
    <w:rsid w:val="00C476E4"/>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BB"/>
    <w:rsid w:val="00C629F3"/>
    <w:rsid w:val="00C62B88"/>
    <w:rsid w:val="00C62CD3"/>
    <w:rsid w:val="00C634F9"/>
    <w:rsid w:val="00C63CDE"/>
    <w:rsid w:val="00C63E9C"/>
    <w:rsid w:val="00C643ED"/>
    <w:rsid w:val="00C64534"/>
    <w:rsid w:val="00C64A9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205"/>
    <w:rsid w:val="00C76C0C"/>
    <w:rsid w:val="00C76EE8"/>
    <w:rsid w:val="00C76FFC"/>
    <w:rsid w:val="00C770B6"/>
    <w:rsid w:val="00C774E0"/>
    <w:rsid w:val="00C776BA"/>
    <w:rsid w:val="00C7791E"/>
    <w:rsid w:val="00C81716"/>
    <w:rsid w:val="00C832CB"/>
    <w:rsid w:val="00C83BD3"/>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AE7"/>
    <w:rsid w:val="00CA0492"/>
    <w:rsid w:val="00CA05B0"/>
    <w:rsid w:val="00CA0632"/>
    <w:rsid w:val="00CA0A04"/>
    <w:rsid w:val="00CA2528"/>
    <w:rsid w:val="00CA3CAB"/>
    <w:rsid w:val="00CA3FC0"/>
    <w:rsid w:val="00CA5146"/>
    <w:rsid w:val="00CA5685"/>
    <w:rsid w:val="00CA6A2E"/>
    <w:rsid w:val="00CA6B56"/>
    <w:rsid w:val="00CA7D3E"/>
    <w:rsid w:val="00CA7F63"/>
    <w:rsid w:val="00CB0317"/>
    <w:rsid w:val="00CB0662"/>
    <w:rsid w:val="00CB0A82"/>
    <w:rsid w:val="00CB0F2F"/>
    <w:rsid w:val="00CB1556"/>
    <w:rsid w:val="00CB2913"/>
    <w:rsid w:val="00CB361A"/>
    <w:rsid w:val="00CB3970"/>
    <w:rsid w:val="00CB42B9"/>
    <w:rsid w:val="00CB4550"/>
    <w:rsid w:val="00CB4F39"/>
    <w:rsid w:val="00CB52A4"/>
    <w:rsid w:val="00CB537C"/>
    <w:rsid w:val="00CB5A26"/>
    <w:rsid w:val="00CB645B"/>
    <w:rsid w:val="00CB6A93"/>
    <w:rsid w:val="00CB6C79"/>
    <w:rsid w:val="00CB7150"/>
    <w:rsid w:val="00CB77C3"/>
    <w:rsid w:val="00CB7E9C"/>
    <w:rsid w:val="00CC0072"/>
    <w:rsid w:val="00CC027A"/>
    <w:rsid w:val="00CC0915"/>
    <w:rsid w:val="00CC1398"/>
    <w:rsid w:val="00CC1AF5"/>
    <w:rsid w:val="00CC1B74"/>
    <w:rsid w:val="00CC28C5"/>
    <w:rsid w:val="00CC291E"/>
    <w:rsid w:val="00CC2AD1"/>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D62"/>
    <w:rsid w:val="00CD44FF"/>
    <w:rsid w:val="00CD46A7"/>
    <w:rsid w:val="00CD47BC"/>
    <w:rsid w:val="00CD4E50"/>
    <w:rsid w:val="00CD57CB"/>
    <w:rsid w:val="00CD64E1"/>
    <w:rsid w:val="00CD66BA"/>
    <w:rsid w:val="00CD699D"/>
    <w:rsid w:val="00CD6BA3"/>
    <w:rsid w:val="00CD6F1C"/>
    <w:rsid w:val="00CD70DB"/>
    <w:rsid w:val="00CD73BC"/>
    <w:rsid w:val="00CD7544"/>
    <w:rsid w:val="00CD78D4"/>
    <w:rsid w:val="00CD7C69"/>
    <w:rsid w:val="00CE0697"/>
    <w:rsid w:val="00CE14CB"/>
    <w:rsid w:val="00CE2E2E"/>
    <w:rsid w:val="00CE3A51"/>
    <w:rsid w:val="00CE41F9"/>
    <w:rsid w:val="00CE59F6"/>
    <w:rsid w:val="00CE6687"/>
    <w:rsid w:val="00CE66CD"/>
    <w:rsid w:val="00CE6BA9"/>
    <w:rsid w:val="00CE71C3"/>
    <w:rsid w:val="00CE727A"/>
    <w:rsid w:val="00CF029C"/>
    <w:rsid w:val="00CF0AF0"/>
    <w:rsid w:val="00CF157E"/>
    <w:rsid w:val="00CF1631"/>
    <w:rsid w:val="00CF1834"/>
    <w:rsid w:val="00CF1AAA"/>
    <w:rsid w:val="00CF1EC2"/>
    <w:rsid w:val="00CF2ACF"/>
    <w:rsid w:val="00CF345B"/>
    <w:rsid w:val="00CF4176"/>
    <w:rsid w:val="00CF475F"/>
    <w:rsid w:val="00CF5008"/>
    <w:rsid w:val="00CF5069"/>
    <w:rsid w:val="00CF5E34"/>
    <w:rsid w:val="00CF6707"/>
    <w:rsid w:val="00CF6B49"/>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273"/>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02"/>
    <w:rsid w:val="00D32FA0"/>
    <w:rsid w:val="00D33112"/>
    <w:rsid w:val="00D331CB"/>
    <w:rsid w:val="00D3497A"/>
    <w:rsid w:val="00D3530E"/>
    <w:rsid w:val="00D35F2F"/>
    <w:rsid w:val="00D35FC6"/>
    <w:rsid w:val="00D36BB8"/>
    <w:rsid w:val="00D37021"/>
    <w:rsid w:val="00D372FE"/>
    <w:rsid w:val="00D377D4"/>
    <w:rsid w:val="00D401A1"/>
    <w:rsid w:val="00D40217"/>
    <w:rsid w:val="00D40385"/>
    <w:rsid w:val="00D404CE"/>
    <w:rsid w:val="00D40E8F"/>
    <w:rsid w:val="00D412BF"/>
    <w:rsid w:val="00D417C6"/>
    <w:rsid w:val="00D417D0"/>
    <w:rsid w:val="00D42B0C"/>
    <w:rsid w:val="00D42D6E"/>
    <w:rsid w:val="00D43DEF"/>
    <w:rsid w:val="00D44259"/>
    <w:rsid w:val="00D44C6D"/>
    <w:rsid w:val="00D45C61"/>
    <w:rsid w:val="00D45DDC"/>
    <w:rsid w:val="00D47EA4"/>
    <w:rsid w:val="00D5064C"/>
    <w:rsid w:val="00D50C94"/>
    <w:rsid w:val="00D511E7"/>
    <w:rsid w:val="00D517ED"/>
    <w:rsid w:val="00D5251C"/>
    <w:rsid w:val="00D5265E"/>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1ECF"/>
    <w:rsid w:val="00D629A4"/>
    <w:rsid w:val="00D62BDF"/>
    <w:rsid w:val="00D62EEE"/>
    <w:rsid w:val="00D64F1C"/>
    <w:rsid w:val="00D6570C"/>
    <w:rsid w:val="00D659EA"/>
    <w:rsid w:val="00D65A89"/>
    <w:rsid w:val="00D65E85"/>
    <w:rsid w:val="00D6611C"/>
    <w:rsid w:val="00D671C7"/>
    <w:rsid w:val="00D675B0"/>
    <w:rsid w:val="00D675DE"/>
    <w:rsid w:val="00D678BB"/>
    <w:rsid w:val="00D67AB1"/>
    <w:rsid w:val="00D67D81"/>
    <w:rsid w:val="00D70170"/>
    <w:rsid w:val="00D702E8"/>
    <w:rsid w:val="00D70552"/>
    <w:rsid w:val="00D70D42"/>
    <w:rsid w:val="00D71285"/>
    <w:rsid w:val="00D71ABC"/>
    <w:rsid w:val="00D71D92"/>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435"/>
    <w:rsid w:val="00D774F4"/>
    <w:rsid w:val="00D77687"/>
    <w:rsid w:val="00D77AF6"/>
    <w:rsid w:val="00D804C5"/>
    <w:rsid w:val="00D80905"/>
    <w:rsid w:val="00D815E6"/>
    <w:rsid w:val="00D81A28"/>
    <w:rsid w:val="00D81BDE"/>
    <w:rsid w:val="00D8201D"/>
    <w:rsid w:val="00D82B00"/>
    <w:rsid w:val="00D82B04"/>
    <w:rsid w:val="00D82BE4"/>
    <w:rsid w:val="00D82E05"/>
    <w:rsid w:val="00D83C0D"/>
    <w:rsid w:val="00D83C80"/>
    <w:rsid w:val="00D83D24"/>
    <w:rsid w:val="00D83F5B"/>
    <w:rsid w:val="00D85FDE"/>
    <w:rsid w:val="00D8665E"/>
    <w:rsid w:val="00D869C1"/>
    <w:rsid w:val="00D86EC6"/>
    <w:rsid w:val="00D87418"/>
    <w:rsid w:val="00D87A39"/>
    <w:rsid w:val="00D87FE6"/>
    <w:rsid w:val="00D90BC3"/>
    <w:rsid w:val="00D90C93"/>
    <w:rsid w:val="00D90DB9"/>
    <w:rsid w:val="00D91001"/>
    <w:rsid w:val="00D910FF"/>
    <w:rsid w:val="00D91183"/>
    <w:rsid w:val="00D91337"/>
    <w:rsid w:val="00D915C9"/>
    <w:rsid w:val="00D918DA"/>
    <w:rsid w:val="00D9198F"/>
    <w:rsid w:val="00D91B29"/>
    <w:rsid w:val="00D91FCE"/>
    <w:rsid w:val="00D92078"/>
    <w:rsid w:val="00D926F0"/>
    <w:rsid w:val="00D92A73"/>
    <w:rsid w:val="00D92A87"/>
    <w:rsid w:val="00D9384E"/>
    <w:rsid w:val="00D93AEE"/>
    <w:rsid w:val="00D9413E"/>
    <w:rsid w:val="00D94778"/>
    <w:rsid w:val="00D94C8D"/>
    <w:rsid w:val="00D94CE6"/>
    <w:rsid w:val="00D95F88"/>
    <w:rsid w:val="00D96698"/>
    <w:rsid w:val="00D96876"/>
    <w:rsid w:val="00D96940"/>
    <w:rsid w:val="00D96B12"/>
    <w:rsid w:val="00D96F59"/>
    <w:rsid w:val="00DA0175"/>
    <w:rsid w:val="00DA06BC"/>
    <w:rsid w:val="00DA099C"/>
    <w:rsid w:val="00DA0F18"/>
    <w:rsid w:val="00DA2125"/>
    <w:rsid w:val="00DA21EC"/>
    <w:rsid w:val="00DA24DE"/>
    <w:rsid w:val="00DA270C"/>
    <w:rsid w:val="00DA281F"/>
    <w:rsid w:val="00DA3A03"/>
    <w:rsid w:val="00DA3C5B"/>
    <w:rsid w:val="00DA3D23"/>
    <w:rsid w:val="00DA4A61"/>
    <w:rsid w:val="00DA5AFE"/>
    <w:rsid w:val="00DA61AB"/>
    <w:rsid w:val="00DA61CD"/>
    <w:rsid w:val="00DA6EE2"/>
    <w:rsid w:val="00DA718A"/>
    <w:rsid w:val="00DA78CF"/>
    <w:rsid w:val="00DA78D5"/>
    <w:rsid w:val="00DA7A89"/>
    <w:rsid w:val="00DA7BF4"/>
    <w:rsid w:val="00DA7EBF"/>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10A"/>
    <w:rsid w:val="00DC32FC"/>
    <w:rsid w:val="00DC3D89"/>
    <w:rsid w:val="00DC4567"/>
    <w:rsid w:val="00DC4CDA"/>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1D6"/>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65E"/>
    <w:rsid w:val="00DD6CE2"/>
    <w:rsid w:val="00DD720D"/>
    <w:rsid w:val="00DD768B"/>
    <w:rsid w:val="00DE0229"/>
    <w:rsid w:val="00DE04E0"/>
    <w:rsid w:val="00DE12F1"/>
    <w:rsid w:val="00DE1A9D"/>
    <w:rsid w:val="00DE1CB1"/>
    <w:rsid w:val="00DE2073"/>
    <w:rsid w:val="00DE30AC"/>
    <w:rsid w:val="00DE38D1"/>
    <w:rsid w:val="00DE4106"/>
    <w:rsid w:val="00DE466B"/>
    <w:rsid w:val="00DE48F4"/>
    <w:rsid w:val="00DE5556"/>
    <w:rsid w:val="00DE5563"/>
    <w:rsid w:val="00DE5C19"/>
    <w:rsid w:val="00DE5D48"/>
    <w:rsid w:val="00DE6E4D"/>
    <w:rsid w:val="00DE7498"/>
    <w:rsid w:val="00DE75EF"/>
    <w:rsid w:val="00DE7611"/>
    <w:rsid w:val="00DE7D19"/>
    <w:rsid w:val="00DF05A0"/>
    <w:rsid w:val="00DF1162"/>
    <w:rsid w:val="00DF1BA8"/>
    <w:rsid w:val="00DF1F63"/>
    <w:rsid w:val="00DF2347"/>
    <w:rsid w:val="00DF28F2"/>
    <w:rsid w:val="00DF2BFF"/>
    <w:rsid w:val="00DF3798"/>
    <w:rsid w:val="00DF4FF1"/>
    <w:rsid w:val="00DF56A3"/>
    <w:rsid w:val="00DF5B33"/>
    <w:rsid w:val="00DF6B1A"/>
    <w:rsid w:val="00DF6FD2"/>
    <w:rsid w:val="00DF72EF"/>
    <w:rsid w:val="00DF743D"/>
    <w:rsid w:val="00DF7724"/>
    <w:rsid w:val="00E000D8"/>
    <w:rsid w:val="00E002F3"/>
    <w:rsid w:val="00E0082F"/>
    <w:rsid w:val="00E00C1E"/>
    <w:rsid w:val="00E00F5F"/>
    <w:rsid w:val="00E010E6"/>
    <w:rsid w:val="00E01377"/>
    <w:rsid w:val="00E014E7"/>
    <w:rsid w:val="00E0232F"/>
    <w:rsid w:val="00E026A9"/>
    <w:rsid w:val="00E029F9"/>
    <w:rsid w:val="00E0356F"/>
    <w:rsid w:val="00E03B42"/>
    <w:rsid w:val="00E03C10"/>
    <w:rsid w:val="00E0479F"/>
    <w:rsid w:val="00E04816"/>
    <w:rsid w:val="00E04982"/>
    <w:rsid w:val="00E04D6A"/>
    <w:rsid w:val="00E04DC3"/>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1D6"/>
    <w:rsid w:val="00E15D6C"/>
    <w:rsid w:val="00E1720B"/>
    <w:rsid w:val="00E203DE"/>
    <w:rsid w:val="00E20CE7"/>
    <w:rsid w:val="00E217B1"/>
    <w:rsid w:val="00E222FA"/>
    <w:rsid w:val="00E229CE"/>
    <w:rsid w:val="00E22B4A"/>
    <w:rsid w:val="00E232CB"/>
    <w:rsid w:val="00E2449B"/>
    <w:rsid w:val="00E24A62"/>
    <w:rsid w:val="00E24F52"/>
    <w:rsid w:val="00E255CC"/>
    <w:rsid w:val="00E25636"/>
    <w:rsid w:val="00E25755"/>
    <w:rsid w:val="00E258D8"/>
    <w:rsid w:val="00E25F90"/>
    <w:rsid w:val="00E266DD"/>
    <w:rsid w:val="00E26D2E"/>
    <w:rsid w:val="00E279B2"/>
    <w:rsid w:val="00E3036E"/>
    <w:rsid w:val="00E303C0"/>
    <w:rsid w:val="00E3055B"/>
    <w:rsid w:val="00E31188"/>
    <w:rsid w:val="00E31687"/>
    <w:rsid w:val="00E31699"/>
    <w:rsid w:val="00E31761"/>
    <w:rsid w:val="00E31812"/>
    <w:rsid w:val="00E31889"/>
    <w:rsid w:val="00E31CE7"/>
    <w:rsid w:val="00E330E8"/>
    <w:rsid w:val="00E333D5"/>
    <w:rsid w:val="00E3394F"/>
    <w:rsid w:val="00E33A0B"/>
    <w:rsid w:val="00E34A2F"/>
    <w:rsid w:val="00E35A45"/>
    <w:rsid w:val="00E35F7F"/>
    <w:rsid w:val="00E36392"/>
    <w:rsid w:val="00E36B32"/>
    <w:rsid w:val="00E37A6F"/>
    <w:rsid w:val="00E37A9C"/>
    <w:rsid w:val="00E40222"/>
    <w:rsid w:val="00E40406"/>
    <w:rsid w:val="00E40555"/>
    <w:rsid w:val="00E4082B"/>
    <w:rsid w:val="00E40835"/>
    <w:rsid w:val="00E40880"/>
    <w:rsid w:val="00E408EC"/>
    <w:rsid w:val="00E409B5"/>
    <w:rsid w:val="00E40BCB"/>
    <w:rsid w:val="00E4208F"/>
    <w:rsid w:val="00E42E1A"/>
    <w:rsid w:val="00E42E94"/>
    <w:rsid w:val="00E43006"/>
    <w:rsid w:val="00E4312A"/>
    <w:rsid w:val="00E4331B"/>
    <w:rsid w:val="00E43551"/>
    <w:rsid w:val="00E437BE"/>
    <w:rsid w:val="00E437FA"/>
    <w:rsid w:val="00E456E2"/>
    <w:rsid w:val="00E45A2C"/>
    <w:rsid w:val="00E46A6B"/>
    <w:rsid w:val="00E46A9C"/>
    <w:rsid w:val="00E47DB1"/>
    <w:rsid w:val="00E50BDD"/>
    <w:rsid w:val="00E510CF"/>
    <w:rsid w:val="00E513D7"/>
    <w:rsid w:val="00E519FE"/>
    <w:rsid w:val="00E5206C"/>
    <w:rsid w:val="00E52AAB"/>
    <w:rsid w:val="00E5318D"/>
    <w:rsid w:val="00E53CBA"/>
    <w:rsid w:val="00E5448E"/>
    <w:rsid w:val="00E54E0D"/>
    <w:rsid w:val="00E55247"/>
    <w:rsid w:val="00E558E5"/>
    <w:rsid w:val="00E55B3C"/>
    <w:rsid w:val="00E56795"/>
    <w:rsid w:val="00E5699C"/>
    <w:rsid w:val="00E57219"/>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2D02"/>
    <w:rsid w:val="00E738FA"/>
    <w:rsid w:val="00E739B6"/>
    <w:rsid w:val="00E74A2B"/>
    <w:rsid w:val="00E75667"/>
    <w:rsid w:val="00E756D3"/>
    <w:rsid w:val="00E75A5A"/>
    <w:rsid w:val="00E76004"/>
    <w:rsid w:val="00E7608F"/>
    <w:rsid w:val="00E760D7"/>
    <w:rsid w:val="00E769CC"/>
    <w:rsid w:val="00E77124"/>
    <w:rsid w:val="00E77341"/>
    <w:rsid w:val="00E77540"/>
    <w:rsid w:val="00E7783E"/>
    <w:rsid w:val="00E778B8"/>
    <w:rsid w:val="00E801C7"/>
    <w:rsid w:val="00E80AF8"/>
    <w:rsid w:val="00E80BED"/>
    <w:rsid w:val="00E816E8"/>
    <w:rsid w:val="00E82592"/>
    <w:rsid w:val="00E825ED"/>
    <w:rsid w:val="00E827BB"/>
    <w:rsid w:val="00E82D24"/>
    <w:rsid w:val="00E8357D"/>
    <w:rsid w:val="00E83C4F"/>
    <w:rsid w:val="00E84212"/>
    <w:rsid w:val="00E842F8"/>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3BD"/>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8CD"/>
    <w:rsid w:val="00EB3939"/>
    <w:rsid w:val="00EB3CE6"/>
    <w:rsid w:val="00EB3E92"/>
    <w:rsid w:val="00EB4F60"/>
    <w:rsid w:val="00EB54AB"/>
    <w:rsid w:val="00EB6257"/>
    <w:rsid w:val="00EB68E6"/>
    <w:rsid w:val="00EB6AE9"/>
    <w:rsid w:val="00EB6B2D"/>
    <w:rsid w:val="00EB71C9"/>
    <w:rsid w:val="00EB763E"/>
    <w:rsid w:val="00EB7B67"/>
    <w:rsid w:val="00EC07F1"/>
    <w:rsid w:val="00EC1E8A"/>
    <w:rsid w:val="00EC328C"/>
    <w:rsid w:val="00EC32F5"/>
    <w:rsid w:val="00EC377B"/>
    <w:rsid w:val="00EC3852"/>
    <w:rsid w:val="00EC4397"/>
    <w:rsid w:val="00EC4528"/>
    <w:rsid w:val="00EC5233"/>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7AC"/>
    <w:rsid w:val="00EE13DA"/>
    <w:rsid w:val="00EE1595"/>
    <w:rsid w:val="00EE1E71"/>
    <w:rsid w:val="00EE1FB0"/>
    <w:rsid w:val="00EE2087"/>
    <w:rsid w:val="00EE20C2"/>
    <w:rsid w:val="00EE2A9D"/>
    <w:rsid w:val="00EE3384"/>
    <w:rsid w:val="00EE464E"/>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8C"/>
    <w:rsid w:val="00EF5234"/>
    <w:rsid w:val="00EF55E9"/>
    <w:rsid w:val="00EF5B41"/>
    <w:rsid w:val="00EF611C"/>
    <w:rsid w:val="00EF625F"/>
    <w:rsid w:val="00EF62C0"/>
    <w:rsid w:val="00EF6D5A"/>
    <w:rsid w:val="00EF71E6"/>
    <w:rsid w:val="00F0057C"/>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181"/>
    <w:rsid w:val="00F06340"/>
    <w:rsid w:val="00F0665D"/>
    <w:rsid w:val="00F06D42"/>
    <w:rsid w:val="00F07134"/>
    <w:rsid w:val="00F0724D"/>
    <w:rsid w:val="00F0725C"/>
    <w:rsid w:val="00F07378"/>
    <w:rsid w:val="00F10B81"/>
    <w:rsid w:val="00F10BC9"/>
    <w:rsid w:val="00F113C9"/>
    <w:rsid w:val="00F11C01"/>
    <w:rsid w:val="00F11D80"/>
    <w:rsid w:val="00F13447"/>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119"/>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DCE"/>
    <w:rsid w:val="00F27E44"/>
    <w:rsid w:val="00F30313"/>
    <w:rsid w:val="00F303BC"/>
    <w:rsid w:val="00F30472"/>
    <w:rsid w:val="00F307DB"/>
    <w:rsid w:val="00F31052"/>
    <w:rsid w:val="00F318A1"/>
    <w:rsid w:val="00F31CF5"/>
    <w:rsid w:val="00F3265C"/>
    <w:rsid w:val="00F32C4A"/>
    <w:rsid w:val="00F33262"/>
    <w:rsid w:val="00F343EE"/>
    <w:rsid w:val="00F34F6C"/>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676"/>
    <w:rsid w:val="00F52CB7"/>
    <w:rsid w:val="00F53A44"/>
    <w:rsid w:val="00F54E5E"/>
    <w:rsid w:val="00F551DB"/>
    <w:rsid w:val="00F55810"/>
    <w:rsid w:val="00F559BE"/>
    <w:rsid w:val="00F56F7E"/>
    <w:rsid w:val="00F56FEF"/>
    <w:rsid w:val="00F57521"/>
    <w:rsid w:val="00F60938"/>
    <w:rsid w:val="00F60C7E"/>
    <w:rsid w:val="00F60E0A"/>
    <w:rsid w:val="00F61606"/>
    <w:rsid w:val="00F6179A"/>
    <w:rsid w:val="00F61918"/>
    <w:rsid w:val="00F62151"/>
    <w:rsid w:val="00F62517"/>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430D"/>
    <w:rsid w:val="00F85047"/>
    <w:rsid w:val="00F85329"/>
    <w:rsid w:val="00F85683"/>
    <w:rsid w:val="00F85743"/>
    <w:rsid w:val="00F85841"/>
    <w:rsid w:val="00F85B4F"/>
    <w:rsid w:val="00F86079"/>
    <w:rsid w:val="00F8610A"/>
    <w:rsid w:val="00F87282"/>
    <w:rsid w:val="00F878CD"/>
    <w:rsid w:val="00F87905"/>
    <w:rsid w:val="00F87A66"/>
    <w:rsid w:val="00F90C1F"/>
    <w:rsid w:val="00F912D9"/>
    <w:rsid w:val="00F91A44"/>
    <w:rsid w:val="00F91BFA"/>
    <w:rsid w:val="00F91F8F"/>
    <w:rsid w:val="00F9217B"/>
    <w:rsid w:val="00F93DDD"/>
    <w:rsid w:val="00F95ED0"/>
    <w:rsid w:val="00F97125"/>
    <w:rsid w:val="00F97A34"/>
    <w:rsid w:val="00F97E4A"/>
    <w:rsid w:val="00F97EA1"/>
    <w:rsid w:val="00FA003A"/>
    <w:rsid w:val="00FA05C8"/>
    <w:rsid w:val="00FA0678"/>
    <w:rsid w:val="00FA0DB6"/>
    <w:rsid w:val="00FA23F7"/>
    <w:rsid w:val="00FA26F2"/>
    <w:rsid w:val="00FA27EB"/>
    <w:rsid w:val="00FA35B6"/>
    <w:rsid w:val="00FA3EBC"/>
    <w:rsid w:val="00FA423C"/>
    <w:rsid w:val="00FA44D0"/>
    <w:rsid w:val="00FA4590"/>
    <w:rsid w:val="00FA55A2"/>
    <w:rsid w:val="00FA58AC"/>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C7CF2"/>
    <w:rsid w:val="00FD10B3"/>
    <w:rsid w:val="00FD11C3"/>
    <w:rsid w:val="00FD154E"/>
    <w:rsid w:val="00FD24D7"/>
    <w:rsid w:val="00FD29CE"/>
    <w:rsid w:val="00FD3AE2"/>
    <w:rsid w:val="00FD3D12"/>
    <w:rsid w:val="00FD3E41"/>
    <w:rsid w:val="00FD3EFA"/>
    <w:rsid w:val="00FD488B"/>
    <w:rsid w:val="00FD4C06"/>
    <w:rsid w:val="00FD54A8"/>
    <w:rsid w:val="00FD56F1"/>
    <w:rsid w:val="00FD5AE4"/>
    <w:rsid w:val="00FD5F25"/>
    <w:rsid w:val="00FD60BE"/>
    <w:rsid w:val="00FD6894"/>
    <w:rsid w:val="00FD6AF0"/>
    <w:rsid w:val="00FD704D"/>
    <w:rsid w:val="00FD74EF"/>
    <w:rsid w:val="00FD79B8"/>
    <w:rsid w:val="00FD79F6"/>
    <w:rsid w:val="00FE033F"/>
    <w:rsid w:val="00FE07A8"/>
    <w:rsid w:val="00FE0AA3"/>
    <w:rsid w:val="00FE0AD1"/>
    <w:rsid w:val="00FE0CC0"/>
    <w:rsid w:val="00FE1852"/>
    <w:rsid w:val="00FE1963"/>
    <w:rsid w:val="00FE1981"/>
    <w:rsid w:val="00FE1BF1"/>
    <w:rsid w:val="00FE2055"/>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D585D"/>
    <w:rsid w:val="019D2DEB"/>
    <w:rsid w:val="019F7441"/>
    <w:rsid w:val="01B37585"/>
    <w:rsid w:val="01CA13BF"/>
    <w:rsid w:val="01D55165"/>
    <w:rsid w:val="01DF6BF8"/>
    <w:rsid w:val="01EC2C57"/>
    <w:rsid w:val="024C0DD3"/>
    <w:rsid w:val="024D4E7E"/>
    <w:rsid w:val="026B2E25"/>
    <w:rsid w:val="02775E4F"/>
    <w:rsid w:val="02777BFD"/>
    <w:rsid w:val="02824D4D"/>
    <w:rsid w:val="02946AEF"/>
    <w:rsid w:val="02B97AB2"/>
    <w:rsid w:val="02DC4B10"/>
    <w:rsid w:val="02DD76CE"/>
    <w:rsid w:val="02F36323"/>
    <w:rsid w:val="02F5619C"/>
    <w:rsid w:val="0326446A"/>
    <w:rsid w:val="032D5555"/>
    <w:rsid w:val="03430A87"/>
    <w:rsid w:val="036634D2"/>
    <w:rsid w:val="03667C72"/>
    <w:rsid w:val="036E63DC"/>
    <w:rsid w:val="0374413D"/>
    <w:rsid w:val="039E11BA"/>
    <w:rsid w:val="03B10EED"/>
    <w:rsid w:val="03CF6675"/>
    <w:rsid w:val="03DD35E4"/>
    <w:rsid w:val="04076900"/>
    <w:rsid w:val="04096F7B"/>
    <w:rsid w:val="041A5A3B"/>
    <w:rsid w:val="042311BA"/>
    <w:rsid w:val="042403D7"/>
    <w:rsid w:val="042B157A"/>
    <w:rsid w:val="042C3989"/>
    <w:rsid w:val="044D3AE9"/>
    <w:rsid w:val="048F763B"/>
    <w:rsid w:val="049F330E"/>
    <w:rsid w:val="04AA775C"/>
    <w:rsid w:val="04AF1889"/>
    <w:rsid w:val="04BD2463"/>
    <w:rsid w:val="04F66F48"/>
    <w:rsid w:val="05033803"/>
    <w:rsid w:val="05084FE5"/>
    <w:rsid w:val="0521034B"/>
    <w:rsid w:val="05251E14"/>
    <w:rsid w:val="057E20C9"/>
    <w:rsid w:val="058E2628"/>
    <w:rsid w:val="05A16594"/>
    <w:rsid w:val="05A7762D"/>
    <w:rsid w:val="05E541D3"/>
    <w:rsid w:val="060E5941"/>
    <w:rsid w:val="060F3ACC"/>
    <w:rsid w:val="06110FAF"/>
    <w:rsid w:val="06147E59"/>
    <w:rsid w:val="06493CA7"/>
    <w:rsid w:val="065A6178"/>
    <w:rsid w:val="065D394B"/>
    <w:rsid w:val="066F1CF3"/>
    <w:rsid w:val="068A59BD"/>
    <w:rsid w:val="068C5C42"/>
    <w:rsid w:val="06930BB8"/>
    <w:rsid w:val="06D573E9"/>
    <w:rsid w:val="07147821"/>
    <w:rsid w:val="07245D42"/>
    <w:rsid w:val="07264C62"/>
    <w:rsid w:val="074043CB"/>
    <w:rsid w:val="07733110"/>
    <w:rsid w:val="0779354C"/>
    <w:rsid w:val="08061376"/>
    <w:rsid w:val="08161C67"/>
    <w:rsid w:val="0822060B"/>
    <w:rsid w:val="08452D77"/>
    <w:rsid w:val="084D7F74"/>
    <w:rsid w:val="086401F8"/>
    <w:rsid w:val="08677569"/>
    <w:rsid w:val="08751CAA"/>
    <w:rsid w:val="087E4C40"/>
    <w:rsid w:val="0895702F"/>
    <w:rsid w:val="08C01BD2"/>
    <w:rsid w:val="08D66AD6"/>
    <w:rsid w:val="08DA33A3"/>
    <w:rsid w:val="08E80F13"/>
    <w:rsid w:val="08F57ACE"/>
    <w:rsid w:val="092D739F"/>
    <w:rsid w:val="09302681"/>
    <w:rsid w:val="09335624"/>
    <w:rsid w:val="0944690F"/>
    <w:rsid w:val="09535675"/>
    <w:rsid w:val="095F057D"/>
    <w:rsid w:val="09642282"/>
    <w:rsid w:val="09733572"/>
    <w:rsid w:val="09772C16"/>
    <w:rsid w:val="098353B5"/>
    <w:rsid w:val="09894700"/>
    <w:rsid w:val="09A247E7"/>
    <w:rsid w:val="09A92330"/>
    <w:rsid w:val="09B06B87"/>
    <w:rsid w:val="09C13146"/>
    <w:rsid w:val="09CC00E5"/>
    <w:rsid w:val="09D60BF4"/>
    <w:rsid w:val="09DB0962"/>
    <w:rsid w:val="09E04166"/>
    <w:rsid w:val="0A1C0718"/>
    <w:rsid w:val="0A3E7710"/>
    <w:rsid w:val="0A4240F4"/>
    <w:rsid w:val="0A5B7E63"/>
    <w:rsid w:val="0AA374A5"/>
    <w:rsid w:val="0AAB7649"/>
    <w:rsid w:val="0AAF1EFF"/>
    <w:rsid w:val="0ABC5606"/>
    <w:rsid w:val="0AC10340"/>
    <w:rsid w:val="0AC4542D"/>
    <w:rsid w:val="0AC7549A"/>
    <w:rsid w:val="0AF50259"/>
    <w:rsid w:val="0B1C57E6"/>
    <w:rsid w:val="0B30404E"/>
    <w:rsid w:val="0B4C6C14"/>
    <w:rsid w:val="0B631A88"/>
    <w:rsid w:val="0B683D45"/>
    <w:rsid w:val="0B763970"/>
    <w:rsid w:val="0B7F3F11"/>
    <w:rsid w:val="0B884417"/>
    <w:rsid w:val="0B957346"/>
    <w:rsid w:val="0BA87A3B"/>
    <w:rsid w:val="0BC8771C"/>
    <w:rsid w:val="0BF6188C"/>
    <w:rsid w:val="0BF73C91"/>
    <w:rsid w:val="0C170175"/>
    <w:rsid w:val="0C571A41"/>
    <w:rsid w:val="0C5C1171"/>
    <w:rsid w:val="0C5E1CBC"/>
    <w:rsid w:val="0C615B50"/>
    <w:rsid w:val="0C8445DA"/>
    <w:rsid w:val="0C87121B"/>
    <w:rsid w:val="0CC007F7"/>
    <w:rsid w:val="0CE40585"/>
    <w:rsid w:val="0CFE707A"/>
    <w:rsid w:val="0D063BDA"/>
    <w:rsid w:val="0D08375F"/>
    <w:rsid w:val="0D184CFB"/>
    <w:rsid w:val="0D2F2DF1"/>
    <w:rsid w:val="0D305579"/>
    <w:rsid w:val="0D4A7419"/>
    <w:rsid w:val="0D827401"/>
    <w:rsid w:val="0D84094E"/>
    <w:rsid w:val="0D8A00E9"/>
    <w:rsid w:val="0D8D589E"/>
    <w:rsid w:val="0DA01C73"/>
    <w:rsid w:val="0DA9489E"/>
    <w:rsid w:val="0DAD4E1B"/>
    <w:rsid w:val="0DD63300"/>
    <w:rsid w:val="0DF50604"/>
    <w:rsid w:val="0DF702FE"/>
    <w:rsid w:val="0E060E51"/>
    <w:rsid w:val="0E1C243B"/>
    <w:rsid w:val="0E465D21"/>
    <w:rsid w:val="0E5604B2"/>
    <w:rsid w:val="0E601E8E"/>
    <w:rsid w:val="0E6D5D79"/>
    <w:rsid w:val="0E820056"/>
    <w:rsid w:val="0E8D3F4F"/>
    <w:rsid w:val="0E9D0089"/>
    <w:rsid w:val="0EAF24CD"/>
    <w:rsid w:val="0EB803EE"/>
    <w:rsid w:val="0EE3661B"/>
    <w:rsid w:val="0EF94D4B"/>
    <w:rsid w:val="0F03600E"/>
    <w:rsid w:val="0F462A38"/>
    <w:rsid w:val="0F4958DC"/>
    <w:rsid w:val="0F515DF7"/>
    <w:rsid w:val="0F596BA8"/>
    <w:rsid w:val="0F6248D2"/>
    <w:rsid w:val="0F693536"/>
    <w:rsid w:val="0F7B0511"/>
    <w:rsid w:val="0F7B76D9"/>
    <w:rsid w:val="0F816ACD"/>
    <w:rsid w:val="0F9832DB"/>
    <w:rsid w:val="0FBF3FD2"/>
    <w:rsid w:val="0FBF7FF3"/>
    <w:rsid w:val="0FD4263C"/>
    <w:rsid w:val="0FDD588B"/>
    <w:rsid w:val="100D20F3"/>
    <w:rsid w:val="10592370"/>
    <w:rsid w:val="10646583"/>
    <w:rsid w:val="107D4B15"/>
    <w:rsid w:val="108A3C80"/>
    <w:rsid w:val="10B13BFD"/>
    <w:rsid w:val="10C26171"/>
    <w:rsid w:val="10F33360"/>
    <w:rsid w:val="10FC16EA"/>
    <w:rsid w:val="10FD2FBB"/>
    <w:rsid w:val="1109408F"/>
    <w:rsid w:val="110F1D40"/>
    <w:rsid w:val="11266F33"/>
    <w:rsid w:val="118963A1"/>
    <w:rsid w:val="11BD0491"/>
    <w:rsid w:val="11C46854"/>
    <w:rsid w:val="11C6522A"/>
    <w:rsid w:val="11E104CC"/>
    <w:rsid w:val="11E20309"/>
    <w:rsid w:val="11E701D0"/>
    <w:rsid w:val="1212349F"/>
    <w:rsid w:val="12255233"/>
    <w:rsid w:val="12530213"/>
    <w:rsid w:val="125E68B5"/>
    <w:rsid w:val="127723A9"/>
    <w:rsid w:val="12862074"/>
    <w:rsid w:val="12883966"/>
    <w:rsid w:val="12890055"/>
    <w:rsid w:val="129E45B4"/>
    <w:rsid w:val="12B207DE"/>
    <w:rsid w:val="12BC302A"/>
    <w:rsid w:val="12D81596"/>
    <w:rsid w:val="12EB3CF0"/>
    <w:rsid w:val="13072A44"/>
    <w:rsid w:val="135F4BE2"/>
    <w:rsid w:val="13693592"/>
    <w:rsid w:val="139B1A0A"/>
    <w:rsid w:val="139D25C7"/>
    <w:rsid w:val="13BF3CE4"/>
    <w:rsid w:val="13D64027"/>
    <w:rsid w:val="140E11B4"/>
    <w:rsid w:val="141008D8"/>
    <w:rsid w:val="14125FE6"/>
    <w:rsid w:val="142F71C0"/>
    <w:rsid w:val="146D271E"/>
    <w:rsid w:val="14901C9F"/>
    <w:rsid w:val="14982588"/>
    <w:rsid w:val="149A5AD9"/>
    <w:rsid w:val="14A7619D"/>
    <w:rsid w:val="14ED3D4F"/>
    <w:rsid w:val="150536C3"/>
    <w:rsid w:val="150C1963"/>
    <w:rsid w:val="151447A0"/>
    <w:rsid w:val="153A7D3D"/>
    <w:rsid w:val="154A6454"/>
    <w:rsid w:val="156051E8"/>
    <w:rsid w:val="15762120"/>
    <w:rsid w:val="157768A0"/>
    <w:rsid w:val="15A62D19"/>
    <w:rsid w:val="15B56598"/>
    <w:rsid w:val="16133C89"/>
    <w:rsid w:val="161672D6"/>
    <w:rsid w:val="1648699F"/>
    <w:rsid w:val="16534086"/>
    <w:rsid w:val="16A20B69"/>
    <w:rsid w:val="16A8729C"/>
    <w:rsid w:val="16B33777"/>
    <w:rsid w:val="16BC70A7"/>
    <w:rsid w:val="16C6339E"/>
    <w:rsid w:val="16CB6312"/>
    <w:rsid w:val="16E92E10"/>
    <w:rsid w:val="172D0D7B"/>
    <w:rsid w:val="172F2D79"/>
    <w:rsid w:val="174170AE"/>
    <w:rsid w:val="17481711"/>
    <w:rsid w:val="17557BEF"/>
    <w:rsid w:val="17914563"/>
    <w:rsid w:val="17D349C1"/>
    <w:rsid w:val="17D37137"/>
    <w:rsid w:val="17DC5D75"/>
    <w:rsid w:val="17FA27F7"/>
    <w:rsid w:val="1827044F"/>
    <w:rsid w:val="1830729E"/>
    <w:rsid w:val="1870062C"/>
    <w:rsid w:val="18817102"/>
    <w:rsid w:val="18830A15"/>
    <w:rsid w:val="18852B28"/>
    <w:rsid w:val="188A1EA5"/>
    <w:rsid w:val="188B5321"/>
    <w:rsid w:val="18B03A11"/>
    <w:rsid w:val="18E16464"/>
    <w:rsid w:val="18E611E1"/>
    <w:rsid w:val="191E6BCD"/>
    <w:rsid w:val="1965563C"/>
    <w:rsid w:val="19674377"/>
    <w:rsid w:val="19932372"/>
    <w:rsid w:val="19A20DD5"/>
    <w:rsid w:val="19A47FAA"/>
    <w:rsid w:val="19AE03F1"/>
    <w:rsid w:val="19DB686C"/>
    <w:rsid w:val="1A071A03"/>
    <w:rsid w:val="1A1F16AE"/>
    <w:rsid w:val="1A204BC7"/>
    <w:rsid w:val="1A3B5C77"/>
    <w:rsid w:val="1A66691F"/>
    <w:rsid w:val="1A8E78C8"/>
    <w:rsid w:val="1A984BAD"/>
    <w:rsid w:val="1AAE4AE6"/>
    <w:rsid w:val="1AB8220E"/>
    <w:rsid w:val="1AC11F06"/>
    <w:rsid w:val="1AE4166C"/>
    <w:rsid w:val="1AE721EF"/>
    <w:rsid w:val="1AF06CFB"/>
    <w:rsid w:val="1AF11B8D"/>
    <w:rsid w:val="1B11359C"/>
    <w:rsid w:val="1B245FF1"/>
    <w:rsid w:val="1B2A271F"/>
    <w:rsid w:val="1B345D42"/>
    <w:rsid w:val="1B45447D"/>
    <w:rsid w:val="1B4D3BD8"/>
    <w:rsid w:val="1B530544"/>
    <w:rsid w:val="1B630DAB"/>
    <w:rsid w:val="1B713184"/>
    <w:rsid w:val="1B732ED7"/>
    <w:rsid w:val="1B79701D"/>
    <w:rsid w:val="1BA209CF"/>
    <w:rsid w:val="1BB4777D"/>
    <w:rsid w:val="1BD75AB8"/>
    <w:rsid w:val="1BE16C86"/>
    <w:rsid w:val="1BED2887"/>
    <w:rsid w:val="1C0459C2"/>
    <w:rsid w:val="1C170489"/>
    <w:rsid w:val="1C1B3B4A"/>
    <w:rsid w:val="1C6A3ED7"/>
    <w:rsid w:val="1C7A5C28"/>
    <w:rsid w:val="1C7F545B"/>
    <w:rsid w:val="1C8651B5"/>
    <w:rsid w:val="1C88086E"/>
    <w:rsid w:val="1CCF471B"/>
    <w:rsid w:val="1CFD2F9D"/>
    <w:rsid w:val="1D232A04"/>
    <w:rsid w:val="1D266CE1"/>
    <w:rsid w:val="1D3963AF"/>
    <w:rsid w:val="1D6A673C"/>
    <w:rsid w:val="1D9247AE"/>
    <w:rsid w:val="1D95178A"/>
    <w:rsid w:val="1D97167B"/>
    <w:rsid w:val="1D994A74"/>
    <w:rsid w:val="1DB567EC"/>
    <w:rsid w:val="1DD925F6"/>
    <w:rsid w:val="1DEB4F9C"/>
    <w:rsid w:val="1DF51A98"/>
    <w:rsid w:val="1E2A40E0"/>
    <w:rsid w:val="1E3073D1"/>
    <w:rsid w:val="1E3D060F"/>
    <w:rsid w:val="1E3F7D2E"/>
    <w:rsid w:val="1E4134E4"/>
    <w:rsid w:val="1E5062B3"/>
    <w:rsid w:val="1E523514"/>
    <w:rsid w:val="1E714A66"/>
    <w:rsid w:val="1E802593"/>
    <w:rsid w:val="1EA35AC9"/>
    <w:rsid w:val="1EA55954"/>
    <w:rsid w:val="1EA703CC"/>
    <w:rsid w:val="1EB7330C"/>
    <w:rsid w:val="1EC024D4"/>
    <w:rsid w:val="1ED85A70"/>
    <w:rsid w:val="1F0A0FF3"/>
    <w:rsid w:val="1F2674FE"/>
    <w:rsid w:val="1F5771FF"/>
    <w:rsid w:val="1F62533A"/>
    <w:rsid w:val="1FE868A9"/>
    <w:rsid w:val="20034907"/>
    <w:rsid w:val="20173E4B"/>
    <w:rsid w:val="204E48BC"/>
    <w:rsid w:val="206F41B2"/>
    <w:rsid w:val="207B4F9A"/>
    <w:rsid w:val="20825C88"/>
    <w:rsid w:val="208921B3"/>
    <w:rsid w:val="20973DEB"/>
    <w:rsid w:val="20B26522"/>
    <w:rsid w:val="20B44310"/>
    <w:rsid w:val="20BD6CCC"/>
    <w:rsid w:val="20CA3197"/>
    <w:rsid w:val="20E701EC"/>
    <w:rsid w:val="211116EB"/>
    <w:rsid w:val="216133FC"/>
    <w:rsid w:val="216C637C"/>
    <w:rsid w:val="21AD48BF"/>
    <w:rsid w:val="21D56769"/>
    <w:rsid w:val="21E52EF3"/>
    <w:rsid w:val="21F26E49"/>
    <w:rsid w:val="21F54CCF"/>
    <w:rsid w:val="21FB5D7B"/>
    <w:rsid w:val="220B1C3D"/>
    <w:rsid w:val="221D1D20"/>
    <w:rsid w:val="2221328A"/>
    <w:rsid w:val="22334796"/>
    <w:rsid w:val="22334A87"/>
    <w:rsid w:val="223B259E"/>
    <w:rsid w:val="224F5F4C"/>
    <w:rsid w:val="22515580"/>
    <w:rsid w:val="22A243CB"/>
    <w:rsid w:val="22BE6801"/>
    <w:rsid w:val="22EA3302"/>
    <w:rsid w:val="22ED05B2"/>
    <w:rsid w:val="22F73C42"/>
    <w:rsid w:val="23105E48"/>
    <w:rsid w:val="231436FB"/>
    <w:rsid w:val="23170787"/>
    <w:rsid w:val="233500BF"/>
    <w:rsid w:val="23377FF7"/>
    <w:rsid w:val="234D018A"/>
    <w:rsid w:val="23645B24"/>
    <w:rsid w:val="236B425F"/>
    <w:rsid w:val="23782EB8"/>
    <w:rsid w:val="23836192"/>
    <w:rsid w:val="23901F29"/>
    <w:rsid w:val="239C0061"/>
    <w:rsid w:val="23B908A4"/>
    <w:rsid w:val="23C977F5"/>
    <w:rsid w:val="23DE7685"/>
    <w:rsid w:val="23E95BEF"/>
    <w:rsid w:val="23EB7FF4"/>
    <w:rsid w:val="23FA60C2"/>
    <w:rsid w:val="23FD0064"/>
    <w:rsid w:val="245375B0"/>
    <w:rsid w:val="24642C0A"/>
    <w:rsid w:val="2487688A"/>
    <w:rsid w:val="248C6F23"/>
    <w:rsid w:val="24B22173"/>
    <w:rsid w:val="24B3501C"/>
    <w:rsid w:val="24B95AD9"/>
    <w:rsid w:val="24BE24DA"/>
    <w:rsid w:val="24CF5825"/>
    <w:rsid w:val="24D663E6"/>
    <w:rsid w:val="24D77F2B"/>
    <w:rsid w:val="24F84776"/>
    <w:rsid w:val="251D242F"/>
    <w:rsid w:val="251E1FFF"/>
    <w:rsid w:val="252512E3"/>
    <w:rsid w:val="25382DC5"/>
    <w:rsid w:val="258B00E2"/>
    <w:rsid w:val="25A917A6"/>
    <w:rsid w:val="25BE27CC"/>
    <w:rsid w:val="25E116AE"/>
    <w:rsid w:val="25F74A5C"/>
    <w:rsid w:val="2628662C"/>
    <w:rsid w:val="262D45DE"/>
    <w:rsid w:val="26383433"/>
    <w:rsid w:val="267B61AB"/>
    <w:rsid w:val="26867B60"/>
    <w:rsid w:val="26A526DC"/>
    <w:rsid w:val="26A53EF9"/>
    <w:rsid w:val="26A94201"/>
    <w:rsid w:val="26AC274F"/>
    <w:rsid w:val="26B3099D"/>
    <w:rsid w:val="27044A29"/>
    <w:rsid w:val="27096745"/>
    <w:rsid w:val="271D34C8"/>
    <w:rsid w:val="273429AD"/>
    <w:rsid w:val="274D5177"/>
    <w:rsid w:val="275859A0"/>
    <w:rsid w:val="276142BF"/>
    <w:rsid w:val="27783712"/>
    <w:rsid w:val="27907362"/>
    <w:rsid w:val="279C3009"/>
    <w:rsid w:val="27BF014F"/>
    <w:rsid w:val="27E6523A"/>
    <w:rsid w:val="27FC632B"/>
    <w:rsid w:val="280B47C0"/>
    <w:rsid w:val="2817646A"/>
    <w:rsid w:val="28333E1D"/>
    <w:rsid w:val="28373807"/>
    <w:rsid w:val="28454BD6"/>
    <w:rsid w:val="28455253"/>
    <w:rsid w:val="28551971"/>
    <w:rsid w:val="285B1C53"/>
    <w:rsid w:val="287D3B77"/>
    <w:rsid w:val="289F7086"/>
    <w:rsid w:val="28AF46FE"/>
    <w:rsid w:val="28C32028"/>
    <w:rsid w:val="28C7479F"/>
    <w:rsid w:val="28CC490F"/>
    <w:rsid w:val="28DE40AA"/>
    <w:rsid w:val="29134581"/>
    <w:rsid w:val="29313F58"/>
    <w:rsid w:val="29345E77"/>
    <w:rsid w:val="294C65AD"/>
    <w:rsid w:val="29542CFA"/>
    <w:rsid w:val="295F4405"/>
    <w:rsid w:val="295F68EE"/>
    <w:rsid w:val="29806583"/>
    <w:rsid w:val="298B3C4C"/>
    <w:rsid w:val="29944CA1"/>
    <w:rsid w:val="29B82726"/>
    <w:rsid w:val="29F15C38"/>
    <w:rsid w:val="29F26D24"/>
    <w:rsid w:val="29F82B12"/>
    <w:rsid w:val="2A010C35"/>
    <w:rsid w:val="2A15033F"/>
    <w:rsid w:val="2A1662C1"/>
    <w:rsid w:val="2A1C7367"/>
    <w:rsid w:val="2A2815FA"/>
    <w:rsid w:val="2A622692"/>
    <w:rsid w:val="2A6D6092"/>
    <w:rsid w:val="2A7D76B4"/>
    <w:rsid w:val="2A8D1F07"/>
    <w:rsid w:val="2AAD3CB8"/>
    <w:rsid w:val="2ABC56B1"/>
    <w:rsid w:val="2ADC0696"/>
    <w:rsid w:val="2AF31D1B"/>
    <w:rsid w:val="2B2977AB"/>
    <w:rsid w:val="2B437463"/>
    <w:rsid w:val="2B457FE9"/>
    <w:rsid w:val="2B7807EE"/>
    <w:rsid w:val="2BBE1B4A"/>
    <w:rsid w:val="2BBF00EC"/>
    <w:rsid w:val="2BC37CFD"/>
    <w:rsid w:val="2BD5237F"/>
    <w:rsid w:val="2BD627C8"/>
    <w:rsid w:val="2BE536CE"/>
    <w:rsid w:val="2BE758D9"/>
    <w:rsid w:val="2BFB0EE5"/>
    <w:rsid w:val="2C09049E"/>
    <w:rsid w:val="2C0A653C"/>
    <w:rsid w:val="2C176941"/>
    <w:rsid w:val="2C191F85"/>
    <w:rsid w:val="2C3D7F30"/>
    <w:rsid w:val="2C40598D"/>
    <w:rsid w:val="2C7A3CC3"/>
    <w:rsid w:val="2C841377"/>
    <w:rsid w:val="2C9F7BCD"/>
    <w:rsid w:val="2CE82D6F"/>
    <w:rsid w:val="2D1B5F12"/>
    <w:rsid w:val="2D343236"/>
    <w:rsid w:val="2D3E1194"/>
    <w:rsid w:val="2DA34BA2"/>
    <w:rsid w:val="2DA3549B"/>
    <w:rsid w:val="2DA74F8B"/>
    <w:rsid w:val="2DC03B59"/>
    <w:rsid w:val="2DD15014"/>
    <w:rsid w:val="2DF53F49"/>
    <w:rsid w:val="2DF72DE4"/>
    <w:rsid w:val="2E0220AF"/>
    <w:rsid w:val="2E0777D8"/>
    <w:rsid w:val="2E4B082A"/>
    <w:rsid w:val="2E586286"/>
    <w:rsid w:val="2E5D4E86"/>
    <w:rsid w:val="2E5D790B"/>
    <w:rsid w:val="2E71544D"/>
    <w:rsid w:val="2E9A3C18"/>
    <w:rsid w:val="2EBB0FEE"/>
    <w:rsid w:val="2EC63002"/>
    <w:rsid w:val="2F0A6B38"/>
    <w:rsid w:val="2F3C7955"/>
    <w:rsid w:val="2F671CE5"/>
    <w:rsid w:val="2F7470EF"/>
    <w:rsid w:val="2F946CCB"/>
    <w:rsid w:val="2F996B56"/>
    <w:rsid w:val="2F9B28CE"/>
    <w:rsid w:val="2FC75471"/>
    <w:rsid w:val="2FD25781"/>
    <w:rsid w:val="2FDE5E55"/>
    <w:rsid w:val="2FE63DAE"/>
    <w:rsid w:val="2FFD7934"/>
    <w:rsid w:val="2FFF6BD2"/>
    <w:rsid w:val="30546081"/>
    <w:rsid w:val="30733ACD"/>
    <w:rsid w:val="30754DF6"/>
    <w:rsid w:val="307750E9"/>
    <w:rsid w:val="308C3862"/>
    <w:rsid w:val="309379D8"/>
    <w:rsid w:val="30A270F7"/>
    <w:rsid w:val="30C20B46"/>
    <w:rsid w:val="30C55B0E"/>
    <w:rsid w:val="30C714A1"/>
    <w:rsid w:val="30DF1478"/>
    <w:rsid w:val="30EC586F"/>
    <w:rsid w:val="311F308B"/>
    <w:rsid w:val="31666F0B"/>
    <w:rsid w:val="319C6071"/>
    <w:rsid w:val="319F5F79"/>
    <w:rsid w:val="31AC537E"/>
    <w:rsid w:val="31C612EC"/>
    <w:rsid w:val="31E3679B"/>
    <w:rsid w:val="31E732FD"/>
    <w:rsid w:val="31F92D57"/>
    <w:rsid w:val="32517576"/>
    <w:rsid w:val="32582CF8"/>
    <w:rsid w:val="32592CCA"/>
    <w:rsid w:val="3268696E"/>
    <w:rsid w:val="326E42CA"/>
    <w:rsid w:val="327F266B"/>
    <w:rsid w:val="329820EC"/>
    <w:rsid w:val="32BE5C2C"/>
    <w:rsid w:val="32D00AE0"/>
    <w:rsid w:val="32FB6478"/>
    <w:rsid w:val="33263B3F"/>
    <w:rsid w:val="33492333"/>
    <w:rsid w:val="336963EB"/>
    <w:rsid w:val="33784CD4"/>
    <w:rsid w:val="33816EEB"/>
    <w:rsid w:val="33934B2E"/>
    <w:rsid w:val="33C57F19"/>
    <w:rsid w:val="33EB55CD"/>
    <w:rsid w:val="33EC4C02"/>
    <w:rsid w:val="33FD7B69"/>
    <w:rsid w:val="340D2360"/>
    <w:rsid w:val="3410665D"/>
    <w:rsid w:val="34211214"/>
    <w:rsid w:val="342E63AB"/>
    <w:rsid w:val="343B01DB"/>
    <w:rsid w:val="34694A7D"/>
    <w:rsid w:val="347100A1"/>
    <w:rsid w:val="34950E68"/>
    <w:rsid w:val="34986E94"/>
    <w:rsid w:val="349D271D"/>
    <w:rsid w:val="34A0681D"/>
    <w:rsid w:val="34AF62C9"/>
    <w:rsid w:val="34B41D3C"/>
    <w:rsid w:val="34C55706"/>
    <w:rsid w:val="34CB4388"/>
    <w:rsid w:val="34FA6E12"/>
    <w:rsid w:val="351D1FD7"/>
    <w:rsid w:val="35675000"/>
    <w:rsid w:val="357F65BC"/>
    <w:rsid w:val="3589141A"/>
    <w:rsid w:val="358D5588"/>
    <w:rsid w:val="35D00DF7"/>
    <w:rsid w:val="35E1685A"/>
    <w:rsid w:val="35F226CB"/>
    <w:rsid w:val="363611DD"/>
    <w:rsid w:val="363A3B40"/>
    <w:rsid w:val="364610BA"/>
    <w:rsid w:val="365302AE"/>
    <w:rsid w:val="36607A0A"/>
    <w:rsid w:val="366E227C"/>
    <w:rsid w:val="366F2E0D"/>
    <w:rsid w:val="367B6A5C"/>
    <w:rsid w:val="36A74ADA"/>
    <w:rsid w:val="36AD60D5"/>
    <w:rsid w:val="36B224F9"/>
    <w:rsid w:val="36C10446"/>
    <w:rsid w:val="36EC0CC9"/>
    <w:rsid w:val="37241E92"/>
    <w:rsid w:val="37284B97"/>
    <w:rsid w:val="373F410B"/>
    <w:rsid w:val="37483973"/>
    <w:rsid w:val="37495387"/>
    <w:rsid w:val="375A306E"/>
    <w:rsid w:val="37841E99"/>
    <w:rsid w:val="37EE7094"/>
    <w:rsid w:val="37F12DC2"/>
    <w:rsid w:val="37FE01FA"/>
    <w:rsid w:val="38296C89"/>
    <w:rsid w:val="383002EB"/>
    <w:rsid w:val="38586797"/>
    <w:rsid w:val="38641F79"/>
    <w:rsid w:val="389820A0"/>
    <w:rsid w:val="38B37AA7"/>
    <w:rsid w:val="38BC0149"/>
    <w:rsid w:val="38D87D1C"/>
    <w:rsid w:val="38E946AA"/>
    <w:rsid w:val="394958FD"/>
    <w:rsid w:val="39636459"/>
    <w:rsid w:val="396B7F6C"/>
    <w:rsid w:val="396D5A82"/>
    <w:rsid w:val="398126A4"/>
    <w:rsid w:val="399B02E5"/>
    <w:rsid w:val="39A46823"/>
    <w:rsid w:val="39B417A9"/>
    <w:rsid w:val="39FC5695"/>
    <w:rsid w:val="3A006D8E"/>
    <w:rsid w:val="3A3651E5"/>
    <w:rsid w:val="3A655FB2"/>
    <w:rsid w:val="3A663AD8"/>
    <w:rsid w:val="3A744481"/>
    <w:rsid w:val="3A7D77A0"/>
    <w:rsid w:val="3A8C21FC"/>
    <w:rsid w:val="3A8C7BEF"/>
    <w:rsid w:val="3A906246"/>
    <w:rsid w:val="3AAF547F"/>
    <w:rsid w:val="3AD2116E"/>
    <w:rsid w:val="3AE83EA3"/>
    <w:rsid w:val="3B2349B7"/>
    <w:rsid w:val="3B616CFF"/>
    <w:rsid w:val="3B6259F6"/>
    <w:rsid w:val="3B8763FC"/>
    <w:rsid w:val="3B8F3A2F"/>
    <w:rsid w:val="3B976654"/>
    <w:rsid w:val="3B996CD1"/>
    <w:rsid w:val="3BC01EFC"/>
    <w:rsid w:val="3BCA786A"/>
    <w:rsid w:val="3BD31E2F"/>
    <w:rsid w:val="3BF15831"/>
    <w:rsid w:val="3C070B8D"/>
    <w:rsid w:val="3C105946"/>
    <w:rsid w:val="3C154B1E"/>
    <w:rsid w:val="3C182813"/>
    <w:rsid w:val="3C236125"/>
    <w:rsid w:val="3C471448"/>
    <w:rsid w:val="3C5F759A"/>
    <w:rsid w:val="3C637913"/>
    <w:rsid w:val="3C650C6F"/>
    <w:rsid w:val="3C6C525A"/>
    <w:rsid w:val="3C7A65E4"/>
    <w:rsid w:val="3C9C1A33"/>
    <w:rsid w:val="3CA60B04"/>
    <w:rsid w:val="3CAD59EE"/>
    <w:rsid w:val="3CCE23CB"/>
    <w:rsid w:val="3CD17D17"/>
    <w:rsid w:val="3D1242E6"/>
    <w:rsid w:val="3D3C7F39"/>
    <w:rsid w:val="3D402D06"/>
    <w:rsid w:val="3D404AF3"/>
    <w:rsid w:val="3D440F09"/>
    <w:rsid w:val="3D4504A0"/>
    <w:rsid w:val="3D4E0A6C"/>
    <w:rsid w:val="3D8734BB"/>
    <w:rsid w:val="3D9A11D4"/>
    <w:rsid w:val="3DA16D89"/>
    <w:rsid w:val="3DA364BE"/>
    <w:rsid w:val="3DD13731"/>
    <w:rsid w:val="3DE041CB"/>
    <w:rsid w:val="3E0D48F6"/>
    <w:rsid w:val="3E1868B4"/>
    <w:rsid w:val="3E377251"/>
    <w:rsid w:val="3E42664B"/>
    <w:rsid w:val="3E5A7334"/>
    <w:rsid w:val="3E792FCD"/>
    <w:rsid w:val="3E7B5D6B"/>
    <w:rsid w:val="3E843E66"/>
    <w:rsid w:val="3E8F51FE"/>
    <w:rsid w:val="3E926F87"/>
    <w:rsid w:val="3E9A59DE"/>
    <w:rsid w:val="3EA3354D"/>
    <w:rsid w:val="3EAF4836"/>
    <w:rsid w:val="3EC33DFA"/>
    <w:rsid w:val="3F060E16"/>
    <w:rsid w:val="3F1D1096"/>
    <w:rsid w:val="3F2F0234"/>
    <w:rsid w:val="3F536D21"/>
    <w:rsid w:val="3F6363FE"/>
    <w:rsid w:val="3F69551F"/>
    <w:rsid w:val="3F756B8F"/>
    <w:rsid w:val="3F95482B"/>
    <w:rsid w:val="3FA86048"/>
    <w:rsid w:val="3FAC745B"/>
    <w:rsid w:val="3FB84131"/>
    <w:rsid w:val="3FDA11F0"/>
    <w:rsid w:val="3FE73C89"/>
    <w:rsid w:val="3FFC1746"/>
    <w:rsid w:val="3FFC6AA9"/>
    <w:rsid w:val="40005137"/>
    <w:rsid w:val="4019356B"/>
    <w:rsid w:val="402043E9"/>
    <w:rsid w:val="40305CDD"/>
    <w:rsid w:val="40592157"/>
    <w:rsid w:val="406E1CAE"/>
    <w:rsid w:val="40A0133A"/>
    <w:rsid w:val="40B06EFE"/>
    <w:rsid w:val="40BF1232"/>
    <w:rsid w:val="40C31A53"/>
    <w:rsid w:val="40C913D4"/>
    <w:rsid w:val="40F956A6"/>
    <w:rsid w:val="40FF545D"/>
    <w:rsid w:val="410067C8"/>
    <w:rsid w:val="41006A35"/>
    <w:rsid w:val="41232723"/>
    <w:rsid w:val="412A1D04"/>
    <w:rsid w:val="4142704D"/>
    <w:rsid w:val="415A3663"/>
    <w:rsid w:val="418E2292"/>
    <w:rsid w:val="418F0D2A"/>
    <w:rsid w:val="41D01505"/>
    <w:rsid w:val="41D92CF9"/>
    <w:rsid w:val="41DD6D76"/>
    <w:rsid w:val="41F57960"/>
    <w:rsid w:val="41FB544E"/>
    <w:rsid w:val="422E7FD5"/>
    <w:rsid w:val="42474939"/>
    <w:rsid w:val="424C3C57"/>
    <w:rsid w:val="42613FF3"/>
    <w:rsid w:val="42660D96"/>
    <w:rsid w:val="42784CF1"/>
    <w:rsid w:val="427A45C5"/>
    <w:rsid w:val="428667D2"/>
    <w:rsid w:val="429A6A15"/>
    <w:rsid w:val="42CD1CE0"/>
    <w:rsid w:val="42E1381E"/>
    <w:rsid w:val="42ED6459"/>
    <w:rsid w:val="42FE58DD"/>
    <w:rsid w:val="43174B3D"/>
    <w:rsid w:val="434B790E"/>
    <w:rsid w:val="4360274F"/>
    <w:rsid w:val="43977AB6"/>
    <w:rsid w:val="439D67BD"/>
    <w:rsid w:val="43A3342B"/>
    <w:rsid w:val="43C77C27"/>
    <w:rsid w:val="43DE09EE"/>
    <w:rsid w:val="43F4658F"/>
    <w:rsid w:val="44002FAD"/>
    <w:rsid w:val="44196CA2"/>
    <w:rsid w:val="44416362"/>
    <w:rsid w:val="449101DD"/>
    <w:rsid w:val="44A479C5"/>
    <w:rsid w:val="44CB08EB"/>
    <w:rsid w:val="44DE1391"/>
    <w:rsid w:val="451B225C"/>
    <w:rsid w:val="452410C9"/>
    <w:rsid w:val="45317DFB"/>
    <w:rsid w:val="4554062E"/>
    <w:rsid w:val="456D3CE4"/>
    <w:rsid w:val="4579042C"/>
    <w:rsid w:val="457F0571"/>
    <w:rsid w:val="4580655D"/>
    <w:rsid w:val="45851176"/>
    <w:rsid w:val="45B93656"/>
    <w:rsid w:val="45C63B94"/>
    <w:rsid w:val="45C75D73"/>
    <w:rsid w:val="460C210D"/>
    <w:rsid w:val="460E7DA5"/>
    <w:rsid w:val="46333408"/>
    <w:rsid w:val="46422483"/>
    <w:rsid w:val="4659254A"/>
    <w:rsid w:val="465B0637"/>
    <w:rsid w:val="465C286B"/>
    <w:rsid w:val="465E3F0D"/>
    <w:rsid w:val="466A16E6"/>
    <w:rsid w:val="46893F2B"/>
    <w:rsid w:val="46A26BC0"/>
    <w:rsid w:val="46AB5755"/>
    <w:rsid w:val="46C4686E"/>
    <w:rsid w:val="46CB1893"/>
    <w:rsid w:val="47041FA7"/>
    <w:rsid w:val="470D1EAB"/>
    <w:rsid w:val="47295AED"/>
    <w:rsid w:val="47380B78"/>
    <w:rsid w:val="476E221E"/>
    <w:rsid w:val="477B778F"/>
    <w:rsid w:val="478203EC"/>
    <w:rsid w:val="47B025FA"/>
    <w:rsid w:val="47F15329"/>
    <w:rsid w:val="4809698F"/>
    <w:rsid w:val="4811697D"/>
    <w:rsid w:val="486A0C38"/>
    <w:rsid w:val="487A3E25"/>
    <w:rsid w:val="488B5503"/>
    <w:rsid w:val="48937E21"/>
    <w:rsid w:val="489A0361"/>
    <w:rsid w:val="489C3FAB"/>
    <w:rsid w:val="48B94FF3"/>
    <w:rsid w:val="48CE566A"/>
    <w:rsid w:val="48E37AAB"/>
    <w:rsid w:val="48F7696F"/>
    <w:rsid w:val="48FD4B4C"/>
    <w:rsid w:val="490A68E0"/>
    <w:rsid w:val="491055FE"/>
    <w:rsid w:val="492A495F"/>
    <w:rsid w:val="495F5B3E"/>
    <w:rsid w:val="496F77D7"/>
    <w:rsid w:val="497654FD"/>
    <w:rsid w:val="49B64211"/>
    <w:rsid w:val="49F25388"/>
    <w:rsid w:val="49F6167F"/>
    <w:rsid w:val="4A064FA0"/>
    <w:rsid w:val="4A16615C"/>
    <w:rsid w:val="4A3A59A0"/>
    <w:rsid w:val="4A404346"/>
    <w:rsid w:val="4A4424D7"/>
    <w:rsid w:val="4AB82D0F"/>
    <w:rsid w:val="4AB95081"/>
    <w:rsid w:val="4AE26D3D"/>
    <w:rsid w:val="4AEB7664"/>
    <w:rsid w:val="4AFD7C19"/>
    <w:rsid w:val="4B0567D1"/>
    <w:rsid w:val="4B0E78A9"/>
    <w:rsid w:val="4B1B26BD"/>
    <w:rsid w:val="4B236AAE"/>
    <w:rsid w:val="4B2E231E"/>
    <w:rsid w:val="4B425E9C"/>
    <w:rsid w:val="4B707271"/>
    <w:rsid w:val="4B9739F7"/>
    <w:rsid w:val="4BD74836"/>
    <w:rsid w:val="4BE54180"/>
    <w:rsid w:val="4BEE2503"/>
    <w:rsid w:val="4C0D2006"/>
    <w:rsid w:val="4C245A30"/>
    <w:rsid w:val="4C8D6FAC"/>
    <w:rsid w:val="4CA71F8A"/>
    <w:rsid w:val="4CB6685F"/>
    <w:rsid w:val="4CC27294"/>
    <w:rsid w:val="4CC312AD"/>
    <w:rsid w:val="4CC367FE"/>
    <w:rsid w:val="4D077F3C"/>
    <w:rsid w:val="4D0D7B68"/>
    <w:rsid w:val="4D123355"/>
    <w:rsid w:val="4D2A3B31"/>
    <w:rsid w:val="4D312C52"/>
    <w:rsid w:val="4D905305"/>
    <w:rsid w:val="4D916E69"/>
    <w:rsid w:val="4D964A72"/>
    <w:rsid w:val="4D9C1254"/>
    <w:rsid w:val="4DB239A2"/>
    <w:rsid w:val="4E0062C6"/>
    <w:rsid w:val="4E08517B"/>
    <w:rsid w:val="4E0D2384"/>
    <w:rsid w:val="4E6342B9"/>
    <w:rsid w:val="4E793892"/>
    <w:rsid w:val="4E800872"/>
    <w:rsid w:val="4E8D55B7"/>
    <w:rsid w:val="4EA824BA"/>
    <w:rsid w:val="4EB257AD"/>
    <w:rsid w:val="4EC569ED"/>
    <w:rsid w:val="4ED50EA1"/>
    <w:rsid w:val="4EEC050C"/>
    <w:rsid w:val="4EFA2326"/>
    <w:rsid w:val="4F104EC3"/>
    <w:rsid w:val="4F18038A"/>
    <w:rsid w:val="4F313C60"/>
    <w:rsid w:val="4F47354A"/>
    <w:rsid w:val="4F9114CA"/>
    <w:rsid w:val="4F911C54"/>
    <w:rsid w:val="4FA90297"/>
    <w:rsid w:val="4FBE2337"/>
    <w:rsid w:val="4FD55E3A"/>
    <w:rsid w:val="4FE625E0"/>
    <w:rsid w:val="50202421"/>
    <w:rsid w:val="5021480F"/>
    <w:rsid w:val="505B01CD"/>
    <w:rsid w:val="50962ECB"/>
    <w:rsid w:val="50A42E38"/>
    <w:rsid w:val="50A4577F"/>
    <w:rsid w:val="50B7139F"/>
    <w:rsid w:val="50B73D1F"/>
    <w:rsid w:val="50BD5BC9"/>
    <w:rsid w:val="50C11EEE"/>
    <w:rsid w:val="50E97CFC"/>
    <w:rsid w:val="50FA4028"/>
    <w:rsid w:val="510D65B7"/>
    <w:rsid w:val="511157AB"/>
    <w:rsid w:val="512B5A23"/>
    <w:rsid w:val="5142540C"/>
    <w:rsid w:val="51774E4B"/>
    <w:rsid w:val="517D19DC"/>
    <w:rsid w:val="518832C8"/>
    <w:rsid w:val="51A0432A"/>
    <w:rsid w:val="51A86090"/>
    <w:rsid w:val="51B7396D"/>
    <w:rsid w:val="51CC4711"/>
    <w:rsid w:val="51DB561C"/>
    <w:rsid w:val="51FD2B1C"/>
    <w:rsid w:val="522E4CC3"/>
    <w:rsid w:val="5244713B"/>
    <w:rsid w:val="525F471D"/>
    <w:rsid w:val="52615633"/>
    <w:rsid w:val="5296022B"/>
    <w:rsid w:val="52977FD4"/>
    <w:rsid w:val="52A25790"/>
    <w:rsid w:val="52A96B6F"/>
    <w:rsid w:val="52B45975"/>
    <w:rsid w:val="52D94AA4"/>
    <w:rsid w:val="52EA3A62"/>
    <w:rsid w:val="52EC4D64"/>
    <w:rsid w:val="52ED493F"/>
    <w:rsid w:val="52F50BB8"/>
    <w:rsid w:val="52FC11FE"/>
    <w:rsid w:val="53097272"/>
    <w:rsid w:val="53544462"/>
    <w:rsid w:val="536966BB"/>
    <w:rsid w:val="536B49B0"/>
    <w:rsid w:val="5397158E"/>
    <w:rsid w:val="53D75D72"/>
    <w:rsid w:val="53F22178"/>
    <w:rsid w:val="54013861"/>
    <w:rsid w:val="54203CF6"/>
    <w:rsid w:val="54487265"/>
    <w:rsid w:val="544D6070"/>
    <w:rsid w:val="54605E1E"/>
    <w:rsid w:val="54790B80"/>
    <w:rsid w:val="548C06A8"/>
    <w:rsid w:val="54B3506A"/>
    <w:rsid w:val="54CA0D16"/>
    <w:rsid w:val="54DD4057"/>
    <w:rsid w:val="54E7490F"/>
    <w:rsid w:val="550764A4"/>
    <w:rsid w:val="550A17D8"/>
    <w:rsid w:val="550B2BF6"/>
    <w:rsid w:val="55101466"/>
    <w:rsid w:val="55214EB5"/>
    <w:rsid w:val="55364EFD"/>
    <w:rsid w:val="554E27EB"/>
    <w:rsid w:val="555D4828"/>
    <w:rsid w:val="557A4C8B"/>
    <w:rsid w:val="558931E1"/>
    <w:rsid w:val="55923347"/>
    <w:rsid w:val="55925180"/>
    <w:rsid w:val="55983B1B"/>
    <w:rsid w:val="559C1F84"/>
    <w:rsid w:val="55A8376B"/>
    <w:rsid w:val="55DC29B6"/>
    <w:rsid w:val="55DD4241"/>
    <w:rsid w:val="55E30278"/>
    <w:rsid w:val="55E72D6A"/>
    <w:rsid w:val="56184892"/>
    <w:rsid w:val="56521E02"/>
    <w:rsid w:val="566B6D1E"/>
    <w:rsid w:val="56814847"/>
    <w:rsid w:val="56867584"/>
    <w:rsid w:val="569C0B56"/>
    <w:rsid w:val="57032A2C"/>
    <w:rsid w:val="570F5219"/>
    <w:rsid w:val="571E59B2"/>
    <w:rsid w:val="573C7C43"/>
    <w:rsid w:val="57437223"/>
    <w:rsid w:val="575D12B5"/>
    <w:rsid w:val="57610A87"/>
    <w:rsid w:val="57664CC0"/>
    <w:rsid w:val="57715B3F"/>
    <w:rsid w:val="577B1140"/>
    <w:rsid w:val="577B7F21"/>
    <w:rsid w:val="577F181B"/>
    <w:rsid w:val="57921984"/>
    <w:rsid w:val="579737F0"/>
    <w:rsid w:val="57AB7B30"/>
    <w:rsid w:val="57AF5251"/>
    <w:rsid w:val="57B26373"/>
    <w:rsid w:val="57B63F04"/>
    <w:rsid w:val="57CD20C2"/>
    <w:rsid w:val="57D675AB"/>
    <w:rsid w:val="57D95FDD"/>
    <w:rsid w:val="57F30C49"/>
    <w:rsid w:val="57FA336F"/>
    <w:rsid w:val="584F18E4"/>
    <w:rsid w:val="589069A8"/>
    <w:rsid w:val="58917D2F"/>
    <w:rsid w:val="5894085C"/>
    <w:rsid w:val="58AA4D87"/>
    <w:rsid w:val="58AE4F0C"/>
    <w:rsid w:val="58B85899"/>
    <w:rsid w:val="58E16CF4"/>
    <w:rsid w:val="58E363A9"/>
    <w:rsid w:val="594F3618"/>
    <w:rsid w:val="595E1678"/>
    <w:rsid w:val="596D0588"/>
    <w:rsid w:val="596D5BD4"/>
    <w:rsid w:val="597E3DD8"/>
    <w:rsid w:val="59896FA9"/>
    <w:rsid w:val="59A32035"/>
    <w:rsid w:val="59B85CA7"/>
    <w:rsid w:val="59ED6182"/>
    <w:rsid w:val="59EF71EF"/>
    <w:rsid w:val="59F80043"/>
    <w:rsid w:val="5A09252F"/>
    <w:rsid w:val="5A0B2778"/>
    <w:rsid w:val="5A124512"/>
    <w:rsid w:val="5A1804F3"/>
    <w:rsid w:val="5A2A7C7B"/>
    <w:rsid w:val="5A3B6FD9"/>
    <w:rsid w:val="5A3E2560"/>
    <w:rsid w:val="5A445628"/>
    <w:rsid w:val="5A5D3B6E"/>
    <w:rsid w:val="5A637A76"/>
    <w:rsid w:val="5A6D33BA"/>
    <w:rsid w:val="5A765C99"/>
    <w:rsid w:val="5A77221A"/>
    <w:rsid w:val="5A792B1F"/>
    <w:rsid w:val="5A874767"/>
    <w:rsid w:val="5A90452E"/>
    <w:rsid w:val="5A987886"/>
    <w:rsid w:val="5AAD6F28"/>
    <w:rsid w:val="5AD63A24"/>
    <w:rsid w:val="5ADE798F"/>
    <w:rsid w:val="5AF002EE"/>
    <w:rsid w:val="5B1274CF"/>
    <w:rsid w:val="5B1909C7"/>
    <w:rsid w:val="5B194477"/>
    <w:rsid w:val="5B2E1A1D"/>
    <w:rsid w:val="5B42323E"/>
    <w:rsid w:val="5B767BC7"/>
    <w:rsid w:val="5B815DA7"/>
    <w:rsid w:val="5B843A1C"/>
    <w:rsid w:val="5B8720B4"/>
    <w:rsid w:val="5B873E3F"/>
    <w:rsid w:val="5B9F0763"/>
    <w:rsid w:val="5BA06E3A"/>
    <w:rsid w:val="5BB07B5B"/>
    <w:rsid w:val="5BCB3758"/>
    <w:rsid w:val="5BE34EEE"/>
    <w:rsid w:val="5C02690E"/>
    <w:rsid w:val="5C0E6F4D"/>
    <w:rsid w:val="5C196DA7"/>
    <w:rsid w:val="5C2A048C"/>
    <w:rsid w:val="5C3655A9"/>
    <w:rsid w:val="5C386CD7"/>
    <w:rsid w:val="5C80234E"/>
    <w:rsid w:val="5C8A680C"/>
    <w:rsid w:val="5CA644DC"/>
    <w:rsid w:val="5CB32755"/>
    <w:rsid w:val="5CB87369"/>
    <w:rsid w:val="5CD24FA9"/>
    <w:rsid w:val="5CDE3C1A"/>
    <w:rsid w:val="5CFD5EAA"/>
    <w:rsid w:val="5D094A6B"/>
    <w:rsid w:val="5D0C4701"/>
    <w:rsid w:val="5D0F0395"/>
    <w:rsid w:val="5D221076"/>
    <w:rsid w:val="5D397964"/>
    <w:rsid w:val="5D5A13D3"/>
    <w:rsid w:val="5D5A391C"/>
    <w:rsid w:val="5D5B6947"/>
    <w:rsid w:val="5D5F10C0"/>
    <w:rsid w:val="5D891B7B"/>
    <w:rsid w:val="5D9E281B"/>
    <w:rsid w:val="5D9F6047"/>
    <w:rsid w:val="5DAD38EE"/>
    <w:rsid w:val="5DD874C1"/>
    <w:rsid w:val="5E006862"/>
    <w:rsid w:val="5E0207B9"/>
    <w:rsid w:val="5E047B8C"/>
    <w:rsid w:val="5E055233"/>
    <w:rsid w:val="5E0771FD"/>
    <w:rsid w:val="5E1834A1"/>
    <w:rsid w:val="5E1C2975"/>
    <w:rsid w:val="5E261785"/>
    <w:rsid w:val="5E266C2D"/>
    <w:rsid w:val="5E2B4120"/>
    <w:rsid w:val="5E4A7017"/>
    <w:rsid w:val="5E552BBA"/>
    <w:rsid w:val="5E611C10"/>
    <w:rsid w:val="5E9E3D95"/>
    <w:rsid w:val="5EA24879"/>
    <w:rsid w:val="5EB6652D"/>
    <w:rsid w:val="5ED25D4D"/>
    <w:rsid w:val="5EDF0F7C"/>
    <w:rsid w:val="5EE035AA"/>
    <w:rsid w:val="5EF552A7"/>
    <w:rsid w:val="5EF57055"/>
    <w:rsid w:val="5EFC7377"/>
    <w:rsid w:val="5F04138D"/>
    <w:rsid w:val="5F06174D"/>
    <w:rsid w:val="5F3A3602"/>
    <w:rsid w:val="5F5E0A5B"/>
    <w:rsid w:val="5F6277C6"/>
    <w:rsid w:val="5F6B47EE"/>
    <w:rsid w:val="5F6D0B1D"/>
    <w:rsid w:val="5F757EE5"/>
    <w:rsid w:val="5F8C2318"/>
    <w:rsid w:val="5F8D0B82"/>
    <w:rsid w:val="5FA42829"/>
    <w:rsid w:val="5FCC5339"/>
    <w:rsid w:val="5FE34A5B"/>
    <w:rsid w:val="5FFE1E36"/>
    <w:rsid w:val="60232584"/>
    <w:rsid w:val="602B7905"/>
    <w:rsid w:val="607330CE"/>
    <w:rsid w:val="607C75A8"/>
    <w:rsid w:val="60825176"/>
    <w:rsid w:val="609F2AC4"/>
    <w:rsid w:val="60BE791B"/>
    <w:rsid w:val="60FA2EE8"/>
    <w:rsid w:val="61054A27"/>
    <w:rsid w:val="610A52BC"/>
    <w:rsid w:val="611D2366"/>
    <w:rsid w:val="613954BE"/>
    <w:rsid w:val="61421856"/>
    <w:rsid w:val="615227C4"/>
    <w:rsid w:val="61654E3F"/>
    <w:rsid w:val="6182292A"/>
    <w:rsid w:val="6182611F"/>
    <w:rsid w:val="618648DC"/>
    <w:rsid w:val="618B1E56"/>
    <w:rsid w:val="6193770D"/>
    <w:rsid w:val="619F7F92"/>
    <w:rsid w:val="61E4147E"/>
    <w:rsid w:val="61E93A54"/>
    <w:rsid w:val="61F57638"/>
    <w:rsid w:val="61F94C26"/>
    <w:rsid w:val="62000E56"/>
    <w:rsid w:val="62013F63"/>
    <w:rsid w:val="621A6DD3"/>
    <w:rsid w:val="624F3E49"/>
    <w:rsid w:val="62632286"/>
    <w:rsid w:val="62885958"/>
    <w:rsid w:val="62980A4D"/>
    <w:rsid w:val="62A427ED"/>
    <w:rsid w:val="62DE6052"/>
    <w:rsid w:val="62E47B0C"/>
    <w:rsid w:val="62F40B65"/>
    <w:rsid w:val="62FC2CFE"/>
    <w:rsid w:val="63024505"/>
    <w:rsid w:val="630E06E5"/>
    <w:rsid w:val="6315263E"/>
    <w:rsid w:val="633D5518"/>
    <w:rsid w:val="635B1DB5"/>
    <w:rsid w:val="636724EC"/>
    <w:rsid w:val="63711FED"/>
    <w:rsid w:val="63880DDC"/>
    <w:rsid w:val="638D750D"/>
    <w:rsid w:val="63AC6CC0"/>
    <w:rsid w:val="63BC0727"/>
    <w:rsid w:val="63CA5644"/>
    <w:rsid w:val="64055776"/>
    <w:rsid w:val="641D4E1C"/>
    <w:rsid w:val="64240056"/>
    <w:rsid w:val="643E143A"/>
    <w:rsid w:val="644F13EC"/>
    <w:rsid w:val="64723AC1"/>
    <w:rsid w:val="647F7489"/>
    <w:rsid w:val="648B6EEF"/>
    <w:rsid w:val="64C158BF"/>
    <w:rsid w:val="64CE2EAA"/>
    <w:rsid w:val="64D05325"/>
    <w:rsid w:val="64D9638C"/>
    <w:rsid w:val="64E9731B"/>
    <w:rsid w:val="653C3090"/>
    <w:rsid w:val="65664C4C"/>
    <w:rsid w:val="65767CBF"/>
    <w:rsid w:val="657F014C"/>
    <w:rsid w:val="65854376"/>
    <w:rsid w:val="658767BE"/>
    <w:rsid w:val="65892531"/>
    <w:rsid w:val="65A36D1C"/>
    <w:rsid w:val="65B56A72"/>
    <w:rsid w:val="65CB7F86"/>
    <w:rsid w:val="65D93276"/>
    <w:rsid w:val="65FE51E1"/>
    <w:rsid w:val="66195831"/>
    <w:rsid w:val="662E75B1"/>
    <w:rsid w:val="66342C2E"/>
    <w:rsid w:val="663E784C"/>
    <w:rsid w:val="668A09CB"/>
    <w:rsid w:val="668B6A45"/>
    <w:rsid w:val="66E31240"/>
    <w:rsid w:val="670A1B0C"/>
    <w:rsid w:val="67157571"/>
    <w:rsid w:val="672F3F24"/>
    <w:rsid w:val="673E055F"/>
    <w:rsid w:val="674E301A"/>
    <w:rsid w:val="67551CE3"/>
    <w:rsid w:val="679B231C"/>
    <w:rsid w:val="67A22552"/>
    <w:rsid w:val="67B22DCC"/>
    <w:rsid w:val="67BE71AA"/>
    <w:rsid w:val="67D90273"/>
    <w:rsid w:val="67DE5875"/>
    <w:rsid w:val="67E55852"/>
    <w:rsid w:val="67EB1AB4"/>
    <w:rsid w:val="67F87BB6"/>
    <w:rsid w:val="67F9245C"/>
    <w:rsid w:val="67FA1285"/>
    <w:rsid w:val="68551F4F"/>
    <w:rsid w:val="687014CD"/>
    <w:rsid w:val="68774F7F"/>
    <w:rsid w:val="687C10C9"/>
    <w:rsid w:val="68840C16"/>
    <w:rsid w:val="68876EFB"/>
    <w:rsid w:val="68884654"/>
    <w:rsid w:val="689F444F"/>
    <w:rsid w:val="68B200BE"/>
    <w:rsid w:val="68B96DBB"/>
    <w:rsid w:val="68CA2805"/>
    <w:rsid w:val="68D26C4D"/>
    <w:rsid w:val="68E937A3"/>
    <w:rsid w:val="693E15D3"/>
    <w:rsid w:val="69544B38"/>
    <w:rsid w:val="69627681"/>
    <w:rsid w:val="6977531D"/>
    <w:rsid w:val="697B284D"/>
    <w:rsid w:val="69A43B52"/>
    <w:rsid w:val="69BE2739"/>
    <w:rsid w:val="69C85C24"/>
    <w:rsid w:val="69CC2BFF"/>
    <w:rsid w:val="69F17170"/>
    <w:rsid w:val="69FD55B8"/>
    <w:rsid w:val="6A0A597F"/>
    <w:rsid w:val="6A0B1C62"/>
    <w:rsid w:val="6A0E36C1"/>
    <w:rsid w:val="6A0F312C"/>
    <w:rsid w:val="6A1A2624"/>
    <w:rsid w:val="6A1A3409"/>
    <w:rsid w:val="6A2406C8"/>
    <w:rsid w:val="6A753F97"/>
    <w:rsid w:val="6A874E35"/>
    <w:rsid w:val="6A95793E"/>
    <w:rsid w:val="6A9E6E89"/>
    <w:rsid w:val="6AC03EA6"/>
    <w:rsid w:val="6ADE0BD1"/>
    <w:rsid w:val="6AE96859"/>
    <w:rsid w:val="6B147746"/>
    <w:rsid w:val="6B24787C"/>
    <w:rsid w:val="6B4A616F"/>
    <w:rsid w:val="6B573233"/>
    <w:rsid w:val="6B5B6274"/>
    <w:rsid w:val="6B935D53"/>
    <w:rsid w:val="6C196F71"/>
    <w:rsid w:val="6C226FCB"/>
    <w:rsid w:val="6C2849EF"/>
    <w:rsid w:val="6C2A0FC0"/>
    <w:rsid w:val="6C31226F"/>
    <w:rsid w:val="6C552F0B"/>
    <w:rsid w:val="6C624D29"/>
    <w:rsid w:val="6C8C67B7"/>
    <w:rsid w:val="6C9D744C"/>
    <w:rsid w:val="6CA976D1"/>
    <w:rsid w:val="6D167928"/>
    <w:rsid w:val="6D1D0745"/>
    <w:rsid w:val="6D26299B"/>
    <w:rsid w:val="6D4772EC"/>
    <w:rsid w:val="6D4C69DA"/>
    <w:rsid w:val="6D6249EE"/>
    <w:rsid w:val="6D6A6E60"/>
    <w:rsid w:val="6D9078AF"/>
    <w:rsid w:val="6DAA3FEF"/>
    <w:rsid w:val="6DB36A59"/>
    <w:rsid w:val="6DC0172B"/>
    <w:rsid w:val="6DCB690C"/>
    <w:rsid w:val="6DD41A5B"/>
    <w:rsid w:val="6DF43C2E"/>
    <w:rsid w:val="6DF51CA3"/>
    <w:rsid w:val="6E8335BD"/>
    <w:rsid w:val="6E8E12EF"/>
    <w:rsid w:val="6E947FD3"/>
    <w:rsid w:val="6E972936"/>
    <w:rsid w:val="6EA2087C"/>
    <w:rsid w:val="6EA838C1"/>
    <w:rsid w:val="6EBC193D"/>
    <w:rsid w:val="6ED27E0B"/>
    <w:rsid w:val="6ED446C5"/>
    <w:rsid w:val="6EE8446A"/>
    <w:rsid w:val="6F2A7D94"/>
    <w:rsid w:val="6F53759C"/>
    <w:rsid w:val="6F8331F1"/>
    <w:rsid w:val="6FAE1A09"/>
    <w:rsid w:val="6FD75BF8"/>
    <w:rsid w:val="70147047"/>
    <w:rsid w:val="7019553E"/>
    <w:rsid w:val="702D1C11"/>
    <w:rsid w:val="707723D0"/>
    <w:rsid w:val="707F13AA"/>
    <w:rsid w:val="70912956"/>
    <w:rsid w:val="709335B1"/>
    <w:rsid w:val="70D80585"/>
    <w:rsid w:val="70E92792"/>
    <w:rsid w:val="70F5661B"/>
    <w:rsid w:val="70FB773A"/>
    <w:rsid w:val="71360107"/>
    <w:rsid w:val="713B688E"/>
    <w:rsid w:val="719E01FF"/>
    <w:rsid w:val="71D43752"/>
    <w:rsid w:val="71DB032D"/>
    <w:rsid w:val="71F1796A"/>
    <w:rsid w:val="720A6E02"/>
    <w:rsid w:val="72154626"/>
    <w:rsid w:val="72262B5D"/>
    <w:rsid w:val="72275593"/>
    <w:rsid w:val="72283FF7"/>
    <w:rsid w:val="722E7212"/>
    <w:rsid w:val="723A0474"/>
    <w:rsid w:val="724B4950"/>
    <w:rsid w:val="725923E4"/>
    <w:rsid w:val="726B7B33"/>
    <w:rsid w:val="72864BF7"/>
    <w:rsid w:val="729023FC"/>
    <w:rsid w:val="730924B4"/>
    <w:rsid w:val="733E2357"/>
    <w:rsid w:val="738D4317"/>
    <w:rsid w:val="73C0646E"/>
    <w:rsid w:val="742222F5"/>
    <w:rsid w:val="74237BDB"/>
    <w:rsid w:val="74476126"/>
    <w:rsid w:val="74706664"/>
    <w:rsid w:val="747F3682"/>
    <w:rsid w:val="74951ED7"/>
    <w:rsid w:val="749C4185"/>
    <w:rsid w:val="75067759"/>
    <w:rsid w:val="751442AB"/>
    <w:rsid w:val="752E6DCD"/>
    <w:rsid w:val="7551380D"/>
    <w:rsid w:val="75600BE5"/>
    <w:rsid w:val="7564475C"/>
    <w:rsid w:val="7583797F"/>
    <w:rsid w:val="75970A0E"/>
    <w:rsid w:val="75A03D67"/>
    <w:rsid w:val="75A66EA3"/>
    <w:rsid w:val="75CF3B98"/>
    <w:rsid w:val="75D20F1D"/>
    <w:rsid w:val="75DA2C18"/>
    <w:rsid w:val="75F329E6"/>
    <w:rsid w:val="75F54412"/>
    <w:rsid w:val="761072A4"/>
    <w:rsid w:val="761D08E0"/>
    <w:rsid w:val="762322A2"/>
    <w:rsid w:val="762D4ECF"/>
    <w:rsid w:val="765761A5"/>
    <w:rsid w:val="765D347C"/>
    <w:rsid w:val="76634D94"/>
    <w:rsid w:val="76826699"/>
    <w:rsid w:val="76BD26F7"/>
    <w:rsid w:val="76C87133"/>
    <w:rsid w:val="76CD08D5"/>
    <w:rsid w:val="76D80A0A"/>
    <w:rsid w:val="76DB4B92"/>
    <w:rsid w:val="77052AA4"/>
    <w:rsid w:val="77136511"/>
    <w:rsid w:val="77340A39"/>
    <w:rsid w:val="77351FD0"/>
    <w:rsid w:val="77472422"/>
    <w:rsid w:val="77512E3F"/>
    <w:rsid w:val="777F31F2"/>
    <w:rsid w:val="778C1A27"/>
    <w:rsid w:val="77BC650A"/>
    <w:rsid w:val="77D1700D"/>
    <w:rsid w:val="77E87688"/>
    <w:rsid w:val="77EC04CC"/>
    <w:rsid w:val="77F300A6"/>
    <w:rsid w:val="780265DC"/>
    <w:rsid w:val="78104AA8"/>
    <w:rsid w:val="781F6A99"/>
    <w:rsid w:val="7853456D"/>
    <w:rsid w:val="78775729"/>
    <w:rsid w:val="78857244"/>
    <w:rsid w:val="789676A9"/>
    <w:rsid w:val="789E22CF"/>
    <w:rsid w:val="78A42DB0"/>
    <w:rsid w:val="78A656AB"/>
    <w:rsid w:val="78B2245C"/>
    <w:rsid w:val="78C353D5"/>
    <w:rsid w:val="78E172CC"/>
    <w:rsid w:val="78EA1D1F"/>
    <w:rsid w:val="78FB12B4"/>
    <w:rsid w:val="7904172F"/>
    <w:rsid w:val="790F7E27"/>
    <w:rsid w:val="791D56CF"/>
    <w:rsid w:val="791F1447"/>
    <w:rsid w:val="791F40C5"/>
    <w:rsid w:val="79294073"/>
    <w:rsid w:val="792A231A"/>
    <w:rsid w:val="79316829"/>
    <w:rsid w:val="79440FF5"/>
    <w:rsid w:val="797E66A9"/>
    <w:rsid w:val="79823784"/>
    <w:rsid w:val="79920360"/>
    <w:rsid w:val="79935991"/>
    <w:rsid w:val="79A4194C"/>
    <w:rsid w:val="79A97383"/>
    <w:rsid w:val="79DF2D87"/>
    <w:rsid w:val="79E27E8B"/>
    <w:rsid w:val="79E907AB"/>
    <w:rsid w:val="79F850CE"/>
    <w:rsid w:val="79FD443C"/>
    <w:rsid w:val="7A1D1975"/>
    <w:rsid w:val="7A236D15"/>
    <w:rsid w:val="7A3E5150"/>
    <w:rsid w:val="7A4670D6"/>
    <w:rsid w:val="7A534B63"/>
    <w:rsid w:val="7A5471AB"/>
    <w:rsid w:val="7A615382"/>
    <w:rsid w:val="7A67303B"/>
    <w:rsid w:val="7AAB1D04"/>
    <w:rsid w:val="7AB61937"/>
    <w:rsid w:val="7ABA4368"/>
    <w:rsid w:val="7AD05746"/>
    <w:rsid w:val="7AF34939"/>
    <w:rsid w:val="7B257FFD"/>
    <w:rsid w:val="7B343476"/>
    <w:rsid w:val="7B4F7695"/>
    <w:rsid w:val="7B5A2978"/>
    <w:rsid w:val="7B5A7E4C"/>
    <w:rsid w:val="7B667AF9"/>
    <w:rsid w:val="7B7468F8"/>
    <w:rsid w:val="7B982A3A"/>
    <w:rsid w:val="7B9A30C1"/>
    <w:rsid w:val="7BD76009"/>
    <w:rsid w:val="7BEE0103"/>
    <w:rsid w:val="7BF64882"/>
    <w:rsid w:val="7C0A0FE4"/>
    <w:rsid w:val="7C254906"/>
    <w:rsid w:val="7C2D5C29"/>
    <w:rsid w:val="7C3074C7"/>
    <w:rsid w:val="7C590818"/>
    <w:rsid w:val="7C6E49F8"/>
    <w:rsid w:val="7C7C10F6"/>
    <w:rsid w:val="7C853BEA"/>
    <w:rsid w:val="7C881368"/>
    <w:rsid w:val="7CA4541E"/>
    <w:rsid w:val="7CE27788"/>
    <w:rsid w:val="7D072175"/>
    <w:rsid w:val="7D0C32F1"/>
    <w:rsid w:val="7D0F408D"/>
    <w:rsid w:val="7D382AD7"/>
    <w:rsid w:val="7D442589"/>
    <w:rsid w:val="7D491C6C"/>
    <w:rsid w:val="7D5429C0"/>
    <w:rsid w:val="7D6E6D43"/>
    <w:rsid w:val="7D773161"/>
    <w:rsid w:val="7D82633D"/>
    <w:rsid w:val="7D93563B"/>
    <w:rsid w:val="7DB57A34"/>
    <w:rsid w:val="7DCF4ABD"/>
    <w:rsid w:val="7DE60973"/>
    <w:rsid w:val="7DE84174"/>
    <w:rsid w:val="7DEF0916"/>
    <w:rsid w:val="7E0C6649"/>
    <w:rsid w:val="7E17348D"/>
    <w:rsid w:val="7E1E5218"/>
    <w:rsid w:val="7E235535"/>
    <w:rsid w:val="7E3F359E"/>
    <w:rsid w:val="7E9152E4"/>
    <w:rsid w:val="7E9A4E1F"/>
    <w:rsid w:val="7EA7723A"/>
    <w:rsid w:val="7EBE525E"/>
    <w:rsid w:val="7EC87E8B"/>
    <w:rsid w:val="7ED4682F"/>
    <w:rsid w:val="7EF56FBB"/>
    <w:rsid w:val="7F0768EB"/>
    <w:rsid w:val="7F107725"/>
    <w:rsid w:val="7F143BEC"/>
    <w:rsid w:val="7F1F5275"/>
    <w:rsid w:val="7F6776A3"/>
    <w:rsid w:val="7F715AF2"/>
    <w:rsid w:val="7F8813C8"/>
    <w:rsid w:val="7F886E69"/>
    <w:rsid w:val="7FD04749"/>
    <w:rsid w:val="7FF50CD9"/>
    <w:rsid w:val="7FF679F4"/>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unhideWhenUsed/>
    <w:qFormat/>
    <w:uiPriority w:val="1"/>
  </w:style>
  <w:style w:type="table" w:default="1" w:styleId="66">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table of authorities"/>
    <w:basedOn w:val="1"/>
    <w:next w:val="1"/>
    <w:qFormat/>
    <w:uiPriority w:val="0"/>
    <w:pPr>
      <w:ind w:left="420" w:leftChars="200"/>
    </w:pPr>
    <w:rPr>
      <w:rFonts w:eastAsia="宋体" w:cs="Times New Roman"/>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Balloon Text"/>
    <w:basedOn w:val="1"/>
    <w:next w:val="18"/>
    <w:link w:val="190"/>
    <w:qFormat/>
    <w:uiPriority w:val="0"/>
    <w:rPr>
      <w:sz w:val="18"/>
      <w:szCs w:val="18"/>
    </w:rPr>
  </w:style>
  <w:style w:type="paragraph" w:styleId="18">
    <w:name w:val="toc 8"/>
    <w:basedOn w:val="1"/>
    <w:next w:val="1"/>
    <w:qFormat/>
    <w:uiPriority w:val="0"/>
    <w:pPr>
      <w:ind w:left="2940" w:leftChars="1400"/>
    </w:pPr>
  </w:style>
  <w:style w:type="paragraph" w:styleId="19">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31"/>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4"/>
    <w:qFormat/>
    <w:uiPriority w:val="0"/>
    <w:pPr>
      <w:shd w:val="clear" w:color="auto" w:fill="000080"/>
    </w:pPr>
  </w:style>
  <w:style w:type="paragraph" w:styleId="23">
    <w:name w:val="toa heading"/>
    <w:basedOn w:val="1"/>
    <w:next w:val="1"/>
    <w:unhideWhenUsed/>
    <w:qFormat/>
    <w:uiPriority w:val="99"/>
    <w:pPr>
      <w:spacing w:before="120" w:line="360" w:lineRule="auto"/>
    </w:pPr>
    <w:rPr>
      <w:rFonts w:ascii="Cambria" w:hAnsi="Cambria"/>
      <w:sz w:val="24"/>
    </w:rPr>
  </w:style>
  <w:style w:type="paragraph" w:styleId="24">
    <w:name w:val="annotation text"/>
    <w:basedOn w:val="1"/>
    <w:link w:val="345"/>
    <w:qFormat/>
    <w:uiPriority w:val="99"/>
    <w:pPr>
      <w:jc w:val="left"/>
    </w:pPr>
  </w:style>
  <w:style w:type="paragraph" w:styleId="25">
    <w:name w:val="Salutation"/>
    <w:basedOn w:val="1"/>
    <w:next w:val="1"/>
    <w:link w:val="299"/>
    <w:qFormat/>
    <w:uiPriority w:val="0"/>
    <w:rPr>
      <w:rFonts w:ascii="FangSong_GB2312" w:eastAsia="FangSong_GB2312"/>
      <w:sz w:val="28"/>
      <w:szCs w:val="20"/>
    </w:rPr>
  </w:style>
  <w:style w:type="paragraph" w:styleId="26">
    <w:name w:val="Body Text 3"/>
    <w:basedOn w:val="1"/>
    <w:link w:val="331"/>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Body Text"/>
    <w:basedOn w:val="1"/>
    <w:next w:val="29"/>
    <w:link w:val="431"/>
    <w:qFormat/>
    <w:uiPriority w:val="0"/>
    <w:pPr>
      <w:autoSpaceDE w:val="0"/>
      <w:autoSpaceDN w:val="0"/>
      <w:spacing w:line="360" w:lineRule="auto"/>
    </w:pPr>
    <w:rPr>
      <w:rFonts w:ascii="宋体" w:hAnsi="Arial" w:cs="Arial"/>
      <w:snapToGrid w:val="0"/>
      <w:sz w:val="24"/>
      <w:szCs w:val="21"/>
      <w:lang w:val="zh-CN"/>
    </w:rPr>
  </w:style>
  <w:style w:type="paragraph" w:styleId="29">
    <w:name w:val="Body Text First Indent"/>
    <w:basedOn w:val="28"/>
    <w:next w:val="30"/>
    <w:link w:val="322"/>
    <w:qFormat/>
    <w:uiPriority w:val="0"/>
    <w:pPr>
      <w:ind w:firstLine="420"/>
    </w:pPr>
    <w:rPr>
      <w:rFonts w:hAnsi="Calibri" w:cs="Times New Roman"/>
      <w:snapToGrid/>
      <w:szCs w:val="20"/>
    </w:rPr>
  </w:style>
  <w:style w:type="paragraph" w:styleId="30">
    <w:name w:val="toc 6"/>
    <w:basedOn w:val="1"/>
    <w:next w:val="1"/>
    <w:qFormat/>
    <w:uiPriority w:val="0"/>
    <w:pPr>
      <w:ind w:left="2100" w:leftChars="1000"/>
    </w:pPr>
  </w:style>
  <w:style w:type="paragraph" w:styleId="31">
    <w:name w:val="Body Text Indent"/>
    <w:basedOn w:val="1"/>
    <w:next w:val="1"/>
    <w:link w:val="267"/>
    <w:qFormat/>
    <w:uiPriority w:val="0"/>
    <w:pPr>
      <w:spacing w:line="480" w:lineRule="exact"/>
      <w:ind w:firstLine="480" w:firstLineChars="200"/>
    </w:pPr>
    <w:rPr>
      <w:rFonts w:ascii="宋体" w:hAnsi="宋体"/>
      <w:sz w:val="24"/>
    </w:rPr>
  </w:style>
  <w:style w:type="paragraph" w:styleId="32">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3">
    <w:name w:val="List 2"/>
    <w:basedOn w:val="1"/>
    <w:qFormat/>
    <w:uiPriority w:val="0"/>
    <w:pPr>
      <w:adjustRightInd/>
      <w:spacing w:line="360" w:lineRule="auto"/>
      <w:ind w:left="100" w:leftChars="200" w:hanging="200" w:hangingChars="200"/>
    </w:pPr>
    <w:rPr>
      <w:rFonts w:eastAsia="微软雅黑"/>
    </w:rPr>
  </w:style>
  <w:style w:type="paragraph" w:styleId="34">
    <w:name w:val="Block Text"/>
    <w:basedOn w:val="1"/>
    <w:qFormat/>
    <w:uiPriority w:val="0"/>
    <w:pPr>
      <w:ind w:left="-359" w:leftChars="-171" w:right="-244" w:rightChars="-244" w:firstLine="501" w:firstLineChars="239"/>
    </w:pPr>
    <w:rPr>
      <w:rFonts w:ascii="FangSong_GB2312" w:eastAsia="FangSong_GB2312"/>
      <w:sz w:val="30"/>
      <w:szCs w:val="20"/>
    </w:rPr>
  </w:style>
  <w:style w:type="paragraph" w:styleId="35">
    <w:name w:val="List Bullet 2"/>
    <w:basedOn w:val="1"/>
    <w:qFormat/>
    <w:uiPriority w:val="0"/>
    <w:pPr>
      <w:autoSpaceDE w:val="0"/>
      <w:autoSpaceDN w:val="0"/>
      <w:ind w:left="420"/>
      <w:jc w:val="left"/>
    </w:pPr>
    <w:rPr>
      <w:rFonts w:ascii="宋体" w:hAnsi="宋体"/>
      <w:color w:val="000000"/>
      <w:kern w:val="0"/>
      <w:sz w:val="24"/>
      <w:szCs w:val="20"/>
    </w:rPr>
  </w:style>
  <w:style w:type="paragraph" w:styleId="36">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7">
    <w:name w:val="toc 5"/>
    <w:basedOn w:val="1"/>
    <w:next w:val="1"/>
    <w:qFormat/>
    <w:uiPriority w:val="0"/>
    <w:pPr>
      <w:ind w:left="1680" w:leftChars="800"/>
    </w:pPr>
  </w:style>
  <w:style w:type="paragraph" w:styleId="38">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9">
    <w:name w:val="Plain Text"/>
    <w:basedOn w:val="1"/>
    <w:next w:val="1"/>
    <w:link w:val="127"/>
    <w:qFormat/>
    <w:uiPriority w:val="0"/>
    <w:rPr>
      <w:rFonts w:ascii="宋体" w:hAnsi="Courier New" w:cs="Arial"/>
      <w:snapToGrid w:val="0"/>
      <w:szCs w:val="21"/>
    </w:rPr>
  </w:style>
  <w:style w:type="paragraph" w:styleId="40">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41">
    <w:name w:val="Date"/>
    <w:basedOn w:val="1"/>
    <w:next w:val="1"/>
    <w:link w:val="183"/>
    <w:qFormat/>
    <w:uiPriority w:val="0"/>
    <w:pPr>
      <w:ind w:left="100" w:leftChars="2500"/>
    </w:pPr>
    <w:rPr>
      <w:rFonts w:ascii="宋体"/>
      <w:sz w:val="24"/>
      <w:szCs w:val="21"/>
      <w:lang w:val="zh-CN"/>
    </w:rPr>
  </w:style>
  <w:style w:type="paragraph" w:styleId="42">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3">
    <w:name w:val="endnote text"/>
    <w:basedOn w:val="1"/>
    <w:link w:val="934"/>
    <w:qFormat/>
    <w:uiPriority w:val="0"/>
    <w:rPr>
      <w:lang w:val="zh-CN"/>
    </w:rPr>
  </w:style>
  <w:style w:type="paragraph" w:styleId="44">
    <w:name w:val="footer"/>
    <w:basedOn w:val="1"/>
    <w:link w:val="384"/>
    <w:qFormat/>
    <w:uiPriority w:val="99"/>
    <w:pPr>
      <w:tabs>
        <w:tab w:val="center" w:pos="4153"/>
        <w:tab w:val="right" w:pos="8306"/>
      </w:tabs>
      <w:snapToGrid w:val="0"/>
      <w:jc w:val="left"/>
    </w:pPr>
    <w:rPr>
      <w:sz w:val="18"/>
      <w:szCs w:val="18"/>
    </w:rPr>
  </w:style>
  <w:style w:type="paragraph" w:styleId="45">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6"/>
    <w:qFormat/>
    <w:uiPriority w:val="0"/>
    <w:pPr>
      <w:spacing w:after="600" w:line="312" w:lineRule="atLeast"/>
      <w:jc w:val="center"/>
      <w:textAlignment w:val="baseline"/>
    </w:pPr>
    <w:rPr>
      <w:rFonts w:eastAsia="FangSong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9"/>
    <w:link w:val="311"/>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6"/>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3"/>
    <w:qFormat/>
    <w:uiPriority w:val="0"/>
    <w:pPr>
      <w:spacing w:after="120" w:line="480" w:lineRule="auto"/>
    </w:pPr>
  </w:style>
  <w:style w:type="paragraph" w:styleId="60">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87"/>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4"/>
    <w:next w:val="24"/>
    <w:link w:val="98"/>
    <w:qFormat/>
    <w:uiPriority w:val="0"/>
    <w:rPr>
      <w:b/>
      <w:bCs/>
    </w:rPr>
  </w:style>
  <w:style w:type="paragraph" w:styleId="64">
    <w:name w:val="Body Text First Indent 2"/>
    <w:basedOn w:val="31"/>
    <w:next w:val="65"/>
    <w:link w:val="123"/>
    <w:qFormat/>
    <w:uiPriority w:val="0"/>
    <w:pPr>
      <w:adjustRightInd/>
      <w:spacing w:after="120" w:line="240" w:lineRule="auto"/>
      <w:ind w:left="420" w:leftChars="200" w:firstLine="210"/>
    </w:pPr>
    <w:rPr>
      <w:sz w:val="21"/>
    </w:rPr>
  </w:style>
  <w:style w:type="paragraph" w:customStyle="1" w:styleId="65">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basedOn w:val="73"/>
    <w:qFormat/>
    <w:uiPriority w:val="99"/>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character" w:customStyle="1" w:styleId="83">
    <w:name w:val="标题 1 Char"/>
    <w:link w:val="3"/>
    <w:qFormat/>
    <w:uiPriority w:val="9"/>
    <w:rPr>
      <w:b/>
      <w:bCs/>
      <w:kern w:val="44"/>
      <w:sz w:val="44"/>
      <w:szCs w:val="44"/>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FangSong_GB2312" w:hAnsi="FangSong_GB2312" w:eastAsia="FangSong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3"/>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FangSong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FangSong_GB2312" w:hAnsi="微软雅黑" w:eastAsia="FangSong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FangSong_GB2312" w:hAnsi="微软雅黑" w:eastAsia="FangSong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FangSong_GB2312" w:hAnsi="宋体" w:eastAsia="FangSong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FangSong_GB2312" w:eastAsia="FangSong_GB2312"/>
      <w:b/>
      <w:bCs/>
      <w:kern w:val="2"/>
      <w:sz w:val="24"/>
      <w:szCs w:val="24"/>
      <w:lang w:val="zh-CN" w:eastAsia="zh-CN" w:bidi="ar-SA"/>
    </w:rPr>
  </w:style>
  <w:style w:type="character" w:customStyle="1" w:styleId="123">
    <w:name w:val="正文首行缩进 2 Char"/>
    <w:link w:val="64"/>
    <w:qFormat/>
    <w:uiPriority w:val="0"/>
    <w:rPr>
      <w:rFonts w:ascii="宋体" w:hAnsi="宋体"/>
      <w:kern w:val="2"/>
      <w:sz w:val="21"/>
      <w:szCs w:val="24"/>
    </w:rPr>
  </w:style>
  <w:style w:type="character" w:customStyle="1" w:styleId="124">
    <w:name w:val="font11"/>
    <w:basedOn w:val="73"/>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3"/>
    <w:qFormat/>
    <w:uiPriority w:val="0"/>
    <w:rPr>
      <w:rFonts w:ascii="Arial" w:hAnsi="Arial" w:eastAsia="黑体" w:cs="Arial"/>
      <w:snapToGrid w:val="0"/>
      <w:kern w:val="0"/>
      <w:szCs w:val="21"/>
    </w:rPr>
  </w:style>
  <w:style w:type="character" w:customStyle="1" w:styleId="127">
    <w:name w:val="纯文本 Char"/>
    <w:link w:val="39"/>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FangSong_GB2312" w:hAnsi="仿宋" w:eastAsia="FangSong_GB2312"/>
      <w:kern w:val="2"/>
      <w:sz w:val="24"/>
      <w:szCs w:val="24"/>
    </w:rPr>
  </w:style>
  <w:style w:type="character" w:customStyle="1" w:styleId="130">
    <w:name w:val="样式4 Char"/>
    <w:qFormat/>
    <w:uiPriority w:val="0"/>
    <w:rPr>
      <w:rFonts w:ascii="FangSong_GB2312" w:hAnsi="仿宋" w:eastAsia="FangSong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51"/>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FangSong_GB2312" w:hAnsi="仿宋" w:eastAsia="FangSong_GB2312"/>
      <w:b/>
      <w:kern w:val="2"/>
      <w:sz w:val="24"/>
      <w:szCs w:val="24"/>
    </w:rPr>
  </w:style>
  <w:style w:type="character" w:customStyle="1" w:styleId="144">
    <w:name w:val="font12gray1"/>
    <w:qFormat/>
    <w:uiPriority w:val="0"/>
    <w:rPr>
      <w:rFonts w:ascii="FangSong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FangSong_GB2312" w:eastAsia="FangSong_GB2312" w:cs="FangSong_GB2312"/>
      <w:color w:val="000000"/>
      <w:sz w:val="22"/>
      <w:szCs w:val="22"/>
      <w:u w:val="none"/>
    </w:rPr>
  </w:style>
  <w:style w:type="character" w:customStyle="1" w:styleId="149">
    <w:name w:val="标题 6 Char"/>
    <w:link w:val="8"/>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FangSong_GB2312" w:hAnsi="FangSong_GB2312" w:eastAsia="FangSong_GB2312"/>
      <w:kern w:val="2"/>
      <w:sz w:val="24"/>
      <w:lang w:bidi="ar-SA"/>
    </w:rPr>
  </w:style>
  <w:style w:type="character" w:customStyle="1" w:styleId="155">
    <w:name w:val="正文 项目 Char"/>
    <w:qFormat/>
    <w:uiPriority w:val="0"/>
    <w:rPr>
      <w:rFonts w:ascii="FangSong_GB2312" w:hAnsi="FangSong_GB2312" w:eastAsia="FangSong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FangSong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99"/>
    <w:rPr>
      <w:rFonts w:eastAsia="FangSong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FangSong_GB2312" w:hAnsi="Times New Roman" w:eastAsia="FangSong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FangSong_GB2312" w:hAnsi="仿宋" w:eastAsia="FangSong_GB2312" w:cs="FangSong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4"/>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41"/>
    <w:qFormat/>
    <w:uiPriority w:val="0"/>
    <w:rPr>
      <w:rFonts w:ascii="宋体"/>
      <w:kern w:val="2"/>
      <w:sz w:val="24"/>
      <w:szCs w:val="21"/>
      <w:lang w:val="zh-CN"/>
    </w:rPr>
  </w:style>
  <w:style w:type="character" w:customStyle="1" w:styleId="184">
    <w:name w:val="标题 9 Char"/>
    <w:link w:val="11"/>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17"/>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FangSong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9"/>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FangSong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FangSong_GB2312" w:eastAsia="微软雅黑"/>
      <w:b/>
      <w:kern w:val="2"/>
      <w:sz w:val="32"/>
      <w:szCs w:val="32"/>
      <w:lang w:val="en-US" w:eastAsia="zh-CN" w:bidi="ar-SA"/>
    </w:rPr>
  </w:style>
  <w:style w:type="character" w:customStyle="1" w:styleId="204">
    <w:name w:val="文档结构图 Char1"/>
    <w:link w:val="22"/>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3"/>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FangSong_GB2312" w:hAnsi="仿宋" w:eastAsia="FangSong_GB2312" w:cs="FangSong_GB2312"/>
      <w:sz w:val="32"/>
      <w:szCs w:val="30"/>
      <w:lang w:val="zh-CN"/>
    </w:rPr>
  </w:style>
  <w:style w:type="character" w:customStyle="1" w:styleId="221">
    <w:name w:val="HTML 地址 Char"/>
    <w:link w:val="36"/>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6"/>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FangSong_GB2312" w:eastAsia="FangSong_GB2312"/>
      <w:b/>
      <w:bCs/>
      <w:kern w:val="2"/>
      <w:sz w:val="24"/>
      <w:szCs w:val="24"/>
      <w:lang w:val="zh-CN" w:eastAsia="zh-CN" w:bidi="ar-SA"/>
    </w:rPr>
  </w:style>
  <w:style w:type="character" w:customStyle="1" w:styleId="231">
    <w:name w:val="题注 Char"/>
    <w:link w:val="20"/>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FangSong_GB2312" w:eastAsia="FangSong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FangSong_GB2312" w:eastAsia="FangSong_GB2312" w:cs="FangSong_GB2312"/>
      <w:color w:val="000000"/>
      <w:sz w:val="24"/>
      <w:szCs w:val="24"/>
      <w:lang w:val="en-US" w:eastAsia="zh-CN" w:bidi="ar-SA"/>
    </w:rPr>
  </w:style>
  <w:style w:type="paragraph" w:customStyle="1" w:styleId="237">
    <w:name w:val="Default"/>
    <w:next w:val="1"/>
    <w:link w:val="236"/>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FangSong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FangSong_GB2312" w:eastAsia="FangSong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FangSong_GB2312" w:hAnsi="FangSong_GB2312" w:eastAsia="FangSong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FangSong_GB2312" w:eastAsia="FangSong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31"/>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qFormat/>
    <w:uiPriority w:val="0"/>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2"/>
    <w:qFormat/>
    <w:uiPriority w:val="10"/>
    <w:rPr>
      <w:b/>
      <w:sz w:val="24"/>
      <w:lang w:val="en-GB"/>
    </w:rPr>
  </w:style>
  <w:style w:type="character" w:customStyle="1" w:styleId="288">
    <w:name w:val="font81"/>
    <w:basedOn w:val="73"/>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FangSong_GB2312" w:eastAsia="微软雅黑"/>
      <w:b/>
      <w:kern w:val="2"/>
      <w:sz w:val="23"/>
      <w:szCs w:val="23"/>
      <w:lang w:val="en-US" w:eastAsia="zh-CN" w:bidi="ar-SA"/>
    </w:rPr>
  </w:style>
  <w:style w:type="character" w:customStyle="1" w:styleId="291">
    <w:name w:val="样式8 Char"/>
    <w:qFormat/>
    <w:uiPriority w:val="0"/>
    <w:rPr>
      <w:rFonts w:ascii="FangSong_GB2312" w:hAnsi="宋体" w:eastAsia="FangSong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FangSong_GB2312" w:eastAsia="FangSong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5"/>
    <w:qFormat/>
    <w:uiPriority w:val="0"/>
    <w:rPr>
      <w:rFonts w:ascii="FangSong_GB2312" w:eastAsia="FangSong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60"/>
    <w:qFormat/>
    <w:uiPriority w:val="0"/>
    <w:rPr>
      <w:rFonts w:ascii="黑体" w:hAnsi="Courier New" w:eastAsia="黑体"/>
    </w:rPr>
  </w:style>
  <w:style w:type="character" w:customStyle="1" w:styleId="303">
    <w:name w:val="正文文本 2 Char1"/>
    <w:link w:val="59"/>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42"/>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4"/>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9"/>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6"/>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FangSong_GB2312" w:eastAsia="FangSong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FangSong_GB2312" w:hAnsi="Courier New" w:eastAsia="FangSong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4"/>
    <w:qFormat/>
    <w:uiPriority w:val="0"/>
    <w:rPr>
      <w:kern w:val="2"/>
      <w:sz w:val="21"/>
      <w:szCs w:val="24"/>
    </w:rPr>
  </w:style>
  <w:style w:type="character" w:customStyle="1" w:styleId="346">
    <w:name w:val="签名 Char"/>
    <w:link w:val="46"/>
    <w:qFormat/>
    <w:uiPriority w:val="0"/>
    <w:rPr>
      <w:rFonts w:eastAsia="FangSong_GB2312"/>
      <w:sz w:val="24"/>
    </w:rPr>
  </w:style>
  <w:style w:type="character" w:customStyle="1" w:styleId="347">
    <w:name w:val="hui3"/>
    <w:qFormat/>
    <w:uiPriority w:val="0"/>
    <w:rPr>
      <w:color w:val="333333"/>
    </w:rPr>
  </w:style>
  <w:style w:type="character" w:customStyle="1" w:styleId="348">
    <w:name w:val="Char Char17"/>
    <w:qFormat/>
    <w:uiPriority w:val="6"/>
    <w:rPr>
      <w:rFonts w:eastAsia="FangSong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FangSong_GB2312" w:eastAsia="FangSong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FangSong_GB2312" w:eastAsia="FangSong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FangSong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basedOn w:val="73"/>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FangSong_GB2312" w:eastAsia="FangSong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4"/>
    <w:qFormat/>
    <w:locked/>
    <w:uiPriority w:val="99"/>
    <w:rPr>
      <w:kern w:val="2"/>
      <w:sz w:val="18"/>
      <w:szCs w:val="18"/>
    </w:rPr>
  </w:style>
  <w:style w:type="character" w:customStyle="1" w:styleId="385">
    <w:name w:val="Char Char36"/>
    <w:qFormat/>
    <w:uiPriority w:val="6"/>
    <w:rPr>
      <w:rFonts w:ascii="FangSong_GB2312" w:hAnsi="FangSong_GB2312" w:eastAsia="FangSong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5"/>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FangSong_GB2312" w:eastAsia="FangSong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FangSong_GB2312" w:eastAsia="FangSong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3"/>
    <w:qFormat/>
    <w:uiPriority w:val="0"/>
    <w:rPr>
      <w:rFonts w:ascii="Arial" w:hAnsi="Arial" w:eastAsia="黑体" w:cs="Arial"/>
      <w:snapToGrid w:val="0"/>
      <w:kern w:val="0"/>
      <w:szCs w:val="21"/>
    </w:rPr>
  </w:style>
  <w:style w:type="character" w:customStyle="1" w:styleId="423">
    <w:name w:val="pt9"/>
    <w:qFormat/>
    <w:uiPriority w:val="0"/>
    <w:rPr>
      <w:rFonts w:ascii="FangSong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9"/>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8"/>
    <w:qFormat/>
    <w:uiPriority w:val="0"/>
    <w:rPr>
      <w:rFonts w:ascii="宋体" w:hAnsi="Arial" w:eastAsia="宋体" w:cs="Arial"/>
      <w:snapToGrid w:val="0"/>
      <w:kern w:val="2"/>
      <w:sz w:val="24"/>
      <w:szCs w:val="21"/>
      <w:lang w:val="zh-CN" w:eastAsia="zh-CN" w:bidi="ar-SA"/>
    </w:rPr>
  </w:style>
  <w:style w:type="character" w:customStyle="1" w:styleId="432">
    <w:name w:val="gray6"/>
    <w:basedOn w:val="73"/>
    <w:qFormat/>
    <w:uiPriority w:val="0"/>
    <w:rPr>
      <w:rFonts w:ascii="Arial" w:hAnsi="Arial" w:eastAsia="黑体" w:cs="Arial"/>
      <w:snapToGrid w:val="0"/>
      <w:kern w:val="0"/>
      <w:szCs w:val="21"/>
    </w:rPr>
  </w:style>
  <w:style w:type="character" w:customStyle="1" w:styleId="433">
    <w:name w:val="hui"/>
    <w:basedOn w:val="73"/>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31"/>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FangSong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28"/>
    <w:qFormat/>
    <w:uiPriority w:val="0"/>
    <w:pPr>
      <w:tabs>
        <w:tab w:val="left" w:pos="2790"/>
        <w:tab w:val="left" w:pos="4230"/>
      </w:tabs>
      <w:snapToGrid w:val="0"/>
      <w:jc w:val="center"/>
      <w:outlineLvl w:val="1"/>
    </w:pPr>
    <w:rPr>
      <w:rFonts w:ascii="FangSong_GB2312" w:hAnsi="仿宋" w:eastAsia="FangSong_GB2312"/>
      <w:b/>
      <w:bCs/>
      <w:kern w:val="0"/>
      <w:sz w:val="32"/>
      <w:szCs w:val="30"/>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FangSong_GB2312" w:eastAsia="FangSong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FangSong_GB2312" w:eastAsia="FangSong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FangSong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5"/>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FangSong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FangSong_GB2312" w:eastAsia="FangSong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FangSong_GB2312" w:eastAsia="FangSong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FangSong_GB2312" w:eastAsia="FangSong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FangSong_GB2312" w:eastAsia="FangSong_GB2312"/>
      <w:b/>
      <w:sz w:val="32"/>
      <w:szCs w:val="32"/>
    </w:rPr>
  </w:style>
  <w:style w:type="paragraph" w:customStyle="1" w:styleId="504">
    <w:name w:val="Char2 Char Char Char1"/>
    <w:basedOn w:val="1"/>
    <w:qFormat/>
    <w:uiPriority w:val="6"/>
    <w:rPr>
      <w:rFonts w:ascii="FangSong_GB2312" w:eastAsia="FangSong_GB2312"/>
      <w:b/>
      <w:sz w:val="32"/>
      <w:szCs w:val="32"/>
    </w:rPr>
  </w:style>
  <w:style w:type="paragraph" w:customStyle="1" w:styleId="505">
    <w:name w:val="默认段落样式"/>
    <w:basedOn w:val="133"/>
    <w:qFormat/>
    <w:uiPriority w:val="0"/>
    <w:pPr>
      <w:spacing w:before="0"/>
      <w:ind w:firstLine="480"/>
      <w:outlineLvl w:val="2"/>
    </w:pPr>
    <w:rPr>
      <w:rFonts w:ascii="FangSong_GB2312" w:hAnsi="宋体" w:eastAsia="FangSong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9"/>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1"/>
    <w:pPr>
      <w:adjustRightInd/>
      <w:ind w:firstLine="420" w:firstLineChars="200"/>
    </w:pPr>
    <w:rPr>
      <w:rFonts w:eastAsia="FangSong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FangSong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FangSong_GB2312" w:eastAsia="FangSong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FangSong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FangSong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FangSong_GB2312" w:eastAsia="FangSong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FangSong_GB2312" w:eastAsia="FangSong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FangSong_GB2312" w:eastAsia="FangSong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FangSong_GB2312" w:hAnsi="仿宋" w:eastAsia="FangSong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31"/>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FangSong_GB2312" w:eastAsia="FangSong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9"/>
    <w:qFormat/>
    <w:uiPriority w:val="0"/>
    <w:pPr>
      <w:spacing w:line="460" w:lineRule="exact"/>
      <w:outlineLvl w:val="2"/>
    </w:pPr>
    <w:rPr>
      <w:rFonts w:ascii="FangSong_GB2312" w:hAnsi="宋体" w:eastAsia="FangSong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FangSong_GB2312" w:eastAsia="FangSong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31"/>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9"/>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FangSong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FangSong_GB2312" w:eastAsia="FangSong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FangSong_GB2312" w:eastAsia="FangSong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FangSong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FangSong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5"/>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FangSong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FangSong_GB2312" w:eastAsia="FangSong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FangSong_GB2312" w:hAnsi="仿宋" w:eastAsia="FangSong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Lines="0" w:afterLines="0"/>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FangSong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FangSong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8"/>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FangSong_GB2312" w:eastAsia="FangSong_GB2312"/>
      <w:b/>
      <w:sz w:val="32"/>
      <w:szCs w:val="32"/>
    </w:rPr>
  </w:style>
  <w:style w:type="paragraph" w:customStyle="1" w:styleId="703">
    <w:name w:val="正文缩进1"/>
    <w:basedOn w:val="1"/>
    <w:next w:val="3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FangSong_GB2312" w:eastAsia="FangSong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FangSong_GB2312" w:eastAsia="新宋体"/>
      <w:sz w:val="24"/>
      <w:szCs w:val="20"/>
    </w:rPr>
  </w:style>
  <w:style w:type="paragraph" w:customStyle="1" w:styleId="723">
    <w:name w:val="4"/>
    <w:basedOn w:val="1"/>
    <w:next w:val="42"/>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FangSong_GB2312" w:eastAsia="FangSong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FangSong_GB2312" w:eastAsia="FangSong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FangSong_GB2312" w:eastAsia="FangSong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FangSong_GB2312" w:eastAsia="FangSong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762">
    <w:name w:val="_Style 5"/>
    <w:basedOn w:val="1"/>
    <w:qFormat/>
    <w:uiPriority w:val="34"/>
    <w:pPr>
      <w:adjustRightInd/>
      <w:ind w:firstLine="420" w:firstLineChars="200"/>
    </w:pPr>
    <w:rPr>
      <w:rFonts w:eastAsia="FangSong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FangSong_GB2312" w:eastAsia="FangSong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8"/>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FangSong_GB2312" w:eastAsia="FangSong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31"/>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9"/>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FangSong_GB2312" w:eastAsia="FangSong_GB2312"/>
      <w:b/>
      <w:sz w:val="32"/>
      <w:szCs w:val="32"/>
    </w:rPr>
  </w:style>
  <w:style w:type="paragraph" w:customStyle="1" w:styleId="787">
    <w:name w:val="Char111"/>
    <w:basedOn w:val="1"/>
    <w:qFormat/>
    <w:uiPriority w:val="0"/>
    <w:rPr>
      <w:rFonts w:ascii="FangSong_GB2312" w:eastAsia="FangSong_GB2312"/>
      <w:b/>
      <w:sz w:val="32"/>
      <w:szCs w:val="32"/>
    </w:rPr>
  </w:style>
  <w:style w:type="paragraph" w:customStyle="1" w:styleId="788">
    <w:name w:val="标题3"/>
    <w:basedOn w:val="5"/>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FangSong_GB2312" w:eastAsia="FangSong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FangSong_GB2312" w:eastAsia="FangSong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8"/>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FangSong_GB2312" w:eastAsia="FangSong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2"/>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FangSong_GB2312"/>
      <w:sz w:val="24"/>
      <w:szCs w:val="20"/>
    </w:rPr>
  </w:style>
  <w:style w:type="paragraph" w:customStyle="1" w:styleId="841">
    <w:name w:val="正文1"/>
    <w:basedOn w:val="38"/>
    <w:next w:val="842"/>
    <w:qFormat/>
    <w:uiPriority w:val="0"/>
    <w:pPr>
      <w:ind w:left="0" w:leftChars="0" w:firstLine="480" w:firstLineChars="200"/>
    </w:pPr>
    <w:rPr>
      <w:rFonts w:ascii="FangSong_GB2312" w:hAnsi="Courier New" w:eastAsia="FangSong_GB2312"/>
      <w:kern w:val="28"/>
      <w:sz w:val="24"/>
    </w:rPr>
  </w:style>
  <w:style w:type="paragraph" w:customStyle="1" w:styleId="842">
    <w:name w:val="正文文本1"/>
    <w:basedOn w:val="1"/>
    <w:next w:val="841"/>
    <w:qFormat/>
    <w:uiPriority w:val="99"/>
    <w:rPr>
      <w:rFonts w:ascii="Calibri" w:hAnsi="Calibri"/>
      <w:sz w:val="21"/>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31"/>
    <w:qFormat/>
    <w:uiPriority w:val="0"/>
    <w:pPr>
      <w:adjustRightInd/>
      <w:spacing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FangSong_GB2312" w:eastAsia="FangSong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FangSong_GB2312" w:eastAsia="FangSong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FangSong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FangSong_GB2312" w:eastAsia="FangSong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FangSong_GB2312"/>
      <w:sz w:val="28"/>
    </w:rPr>
  </w:style>
  <w:style w:type="paragraph" w:customStyle="1" w:styleId="863">
    <w:name w:val="Char21"/>
    <w:basedOn w:val="1"/>
    <w:qFormat/>
    <w:uiPriority w:val="0"/>
    <w:pPr>
      <w:adjustRightInd/>
      <w:ind w:firstLine="200" w:firstLineChars="200"/>
    </w:pPr>
    <w:rPr>
      <w:rFonts w:ascii="FangSong_GB2312" w:eastAsia="FangSong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FangSong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FangSong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FangSong_GB2312" w:hAnsi="Arial" w:eastAsia="FangSong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2"/>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3"/>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FangSong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FangSong_GB2312" w:eastAsia="FangSong_GB2312"/>
      <w:b/>
      <w:sz w:val="32"/>
      <w:szCs w:val="32"/>
    </w:rPr>
  </w:style>
  <w:style w:type="paragraph" w:customStyle="1" w:styleId="888">
    <w:name w:val="正文箭头"/>
    <w:basedOn w:val="539"/>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893">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FangSong_GB2312"/>
      <w:sz w:val="28"/>
    </w:rPr>
  </w:style>
  <w:style w:type="paragraph" w:customStyle="1" w:styleId="895">
    <w:name w:val="表格 内容"/>
    <w:basedOn w:val="730"/>
    <w:qFormat/>
    <w:uiPriority w:val="0"/>
    <w:rPr>
      <w:b w:val="0"/>
      <w:sz w:val="20"/>
    </w:rPr>
  </w:style>
  <w:style w:type="paragraph" w:customStyle="1" w:styleId="896">
    <w:name w:val="正文首行缩进1"/>
    <w:basedOn w:val="84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3"/>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FangSong_GB2312"/>
      <w:sz w:val="28"/>
    </w:rPr>
  </w:style>
  <w:style w:type="paragraph" w:customStyle="1" w:styleId="908">
    <w:name w:val="样式5"/>
    <w:basedOn w:val="1"/>
    <w:qFormat/>
    <w:uiPriority w:val="0"/>
    <w:pPr>
      <w:spacing w:line="440" w:lineRule="exact"/>
      <w:ind w:left="2" w:firstLine="480" w:firstLineChars="200"/>
    </w:pPr>
    <w:rPr>
      <w:rFonts w:ascii="FangSong_GB2312" w:hAnsi="仿宋" w:eastAsia="FangSong_GB2312"/>
      <w:sz w:val="24"/>
    </w:rPr>
  </w:style>
  <w:style w:type="paragraph" w:customStyle="1" w:styleId="909">
    <w:name w:val="_Style 8"/>
    <w:basedOn w:val="1"/>
    <w:qFormat/>
    <w:uiPriority w:val="34"/>
    <w:pPr>
      <w:adjustRightInd/>
      <w:ind w:firstLine="420" w:firstLineChars="200"/>
    </w:pPr>
    <w:rPr>
      <w:rFonts w:eastAsia="FangSong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FangSong_GB2312"/>
      <w:sz w:val="28"/>
    </w:rPr>
  </w:style>
  <w:style w:type="paragraph" w:customStyle="1" w:styleId="916">
    <w:name w:val="正文 图"/>
    <w:basedOn w:val="444"/>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3"/>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43"/>
    <w:qFormat/>
    <w:uiPriority w:val="0"/>
    <w:rPr>
      <w:kern w:val="2"/>
      <w:sz w:val="21"/>
      <w:szCs w:val="24"/>
      <w:lang w:val="zh-CN"/>
    </w:rPr>
  </w:style>
  <w:style w:type="character" w:customStyle="1" w:styleId="935">
    <w:name w:val="无间隔 Char"/>
    <w:link w:val="484"/>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3"/>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basedOn w:val="73"/>
    <w:qFormat/>
    <w:uiPriority w:val="0"/>
    <w:rPr>
      <w:rFonts w:hint="eastAsia" w:ascii="仿宋" w:hAnsi="仿宋" w:eastAsia="仿宋" w:cs="仿宋"/>
      <w:color w:val="000000"/>
      <w:sz w:val="22"/>
      <w:szCs w:val="22"/>
      <w:u w:val="none"/>
    </w:rPr>
  </w:style>
  <w:style w:type="character" w:customStyle="1" w:styleId="966">
    <w:name w:val="NormalCharacter"/>
    <w:link w:val="967"/>
    <w:qFormat/>
    <w:uiPriority w:val="0"/>
    <w:rPr>
      <w:rFonts w:ascii="Tahoma" w:hAnsi="Tahoma"/>
      <w:kern w:val="2"/>
      <w:sz w:val="24"/>
      <w:szCs w:val="24"/>
    </w:rPr>
  </w:style>
  <w:style w:type="paragraph" w:customStyle="1" w:styleId="967">
    <w:name w:val="UserStyle_13"/>
    <w:basedOn w:val="1"/>
    <w:link w:val="966"/>
    <w:qFormat/>
    <w:uiPriority w:val="0"/>
    <w:pPr>
      <w:widowControl/>
      <w:adjustRightInd/>
      <w:spacing w:line="360" w:lineRule="auto"/>
      <w:ind w:firstLine="200" w:firstLineChars="200"/>
    </w:pPr>
    <w:rPr>
      <w:rFonts w:ascii="Tahoma" w:hAnsi="Tahoma"/>
      <w:sz w:val="24"/>
    </w:rPr>
  </w:style>
  <w:style w:type="character" w:customStyle="1" w:styleId="968">
    <w:name w:val="招标-主标题 字符"/>
    <w:link w:val="969"/>
    <w:qFormat/>
    <w:uiPriority w:val="0"/>
    <w:rPr>
      <w:rFonts w:ascii="宋体" w:hAnsi="宋体"/>
      <w:b/>
      <w:sz w:val="32"/>
    </w:rPr>
  </w:style>
  <w:style w:type="paragraph" w:customStyle="1" w:styleId="969">
    <w:name w:val="招标-主标题"/>
    <w:basedOn w:val="1"/>
    <w:link w:val="968"/>
    <w:qFormat/>
    <w:uiPriority w:val="0"/>
    <w:pPr>
      <w:tabs>
        <w:tab w:val="left" w:pos="1620"/>
        <w:tab w:val="left" w:pos="1800"/>
        <w:tab w:val="left" w:pos="1980"/>
      </w:tabs>
      <w:adjustRightInd/>
      <w:spacing w:line="768" w:lineRule="auto"/>
      <w:jc w:val="center"/>
    </w:pPr>
    <w:rPr>
      <w:rFonts w:ascii="宋体" w:hAnsi="宋体"/>
      <w:b/>
      <w:kern w:val="0"/>
      <w:sz w:val="32"/>
      <w:szCs w:val="20"/>
    </w:rPr>
  </w:style>
  <w:style w:type="paragraph" w:customStyle="1" w:styleId="970">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character" w:customStyle="1" w:styleId="971">
    <w:name w:val="font151"/>
    <w:basedOn w:val="73"/>
    <w:qFormat/>
    <w:uiPriority w:val="0"/>
    <w:rPr>
      <w:rFonts w:hint="eastAsia" w:ascii="宋体" w:hAnsi="宋体" w:eastAsia="宋体" w:cs="宋体"/>
      <w:color w:val="000000"/>
      <w:sz w:val="22"/>
      <w:szCs w:val="22"/>
      <w:u w:val="none"/>
    </w:rPr>
  </w:style>
  <w:style w:type="character" w:customStyle="1" w:styleId="972">
    <w:name w:val="font261"/>
    <w:basedOn w:val="73"/>
    <w:qFormat/>
    <w:uiPriority w:val="0"/>
    <w:rPr>
      <w:rFonts w:ascii="PingFang SC" w:hAnsi="PingFang SC" w:eastAsia="PingFang SC" w:cs="PingFang SC"/>
      <w:b/>
      <w:bCs/>
      <w:color w:val="000000"/>
      <w:sz w:val="20"/>
      <w:szCs w:val="20"/>
      <w:u w:val="none"/>
    </w:rPr>
  </w:style>
  <w:style w:type="character" w:customStyle="1" w:styleId="973">
    <w:name w:val="font271"/>
    <w:basedOn w:val="73"/>
    <w:qFormat/>
    <w:uiPriority w:val="0"/>
    <w:rPr>
      <w:rFonts w:hint="eastAsia" w:ascii="宋体" w:hAnsi="宋体" w:eastAsia="宋体" w:cs="宋体"/>
      <w:b/>
      <w:bCs/>
      <w:color w:val="000000"/>
      <w:sz w:val="20"/>
      <w:szCs w:val="20"/>
      <w:u w:val="none"/>
    </w:rPr>
  </w:style>
  <w:style w:type="paragraph" w:customStyle="1" w:styleId="974">
    <w:name w:val="Normal Indent1"/>
    <w:basedOn w:val="1"/>
    <w:qFormat/>
    <w:uiPriority w:val="0"/>
    <w:pPr>
      <w:ind w:firstLine="420"/>
    </w:pPr>
    <w:rPr>
      <w:szCs w:val="20"/>
    </w:rPr>
  </w:style>
  <w:style w:type="paragraph" w:customStyle="1" w:styleId="975">
    <w:name w:val="正文首行缩进 21"/>
    <w:basedOn w:val="976"/>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976">
    <w:name w:val="Body Text Indent1"/>
    <w:basedOn w:val="1"/>
    <w:next w:val="1"/>
    <w:qFormat/>
    <w:uiPriority w:val="0"/>
    <w:pPr>
      <w:spacing w:after="120"/>
      <w:ind w:left="420" w:leftChars="200"/>
    </w:pPr>
    <w:rPr>
      <w:rFonts w:ascii="Times New Roman" w:hAnsi="Times New Roman" w:eastAsia="宋体" w:cs="Times New Roman"/>
      <w:color w:val="000000"/>
      <w:szCs w:val="21"/>
    </w:rPr>
  </w:style>
  <w:style w:type="paragraph" w:customStyle="1" w:styleId="977">
    <w:name w:val="标书正文"/>
    <w:basedOn w:val="1"/>
    <w:qFormat/>
    <w:uiPriority w:val="0"/>
    <w:pPr>
      <w:spacing w:line="360" w:lineRule="auto"/>
      <w:ind w:firstLine="200" w:firstLineChars="200"/>
      <w:jc w:val="left"/>
    </w:pPr>
    <w:rPr>
      <w:color w:val="00000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customXml" Target="../customXml/item1.xml"/><Relationship Id="rId73" Type="http://schemas.openxmlformats.org/officeDocument/2006/relationships/image" Target="media/image48.png"/><Relationship Id="rId72" Type="http://schemas.openxmlformats.org/officeDocument/2006/relationships/image" Target="media/image47.png"/><Relationship Id="rId71" Type="http://schemas.openxmlformats.org/officeDocument/2006/relationships/image" Target="media/image46.png"/><Relationship Id="rId70" Type="http://schemas.openxmlformats.org/officeDocument/2006/relationships/image" Target="media/image45.png"/><Relationship Id="rId7" Type="http://schemas.openxmlformats.org/officeDocument/2006/relationships/footer" Target="footer2.xml"/><Relationship Id="rId69" Type="http://schemas.openxmlformats.org/officeDocument/2006/relationships/image" Target="media/image44.png"/><Relationship Id="rId68" Type="http://schemas.openxmlformats.org/officeDocument/2006/relationships/image" Target="media/image43.png"/><Relationship Id="rId67" Type="http://schemas.openxmlformats.org/officeDocument/2006/relationships/image" Target="media/image42.png"/><Relationship Id="rId66" Type="http://schemas.openxmlformats.org/officeDocument/2006/relationships/image" Target="media/image41.png"/><Relationship Id="rId65" Type="http://schemas.openxmlformats.org/officeDocument/2006/relationships/image" Target="media/image40.png"/><Relationship Id="rId64" Type="http://schemas.openxmlformats.org/officeDocument/2006/relationships/image" Target="media/image39.png"/><Relationship Id="rId63" Type="http://schemas.openxmlformats.org/officeDocument/2006/relationships/image" Target="media/image38.png"/><Relationship Id="rId62" Type="http://schemas.openxmlformats.org/officeDocument/2006/relationships/image" Target="media/image37.png"/><Relationship Id="rId61" Type="http://schemas.openxmlformats.org/officeDocument/2006/relationships/image" Target="media/image36.png"/><Relationship Id="rId60" Type="http://schemas.openxmlformats.org/officeDocument/2006/relationships/image" Target="media/image35.png"/><Relationship Id="rId6" Type="http://schemas.openxmlformats.org/officeDocument/2006/relationships/footer" Target="footer1.xml"/><Relationship Id="rId59" Type="http://schemas.openxmlformats.org/officeDocument/2006/relationships/image" Target="media/image34.png"/><Relationship Id="rId58" Type="http://schemas.openxmlformats.org/officeDocument/2006/relationships/image" Target="media/image33.png"/><Relationship Id="rId57" Type="http://schemas.openxmlformats.org/officeDocument/2006/relationships/image" Target="media/image32.png"/><Relationship Id="rId56" Type="http://schemas.openxmlformats.org/officeDocument/2006/relationships/image" Target="media/image31.png"/><Relationship Id="rId55" Type="http://schemas.openxmlformats.org/officeDocument/2006/relationships/image" Target="media/image30.png"/><Relationship Id="rId54" Type="http://schemas.openxmlformats.org/officeDocument/2006/relationships/image" Target="media/image29.png"/><Relationship Id="rId53" Type="http://schemas.openxmlformats.org/officeDocument/2006/relationships/image" Target="media/image28.png"/><Relationship Id="rId52" Type="http://schemas.openxmlformats.org/officeDocument/2006/relationships/image" Target="media/image27.png"/><Relationship Id="rId51" Type="http://schemas.openxmlformats.org/officeDocument/2006/relationships/image" Target="media/image26.png"/><Relationship Id="rId50" Type="http://schemas.openxmlformats.org/officeDocument/2006/relationships/image" Target="media/image25.png"/><Relationship Id="rId5" Type="http://schemas.openxmlformats.org/officeDocument/2006/relationships/header" Target="header3.xml"/><Relationship Id="rId49" Type="http://schemas.openxmlformats.org/officeDocument/2006/relationships/image" Target="media/image24.png"/><Relationship Id="rId48" Type="http://schemas.openxmlformats.org/officeDocument/2006/relationships/image" Target="media/image23.png"/><Relationship Id="rId47" Type="http://schemas.openxmlformats.org/officeDocument/2006/relationships/image" Target="media/image22.png"/><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13958</Words>
  <Characters>15643</Characters>
  <Lines>43</Lines>
  <Paragraphs>68</Paragraphs>
  <TotalTime>0</TotalTime>
  <ScaleCrop>false</ScaleCrop>
  <LinksUpToDate>false</LinksUpToDate>
  <CharactersWithSpaces>16198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Administrator.20180320-173244</dc:creator>
  <cp:lastModifiedBy>隐形的翅膀</cp:lastModifiedBy>
  <cp:lastPrinted>2024-10-14T01:51:00Z</cp:lastPrinted>
  <dcterms:modified xsi:type="dcterms:W3CDTF">2025-03-05T02:36:51Z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5A107F9CB69840A4AE7820C4BC50344F_13</vt:lpwstr>
  </property>
  <property fmtid="{D5CDD505-2E9C-101B-9397-08002B2CF9AE}" pid="5" name="KSOTemplateDocerSaveRecord">
    <vt:lpwstr>eyJoZGlkIjoiYjJjOTQxYzhjODMyMDAzZmE0MDJkMWFkNmJlNDkwYTUiLCJ1c2VySWQiOiI0MDI3MDMzOTcifQ==</vt:lpwstr>
  </property>
</Properties>
</file>