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jc w:val="center"/>
        <w:rPr>
          <w:rFonts w:hint="eastAsia" w:ascii="宋体" w:hAnsi="宋体" w:cs="宋体"/>
          <w:b/>
          <w:bCs/>
          <w:color w:val="auto"/>
          <w:sz w:val="52"/>
          <w:szCs w:val="52"/>
          <w:lang w:eastAsia="zh-CN"/>
        </w:rPr>
      </w:pPr>
    </w:p>
    <w:p>
      <w:pPr>
        <w:jc w:val="center"/>
        <w:rPr>
          <w:rFonts w:hint="eastAsia" w:ascii="宋体" w:hAnsi="宋体" w:eastAsia="宋体" w:cs="宋体"/>
          <w:color w:val="auto"/>
          <w:sz w:val="52"/>
          <w:szCs w:val="52"/>
        </w:rPr>
      </w:pPr>
      <w:r>
        <w:rPr>
          <w:rFonts w:hint="eastAsia" w:ascii="宋体" w:hAnsi="宋体" w:cs="宋体"/>
          <w:b/>
          <w:bCs/>
          <w:color w:val="auto"/>
          <w:sz w:val="52"/>
          <w:szCs w:val="52"/>
          <w:lang w:eastAsia="zh-CN"/>
        </w:rPr>
        <w:t>百丈镇全域旅游委托运营管理项目</w:t>
      </w:r>
    </w:p>
    <w:p>
      <w:pPr>
        <w:rPr>
          <w:rFonts w:hint="eastAsia" w:ascii="宋体" w:hAnsi="宋体" w:eastAsia="宋体" w:cs="宋体"/>
          <w:color w:val="auto"/>
        </w:rPr>
      </w:pPr>
    </w:p>
    <w:p>
      <w:pPr>
        <w:adjustRightInd/>
        <w:spacing w:line="360" w:lineRule="auto"/>
        <w:jc w:val="center"/>
        <w:rPr>
          <w:rFonts w:hint="eastAsia" w:ascii="宋体" w:hAnsi="宋体" w:eastAsia="宋体" w:cs="宋体"/>
          <w:color w:val="auto"/>
          <w:sz w:val="84"/>
          <w:szCs w:val="84"/>
        </w:rPr>
      </w:pPr>
    </w:p>
    <w:p>
      <w:pPr>
        <w:adjustRightInd/>
        <w:spacing w:line="360" w:lineRule="auto"/>
        <w:jc w:val="center"/>
        <w:rPr>
          <w:rFonts w:hint="eastAsia" w:ascii="宋体" w:hAnsi="宋体" w:eastAsia="宋体" w:cs="宋体"/>
          <w:color w:val="auto"/>
          <w:sz w:val="72"/>
          <w:szCs w:val="72"/>
        </w:rPr>
      </w:pPr>
      <w:r>
        <w:rPr>
          <w:rFonts w:hint="eastAsia" w:ascii="宋体" w:hAnsi="宋体" w:eastAsia="宋体" w:cs="宋体"/>
          <w:color w:val="auto"/>
          <w:sz w:val="84"/>
          <w:szCs w:val="84"/>
        </w:rPr>
        <w:t>招</w:t>
      </w:r>
      <w:r>
        <w:rPr>
          <w:rFonts w:hint="eastAsia" w:ascii="宋体" w:hAnsi="宋体" w:eastAsia="宋体" w:cs="宋体"/>
          <w:color w:val="auto"/>
          <w:sz w:val="84"/>
          <w:szCs w:val="84"/>
          <w:lang w:val="en-US" w:eastAsia="zh-CN"/>
        </w:rPr>
        <w:t xml:space="preserve"> </w:t>
      </w:r>
      <w:r>
        <w:rPr>
          <w:rFonts w:hint="eastAsia" w:ascii="宋体" w:hAnsi="宋体" w:eastAsia="宋体" w:cs="宋体"/>
          <w:color w:val="auto"/>
          <w:sz w:val="84"/>
          <w:szCs w:val="84"/>
        </w:rPr>
        <w:t>标</w:t>
      </w:r>
      <w:r>
        <w:rPr>
          <w:rFonts w:hint="eastAsia" w:ascii="宋体" w:hAnsi="宋体" w:eastAsia="宋体" w:cs="宋体"/>
          <w:color w:val="auto"/>
          <w:sz w:val="84"/>
          <w:szCs w:val="84"/>
          <w:lang w:val="en-US" w:eastAsia="zh-CN"/>
        </w:rPr>
        <w:t xml:space="preserve"> </w:t>
      </w:r>
      <w:r>
        <w:rPr>
          <w:rFonts w:hint="eastAsia" w:ascii="宋体" w:hAnsi="宋体" w:eastAsia="宋体" w:cs="宋体"/>
          <w:color w:val="auto"/>
          <w:sz w:val="84"/>
          <w:szCs w:val="84"/>
        </w:rPr>
        <w:t>文</w:t>
      </w:r>
      <w:r>
        <w:rPr>
          <w:rFonts w:hint="eastAsia" w:ascii="宋体" w:hAnsi="宋体" w:eastAsia="宋体" w:cs="宋体"/>
          <w:color w:val="auto"/>
          <w:sz w:val="84"/>
          <w:szCs w:val="84"/>
          <w:lang w:val="en-US" w:eastAsia="zh-CN"/>
        </w:rPr>
        <w:t xml:space="preserve"> </w:t>
      </w:r>
      <w:r>
        <w:rPr>
          <w:rFonts w:hint="eastAsia" w:ascii="宋体" w:hAnsi="宋体" w:eastAsia="宋体" w:cs="宋体"/>
          <w:color w:val="auto"/>
          <w:sz w:val="84"/>
          <w:szCs w:val="84"/>
        </w:rPr>
        <w:t>件</w:t>
      </w:r>
      <w:r>
        <w:rPr>
          <w:rFonts w:hint="eastAsia" w:ascii="宋体" w:hAnsi="宋体" w:eastAsia="宋体" w:cs="宋体"/>
          <w:color w:val="auto"/>
          <w:sz w:val="72"/>
          <w:szCs w:val="72"/>
        </w:rPr>
        <w:t xml:space="preserve">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编号:</w:t>
      </w:r>
      <w:r>
        <w:rPr>
          <w:rFonts w:hint="eastAsia" w:ascii="宋体" w:hAnsi="宋体" w:cs="宋体"/>
          <w:color w:val="auto"/>
          <w:sz w:val="32"/>
          <w:szCs w:val="32"/>
          <w:lang w:eastAsia="zh-CN"/>
        </w:rPr>
        <w:t>XTDZFCG2024-007</w:t>
      </w: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spacing w:line="360" w:lineRule="auto"/>
        <w:jc w:val="center"/>
        <w:rPr>
          <w:rFonts w:hint="eastAsia" w:ascii="宋体" w:hAnsi="宋体" w:eastAsia="宋体" w:cs="宋体"/>
          <w:b/>
          <w:color w:val="auto"/>
          <w:sz w:val="44"/>
          <w:szCs w:val="44"/>
        </w:rPr>
      </w:pPr>
    </w:p>
    <w:p>
      <w:pPr>
        <w:pStyle w:val="62"/>
        <w:rPr>
          <w:rFonts w:hint="eastAsia" w:ascii="宋体" w:hAnsi="宋体" w:eastAsia="宋体" w:cs="宋体"/>
          <w:b/>
          <w:color w:val="auto"/>
          <w:sz w:val="44"/>
          <w:szCs w:val="44"/>
        </w:rPr>
      </w:pPr>
    </w:p>
    <w:p>
      <w:pPr>
        <w:spacing w:line="360" w:lineRule="auto"/>
        <w:jc w:val="both"/>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spacing w:line="360" w:lineRule="auto"/>
        <w:jc w:val="center"/>
        <w:rPr>
          <w:rFonts w:hint="eastAsia" w:ascii="宋体" w:hAnsi="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杭州市余杭区百丈镇人民政府</w:t>
      </w:r>
    </w:p>
    <w:p>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cs="宋体"/>
          <w:color w:val="auto"/>
          <w:sz w:val="32"/>
          <w:szCs w:val="32"/>
          <w:lang w:eastAsia="zh-CN"/>
        </w:rPr>
        <w:t>杭州新天地建设管理有限公司</w:t>
      </w:r>
    </w:p>
    <w:p>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二十四</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pPr>
        <w:pStyle w:val="327"/>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bookmarkEnd w:id="2"/>
    <w:p>
      <w:pPr>
        <w:adjustRightInd/>
        <w:spacing w:line="360" w:lineRule="auto"/>
        <w:jc w:val="center"/>
        <w:outlineLvl w:val="0"/>
        <w:rPr>
          <w:rFonts w:hint="eastAsia" w:ascii="宋体" w:hAnsi="宋体" w:eastAsia="宋体" w:cs="宋体"/>
          <w:b/>
          <w:color w:val="auto"/>
          <w:sz w:val="36"/>
          <w:szCs w:val="20"/>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w:t>
      </w:r>
      <w:r>
        <w:rPr>
          <w:rFonts w:hint="eastAsia" w:ascii="宋体" w:hAnsi="宋体" w:cs="宋体"/>
          <w:color w:val="auto"/>
          <w:sz w:val="24"/>
          <w:u w:val="single"/>
          <w:lang w:eastAsia="zh-CN"/>
        </w:rPr>
        <w:t>百丈镇全域旅游委托运营管理项目</w:t>
      </w:r>
      <w:r>
        <w:rPr>
          <w:rFonts w:hint="eastAsia" w:ascii="宋体" w:hAnsi="宋体" w:eastAsia="宋体" w:cs="宋体"/>
          <w:color w:val="auto"/>
          <w:sz w:val="24"/>
          <w:u w:val="single"/>
        </w:rPr>
        <w:t>）</w:t>
      </w:r>
      <w:r>
        <w:rPr>
          <w:rFonts w:hint="eastAsia" w:ascii="宋体" w:hAnsi="宋体" w:eastAsia="宋体" w:cs="宋体"/>
          <w:color w:val="auto"/>
          <w:sz w:val="24"/>
        </w:rPr>
        <w:t>招标项目的潜在投标人应在政采云平台（</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"https://www.zcygov.cn/）获取（下载）招标文件，并于202%20年%20月%20日%20点%20分00秒"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https://www.zcygov.cn/）获取（下载）招标文件，并于</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4年</w:t>
      </w:r>
      <w:r>
        <w:rPr>
          <w:rFonts w:hint="eastAsia" w:ascii="宋体" w:hAnsi="宋体" w:cs="宋体"/>
          <w:color w:val="auto"/>
          <w:sz w:val="24"/>
          <w:u w:val="single"/>
          <w:lang w:val="en-US" w:eastAsia="zh-CN"/>
        </w:rPr>
        <w:t>07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秒</w:t>
      </w:r>
      <w:r>
        <w:rPr>
          <w:rFonts w:hint="eastAsia" w:ascii="宋体" w:hAnsi="宋体" w:eastAsia="宋体" w:cs="宋体"/>
          <w:color w:val="auto"/>
          <w:sz w:val="24"/>
        </w:rPr>
        <w:fldChar w:fldCharType="end"/>
      </w:r>
      <w:r>
        <w:rPr>
          <w:rFonts w:hint="eastAsia" w:ascii="宋体" w:hAnsi="宋体" w:eastAsia="宋体" w:cs="宋体"/>
          <w:color w:val="auto"/>
          <w:sz w:val="24"/>
        </w:rPr>
        <w:t>（北京时间）前递交（上传）投标文件。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b/>
          <w:color w:val="auto"/>
          <w:sz w:val="24"/>
          <w:lang w:eastAsia="zh-CN"/>
        </w:rPr>
        <w:t>XTDZFCG2024-007</w:t>
      </w:r>
    </w:p>
    <w:p>
      <w:pPr>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项目名称：</w:t>
      </w:r>
      <w:r>
        <w:rPr>
          <w:rFonts w:hint="eastAsia" w:ascii="宋体" w:hAnsi="宋体" w:cs="宋体"/>
          <w:b/>
          <w:color w:val="auto"/>
          <w:sz w:val="24"/>
          <w:lang w:eastAsia="zh-CN"/>
        </w:rPr>
        <w:t xml:space="preserve">百丈镇全域旅游委托运营管理项目 </w:t>
      </w:r>
      <w:r>
        <w:rPr>
          <w:rFonts w:hint="eastAsia" w:ascii="宋体" w:hAnsi="宋体" w:eastAsia="宋体" w:cs="宋体"/>
          <w:color w:val="auto"/>
          <w:sz w:val="24"/>
        </w:rPr>
        <w:t xml:space="preserve">   </w:t>
      </w:r>
      <w:r>
        <w:rPr>
          <w:rFonts w:hint="eastAsia" w:ascii="宋体" w:hAnsi="宋体" w:eastAsia="宋体" w:cs="宋体"/>
          <w:b/>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cs="宋体"/>
          <w:b/>
          <w:color w:val="auto"/>
          <w:sz w:val="24"/>
          <w:lang w:val="en-US" w:eastAsia="zh-CN"/>
        </w:rPr>
        <w:t>2800000</w:t>
      </w:r>
      <w:r>
        <w:rPr>
          <w:rFonts w:hint="eastAsia" w:ascii="宋体" w:hAnsi="宋体" w:eastAsia="宋体" w:cs="宋体"/>
          <w:b/>
          <w:color w:val="auto"/>
          <w:sz w:val="24"/>
        </w:rPr>
        <w:t>.00</w:t>
      </w:r>
      <w:r>
        <w:rPr>
          <w:rFonts w:hint="eastAsia" w:ascii="宋体" w:hAnsi="宋体" w:eastAsia="宋体" w:cs="宋体"/>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b/>
          <w:color w:val="auto"/>
          <w:sz w:val="24"/>
          <w:lang w:val="en-US" w:eastAsia="zh-CN"/>
        </w:rPr>
        <w:t>2800000</w:t>
      </w:r>
      <w:r>
        <w:rPr>
          <w:rFonts w:hint="eastAsia" w:ascii="宋体" w:hAnsi="宋体" w:eastAsia="宋体" w:cs="宋体"/>
          <w:b/>
          <w:color w:val="auto"/>
          <w:sz w:val="24"/>
        </w:rPr>
        <w:t>.00</w:t>
      </w:r>
    </w:p>
    <w:p>
      <w:pPr>
        <w:pStyle w:val="6"/>
        <w:spacing w:line="360" w:lineRule="auto"/>
        <w:ind w:firstLine="480"/>
        <w:rPr>
          <w:rFonts w:hint="eastAsia" w:ascii="宋体" w:hAnsi="宋体" w:eastAsia="宋体" w:cs="宋体"/>
          <w:bCs/>
          <w:color w:val="auto"/>
          <w:kern w:val="2"/>
          <w:sz w:val="24"/>
          <w:szCs w:val="24"/>
        </w:rPr>
      </w:pPr>
      <w:r>
        <w:rPr>
          <w:rFonts w:hint="eastAsia" w:ascii="宋体" w:hAnsi="宋体" w:eastAsia="宋体" w:cs="宋体"/>
          <w:b/>
          <w:color w:val="auto"/>
          <w:sz w:val="24"/>
        </w:rPr>
        <w:t>采购需求：</w:t>
      </w:r>
      <w:r>
        <w:rPr>
          <w:rFonts w:hint="eastAsia" w:hAnsi="宋体" w:cs="宋体"/>
          <w:bCs/>
          <w:color w:val="auto"/>
          <w:kern w:val="2"/>
          <w:sz w:val="24"/>
          <w:szCs w:val="24"/>
          <w:lang w:eastAsia="zh-CN"/>
        </w:rPr>
        <w:t xml:space="preserve">百丈镇全域旅游委托运营管理项目 </w:t>
      </w:r>
      <w:r>
        <w:rPr>
          <w:rFonts w:hint="eastAsia" w:hAnsi="宋体" w:cs="宋体"/>
          <w:bCs/>
          <w:color w:val="auto"/>
          <w:kern w:val="2"/>
          <w:sz w:val="24"/>
          <w:szCs w:val="24"/>
          <w:lang w:val="en-US" w:eastAsia="zh-CN"/>
        </w:rPr>
        <w:t>，采购内容和要求</w:t>
      </w:r>
      <w:r>
        <w:rPr>
          <w:rFonts w:hint="eastAsia" w:ascii="宋体" w:hAnsi="宋体" w:eastAsia="宋体" w:cs="宋体"/>
          <w:color w:val="auto"/>
          <w:kern w:val="2"/>
          <w:sz w:val="24"/>
          <w:szCs w:val="24"/>
        </w:rPr>
        <w:t>具体以招标文件第三部分采购需求为准，供应商可点击本公告下方“浏览采购文件”查看采购需求。</w:t>
      </w:r>
    </w:p>
    <w:p>
      <w:pPr>
        <w:pStyle w:val="91"/>
        <w:ind w:firstLine="482"/>
        <w:outlineLvl w:val="2"/>
        <w:rPr>
          <w:rFonts w:hint="eastAsia" w:ascii="宋体" w:hAnsi="宋体" w:eastAsia="宋体" w:cs="宋体"/>
          <w:color w:val="auto"/>
        </w:rPr>
      </w:pPr>
      <w:r>
        <w:rPr>
          <w:rFonts w:hint="eastAsia" w:ascii="宋体" w:hAnsi="宋体" w:eastAsia="宋体" w:cs="宋体"/>
          <w:b/>
          <w:color w:val="auto"/>
        </w:rPr>
        <w:t>合同履约期限：</w:t>
      </w:r>
      <w:r>
        <w:rPr>
          <w:rFonts w:hint="eastAsia" w:ascii="宋体" w:hAnsi="宋体" w:eastAsia="宋体" w:cs="宋体"/>
          <w:color w:val="auto"/>
        </w:rPr>
        <w:t>具体内容和相关要求详见招标文件“第三部分 采购需求”。</w:t>
      </w:r>
    </w:p>
    <w:p>
      <w:pPr>
        <w:pStyle w:val="6"/>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hAnsi="宋体" w:cs="宋体"/>
          <w:b/>
          <w:color w:val="auto"/>
          <w:sz w:val="24"/>
          <w:lang w:eastAsia="zh-CN"/>
        </w:rPr>
        <w:t>：</w:t>
      </w:r>
      <w:r>
        <w:rPr>
          <w:rFonts w:hint="eastAsia" w:ascii="宋体" w:hAnsi="宋体" w:eastAsia="宋体" w:cs="宋体"/>
          <w:color w:val="auto"/>
          <w:kern w:val="0"/>
          <w:sz w:val="24"/>
        </w:rPr>
        <w:sym w:font="Wingdings" w:char="F0FE"/>
      </w:r>
      <w:r>
        <w:rPr>
          <w:rFonts w:hint="eastAsia" w:ascii="宋体" w:hAnsi="宋体" w:eastAsia="宋体" w:cs="宋体"/>
          <w:b/>
          <w:color w:val="auto"/>
          <w:sz w:val="24"/>
        </w:rPr>
        <w:t>是；</w:t>
      </w:r>
      <w:r>
        <w:rPr>
          <w:rFonts w:hint="eastAsia" w:ascii="宋体" w:hAnsi="宋体" w:eastAsia="宋体" w:cs="宋体"/>
          <w:color w:val="auto"/>
          <w:kern w:val="0"/>
          <w:sz w:val="24"/>
        </w:rPr>
        <w:t>☐</w:t>
      </w:r>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1. </w:t>
      </w:r>
      <w:bookmarkStart w:id="10" w:name="OLE_LINK14"/>
      <w:r>
        <w:rPr>
          <w:rFonts w:hint="eastAsia" w:ascii="宋体" w:hAnsi="宋体" w:eastAsia="宋体" w:cs="宋体"/>
          <w:snapToGrid w:val="0"/>
          <w:color w:val="auto"/>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0"/>
      <w:r>
        <w:rPr>
          <w:rFonts w:hint="eastAsia" w:ascii="宋体" w:hAnsi="宋体" w:eastAsia="宋体" w:cs="宋体"/>
          <w:snapToGrid w:val="0"/>
          <w:color w:val="auto"/>
          <w:kern w:val="28"/>
          <w:sz w:val="24"/>
          <w:szCs w:val="20"/>
        </w:rPr>
        <w:t>；</w:t>
      </w:r>
    </w:p>
    <w:p>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bookmarkStart w:id="11" w:name="OLE_LINK13"/>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bookmarkEnd w:id="11"/>
    <w:p>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sym w:font="Wingdings" w:char="00FE"/>
      </w:r>
      <w:bookmarkStart w:id="12" w:name="OLE_LINK3"/>
      <w:bookmarkStart w:id="13" w:name="OLE_LINK15"/>
      <w:r>
        <w:rPr>
          <w:rFonts w:hint="eastAsia" w:ascii="宋体" w:hAnsi="宋体" w:eastAsia="宋体" w:cs="宋体"/>
          <w:color w:val="auto"/>
          <w:sz w:val="24"/>
        </w:rPr>
        <w:t>服务全部由符合政策要求的中小企业承接，提供中小企业声明</w:t>
      </w:r>
      <w:bookmarkEnd w:id="12"/>
      <w:r>
        <w:rPr>
          <w:rFonts w:hint="eastAsia" w:ascii="宋体" w:hAnsi="宋体" w:eastAsia="宋体" w:cs="宋体"/>
          <w:color w:val="auto"/>
          <w:sz w:val="24"/>
        </w:rPr>
        <w:t>函</w:t>
      </w:r>
      <w:bookmarkEnd w:id="13"/>
      <w:r>
        <w:rPr>
          <w:rFonts w:hint="eastAsia" w:ascii="宋体" w:hAnsi="宋体" w:eastAsia="宋体" w:cs="宋体"/>
          <w:color w:val="auto"/>
          <w:sz w:val="24"/>
        </w:rPr>
        <w:t>；</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4.本项目的特定资格要求：无；</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/至202</w:t>
      </w:r>
      <w:r>
        <w:rPr>
          <w:rFonts w:hint="eastAsia" w:ascii="宋体" w:hAnsi="宋体" w:eastAsia="宋体" w:cs="宋体"/>
          <w:color w:val="auto"/>
          <w:sz w:val="24"/>
          <w:lang w:val="en-US" w:eastAsia="zh-CN"/>
        </w:rPr>
        <w:t>4年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15</w:t>
      </w:r>
      <w:r>
        <w:rPr>
          <w:rFonts w:hint="eastAsia" w:ascii="宋体" w:hAnsi="宋体" w:eastAsia="宋体" w:cs="宋体"/>
          <w:color w:val="auto"/>
          <w:sz w:val="24"/>
        </w:rPr>
        <w:t>日，每天上午00:00至12:00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4年</w:t>
      </w:r>
      <w:r>
        <w:rPr>
          <w:rFonts w:hint="eastAsia" w:ascii="宋体" w:hAnsi="宋体" w:cs="宋体"/>
          <w:color w:val="auto"/>
          <w:sz w:val="24"/>
          <w:u w:val="single"/>
          <w:lang w:val="en-US" w:eastAsia="zh-CN"/>
        </w:rPr>
        <w:t>07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秒</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bookmarkStart w:id="14" w:name="OLE_LINK4"/>
      <w:r>
        <w:rPr>
          <w:rFonts w:hint="eastAsia" w:ascii="宋体" w:hAnsi="宋体" w:eastAsia="宋体" w:cs="宋体"/>
          <w:color w:val="auto"/>
          <w:sz w:val="24"/>
        </w:rPr>
        <w:t xml:space="preserve">政采云平台（https://www.zcygov.cn/） </w:t>
      </w:r>
      <w:bookmarkEnd w:id="14"/>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4年</w:t>
      </w:r>
      <w:r>
        <w:rPr>
          <w:rFonts w:hint="eastAsia" w:ascii="宋体" w:hAnsi="宋体" w:cs="宋体"/>
          <w:color w:val="auto"/>
          <w:sz w:val="24"/>
          <w:u w:val="single"/>
          <w:lang w:val="en-US" w:eastAsia="zh-CN"/>
        </w:rPr>
        <w:t>07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秒</w:t>
      </w:r>
    </w:p>
    <w:p>
      <w:pPr>
        <w:spacing w:line="360" w:lineRule="auto"/>
        <w:ind w:firstLine="482" w:firstLineChars="200"/>
        <w:rPr>
          <w:rFonts w:hint="eastAsia" w:ascii="宋体" w:hAnsi="宋体" w:eastAsia="宋体" w:cs="宋体"/>
          <w:b/>
          <w:bCs w:val="0"/>
          <w:color w:val="auto"/>
          <w:sz w:val="24"/>
          <w:lang w:eastAsia="zh-CN"/>
        </w:rPr>
      </w:pPr>
      <w:r>
        <w:rPr>
          <w:rFonts w:hint="eastAsia" w:ascii="宋体" w:hAnsi="宋体" w:eastAsia="宋体" w:cs="宋体"/>
          <w:b/>
          <w:color w:val="auto"/>
          <w:sz w:val="24"/>
        </w:rPr>
        <w:t>开标地点（网址）：</w:t>
      </w:r>
      <w:r>
        <w:rPr>
          <w:rFonts w:hint="eastAsia" w:ascii="宋体" w:hAnsi="宋体" w:cs="宋体"/>
          <w:b/>
          <w:bCs w:val="0"/>
          <w:color w:val="auto"/>
          <w:sz w:val="24"/>
          <w:lang w:eastAsia="zh-CN"/>
        </w:rPr>
        <w:t>登陆</w:t>
      </w:r>
      <w:r>
        <w:rPr>
          <w:rFonts w:hint="eastAsia" w:ascii="宋体" w:hAnsi="宋体" w:eastAsia="宋体" w:cs="宋体"/>
          <w:b/>
          <w:bCs w:val="0"/>
          <w:color w:val="auto"/>
          <w:sz w:val="24"/>
        </w:rPr>
        <w:t>政采云平台（https://www.zcygov.cn/</w:t>
      </w:r>
      <w:r>
        <w:rPr>
          <w:rFonts w:hint="eastAsia" w:ascii="宋体" w:hAnsi="宋体" w:cs="宋体"/>
          <w:b/>
          <w:bCs w:val="0"/>
          <w:color w:val="auto"/>
          <w:sz w:val="24"/>
          <w:lang w:eastAsia="zh-CN"/>
        </w:rPr>
        <w:t>）线上开标；</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1.采购人信息</w:t>
      </w:r>
    </w:p>
    <w:p>
      <w:pPr>
        <w:widowControl w:val="0"/>
        <w:wordWrap/>
        <w:adjustRightInd w:val="0"/>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eastAsia="宋体" w:cs="宋体"/>
          <w:color w:val="auto"/>
          <w:sz w:val="24"/>
        </w:rPr>
        <w:t>名称</w:t>
      </w:r>
      <w:r>
        <w:rPr>
          <w:rFonts w:hint="eastAsia" w:ascii="宋体" w:hAnsi="宋体" w:eastAsia="宋体" w:cs="宋体"/>
          <w:color w:val="auto"/>
          <w:sz w:val="24"/>
          <w:lang w:eastAsia="zh-CN"/>
        </w:rPr>
        <w:t>：</w:t>
      </w:r>
      <w:r>
        <w:rPr>
          <w:rFonts w:hint="eastAsia" w:ascii="宋体" w:hAnsi="宋体" w:cs="宋体"/>
          <w:color w:val="auto"/>
          <w:sz w:val="24"/>
          <w:lang w:eastAsia="zh-CN"/>
        </w:rPr>
        <w:t>杭州市余杭区百丈镇人民政府</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地址：杭州市余杭区百丈镇竹城路213号。</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项目联系人（询问）：王岩</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w:t>
      </w:r>
      <w:r>
        <w:rPr>
          <w:rFonts w:hint="eastAsia" w:ascii="宋体" w:hAnsi="宋体" w:eastAsia="宋体" w:cs="宋体"/>
          <w:color w:val="auto"/>
          <w:sz w:val="24"/>
          <w:highlight w:val="none"/>
        </w:rPr>
        <w:t>0571-88563205</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徐勇军                </w:t>
      </w:r>
      <w:r>
        <w:rPr>
          <w:rFonts w:hint="eastAsia" w:ascii="宋体" w:hAnsi="宋体" w:cs="宋体"/>
          <w:color w:val="auto"/>
          <w:sz w:val="24"/>
          <w:highlight w:val="none"/>
        </w:rPr>
        <w:t xml:space="preserve"> 联系方式：</w:t>
      </w:r>
      <w:r>
        <w:rPr>
          <w:rFonts w:hint="eastAsia" w:ascii="宋体" w:hAnsi="宋体" w:eastAsia="宋体" w:cs="宋体"/>
          <w:color w:val="auto"/>
          <w:sz w:val="24"/>
          <w:highlight w:val="none"/>
        </w:rPr>
        <w:t>0571-88561656</w:t>
      </w:r>
      <w:r>
        <w:rPr>
          <w:rFonts w:hint="eastAsia" w:ascii="宋体" w:hAnsi="宋体" w:cs="宋体"/>
          <w:color w:val="auto"/>
          <w:sz w:val="24"/>
          <w:highlight w:val="none"/>
          <w:lang w:val="en-US" w:eastAsia="zh-CN"/>
        </w:rPr>
        <w:t xml:space="preserve"> </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lang w:eastAsia="zh-CN"/>
        </w:rPr>
      </w:pPr>
    </w:p>
    <w:p>
      <w:pPr>
        <w:widowControl w:val="0"/>
        <w:wordWrap/>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2.采购代理机构信息            </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名称：</w:t>
      </w:r>
      <w:r>
        <w:rPr>
          <w:rFonts w:hint="eastAsia" w:ascii="宋体" w:hAnsi="宋体" w:cs="宋体"/>
          <w:color w:val="auto"/>
          <w:sz w:val="24"/>
          <w:lang w:eastAsia="zh-CN"/>
        </w:rPr>
        <w:t>杭州新天地建设管理有限公司</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地址：</w:t>
      </w:r>
      <w:bookmarkStart w:id="15" w:name="OLE_LINK10"/>
      <w:r>
        <w:rPr>
          <w:rFonts w:hint="eastAsia" w:ascii="宋体" w:hAnsi="宋体" w:eastAsia="宋体" w:cs="宋体"/>
          <w:color w:val="auto"/>
          <w:sz w:val="24"/>
          <w:lang w:eastAsia="zh-CN"/>
        </w:rPr>
        <w:t>杭州市余杭区五常街道西溪八方城8幢308室。</w:t>
      </w:r>
    </w:p>
    <w:bookmarkEnd w:id="15"/>
    <w:p>
      <w:pPr>
        <w:widowControl w:val="0"/>
        <w:wordWrap/>
        <w:adjustRightInd w:val="0"/>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项目联系人（询问）：</w:t>
      </w:r>
      <w:r>
        <w:rPr>
          <w:rFonts w:hint="eastAsia" w:ascii="宋体" w:hAnsi="宋体" w:cs="宋体"/>
          <w:color w:val="auto"/>
          <w:sz w:val="24"/>
          <w:lang w:val="en-US" w:eastAsia="zh-CN"/>
        </w:rPr>
        <w:t>周聪聪</w:t>
      </w:r>
      <w:r>
        <w:rPr>
          <w:rFonts w:hint="eastAsia" w:ascii="宋体" w:hAnsi="宋体" w:eastAsia="宋体" w:cs="宋体"/>
          <w:color w:val="auto"/>
          <w:sz w:val="24"/>
          <w:lang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联系方式</w:t>
      </w:r>
      <w:r>
        <w:rPr>
          <w:rFonts w:hint="eastAsia" w:ascii="宋体" w:hAnsi="宋体" w:cs="宋体"/>
          <w:color w:val="auto"/>
          <w:sz w:val="24"/>
          <w:lang w:val="en-US" w:eastAsia="zh-CN"/>
        </w:rPr>
        <w:t xml:space="preserve"> </w:t>
      </w:r>
      <w:r>
        <w:rPr>
          <w:rFonts w:hint="eastAsia" w:ascii="宋体" w:hAnsi="宋体" w:eastAsia="宋体" w:cs="宋体"/>
          <w:color w:val="auto"/>
          <w:sz w:val="24"/>
        </w:rPr>
        <w:t>：0571-88562336/13067902529</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质疑联系人：车金桥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联系方式：</w:t>
      </w:r>
      <w:r>
        <w:rPr>
          <w:rFonts w:hint="eastAsia" w:ascii="宋体" w:hAnsi="宋体" w:cs="宋体"/>
          <w:color w:val="auto"/>
          <w:sz w:val="24"/>
          <w:lang w:val="en-US" w:eastAsia="zh-CN"/>
        </w:rPr>
        <w:t>15967199513</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名称：杭州市余杭区财政局、浙江省政府采购行政裁决服务中心（杭州）</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地址：杭州市上城区四季青街道新业路市民之家G03办公室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监督投诉电话：电话：0571-85252453</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rPr>
        <w:t>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7"/>
      <w:r>
        <w:rPr>
          <w:rFonts w:hint="eastAsia" w:ascii="宋体" w:hAnsi="宋体" w:eastAsia="宋体" w:cs="宋体"/>
          <w:b/>
          <w:color w:val="auto"/>
          <w:sz w:val="36"/>
          <w:szCs w:val="20"/>
        </w:rPr>
        <w:t xml:space="preserve"> 投标人须知</w:t>
      </w:r>
      <w:bookmarkEnd w:id="8"/>
    </w:p>
    <w:p>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jc w:val="left"/>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标的：</w:t>
            </w:r>
            <w:r>
              <w:rPr>
                <w:rFonts w:hint="eastAsia" w:ascii="宋体" w:hAnsi="宋体" w:cs="宋体"/>
                <w:b w:val="0"/>
                <w:bCs w:val="0"/>
                <w:color w:val="auto"/>
                <w:kern w:val="0"/>
                <w:sz w:val="24"/>
                <w:u w:val="single"/>
                <w:lang w:eastAsia="zh-CN"/>
              </w:rPr>
              <w:t>百丈镇全域旅游委托运营管理项目</w:t>
            </w:r>
            <w:r>
              <w:rPr>
                <w:rFonts w:hint="eastAsia" w:ascii="宋体" w:hAnsi="宋体" w:eastAsia="宋体" w:cs="宋体"/>
                <w:b w:val="0"/>
                <w:bCs w:val="0"/>
                <w:color w:val="auto"/>
                <w:kern w:val="0"/>
                <w:sz w:val="24"/>
                <w:u w:val="single"/>
                <w:lang w:val="en-US" w:eastAsia="zh-CN"/>
              </w:rPr>
              <w:t>；</w:t>
            </w:r>
          </w:p>
          <w:p>
            <w:pPr>
              <w:widowControl/>
              <w:numPr>
                <w:ilvl w:val="0"/>
                <w:numId w:val="1"/>
              </w:numPr>
              <w:spacing w:line="240" w:lineRule="auto"/>
              <w:jc w:val="left"/>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lang w:val="en-US" w:eastAsia="zh-CN"/>
              </w:rPr>
              <w:t xml:space="preserve"> 其他未列明行业</w:t>
            </w:r>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w:t>
            </w:r>
            <w:r>
              <w:rPr>
                <w:rFonts w:hint="eastAsia" w:ascii="宋体" w:hAnsi="宋体" w:eastAsia="宋体" w:cs="宋体"/>
                <w:color w:val="auto"/>
                <w:kern w:val="0"/>
                <w:sz w:val="24"/>
                <w:szCs w:val="22"/>
                <w:highlight w:val="none"/>
                <w:lang w:val="en-US" w:eastAsia="en-US" w:bidi="ar-SA"/>
              </w:rPr>
              <w:drawing>
                <wp:inline distT="0" distB="0" distL="114300" distR="114300">
                  <wp:extent cx="3832860" cy="495300"/>
                  <wp:effectExtent l="0" t="0" r="152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9">
                            <a:lum/>
                          </a:blip>
                          <a:stretch>
                            <a:fillRect/>
                          </a:stretch>
                        </pic:blipFill>
                        <pic:spPr>
                          <a:xfrm>
                            <a:off x="0" y="0"/>
                            <a:ext cx="3832860" cy="495300"/>
                          </a:xfrm>
                          <a:prstGeom prst="rect">
                            <a:avLst/>
                          </a:prstGeom>
                          <a:noFill/>
                          <a:ln>
                            <a:noFill/>
                          </a:ln>
                        </pic:spPr>
                      </pic:pic>
                    </a:graphicData>
                  </a:graphic>
                </wp:inline>
              </w:drawing>
            </w:r>
            <w:r>
              <w:rPr>
                <w:rFonts w:hint="default" w:ascii="Calibri" w:hAnsi="Calibri" w:cs="Times New Roman"/>
                <w:color w:val="auto"/>
                <w:szCs w:val="22"/>
                <w:lang w:val="en-US" w:bidi="ar-SA"/>
              </w:rPr>
              <w:drawing>
                <wp:inline distT="0" distB="0" distL="114300" distR="114300">
                  <wp:extent cx="3837305" cy="234315"/>
                  <wp:effectExtent l="0" t="0" r="10795" b="1333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30"/>
                          <a:stretch>
                            <a:fillRect/>
                          </a:stretch>
                        </pic:blipFill>
                        <pic:spPr>
                          <a:xfrm>
                            <a:off x="0" y="0"/>
                            <a:ext cx="3837305" cy="234315"/>
                          </a:xfrm>
                          <a:prstGeom prst="rect">
                            <a:avLst/>
                          </a:prstGeom>
                          <a:noFill/>
                          <a:ln>
                            <a:noFill/>
                          </a:ln>
                        </pic:spPr>
                      </pic:pic>
                    </a:graphicData>
                  </a:graphic>
                </wp:inline>
              </w:drawing>
            </w:r>
          </w:p>
          <w:p>
            <w:pPr>
              <w:pStyle w:val="619"/>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9"/>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同意将非主体、非关键性的工作分包。</w:t>
            </w: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 B</w:t>
            </w:r>
            <w:r>
              <w:rPr>
                <w:rFonts w:hint="eastAsia" w:ascii="宋体" w:hAnsi="宋体" w:eastAsia="宋体" w:cs="宋体"/>
                <w:color w:val="auto"/>
                <w:sz w:val="24"/>
              </w:rPr>
              <w:t>不同意分包。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☐B要求提供，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（4）是否需要随样品提交检测报告：☐否；☐是，检测机构的要求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☐B组织。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hint="default" w:ascii="宋体" w:hAnsi="宋体" w:eastAsia="宋体" w:cs="宋体"/>
                <w:b/>
                <w:bCs w:val="0"/>
                <w:color w:val="auto"/>
                <w:kern w:val="0"/>
                <w:sz w:val="24"/>
                <w:lang w:val="en-US" w:eastAsia="zh-CN"/>
              </w:rPr>
            </w:pPr>
            <w:r>
              <w:rPr>
                <w:rFonts w:hint="eastAsia" w:ascii="宋体" w:hAnsi="宋体" w:eastAsia="宋体" w:cs="宋体"/>
                <w:b/>
                <w:bCs w:val="0"/>
                <w:color w:val="auto"/>
                <w:sz w:val="24"/>
              </w:rPr>
              <w:t>预算金额：</w:t>
            </w:r>
            <w:r>
              <w:rPr>
                <w:rFonts w:hint="eastAsia" w:ascii="宋体" w:hAnsi="宋体" w:cs="宋体"/>
                <w:b/>
                <w:bCs w:val="0"/>
                <w:color w:val="auto"/>
                <w:sz w:val="24"/>
                <w:lang w:val="en-US" w:eastAsia="zh-CN"/>
              </w:rPr>
              <w:t>280万元，服务期2年；即最高限价140万元/年。</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firstLine="480" w:firstLineChars="200"/>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rPr>
              <w:t>密封包装后（建议</w:t>
            </w:r>
            <w:r>
              <w:rPr>
                <w:rFonts w:hint="eastAsia" w:ascii="宋体" w:hAnsi="宋体" w:eastAsia="宋体" w:cs="宋体"/>
                <w:color w:val="auto"/>
                <w:kern w:val="28"/>
                <w:sz w:val="24"/>
                <w:szCs w:val="24"/>
                <w:u w:val="single"/>
                <w:lang w:eastAsia="zh-CN"/>
              </w:rPr>
              <w:t>快递</w:t>
            </w:r>
            <w:r>
              <w:rPr>
                <w:rFonts w:hint="eastAsia" w:ascii="宋体" w:hAnsi="宋体" w:eastAsia="宋体" w:cs="宋体"/>
                <w:color w:val="auto"/>
                <w:kern w:val="28"/>
                <w:sz w:val="24"/>
                <w:szCs w:val="24"/>
                <w:u w:val="single"/>
              </w:rPr>
              <w:t>邮寄形式）投标截止时间前递交、一份（邮寄地址：杭州市余杭区五常街道西溪八方城8幢308室</w:t>
            </w:r>
            <w:r>
              <w:rPr>
                <w:rFonts w:hint="eastAsia" w:ascii="宋体" w:hAnsi="宋体" w:eastAsia="宋体" w:cs="宋体"/>
                <w:color w:val="auto"/>
                <w:kern w:val="28"/>
                <w:sz w:val="24"/>
                <w:szCs w:val="24"/>
              </w:rPr>
              <w:t>；备份投标文件签收人员联系电话：</w:t>
            </w:r>
            <w:r>
              <w:rPr>
                <w:rFonts w:hint="eastAsia" w:hAnsi="宋体" w:cs="宋体"/>
                <w:color w:val="auto"/>
                <w:sz w:val="24"/>
                <w:u w:val="single"/>
                <w:lang w:val="en-US" w:eastAsia="zh-CN"/>
              </w:rPr>
              <w:t>周聪聪</w:t>
            </w:r>
            <w:r>
              <w:rPr>
                <w:rFonts w:hint="eastAsia" w:ascii="宋体" w:hAnsi="宋体" w:eastAsia="宋体" w:cs="宋体"/>
                <w:color w:val="auto"/>
                <w:sz w:val="24"/>
                <w:u w:val="single"/>
              </w:rPr>
              <w:t>收，1</w:t>
            </w:r>
            <w:r>
              <w:rPr>
                <w:rFonts w:hint="eastAsia" w:hAnsi="宋体" w:cs="宋体"/>
                <w:color w:val="auto"/>
                <w:sz w:val="24"/>
                <w:u w:val="single"/>
                <w:lang w:val="en-US" w:eastAsia="zh-CN"/>
              </w:rPr>
              <w:t>3067902529</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r>
              <w:rPr>
                <w:rFonts w:hint="eastAsia" w:ascii="宋体" w:hAnsi="宋体" w:eastAsia="宋体" w:cs="宋体"/>
                <w:color w:val="auto"/>
                <w:kern w:val="0"/>
                <w:sz w:val="24"/>
              </w:rPr>
              <w:sym w:font="Wingdings" w:char="F0FE"/>
            </w:r>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color w:val="auto"/>
          <w:sz w:val="32"/>
          <w:szCs w:val="20"/>
        </w:rPr>
      </w:pPr>
    </w:p>
    <w:bookmarkEnd w:id="9"/>
    <w:p>
      <w:pPr>
        <w:rPr>
          <w:rFonts w:hint="eastAsia" w:ascii="宋体" w:hAnsi="宋体" w:eastAsia="宋体" w:cs="宋体"/>
          <w:b/>
          <w:color w:val="auto"/>
          <w:sz w:val="32"/>
          <w:szCs w:val="20"/>
        </w:rPr>
      </w:pPr>
      <w:bookmarkStart w:id="16" w:name="第三部分"/>
      <w:bookmarkStart w:id="17" w:name="_Toc164416483"/>
      <w:r>
        <w:rPr>
          <w:rFonts w:hint="eastAsia" w:ascii="宋体" w:hAnsi="宋体" w:eastAsia="宋体" w:cs="宋体"/>
          <w:b/>
          <w:color w:val="auto"/>
          <w:sz w:val="32"/>
          <w:szCs w:val="20"/>
        </w:rPr>
        <w:br w:type="page"/>
      </w:r>
    </w:p>
    <w:p>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“采购机构”系指招标公告中载明的本项目的采购机构。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r>
        <w:rPr>
          <w:rFonts w:hint="eastAsia" w:ascii="宋体" w:hAnsi="宋体" w:eastAsia="宋体" w:cs="宋体"/>
          <w:color w:val="auto"/>
          <w:kern w:val="0"/>
          <w:sz w:val="24"/>
        </w:rPr>
        <w:t></w:t>
      </w:r>
      <w:r>
        <w:rPr>
          <w:rFonts w:hint="eastAsia" w:ascii="宋体" w:hAnsi="宋体" w:eastAsia="宋体" w:cs="宋体"/>
          <w:color w:val="auto"/>
          <w:sz w:val="24"/>
        </w:rPr>
        <w:t>” 系指适用本项目的要求，“</w:t>
      </w:r>
      <w:r>
        <w:rPr>
          <w:rFonts w:hint="eastAsia" w:ascii="宋体" w:hAnsi="宋体" w:eastAsia="宋体" w:cs="宋体"/>
          <w:color w:val="auto"/>
          <w:kern w:val="0"/>
          <w:sz w:val="24"/>
        </w:rPr>
        <w:t>☐</w:t>
      </w:r>
      <w:r>
        <w:rPr>
          <w:rFonts w:hint="eastAsia" w:ascii="宋体" w:hAnsi="宋体" w:eastAsia="宋体" w:cs="宋体"/>
          <w:color w:val="auto"/>
          <w:sz w:val="24"/>
        </w:rPr>
        <w:t>” 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询问、质疑、投诉、补偿救济</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5"/>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pPr>
        <w:pStyle w:val="577"/>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4.4.1质疑供应商对采购人、采购机构的答复不满意或者采购人、采购机构未在规定的时间内作出答复的，可以在答复期满后十五个工作日内向同级政府采购监督管理部门提出投诉。</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4.4.4以联合体形式参加政府采购活动的，其投诉应当由组成联合体的所有供应商共同提出。</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4.4.5</w:t>
      </w:r>
      <w:r>
        <w:rPr>
          <w:rFonts w:hint="eastAsia" w:ascii="宋体" w:hAnsi="宋体" w:eastAsia="宋体" w:cs="宋体"/>
          <w:color w:val="auto"/>
          <w:highlight w:val="none"/>
        </w:rPr>
        <w:t>杭州市余杭区财政局</w:t>
      </w:r>
      <w:r>
        <w:rPr>
          <w:rFonts w:hint="eastAsia" w:ascii="宋体" w:hAnsi="宋体" w:eastAsia="宋体" w:cs="宋体"/>
          <w:color w:val="auto"/>
          <w:highlight w:val="none"/>
          <w:lang w:eastAsia="zh-CN"/>
        </w:rPr>
        <w:t>投诉材料递交至</w:t>
      </w:r>
      <w:r>
        <w:rPr>
          <w:rFonts w:hint="eastAsia" w:ascii="宋体" w:hAnsi="宋体" w:eastAsia="宋体" w:cs="宋体"/>
          <w:color w:val="auto"/>
          <w:highlight w:val="none"/>
        </w:rPr>
        <w:t>浙江省政府采购行政裁决服务中心（杭州）</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地址：杭州市上城区四季青街道新业路市民之家G03办公室（快递仅限ems或顺丰），联系人：朱女士、王女士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监督投诉电话：0571-85252453</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4.5 补偿救济</w:t>
      </w:r>
    </w:p>
    <w:p>
      <w:pPr>
        <w:pStyle w:val="577"/>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采购人（行政机关）因政策变化、规划调整而不履行政府采购合同的，供应商可依据《杭州市涉企补偿救济实施办法（试行）》向采购人（行政机关）提起补偿申请。</w:t>
      </w:r>
    </w:p>
    <w:p>
      <w:pPr>
        <w:pStyle w:val="91"/>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6.1已获取招标文件的潜在投标人，若有问题需要澄清，应于投标截止时间前，以书面形式向采购机构提出。</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color w:val="auto"/>
          <w:sz w:val="18"/>
          <w:szCs w:val="18"/>
          <w:lang w:val="en-US"/>
        </w:rPr>
      </w:pPr>
      <w:r>
        <w:rPr>
          <w:rFonts w:hint="eastAsia" w:ascii="宋体" w:hAnsi="宋体" w:eastAsia="宋体" w:cs="宋体"/>
          <w:color w:val="auto"/>
          <w:szCs w:val="24"/>
          <w:lang w:val="en-US"/>
        </w:rPr>
        <w:t xml:space="preserve">    </w:t>
      </w:r>
    </w:p>
    <w:p>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w:t>
      </w:r>
      <w:bookmarkStart w:id="18" w:name="OLE_LINK11"/>
      <w:r>
        <w:rPr>
          <w:rFonts w:hint="eastAsia" w:ascii="宋体" w:hAnsi="宋体" w:eastAsia="宋体" w:cs="宋体"/>
          <w:b/>
          <w:bCs/>
          <w:color w:val="auto"/>
          <w:sz w:val="24"/>
          <w:highlight w:val="none"/>
        </w:rPr>
        <w:t>符合参加政府采购活动应当具备的一般条件的承诺函</w:t>
      </w:r>
      <w:bookmarkEnd w:id="18"/>
      <w:r>
        <w:rPr>
          <w:rFonts w:hint="eastAsia" w:ascii="宋体" w:hAnsi="宋体" w:eastAsia="宋体" w:cs="宋体"/>
          <w:b/>
          <w:bCs/>
          <w:color w:val="auto"/>
          <w:sz w:val="24"/>
          <w:highlight w:val="none"/>
        </w:rPr>
        <w:t>；</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▲11.1.2</w:t>
      </w:r>
      <w:r>
        <w:rPr>
          <w:rFonts w:hint="eastAsia" w:ascii="宋体" w:hAnsi="宋体" w:cs="宋体"/>
          <w:b/>
          <w:bCs/>
          <w:color w:val="auto"/>
          <w:sz w:val="24"/>
          <w:highlight w:val="none"/>
          <w:lang w:val="en-US" w:eastAsia="zh-CN"/>
        </w:rPr>
        <w:t>提供</w:t>
      </w:r>
      <w:r>
        <w:rPr>
          <w:rFonts w:hint="eastAsia" w:ascii="宋体" w:hAnsi="宋体" w:cs="宋体"/>
          <w:b/>
          <w:bCs/>
          <w:color w:val="auto"/>
          <w:sz w:val="24"/>
          <w:highlight w:val="none"/>
        </w:rPr>
        <w:t>法人或者其他组织</w:t>
      </w:r>
      <w:r>
        <w:rPr>
          <w:rFonts w:hint="eastAsia" w:ascii="宋体" w:hAnsi="宋体" w:cs="宋体"/>
          <w:b/>
          <w:bCs/>
          <w:color w:val="auto"/>
          <w:sz w:val="24"/>
          <w:highlight w:val="none"/>
          <w:lang w:eastAsia="zh-CN"/>
        </w:rPr>
        <w:t>机构的</w:t>
      </w:r>
      <w:r>
        <w:rPr>
          <w:rFonts w:hint="eastAsia" w:ascii="宋体" w:hAnsi="宋体" w:cs="宋体"/>
          <w:b/>
          <w:bCs/>
          <w:color w:val="auto"/>
          <w:sz w:val="24"/>
          <w:highlight w:val="none"/>
        </w:rPr>
        <w:t>营业执照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扫</w:t>
      </w:r>
      <w:r>
        <w:rPr>
          <w:rFonts w:hint="eastAsia" w:ascii="宋体" w:hAnsi="宋体" w:cs="宋体"/>
          <w:b/>
          <w:bCs/>
          <w:color w:val="auto"/>
          <w:sz w:val="24"/>
          <w:highlight w:val="none"/>
          <w:lang w:eastAsia="zh-CN"/>
        </w:rPr>
        <w:t>描件或复印件加盖公章）</w:t>
      </w:r>
      <w:r>
        <w:rPr>
          <w:rFonts w:hint="eastAsia" w:ascii="宋体" w:hAnsi="宋体" w:cs="宋体"/>
          <w:b/>
          <w:bCs/>
          <w:color w:val="auto"/>
          <w:sz w:val="24"/>
          <w:highlight w:val="none"/>
        </w:rPr>
        <w:t>或事业法人登记证书或其</w:t>
      </w:r>
      <w:r>
        <w:rPr>
          <w:rFonts w:hint="eastAsia" w:ascii="宋体" w:hAnsi="宋体" w:cs="宋体"/>
          <w:b/>
          <w:bCs/>
          <w:color w:val="auto"/>
          <w:sz w:val="24"/>
          <w:highlight w:val="none"/>
          <w:lang w:eastAsia="zh-CN"/>
        </w:rPr>
        <w:t>他</w:t>
      </w:r>
      <w:r>
        <w:rPr>
          <w:rFonts w:hint="eastAsia" w:ascii="宋体" w:hAnsi="宋体" w:cs="宋体"/>
          <w:b/>
          <w:bCs/>
          <w:color w:val="auto"/>
          <w:sz w:val="24"/>
          <w:highlight w:val="none"/>
        </w:rPr>
        <w:t>工商等登记证明材料；</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bookmarkStart w:id="19" w:name="OLE_LINK12"/>
      <w:r>
        <w:rPr>
          <w:rFonts w:hint="eastAsia" w:ascii="宋体" w:hAnsi="宋体" w:eastAsia="宋体" w:cs="宋体"/>
          <w:snapToGrid w:val="0"/>
          <w:color w:val="auto"/>
          <w:kern w:val="28"/>
          <w:sz w:val="24"/>
          <w:szCs w:val="20"/>
          <w:highlight w:val="none"/>
        </w:rPr>
        <w:t>联合协议（如果有)</w:t>
      </w:r>
      <w:bookmarkEnd w:id="19"/>
      <w:r>
        <w:rPr>
          <w:rFonts w:hint="eastAsia" w:ascii="宋体" w:hAnsi="宋体" w:eastAsia="宋体" w:cs="宋体"/>
          <w:snapToGrid w:val="0"/>
          <w:color w:val="auto"/>
          <w:kern w:val="28"/>
          <w:sz w:val="24"/>
          <w:szCs w:val="20"/>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bookmarkStart w:id="20" w:name="OLE_LINK16"/>
      <w:r>
        <w:rPr>
          <w:rFonts w:hint="eastAsia" w:ascii="宋体" w:hAnsi="宋体" w:eastAsia="宋体" w:cs="宋体"/>
          <w:b/>
          <w:bCs/>
          <w:color w:val="auto"/>
          <w:sz w:val="24"/>
          <w:highlight w:val="none"/>
          <w:lang w:eastAsia="zh-CN"/>
        </w:rPr>
        <w:t>本项目为专门面向中小企业采购的项目,投标单位应为中型、小型、微型企业或监狱企业</w:t>
      </w:r>
      <w:r>
        <w:rPr>
          <w:rFonts w:hint="eastAsia" w:ascii="宋体" w:hAnsi="宋体" w:cs="宋体"/>
          <w:b/>
          <w:bCs/>
          <w:color w:val="auto"/>
          <w:sz w:val="24"/>
          <w:highlight w:val="none"/>
          <w:lang w:val="en-US" w:eastAsia="zh-CN"/>
        </w:rPr>
        <w:t>或</w:t>
      </w:r>
      <w:r>
        <w:rPr>
          <w:rFonts w:hint="eastAsia" w:ascii="宋体" w:hAnsi="宋体" w:eastAsia="宋体" w:cs="宋体"/>
          <w:b/>
          <w:bCs/>
          <w:color w:val="auto"/>
          <w:sz w:val="24"/>
          <w:highlight w:val="none"/>
          <w:lang w:eastAsia="zh-CN"/>
        </w:rPr>
        <w:t>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bookmarkEnd w:id="20"/>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11.2.2授权委托书或法定代表人（单位负责人、自然人本人）身份证明；</w:t>
      </w:r>
      <w:r>
        <w:rPr>
          <w:rFonts w:hint="eastAsia" w:ascii="宋体" w:hAnsi="宋体" w:eastAsia="宋体" w:cs="宋体"/>
          <w:color w:val="auto"/>
          <w:sz w:val="24"/>
          <w:lang w:val="en-US" w:eastAsia="zh-CN"/>
        </w:rPr>
        <w:t>格式详见第六部分。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lang w:val="en-US" w:eastAsia="zh-CN"/>
        </w:rPr>
        <w:t>格式详见第六部分；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pPr>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11.2.7商务技术偏离表；</w:t>
      </w:r>
    </w:p>
    <w:p>
      <w:pPr>
        <w:snapToGrid w:val="0"/>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pStyle w:val="4"/>
        <w:ind w:left="434" w:leftChars="202" w:hanging="10" w:hangingChars="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pPr>
        <w:snapToGrid w:val="0"/>
        <w:spacing w:line="360" w:lineRule="auto"/>
        <w:ind w:firstLine="720" w:firstLineChars="300"/>
        <w:rPr>
          <w:rFonts w:hint="eastAsia" w:ascii="宋体" w:hAnsi="宋体" w:eastAsia="宋体" w:cs="宋体"/>
          <w:color w:val="auto"/>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pPr>
        <w:snapToGrid w:val="0"/>
        <w:spacing w:line="360" w:lineRule="auto"/>
        <w:ind w:firstLine="482" w:firstLineChars="200"/>
        <w:rPr>
          <w:rFonts w:hint="eastAsia" w:ascii="宋体" w:hAnsi="宋体" w:eastAsia="宋体" w:cs="宋体"/>
          <w:b/>
          <w:bCs/>
          <w:color w:val="auto"/>
          <w:sz w:val="24"/>
          <w:u w:val="single"/>
          <w:lang w:val="zh-CN"/>
        </w:rPr>
      </w:pPr>
      <w:r>
        <w:rPr>
          <w:rFonts w:hint="eastAsia" w:ascii="宋体" w:hAnsi="宋体" w:eastAsia="宋体" w:cs="宋体"/>
          <w:b/>
          <w:bCs/>
          <w:color w:val="auto"/>
          <w:kern w:val="0"/>
          <w:sz w:val="24"/>
          <w:lang w:val="zh-CN"/>
        </w:rPr>
        <w:t>11.</w:t>
      </w:r>
      <w:r>
        <w:rPr>
          <w:rFonts w:hint="eastAsia" w:ascii="宋体" w:hAnsi="宋体" w:eastAsia="宋体" w:cs="宋体"/>
          <w:b/>
          <w:bCs/>
          <w:color w:val="auto"/>
          <w:kern w:val="0"/>
          <w:sz w:val="24"/>
        </w:rPr>
        <w:t>3</w:t>
      </w:r>
      <w:r>
        <w:rPr>
          <w:rFonts w:hint="eastAsia" w:ascii="宋体" w:hAnsi="宋体" w:eastAsia="宋体" w:cs="宋体"/>
          <w:b/>
          <w:bCs/>
          <w:color w:val="auto"/>
          <w:sz w:val="24"/>
        </w:rPr>
        <w:t xml:space="preserve">报价文件：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pPr>
        <w:snapToGrid w:val="0"/>
        <w:spacing w:line="360" w:lineRule="auto"/>
        <w:ind w:firstLine="720" w:firstLineChars="3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11.3.2</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91"/>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91"/>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91"/>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91"/>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91"/>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7"/>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91"/>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91"/>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91"/>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hint="eastAsia" w:ascii="宋体" w:hAnsi="宋体" w:eastAsia="宋体" w:cs="宋体"/>
          <w:b/>
          <w:color w:val="auto"/>
          <w:sz w:val="32"/>
        </w:rPr>
      </w:pPr>
    </w:p>
    <w:p>
      <w:pPr>
        <w:pStyle w:val="91"/>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247"/>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r>
        <w:rPr>
          <w:rFonts w:hint="eastAsia" w:ascii="宋体" w:hAnsi="宋体" w:eastAsia="宋体" w:cs="宋体"/>
          <w:color w:val="auto"/>
          <w:sz w:val="24"/>
        </w:rPr>
        <w:t xml:space="preserve"> </w:t>
      </w:r>
    </w:p>
    <w:p>
      <w:pPr>
        <w:pStyle w:val="247"/>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18.1采购机构按照招标文件规定的时间通过电子交易平台组织开标，所有投标人均应当准时在线参加。投标人不足3家的，不得开标。</w:t>
      </w:r>
    </w:p>
    <w:p>
      <w:pPr>
        <w:pStyle w:val="247"/>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7"/>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w:t>
      </w:r>
      <w:r>
        <w:rPr>
          <w:rFonts w:hint="eastAsia" w:ascii="宋体" w:hAnsi="宋体" w:eastAsia="宋体" w:cs="宋体"/>
          <w:b/>
          <w:color w:val="auto"/>
          <w:sz w:val="24"/>
        </w:rPr>
        <w:t>.</w:t>
      </w:r>
      <w:r>
        <w:rPr>
          <w:rFonts w:hint="eastAsia" w:ascii="宋体" w:hAnsi="宋体" w:eastAsia="宋体" w:cs="宋体"/>
          <w:b/>
          <w:color w:val="auto"/>
          <w:sz w:val="24"/>
          <w:szCs w:val="20"/>
        </w:rPr>
        <w:t>资格审查</w:t>
      </w:r>
    </w:p>
    <w:p>
      <w:pPr>
        <w:pStyle w:val="91"/>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19.2</w:t>
      </w:r>
      <w:r>
        <w:rPr>
          <w:rFonts w:hint="eastAsia" w:ascii="宋体" w:hAnsi="宋体" w:eastAsia="宋体" w:cs="宋体"/>
          <w:color w:val="auto"/>
          <w:sz w:val="24"/>
        </w:rPr>
        <w:t>采购人或采购机构依据法律法规和招标文件的规定，对投标人的资格进行审查。</w:t>
      </w:r>
    </w:p>
    <w:p>
      <w:pPr>
        <w:pStyle w:val="91"/>
        <w:spacing w:before="0"/>
        <w:ind w:firstLine="480"/>
        <w:rPr>
          <w:rFonts w:hint="eastAsia" w:ascii="宋体" w:hAnsi="宋体" w:eastAsia="宋体" w:cs="宋体"/>
          <w:color w:val="auto"/>
        </w:rPr>
      </w:pPr>
      <w:r>
        <w:rPr>
          <w:rFonts w:hint="eastAsia" w:ascii="宋体" w:hAnsi="宋体" w:eastAsia="宋体" w:cs="宋体"/>
          <w:color w:val="auto"/>
          <w:kern w:val="0"/>
          <w:szCs w:val="24"/>
        </w:rPr>
        <w:t>19.3投标人未按照招标文件要求提供与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91"/>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4对未通过资格审查的投标人，采购人或采购机构告知其未通过的原因。</w:t>
      </w:r>
    </w:p>
    <w:p>
      <w:pPr>
        <w:pStyle w:val="91"/>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5合格投标人不足3家的，不再评标。</w:t>
      </w:r>
    </w:p>
    <w:p>
      <w:pPr>
        <w:pStyle w:val="91"/>
        <w:spacing w:before="0"/>
        <w:ind w:firstLine="480"/>
        <w:rPr>
          <w:rFonts w:hint="eastAsia" w:ascii="宋体" w:hAnsi="宋体" w:eastAsia="宋体" w:cs="宋体"/>
          <w:color w:val="auto"/>
        </w:rPr>
      </w:pPr>
      <w:r>
        <w:rPr>
          <w:rFonts w:hint="eastAsia" w:ascii="宋体" w:hAnsi="宋体" w:eastAsia="宋体" w:cs="宋体"/>
          <w:color w:val="auto"/>
        </w:rPr>
        <w:t>19.</w:t>
      </w:r>
      <w:r>
        <w:rPr>
          <w:rFonts w:hint="eastAsia" w:ascii="宋体" w:hAnsi="宋体" w:eastAsia="宋体" w:cs="宋体"/>
          <w:color w:val="auto"/>
          <w:lang w:val="en-US" w:eastAsia="zh-CN"/>
        </w:rPr>
        <w:t>6</w:t>
      </w:r>
      <w:r>
        <w:rPr>
          <w:rFonts w:hint="eastAsia" w:ascii="宋体" w:hAnsi="宋体" w:eastAsia="宋体" w:cs="宋体"/>
          <w:color w:val="auto"/>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91"/>
        <w:numPr>
          <w:ilvl w:val="0"/>
          <w:numId w:val="0"/>
        </w:numPr>
        <w:spacing w:before="0"/>
        <w:rPr>
          <w:rFonts w:hint="eastAsia" w:ascii="宋体" w:hAnsi="宋体" w:eastAsia="宋体" w:cs="宋体"/>
          <w:b/>
          <w:color w:val="auto"/>
          <w:szCs w:val="24"/>
        </w:rPr>
      </w:pPr>
      <w:r>
        <w:rPr>
          <w:rFonts w:hint="eastAsia" w:ascii="宋体" w:hAnsi="宋体" w:cs="宋体"/>
          <w:b/>
          <w:color w:val="auto"/>
          <w:szCs w:val="24"/>
          <w:lang w:val="en-US" w:eastAsia="zh-CN"/>
        </w:rPr>
        <w:t>20.</w:t>
      </w:r>
      <w:r>
        <w:rPr>
          <w:rFonts w:hint="eastAsia" w:ascii="宋体" w:hAnsi="宋体" w:eastAsia="宋体" w:cs="宋体"/>
          <w:b/>
          <w:color w:val="auto"/>
          <w:szCs w:val="24"/>
        </w:rPr>
        <w:t>信用信息查询</w:t>
      </w:r>
    </w:p>
    <w:p>
      <w:pPr>
        <w:pStyle w:val="91"/>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91"/>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91"/>
        <w:spacing w:before="0"/>
        <w:ind w:firstLine="0" w:firstLineChars="0"/>
        <w:rPr>
          <w:rFonts w:hint="eastAsia" w:ascii="宋体" w:hAnsi="宋体" w:eastAsia="宋体" w:cs="宋体"/>
          <w:color w:val="auto"/>
          <w:kern w:val="0"/>
          <w:szCs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pPr>
        <w:spacing w:line="360" w:lineRule="auto"/>
        <w:rPr>
          <w:rFonts w:hint="eastAsia" w:ascii="宋体" w:hAnsi="宋体" w:eastAsia="宋体" w:cs="宋体"/>
          <w:b/>
          <w:color w:val="auto"/>
          <w:sz w:val="24"/>
        </w:rPr>
      </w:pPr>
      <w:bookmarkStart w:id="21" w:name="_Toc91899903"/>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pPr>
        <w:pStyle w:val="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91"/>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1"/>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22" w:name="_Hlk101184471"/>
      <w:r>
        <w:rPr>
          <w:rFonts w:hint="eastAsia" w:ascii="宋体" w:hAnsi="宋体" w:eastAsia="宋体" w:cs="宋体"/>
          <w:color w:val="auto"/>
          <w:sz w:val="24"/>
        </w:rPr>
        <w:t>资格审查情况、评审专家抽取规则、符合性审查情况、</w:t>
      </w:r>
      <w:bookmarkEnd w:id="22"/>
      <w:r>
        <w:rPr>
          <w:rFonts w:hint="eastAsia" w:ascii="宋体" w:hAnsi="宋体" w:eastAsia="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1"/>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91"/>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b/>
          <w:color w:val="auto"/>
          <w:szCs w:val="24"/>
        </w:rPr>
        <w:t>7. 电子交易活动的中止。</w:t>
      </w:r>
      <w:r>
        <w:rPr>
          <w:rFonts w:hint="eastAsia" w:ascii="宋体" w:hAnsi="宋体" w:eastAsia="宋体" w:cs="宋体"/>
          <w:color w:val="auto"/>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27.1电子交易平台发生故障而无法登录访问的； </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27.2电子交易平台应用或数据库出现错误，不能进行正常操作的；</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27.3电子交易平台发现严重安全漏洞，有潜在泄密危险的；</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27.4病毒发作导致不能进行正常操作的； </w:t>
      </w:r>
    </w:p>
    <w:p>
      <w:pPr>
        <w:pStyle w:val="91"/>
        <w:snapToGrid w:val="0"/>
        <w:spacing w:before="0"/>
        <w:ind w:firstLine="480"/>
        <w:rPr>
          <w:rFonts w:hint="eastAsia" w:ascii="宋体" w:hAnsi="宋体" w:eastAsia="宋体" w:cs="宋体"/>
          <w:color w:val="auto"/>
        </w:rPr>
      </w:pPr>
      <w:r>
        <w:rPr>
          <w:rFonts w:hint="eastAsia" w:ascii="宋体" w:hAnsi="宋体" w:eastAsia="宋体" w:cs="宋体"/>
          <w:color w:val="auto"/>
        </w:rPr>
        <w:t>27.5其他无法保证电子交易的公平、公正和安全的情况。</w:t>
      </w:r>
    </w:p>
    <w:p>
      <w:pPr>
        <w:pStyle w:val="91"/>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pPr>
        <w:pStyle w:val="7"/>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29.验收</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pStyle w:val="624"/>
        <w:rPr>
          <w:rFonts w:hint="eastAsia" w:ascii="宋体" w:hAnsi="宋体" w:eastAsia="宋体" w:cs="宋体"/>
          <w:color w:val="auto"/>
        </w:rPr>
        <w:sectPr>
          <w:footerReference r:id="rId7" w:type="first"/>
          <w:footerReference r:id="rId6" w:type="default"/>
          <w:pgSz w:w="11906" w:h="16838"/>
          <w:pgMar w:top="680" w:right="1418" w:bottom="468" w:left="1418" w:header="851" w:footer="992" w:gutter="0"/>
          <w:pgNumType w:fmt="numberInDash" w:start="1"/>
          <w:cols w:space="720" w:num="1"/>
          <w:titlePg/>
          <w:docGrid w:linePitch="312" w:charSpace="0"/>
        </w:sectPr>
      </w:pPr>
      <w:bookmarkStart w:id="23" w:name="_Hlt75236011"/>
      <w:bookmarkEnd w:id="23"/>
      <w:bookmarkStart w:id="24" w:name="_Hlt68073093"/>
      <w:bookmarkEnd w:id="24"/>
      <w:bookmarkStart w:id="25" w:name="_Hlt68072990"/>
      <w:bookmarkEnd w:id="25"/>
      <w:bookmarkStart w:id="26" w:name="_Hlt68072998"/>
      <w:bookmarkEnd w:id="26"/>
      <w:bookmarkStart w:id="27" w:name="_Hlt68057669"/>
      <w:bookmarkEnd w:id="27"/>
      <w:bookmarkStart w:id="28" w:name="_Hlt74729768"/>
      <w:bookmarkEnd w:id="28"/>
      <w:bookmarkStart w:id="29" w:name="_Hlt74714665"/>
      <w:bookmarkEnd w:id="29"/>
      <w:bookmarkStart w:id="30" w:name="_Hlt74730295"/>
      <w:bookmarkEnd w:id="30"/>
      <w:bookmarkStart w:id="31" w:name="_Hlt75236290"/>
      <w:bookmarkEnd w:id="31"/>
      <w:bookmarkStart w:id="32" w:name="_Hlt74707468"/>
      <w:bookmarkEnd w:id="32"/>
      <w:bookmarkStart w:id="33" w:name="_Hlt75236101"/>
      <w:bookmarkEnd w:id="33"/>
      <w:bookmarkStart w:id="34" w:name="_Hlt68403820"/>
      <w:bookmarkEnd w:id="34"/>
      <w:r>
        <w:rPr>
          <w:rFonts w:hint="eastAsia" w:ascii="宋体" w:hAnsi="宋体" w:eastAsia="宋体" w:cs="宋体"/>
          <w:color w:val="auto"/>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6"/>
    <w:bookmarkEnd w:id="17"/>
    <w:p>
      <w:pPr>
        <w:spacing w:line="360" w:lineRule="auto"/>
        <w:jc w:val="center"/>
        <w:outlineLvl w:val="0"/>
        <w:rPr>
          <w:rFonts w:hint="eastAsia" w:ascii="宋体" w:hAnsi="宋体" w:eastAsia="宋体" w:cs="宋体"/>
          <w:b/>
          <w:color w:val="auto"/>
          <w:sz w:val="36"/>
          <w:szCs w:val="36"/>
        </w:rPr>
      </w:pPr>
      <w:bookmarkStart w:id="35" w:name="第四部分"/>
      <w:r>
        <w:rPr>
          <w:rFonts w:hint="eastAsia" w:ascii="宋体" w:hAnsi="宋体" w:eastAsia="宋体" w:cs="宋体"/>
          <w:b/>
          <w:color w:val="auto"/>
          <w:sz w:val="36"/>
          <w:szCs w:val="36"/>
        </w:rPr>
        <w:t>第三部分   采购需求</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pPr>
        <w:pStyle w:val="2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为借助专业旅游运营团队力量，更好地促进百丈镇旅游产业的健康发展，树立百丈旅游良好形象，实现对百丈全域旅游资源的整合运营、合理开发及有效利用，现</w:t>
      </w:r>
      <w:r>
        <w:rPr>
          <w:rFonts w:hint="eastAsia" w:hAnsi="宋体" w:cs="宋体"/>
          <w:color w:val="auto"/>
          <w:sz w:val="24"/>
          <w:szCs w:val="24"/>
          <w:highlight w:val="none"/>
          <w:lang w:val="en-US" w:eastAsia="zh-CN"/>
        </w:rPr>
        <w:t>开展</w:t>
      </w:r>
      <w:r>
        <w:rPr>
          <w:rFonts w:hint="eastAsia" w:ascii="宋体" w:hAnsi="宋体" w:eastAsia="宋体" w:cs="宋体"/>
          <w:color w:val="auto"/>
          <w:sz w:val="24"/>
          <w:szCs w:val="24"/>
          <w:highlight w:val="none"/>
          <w:lang w:eastAsia="zh-CN"/>
        </w:rPr>
        <w:t>百丈镇全域旅游委托运营管理项目</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lang w:val="en-US" w:eastAsia="zh-CN"/>
        </w:rPr>
        <w:t>目标及范围</w:t>
      </w:r>
    </w:p>
    <w:p>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1、运营管理目标</w:t>
      </w:r>
    </w:p>
    <w:p>
      <w:pPr>
        <w:pStyle w:val="2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通过对百丈镇旅游资源的全面梳理和分析，明确百丈未来旅游发展重点方向，实现百丈镇全域旅游运营管理，制定运营管理实施方案计划，打造百丈核心旅游发展示范区，优化百丈全域旅游业态结构，激发潜在旅游产业链活力，带动在地居民增收致富，配合完成百丈镇全域景区创建工作，从而进一步提升百丈镇在旅游市场上的影响力和知名度。</w:t>
      </w:r>
    </w:p>
    <w:p>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2、运营管理范围</w:t>
      </w:r>
    </w:p>
    <w:p>
      <w:pPr>
        <w:pStyle w:val="2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百丈全域旅游运营管理涉及的旅游基础管理及服务、旅游品牌建设与营销、旅游产品开发与经营、旅游产业引导与招商四大方面工作内容</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三、运营内容</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（一）百丈全域旅游基础管理及服务</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游客中心日常管理：负责百丈游客服务中心的日常管理工作</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包括游客咨询、游客投诉处理、物业管理、咨询投诉信息统计分析、物品租借管理、共享单车管理及调度、户外宣传屏播放管理等工作。制定完善日常管理、游客服务等相关制度。</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专业技术培训：每年邀请专家或技术员对全镇乡村旅游从业人员开展不少于8次的专业化培训。</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2"/>
          <w:sz w:val="24"/>
          <w:szCs w:val="24"/>
          <w:highlight w:val="none"/>
          <w:lang w:val="en-US" w:eastAsia="zh-CN" w:bidi="ar-SA"/>
        </w:rPr>
        <w:t>景区创建：配合甲方完成旅游相关创建，包括不仅限于全域景区创建、示范村、示范集聚区、宋韵杭式基地等，做好技术指导。</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2"/>
          <w:sz w:val="24"/>
          <w:szCs w:val="24"/>
          <w:highlight w:val="none"/>
          <w:lang w:val="en-US" w:eastAsia="zh-CN" w:bidi="ar-SA"/>
        </w:rPr>
        <w:t>旅游数据统计：做好全国A级旅游景区管理系统的旅游数据节假日、月度、季度、年度统计、分析和汇总工作。</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2"/>
          <w:sz w:val="24"/>
          <w:szCs w:val="24"/>
          <w:highlight w:val="none"/>
          <w:lang w:val="en-US" w:eastAsia="zh-CN" w:bidi="ar-SA"/>
        </w:rPr>
        <w:t>景区安全检查：负责开展月度、节假日景区景点及旅游新业态安全检查，制定检查标准和检查方法，完成安全台账制定和上报工作。</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6、其他文旅相关：及时、全面配合完成百丈镇文旅线交办工作。</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cs="宋体"/>
          <w:b w:val="0"/>
          <w:bCs w:val="0"/>
          <w:snapToGrid w:val="0"/>
          <w:color w:val="auto"/>
          <w:sz w:val="24"/>
          <w:szCs w:val="24"/>
          <w:highlight w:val="none"/>
          <w:lang w:val="en-US" w:eastAsia="zh-CN"/>
        </w:rPr>
        <w:t>（二）</w:t>
      </w:r>
      <w:r>
        <w:rPr>
          <w:rFonts w:hint="eastAsia" w:ascii="宋体" w:hAnsi="宋体" w:eastAsia="宋体" w:cs="宋体"/>
          <w:b w:val="0"/>
          <w:bCs w:val="0"/>
          <w:snapToGrid w:val="0"/>
          <w:color w:val="auto"/>
          <w:sz w:val="24"/>
          <w:szCs w:val="24"/>
          <w:highlight w:val="none"/>
          <w:lang w:val="en-US" w:eastAsia="zh-CN"/>
        </w:rPr>
        <w:t>百丈全域旅游品牌建设与营销</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品牌形象维护：负责百丈旅游品牌IP（“竹意百丈”景区、“百丈百味”“当关夫”“小笋宝”系列等）的管理与维护，同时积极与相关文创企业机构对接，开展品牌的文创授权与合作。</w:t>
      </w:r>
    </w:p>
    <w:p>
      <w:pPr>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 xml:space="preserve"> </w:t>
      </w:r>
      <w:r>
        <w:rPr>
          <w:rFonts w:hint="eastAsia" w:ascii="宋体" w:hAnsi="宋体" w:cs="宋体"/>
          <w:snapToGrid w:val="0"/>
          <w:color w:val="auto"/>
          <w:kern w:val="2"/>
          <w:sz w:val="24"/>
          <w:szCs w:val="24"/>
          <w:highlight w:val="none"/>
          <w:lang w:val="en-US" w:eastAsia="zh-CN" w:bidi="ar-SA"/>
        </w:rPr>
        <w:t xml:space="preserve">   2、对外宣传策划</w:t>
      </w:r>
      <w:r>
        <w:rPr>
          <w:rFonts w:hint="eastAsia" w:ascii="宋体" w:hAnsi="宋体" w:eastAsia="宋体" w:cs="宋体"/>
          <w:snapToGrid w:val="0"/>
          <w:color w:val="auto"/>
          <w:kern w:val="2"/>
          <w:sz w:val="24"/>
          <w:szCs w:val="24"/>
          <w:highlight w:val="none"/>
          <w:lang w:val="en-US" w:eastAsia="zh-CN" w:bidi="ar-SA"/>
        </w:rPr>
        <w:t>：注册和运营管理百丈研学或百丈旅游微信公众号、抖音、小红书账号，做好线上宣传工作，每月每个平台至少发布4条高质量内容，每个平台全年不少于48条，其中一条内容点赞量须达到3万及以上；与各旅行社、政企部门及线上互联网旅游平台建立良好的渠道合作关系；配合百丈镇做好全域旅游宣传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3、落地主题活动:根据百丈镇整体营销活动计划，负责举办至少一场农文旅相关活动，比如云上百丈音乐会等活动，乙方负责策划、执行并支出相关费用，甲方需提供相应场地、人员的协作和配合。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cs="宋体"/>
          <w:snapToGrid w:val="0"/>
          <w:color w:val="auto"/>
          <w:kern w:val="2"/>
          <w:sz w:val="24"/>
          <w:szCs w:val="24"/>
          <w:highlight w:val="none"/>
          <w:lang w:val="en-US" w:eastAsia="zh-CN" w:bidi="ar-SA"/>
        </w:rPr>
        <w:t>文旅推介招商</w:t>
      </w:r>
      <w:r>
        <w:rPr>
          <w:rFonts w:hint="eastAsia" w:ascii="宋体" w:hAnsi="宋体" w:eastAsia="宋体" w:cs="宋体"/>
          <w:snapToGrid w:val="0"/>
          <w:color w:val="auto"/>
          <w:kern w:val="2"/>
          <w:sz w:val="24"/>
          <w:szCs w:val="24"/>
          <w:highlight w:val="none"/>
          <w:lang w:val="en-US" w:eastAsia="zh-CN" w:bidi="ar-SA"/>
        </w:rPr>
        <w:t>：积极争取参加上级主管部门外出宣传推广的机会（包括但不仅限于文旅市集、推介会、招商大会等），结合百丈镇整体对外推广计划，开展相关旅游推介工作。协助百丈镇做好市集挖掘工作，积极申报全省重点培育市集。</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cs="宋体"/>
          <w:b w:val="0"/>
          <w:bCs w:val="0"/>
          <w:snapToGrid w:val="0"/>
          <w:color w:val="auto"/>
          <w:sz w:val="24"/>
          <w:szCs w:val="24"/>
          <w:highlight w:val="none"/>
          <w:lang w:val="en-US" w:eastAsia="zh-CN"/>
        </w:rPr>
        <w:t>（三）</w:t>
      </w:r>
      <w:r>
        <w:rPr>
          <w:rFonts w:hint="eastAsia" w:ascii="宋体" w:hAnsi="宋体" w:eastAsia="宋体" w:cs="宋体"/>
          <w:b w:val="0"/>
          <w:bCs w:val="0"/>
          <w:snapToGrid w:val="0"/>
          <w:color w:val="auto"/>
          <w:sz w:val="24"/>
          <w:szCs w:val="24"/>
          <w:highlight w:val="none"/>
        </w:rPr>
        <w:t>百丈全域旅游产品开发与经营</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旅游线路开发：整合百丈全域旅游资源，串珠成链，策划不少于6条精品主题旅游线路投放市场，负责设计百丈景区旅游手册一本。</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 xml:space="preserve">    2、</w:t>
      </w:r>
      <w:r>
        <w:rPr>
          <w:rFonts w:hint="eastAsia" w:ascii="宋体" w:hAnsi="宋体" w:eastAsia="宋体" w:cs="宋体"/>
          <w:snapToGrid w:val="0"/>
          <w:color w:val="auto"/>
          <w:kern w:val="2"/>
          <w:sz w:val="24"/>
          <w:szCs w:val="24"/>
          <w:highlight w:val="none"/>
          <w:lang w:val="en-US" w:eastAsia="zh-CN" w:bidi="ar-SA"/>
        </w:rPr>
        <w:t>打造</w:t>
      </w:r>
      <w:r>
        <w:rPr>
          <w:rFonts w:hint="eastAsia" w:ascii="宋体" w:hAnsi="宋体" w:cs="宋体"/>
          <w:snapToGrid w:val="0"/>
          <w:color w:val="auto"/>
          <w:kern w:val="2"/>
          <w:sz w:val="24"/>
          <w:szCs w:val="24"/>
          <w:highlight w:val="none"/>
          <w:lang w:val="en-US" w:eastAsia="zh-CN" w:bidi="ar-SA"/>
        </w:rPr>
        <w:t>接待</w:t>
      </w:r>
      <w:r>
        <w:rPr>
          <w:rFonts w:hint="eastAsia" w:ascii="宋体" w:hAnsi="宋体" w:eastAsia="宋体" w:cs="宋体"/>
          <w:snapToGrid w:val="0"/>
          <w:color w:val="auto"/>
          <w:kern w:val="2"/>
          <w:sz w:val="24"/>
          <w:szCs w:val="24"/>
          <w:highlight w:val="none"/>
          <w:lang w:val="en-US" w:eastAsia="zh-CN" w:bidi="ar-SA"/>
        </w:rPr>
        <w:t>团队：打造专业</w:t>
      </w:r>
      <w:r>
        <w:rPr>
          <w:rFonts w:hint="eastAsia" w:ascii="宋体" w:hAnsi="宋体" w:cs="宋体"/>
          <w:snapToGrid w:val="0"/>
          <w:color w:val="auto"/>
          <w:kern w:val="2"/>
          <w:sz w:val="24"/>
          <w:szCs w:val="24"/>
          <w:highlight w:val="none"/>
          <w:lang w:val="en-US" w:eastAsia="zh-CN" w:bidi="ar-SA"/>
        </w:rPr>
        <w:t>接待</w:t>
      </w:r>
      <w:r>
        <w:rPr>
          <w:rFonts w:hint="eastAsia" w:ascii="宋体" w:hAnsi="宋体" w:eastAsia="宋体" w:cs="宋体"/>
          <w:snapToGrid w:val="0"/>
          <w:color w:val="auto"/>
          <w:kern w:val="2"/>
          <w:sz w:val="24"/>
          <w:szCs w:val="24"/>
          <w:highlight w:val="none"/>
          <w:lang w:val="en-US" w:eastAsia="zh-CN" w:bidi="ar-SA"/>
        </w:rPr>
        <w:t>讲解团队，</w:t>
      </w:r>
      <w:r>
        <w:rPr>
          <w:rFonts w:hint="eastAsia" w:ascii="宋体" w:hAnsi="宋体" w:cs="宋体"/>
          <w:snapToGrid w:val="0"/>
          <w:color w:val="auto"/>
          <w:kern w:val="2"/>
          <w:sz w:val="24"/>
          <w:szCs w:val="24"/>
          <w:highlight w:val="none"/>
          <w:lang w:val="en-US" w:eastAsia="zh-CN" w:bidi="ar-SA"/>
        </w:rPr>
        <w:t>承接区镇两级政府高标准政府、商务考察、调研团队，做好路线设计、对接及讲解服务。</w:t>
      </w:r>
      <w:r>
        <w:rPr>
          <w:rFonts w:hint="eastAsia" w:ascii="宋体" w:hAnsi="宋体" w:eastAsia="宋体" w:cs="宋体"/>
          <w:snapToGrid w:val="0"/>
          <w:color w:val="auto"/>
          <w:kern w:val="2"/>
          <w:sz w:val="24"/>
          <w:szCs w:val="24"/>
          <w:highlight w:val="none"/>
          <w:lang w:val="en-US" w:eastAsia="zh-CN" w:bidi="ar-SA"/>
        </w:rPr>
        <w:t>撰写专业百丈镇内景点讲解词，并装订成册。每年培养全域旅游讲解员不少于2人。</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2"/>
          <w:sz w:val="24"/>
          <w:szCs w:val="24"/>
          <w:highlight w:val="none"/>
          <w:lang w:val="en-US" w:eastAsia="zh-CN" w:bidi="ar-SA"/>
        </w:rPr>
        <w:t>旅游产品打造：结合百丈镇文化底蕴，设计不少于3款百丈特色旅游伴手礼。同时，挖掘百丈伴手礼，积极参与国家级、省级和区级比赛。</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2"/>
          <w:sz w:val="24"/>
          <w:szCs w:val="24"/>
          <w:highlight w:val="none"/>
          <w:lang w:val="en-US" w:eastAsia="zh-CN" w:bidi="ar-SA"/>
        </w:rPr>
        <w:t>百丈百味打造：深入挖掘百丈当地特色美食，做好百丈百味产品开发，设计不少于</w:t>
      </w:r>
      <w:r>
        <w:rPr>
          <w:rFonts w:hint="eastAsia" w:ascii="宋体" w:hAnsi="宋体" w:cs="宋体"/>
          <w:snapToGrid w:val="0"/>
          <w:color w:val="auto"/>
          <w:kern w:val="2"/>
          <w:sz w:val="24"/>
          <w:szCs w:val="24"/>
          <w:highlight w:val="none"/>
          <w:lang w:val="en-US" w:eastAsia="zh-CN" w:bidi="ar-SA"/>
        </w:rPr>
        <w:t>8</w:t>
      </w:r>
      <w:r>
        <w:rPr>
          <w:rFonts w:hint="eastAsia" w:ascii="宋体" w:hAnsi="宋体" w:eastAsia="宋体" w:cs="宋体"/>
          <w:snapToGrid w:val="0"/>
          <w:color w:val="auto"/>
          <w:kern w:val="2"/>
          <w:sz w:val="24"/>
          <w:szCs w:val="24"/>
          <w:highlight w:val="none"/>
          <w:lang w:val="en-US" w:eastAsia="zh-CN" w:bidi="ar-SA"/>
        </w:rPr>
        <w:t>款产品包装。同时，做好百县千碗产品挖掘、产品拍摄、新闻宣传等相关工作：包括挖掘百县千碗菜品及店铺，积极组织参加全省1000道风味美食名录评选、省级“百县千碗”美食体验店（包括旗舰店、美食街区）认定及全省“百县千碗”菜品挑战赛；根据省市要求，开展百县千碗六进活动（进景区、进饭店、进高速服务区、进学校、进机关食堂、进社区）。</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2"/>
          <w:sz w:val="24"/>
          <w:szCs w:val="24"/>
          <w:highlight w:val="none"/>
          <w:lang w:val="en-US" w:eastAsia="zh-CN" w:bidi="ar-SA"/>
        </w:rPr>
        <w:t>项目开发建议：在实际运营管理工作中，根据市场需求及对未来发展的正确判断，为百丈后续的旅游开发提供项目开发建议。后续项目具体开发工作经由双方评估后另行协商确定实施方案。</w:t>
      </w:r>
    </w:p>
    <w:p>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6、</w:t>
      </w:r>
      <w:r>
        <w:rPr>
          <w:rFonts w:hint="eastAsia" w:ascii="宋体" w:hAnsi="宋体" w:eastAsia="宋体" w:cs="宋体"/>
          <w:snapToGrid w:val="0"/>
          <w:color w:val="auto"/>
          <w:kern w:val="2"/>
          <w:sz w:val="24"/>
          <w:szCs w:val="24"/>
          <w:highlight w:val="none"/>
          <w:lang w:val="en-US" w:eastAsia="zh-CN" w:bidi="ar-SA"/>
        </w:rPr>
        <w:t>线上统一经营：负责“百丈文旅”小程序平台运营管理，上线百丈景区资源、民食民宿、旅游商品及线路产品等内容。</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cs="宋体"/>
          <w:b w:val="0"/>
          <w:bCs w:val="0"/>
          <w:snapToGrid w:val="0"/>
          <w:color w:val="auto"/>
          <w:sz w:val="24"/>
          <w:szCs w:val="24"/>
          <w:highlight w:val="none"/>
          <w:lang w:val="en-US" w:eastAsia="zh-CN"/>
        </w:rPr>
        <w:t>（四）</w:t>
      </w:r>
      <w:r>
        <w:rPr>
          <w:rFonts w:hint="eastAsia" w:ascii="宋体" w:hAnsi="宋体" w:eastAsia="宋体" w:cs="宋体"/>
          <w:b w:val="0"/>
          <w:bCs w:val="0"/>
          <w:snapToGrid w:val="0"/>
          <w:color w:val="auto"/>
          <w:sz w:val="24"/>
          <w:szCs w:val="24"/>
          <w:highlight w:val="none"/>
          <w:lang w:val="en-US" w:eastAsia="zh-CN"/>
        </w:rPr>
        <w:t>百丈全域旅游产业引导与</w:t>
      </w:r>
      <w:r>
        <w:rPr>
          <w:rFonts w:hint="eastAsia" w:ascii="宋体" w:hAnsi="宋体" w:cs="宋体"/>
          <w:snapToGrid w:val="0"/>
          <w:color w:val="auto"/>
          <w:sz w:val="24"/>
          <w:highlight w:val="none"/>
        </w:rPr>
        <w:t>招商</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产业项目推广：发挥乙方引流优势，每个协议年内百丈镇接待过夜游客人次同比增速8%</w:t>
      </w:r>
      <w:r>
        <w:rPr>
          <w:rFonts w:hint="eastAsia" w:ascii="宋体" w:hAnsi="宋体" w:cs="宋体"/>
          <w:snapToGrid w:val="0"/>
          <w:color w:val="auto"/>
          <w:kern w:val="2"/>
          <w:sz w:val="24"/>
          <w:szCs w:val="24"/>
          <w:highlight w:val="none"/>
          <w:lang w:val="en-US" w:eastAsia="zh-CN" w:bidi="ar-SA"/>
        </w:rPr>
        <w:t>，民宿农家乐接待人次同比增速5%</w:t>
      </w:r>
      <w:r>
        <w:rPr>
          <w:rFonts w:hint="eastAsia" w:ascii="宋体" w:hAnsi="宋体" w:eastAsia="宋体" w:cs="宋体"/>
          <w:snapToGrid w:val="0"/>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重点业态招商：配合甲方做好全镇重点区块的业态招商工作，熟悉相关招商策略，跟进镇村招商项目前期对接和洽谈工作，为优质项目入驻提供服务保障，每个协议年内培育或引进文旅企业至少1家。</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、人员要求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拟派8名专业工作人员提供全域旅游运营管理工作，其中项目总负责人一名，项目统筹人员一名，策划营销负责人一名，运营管理负责人一名，招商管理负责人一名，导游一名，市场营销人员二名。</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上述人员须提供相关任职资格证明供采购方审核通过后，按照工作职责和双方约定的权限范围，在采购方相应授权下开展相关工作。</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服务期为</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年。本项目采取一次招标</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年沿用、实行一年一考核一签合同。第一年合同履行结束经考核合格的，经采购人申请财政审批同意后，可续签一年合同。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其中下年度服务内容根据需要可略作调整。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一年合同期满但采购人未获得预算批复或需求取消，则经采购人提前书面通知供应商后，合同到期终止，不再顺延；每年合同期满后，采购人根据相关政策以及中标人服务质量与中标人续签下一年合同，但中标价不予调整。</w:t>
      </w:r>
    </w:p>
    <w:p>
      <w:pPr>
        <w:keepNext w:val="0"/>
        <w:keepLines w:val="0"/>
        <w:pageBreakBefore w:val="0"/>
        <w:widowControl w:val="0"/>
        <w:numPr>
          <w:ilvl w:val="0"/>
          <w:numId w:val="0"/>
        </w:numPr>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highlight w:val="none"/>
        </w:rPr>
        <w:t>如涉及政府政策调整，引起采购资金调低情况，则采购方与中标单位协商解决。</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p>
    <w:p>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w:t>
      </w:r>
      <w:r>
        <w:rPr>
          <w:rFonts w:hint="eastAsia" w:hAnsi="宋体" w:cs="宋体"/>
          <w:color w:val="auto"/>
          <w:sz w:val="24"/>
          <w:szCs w:val="24"/>
          <w:highlight w:val="none"/>
          <w:lang w:val="en-US" w:eastAsia="zh-CN"/>
        </w:rPr>
        <w:t>签订后</w:t>
      </w:r>
      <w:r>
        <w:rPr>
          <w:rFonts w:hint="eastAsia" w:ascii="宋体" w:hAnsi="宋体" w:eastAsia="宋体" w:cs="宋体"/>
          <w:color w:val="auto"/>
          <w:sz w:val="24"/>
          <w:szCs w:val="24"/>
          <w:highlight w:val="none"/>
        </w:rPr>
        <w:t>支付年</w:t>
      </w:r>
      <w:r>
        <w:rPr>
          <w:rFonts w:hint="eastAsia" w:ascii="宋体" w:hAnsi="宋体" w:eastAsia="宋体" w:cs="宋体"/>
          <w:color w:val="auto"/>
          <w:sz w:val="24"/>
          <w:szCs w:val="24"/>
          <w:highlight w:val="none"/>
          <w:lang w:val="en-US" w:eastAsia="zh-CN"/>
        </w:rPr>
        <w:t>度合同</w:t>
      </w:r>
      <w:r>
        <w:rPr>
          <w:rFonts w:hint="eastAsia" w:ascii="宋体" w:hAnsi="宋体" w:eastAsia="宋体" w:cs="宋体"/>
          <w:color w:val="auto"/>
          <w:sz w:val="24"/>
          <w:szCs w:val="24"/>
          <w:highlight w:val="none"/>
        </w:rPr>
        <w:t>款项的</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p>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（2）自合同生效6个月内支付年</w:t>
      </w:r>
      <w:r>
        <w:rPr>
          <w:rFonts w:hint="eastAsia" w:ascii="宋体" w:hAnsi="宋体" w:eastAsia="宋体" w:cs="宋体"/>
          <w:color w:val="auto"/>
          <w:sz w:val="24"/>
          <w:szCs w:val="24"/>
          <w:highlight w:val="none"/>
          <w:lang w:val="en-US" w:eastAsia="zh-CN"/>
        </w:rPr>
        <w:t>度合同</w:t>
      </w:r>
      <w:r>
        <w:rPr>
          <w:rFonts w:hint="eastAsia" w:ascii="宋体" w:hAnsi="宋体" w:eastAsia="宋体" w:cs="宋体"/>
          <w:color w:val="auto"/>
          <w:sz w:val="24"/>
          <w:szCs w:val="24"/>
          <w:highlight w:val="none"/>
        </w:rPr>
        <w:t>款项的</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（3）剩余年</w:t>
      </w:r>
      <w:r>
        <w:rPr>
          <w:rFonts w:hint="eastAsia" w:ascii="宋体" w:hAnsi="宋体" w:eastAsia="宋体" w:cs="宋体"/>
          <w:color w:val="auto"/>
          <w:sz w:val="24"/>
          <w:szCs w:val="24"/>
          <w:highlight w:val="none"/>
          <w:lang w:val="en-US" w:eastAsia="zh-CN"/>
        </w:rPr>
        <w:t>度</w:t>
      </w:r>
      <w:r>
        <w:rPr>
          <w:rFonts w:hint="eastAsia"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款项的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0%作为考核金额在协议年结束后1个月内，通过考核评估按得分百分比相应支付：考核得分90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-100，剩余30%全额支付；考核得分80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-90，支付25%；考核得分70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-80，支付20%；考核得分60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-70，支付15%；考核得分低于60，剩余</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%不予支付。</w:t>
      </w:r>
    </w:p>
    <w:p>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第二年按上述方式进行支付。</w:t>
      </w:r>
    </w:p>
    <w:p>
      <w:pPr>
        <w:pStyle w:val="26"/>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w:t>
      </w:r>
      <w:r>
        <w:rPr>
          <w:rFonts w:hint="eastAsia" w:hAnsi="宋体" w:cs="宋体"/>
          <w:b/>
          <w:bCs/>
          <w:color w:val="auto"/>
          <w:sz w:val="24"/>
          <w:szCs w:val="24"/>
          <w:highlight w:val="none"/>
          <w:lang w:val="en-US" w:eastAsia="zh-CN"/>
        </w:rPr>
        <w:t>考核办法</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33"/>
        <w:gridCol w:w="1416"/>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4"/>
            <w:vAlign w:val="center"/>
          </w:tcPr>
          <w:p>
            <w:pPr>
              <w:widowControl/>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rPr>
              <w:t>百丈镇全域旅游委托运营管理项目考核规则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widowControl/>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rPr>
              <w:t>序号</w:t>
            </w:r>
          </w:p>
        </w:tc>
        <w:tc>
          <w:tcPr>
            <w:tcW w:w="1533" w:type="dxa"/>
            <w:vAlign w:val="center"/>
          </w:tcPr>
          <w:p>
            <w:pPr>
              <w:widowControl/>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rPr>
              <w:t>大类</w:t>
            </w:r>
          </w:p>
        </w:tc>
        <w:tc>
          <w:tcPr>
            <w:tcW w:w="1416" w:type="dxa"/>
            <w:vAlign w:val="center"/>
          </w:tcPr>
          <w:p>
            <w:pPr>
              <w:widowControl/>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rPr>
              <w:t>分值</w:t>
            </w:r>
          </w:p>
        </w:tc>
        <w:tc>
          <w:tcPr>
            <w:tcW w:w="4955" w:type="dxa"/>
            <w:vAlign w:val="center"/>
          </w:tcPr>
          <w:p>
            <w:pPr>
              <w:widowControl/>
              <w:jc w:val="left"/>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w:t>
            </w:r>
          </w:p>
        </w:tc>
        <w:tc>
          <w:tcPr>
            <w:tcW w:w="1533" w:type="dxa"/>
            <w:vMerge w:val="restart"/>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全域旅游基础管理及服务</w:t>
            </w:r>
          </w:p>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（30分）</w:t>
            </w: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7</w:t>
            </w:r>
          </w:p>
        </w:tc>
        <w:tc>
          <w:tcPr>
            <w:tcW w:w="4955" w:type="dxa"/>
            <w:vAlign w:val="center"/>
          </w:tcPr>
          <w:p>
            <w:pPr>
              <w:widowControl/>
              <w:numPr>
                <w:ilvl w:val="0"/>
                <w:numId w:val="2"/>
              </w:numPr>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竹意百丈游客服务中心前台接待，提供咨询、接待等服务的得5分，有游客投诉的，一次扣0.5分，扣完为止；</w:t>
            </w:r>
          </w:p>
          <w:p>
            <w:pPr>
              <w:widowControl/>
              <w:numPr>
                <w:ilvl w:val="0"/>
                <w:numId w:val="2"/>
              </w:numPr>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制定完善日常管理、游客服务等相关制度得1分。</w:t>
            </w:r>
          </w:p>
          <w:p>
            <w:pPr>
              <w:pStyle w:val="6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3.建立台账月报记录制度，记录接待并以月报形式发布，得1分。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3</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4</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每协议年组织8次及以上农文旅相关培训与总结得4分，每少一次扣0.5分。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4</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6</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完成旅游相关创建材料、台账的组织与报送工作的得4分，创建成功的一次加2分，最高不超过6分。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5</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3</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完成旅游数据统计工作得3分，有错误或遗漏的一次扣0.5分，扣完为止。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6</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5</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按时完成百丈镇内新旅游业态安全检查工作，制定安全台账并及时报送的得5分，有错误或遗漏的一次扣0.5分，扣完为止。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7</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5</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及时、全面配合完成百丈镇文旅线交办工作，完成度优秀的得5分，完成度良好的得4分，完成度一般的得3分。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8</w:t>
            </w:r>
          </w:p>
        </w:tc>
        <w:tc>
          <w:tcPr>
            <w:tcW w:w="1533" w:type="dxa"/>
            <w:vMerge w:val="restart"/>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全域旅游品牌建设与营销</w:t>
            </w:r>
          </w:p>
          <w:p>
            <w:pPr>
              <w:widowControl/>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（25分）</w:t>
            </w: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4</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百丈旅游品牌IP（“竹意百丈”景区、“百丈百味”“当关夫”“小笋宝”系列等）的管理与维护得当的得4分，管理与维护不到位的不得分。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9</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11</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1.完成百丈研学或百丈旅游新媒体运营目标的得8分（每月每个平台至少发布4条高质量内容，每个平台全年不少于48条，其中一条内容点赞量须达到3万及以上）；</w:t>
            </w:r>
          </w:p>
          <w:p>
            <w:pPr>
              <w:pStyle w:val="6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2.配合百丈镇做好全域旅游宣传工作，完成较高得3分，完成良好得2分，完成一般得1分。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10</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5</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常态化运营文旅相关项目并取得较好效果得3分，每年至少举办一场农文旅相关活动的，得2分。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11</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5</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积极参加上级主管部门外出宣传推广的得5分，缺席一次扣0.5分，扣完为止。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12</w:t>
            </w:r>
          </w:p>
        </w:tc>
        <w:tc>
          <w:tcPr>
            <w:tcW w:w="1533" w:type="dxa"/>
            <w:vMerge w:val="restart"/>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全域旅游产品开发与经营</w:t>
            </w:r>
          </w:p>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（30分）</w:t>
            </w: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7</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1.策划不少于6条精品主题参观考察接待及旅游线路，并投放市场的得2分；</w:t>
            </w:r>
          </w:p>
          <w:p>
            <w:pPr>
              <w:pStyle w:val="6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2.完成百丈镇文旅宣传手册，品质较高得5分，品质良好得2分，品质一般得1分。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13</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6</w:t>
            </w:r>
          </w:p>
        </w:tc>
        <w:tc>
          <w:tcPr>
            <w:tcW w:w="4955" w:type="dxa"/>
            <w:vAlign w:val="center"/>
          </w:tcPr>
          <w:p>
            <w:pPr>
              <w:widowControl/>
              <w:jc w:val="left"/>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1.完成百丈镇景点讲解词的得2分；</w:t>
            </w:r>
          </w:p>
          <w:p>
            <w:pPr>
              <w:pStyle w:val="6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2.全年培养专业讲解员2名的得2分。</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3.高质量配合接待政府考察调研团队得2分。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14</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5</w:t>
            </w:r>
          </w:p>
        </w:tc>
        <w:tc>
          <w:tcPr>
            <w:tcW w:w="4955" w:type="dxa"/>
            <w:vAlign w:val="center"/>
          </w:tcPr>
          <w:p>
            <w:pPr>
              <w:pStyle w:val="6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1.开发特色旅游伴手礼三款及以上的得3分；</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i w:val="0"/>
                <w:iCs w:val="0"/>
                <w:color w:val="auto"/>
                <w:kern w:val="0"/>
                <w:sz w:val="24"/>
                <w:szCs w:val="24"/>
                <w:u w:val="none"/>
                <w:lang w:val="en-US" w:eastAsia="zh-CN"/>
              </w:rPr>
              <w:t>组织百丈辖区内文创企业参加浙派好礼、民宿伴手礼等区级以上伴手礼评比和展示活动得2分，未组织参加一次扣0.5分，扣完为止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15</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9</w:t>
            </w:r>
          </w:p>
        </w:tc>
        <w:tc>
          <w:tcPr>
            <w:tcW w:w="4955" w:type="dxa"/>
            <w:vAlign w:val="center"/>
          </w:tcPr>
          <w:p>
            <w:pPr>
              <w:pStyle w:val="62"/>
              <w:ind w:left="0" w:leftChars="0"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1.百丈百味包装设计8款及以上的得3分；</w:t>
            </w:r>
          </w:p>
          <w:p>
            <w:pPr>
              <w:pStyle w:val="62"/>
              <w:ind w:left="0" w:leftChars="0" w:firstLine="0" w:firstLineChars="0"/>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i w:val="0"/>
                <w:iCs w:val="0"/>
                <w:color w:val="auto"/>
                <w:kern w:val="0"/>
                <w:sz w:val="24"/>
                <w:szCs w:val="24"/>
                <w:u w:val="none"/>
                <w:lang w:val="en-US" w:eastAsia="zh-CN"/>
              </w:rPr>
              <w:t>投标人自行参加或组织全镇企业参加百县千碗、浙韵千宿、浙派好礼等评比的，得2分，其中获省级及以上荣誉的每一项得3分，获市级荣誉的每一项得2分，获区级荣誉的，每一项得1分，最高不超过3分。</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3.开展百县千碗六进活动的得1分。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16</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3</w:t>
            </w:r>
          </w:p>
        </w:tc>
        <w:tc>
          <w:tcPr>
            <w:tcW w:w="4955" w:type="dxa"/>
            <w:vAlign w:val="center"/>
          </w:tcPr>
          <w:p>
            <w:pP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“百丈文旅”小程序平台运营良好的得3分，运营一般的得2分，运营较差的不得分。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17</w:t>
            </w:r>
          </w:p>
        </w:tc>
        <w:tc>
          <w:tcPr>
            <w:tcW w:w="1533" w:type="dxa"/>
            <w:vMerge w:val="restart"/>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全域旅游产业引导与推广</w:t>
            </w:r>
          </w:p>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（15分）</w:t>
            </w: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6</w:t>
            </w:r>
          </w:p>
        </w:tc>
        <w:tc>
          <w:tcPr>
            <w:tcW w:w="4955" w:type="dxa"/>
            <w:vAlign w:val="center"/>
          </w:tcPr>
          <w:p>
            <w:pP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1.每个协议年内百丈镇接待过夜游客人次同比增速8%，得2分，增速12%及以上的，得3分，未达到8%的不得分；</w:t>
            </w:r>
          </w:p>
          <w:p>
            <w:pPr>
              <w:pStyle w:val="62"/>
              <w:ind w:left="0" w:leftChars="0" w:firstLine="0" w:firstLineChars="0"/>
              <w:rPr>
                <w:rFonts w:hint="default"/>
                <w:color w:val="auto"/>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SA"/>
              </w:rPr>
              <w:t>2.</w:t>
            </w:r>
            <w:r>
              <w:rPr>
                <w:rFonts w:hint="eastAsia" w:asciiTheme="minorEastAsia" w:hAnsiTheme="minorEastAsia" w:eastAsiaTheme="minorEastAsia" w:cstheme="minorEastAsia"/>
                <w:i w:val="0"/>
                <w:iCs w:val="0"/>
                <w:color w:val="auto"/>
                <w:kern w:val="0"/>
                <w:sz w:val="24"/>
                <w:szCs w:val="24"/>
                <w:u w:val="none"/>
                <w:lang w:val="en-US" w:eastAsia="zh-CN"/>
              </w:rPr>
              <w:t>每个协议年内百丈镇民宿农家乐接待人次同比增速5%，得2分，增速8%及以上的，得3分，未达到5%的不得分。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18</w:t>
            </w:r>
          </w:p>
        </w:tc>
        <w:tc>
          <w:tcPr>
            <w:tcW w:w="1533" w:type="dxa"/>
            <w:vMerge w:val="continue"/>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9</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1.梳理完成全镇招商PPT，招商手册等资料，并进行及时更新，得2分；</w:t>
            </w:r>
          </w:p>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2.完成招商接待、项目对接和项目落地等工作，根据全年接待任务、项目推进情况和项目落地情况综合评价，优秀得3分，良好得2分，一般得1分；</w:t>
            </w:r>
          </w:p>
          <w:p>
            <w:pP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3.投标人单独招引1家农文旅企业的，每招引1家得2分，最高不超过4分。如未招引成功的，扣2分。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19</w:t>
            </w:r>
          </w:p>
        </w:tc>
        <w:tc>
          <w:tcPr>
            <w:tcW w:w="1533" w:type="dxa"/>
            <w:vMerge w:val="restart"/>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扣分项</w:t>
            </w:r>
          </w:p>
        </w:tc>
        <w:tc>
          <w:tcPr>
            <w:tcW w:w="1416" w:type="dxa"/>
            <w:vMerge w:val="restart"/>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最高扣100分</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未组建8人及以上的运营团队（总经理1人，下设旅游接待、运营管理、策划营销、招商、市场营销等人员），扣100分。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8"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21</w:t>
            </w:r>
          </w:p>
        </w:tc>
        <w:tc>
          <w:tcPr>
            <w:tcW w:w="1533" w:type="dxa"/>
            <w:vAlign w:val="center"/>
          </w:tcPr>
          <w:p>
            <w:pPr>
              <w:widowControl/>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rPr>
            </w:pPr>
            <w:r>
              <w:rPr>
                <w:rFonts w:hint="eastAsia" w:asciiTheme="minorEastAsia" w:hAnsiTheme="minorEastAsia" w:eastAsiaTheme="minorEastAsia" w:cstheme="minorEastAsia"/>
                <w:b/>
                <w:bCs/>
                <w:i w:val="0"/>
                <w:iCs w:val="0"/>
                <w:color w:val="auto"/>
                <w:kern w:val="0"/>
                <w:sz w:val="24"/>
                <w:szCs w:val="24"/>
                <w:u w:val="none"/>
                <w:lang w:val="en-US" w:eastAsia="zh-CN"/>
              </w:rPr>
              <w:t>加分项</w:t>
            </w:r>
          </w:p>
        </w:tc>
        <w:tc>
          <w:tcPr>
            <w:tcW w:w="1416" w:type="dxa"/>
            <w:vAlign w:val="center"/>
          </w:tcPr>
          <w:p>
            <w:pPr>
              <w:widowControl/>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最高加10分</w:t>
            </w:r>
          </w:p>
        </w:tc>
        <w:tc>
          <w:tcPr>
            <w:tcW w:w="4955" w:type="dxa"/>
            <w:vAlign w:val="center"/>
          </w:tcPr>
          <w:p>
            <w:pPr>
              <w:widowControl/>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rPr>
              <w:t>百丈镇文旅年度综合考评，位列全区前5名，加10分。</w:t>
            </w:r>
          </w:p>
        </w:tc>
      </w:tr>
    </w:tbl>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snapToGrid w:val="0"/>
          <w:color w:val="auto"/>
          <w:kern w:val="2"/>
          <w:sz w:val="24"/>
          <w:szCs w:val="24"/>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snapToGrid w:val="0"/>
          <w:color w:val="auto"/>
          <w:kern w:val="2"/>
          <w:sz w:val="24"/>
          <w:szCs w:val="24"/>
          <w:highlight w:val="none"/>
          <w:lang w:val="en-US" w:eastAsia="zh-CN" w:bidi="ar-SA"/>
        </w:rPr>
      </w:pPr>
      <w:r>
        <w:rPr>
          <w:rFonts w:hint="eastAsia" w:cs="宋体"/>
          <w:b/>
          <w:bCs/>
          <w:snapToGrid w:val="0"/>
          <w:color w:val="auto"/>
          <w:kern w:val="2"/>
          <w:sz w:val="24"/>
          <w:szCs w:val="24"/>
          <w:highlight w:val="none"/>
          <w:lang w:val="en-US" w:eastAsia="zh-CN" w:bidi="ar-SA"/>
        </w:rPr>
        <w:t>八</w:t>
      </w:r>
      <w:r>
        <w:rPr>
          <w:rFonts w:hint="eastAsia" w:ascii="宋体" w:hAnsi="宋体" w:eastAsia="宋体" w:cs="宋体"/>
          <w:b/>
          <w:bCs/>
          <w:snapToGrid w:val="0"/>
          <w:color w:val="auto"/>
          <w:kern w:val="2"/>
          <w:sz w:val="24"/>
          <w:szCs w:val="24"/>
          <w:highlight w:val="none"/>
          <w:lang w:val="en-US" w:eastAsia="zh-CN" w:bidi="ar-SA"/>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1、采购人拥有辖区内全域旅游资源（原有自然资源、国有建筑物等）的所有权、经营指导权。采购方有权对中标方执行本项目的情况进行监督并提出相应建议。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在后续旅游运营开发中，</w:t>
      </w:r>
      <w:r>
        <w:rPr>
          <w:rFonts w:hint="eastAsia" w:ascii="宋体" w:hAnsi="宋体" w:cs="宋体"/>
          <w:snapToGrid w:val="0"/>
          <w:color w:val="auto"/>
          <w:kern w:val="2"/>
          <w:sz w:val="24"/>
          <w:szCs w:val="24"/>
          <w:highlight w:val="none"/>
          <w:lang w:val="en-US" w:eastAsia="zh-CN" w:bidi="ar-SA"/>
        </w:rPr>
        <w:t>中标</w:t>
      </w:r>
      <w:r>
        <w:rPr>
          <w:rFonts w:hint="eastAsia" w:ascii="宋体" w:hAnsi="宋体" w:eastAsia="宋体" w:cs="宋体"/>
          <w:snapToGrid w:val="0"/>
          <w:color w:val="auto"/>
          <w:kern w:val="2"/>
          <w:sz w:val="24"/>
          <w:szCs w:val="24"/>
          <w:highlight w:val="none"/>
          <w:lang w:val="en-US" w:eastAsia="zh-CN" w:bidi="ar-SA"/>
        </w:rPr>
        <w:t>方作为</w:t>
      </w:r>
      <w:r>
        <w:rPr>
          <w:rFonts w:hint="eastAsia" w:ascii="宋体" w:hAnsi="宋体" w:cs="宋体"/>
          <w:snapToGrid w:val="0"/>
          <w:color w:val="auto"/>
          <w:kern w:val="2"/>
          <w:sz w:val="24"/>
          <w:szCs w:val="24"/>
          <w:highlight w:val="none"/>
          <w:lang w:val="en-US" w:eastAsia="zh-CN" w:bidi="ar-SA"/>
        </w:rPr>
        <w:t>采购</w:t>
      </w:r>
      <w:r>
        <w:rPr>
          <w:rFonts w:hint="eastAsia" w:ascii="宋体" w:hAnsi="宋体" w:eastAsia="宋体" w:cs="宋体"/>
          <w:snapToGrid w:val="0"/>
          <w:color w:val="auto"/>
          <w:kern w:val="2"/>
          <w:sz w:val="24"/>
          <w:szCs w:val="24"/>
          <w:highlight w:val="none"/>
          <w:lang w:val="en-US" w:eastAsia="zh-CN" w:bidi="ar-SA"/>
        </w:rPr>
        <w:t>方全域旅游服务商，负责百丈旅游规划、策划及旅游活动执行等相关项目，对</w:t>
      </w:r>
      <w:r>
        <w:rPr>
          <w:rFonts w:hint="eastAsia" w:ascii="宋体" w:hAnsi="宋体" w:cs="宋体"/>
          <w:snapToGrid w:val="0"/>
          <w:color w:val="auto"/>
          <w:kern w:val="2"/>
          <w:sz w:val="24"/>
          <w:szCs w:val="24"/>
          <w:highlight w:val="none"/>
          <w:lang w:val="en-US" w:eastAsia="zh-CN" w:bidi="ar-SA"/>
        </w:rPr>
        <w:t>采购</w:t>
      </w:r>
      <w:r>
        <w:rPr>
          <w:rFonts w:hint="eastAsia" w:ascii="宋体" w:hAnsi="宋体" w:eastAsia="宋体" w:cs="宋体"/>
          <w:snapToGrid w:val="0"/>
          <w:color w:val="auto"/>
          <w:kern w:val="2"/>
          <w:sz w:val="24"/>
          <w:szCs w:val="24"/>
          <w:highlight w:val="none"/>
          <w:lang w:val="en-US" w:eastAsia="zh-CN" w:bidi="ar-SA"/>
        </w:rPr>
        <w:t>方已经委托第三方进行规划编制的方案，享有建议权；对于不符合实际运营管理情况的规划、策划项目，有权提出修改意见</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中标单位须维护</w:t>
      </w:r>
      <w:r>
        <w:rPr>
          <w:rFonts w:hint="eastAsia" w:ascii="宋体" w:hAnsi="宋体" w:cs="宋体"/>
          <w:snapToGrid w:val="0"/>
          <w:color w:val="auto"/>
          <w:kern w:val="2"/>
          <w:sz w:val="24"/>
          <w:szCs w:val="24"/>
          <w:highlight w:val="none"/>
          <w:lang w:val="en-US" w:eastAsia="zh-CN" w:bidi="ar-SA"/>
        </w:rPr>
        <w:t>采购方</w:t>
      </w:r>
      <w:r>
        <w:rPr>
          <w:rFonts w:hint="eastAsia" w:ascii="宋体" w:hAnsi="宋体" w:eastAsia="宋体" w:cs="宋体"/>
          <w:snapToGrid w:val="0"/>
          <w:color w:val="auto"/>
          <w:kern w:val="2"/>
          <w:sz w:val="24"/>
          <w:szCs w:val="24"/>
          <w:highlight w:val="none"/>
          <w:lang w:val="en-US" w:eastAsia="zh-CN" w:bidi="ar-SA"/>
        </w:rPr>
        <w:t>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在征得</w:t>
      </w:r>
      <w:r>
        <w:rPr>
          <w:rFonts w:hint="eastAsia" w:ascii="宋体" w:hAnsi="宋体" w:cs="宋体"/>
          <w:snapToGrid w:val="0"/>
          <w:color w:val="auto"/>
          <w:kern w:val="2"/>
          <w:sz w:val="24"/>
          <w:szCs w:val="24"/>
          <w:highlight w:val="none"/>
          <w:lang w:val="en-US" w:eastAsia="zh-CN" w:bidi="ar-SA"/>
        </w:rPr>
        <w:t>采购</w:t>
      </w:r>
      <w:r>
        <w:rPr>
          <w:rFonts w:hint="eastAsia" w:ascii="宋体" w:hAnsi="宋体" w:eastAsia="宋体" w:cs="宋体"/>
          <w:snapToGrid w:val="0"/>
          <w:color w:val="auto"/>
          <w:kern w:val="2"/>
          <w:sz w:val="24"/>
          <w:szCs w:val="24"/>
          <w:highlight w:val="none"/>
          <w:lang w:val="en-US" w:eastAsia="zh-CN" w:bidi="ar-SA"/>
        </w:rPr>
        <w:t>方及区级有关部门同意，并在不影响生态保护、景观效果的前提下，可根据运营管理需要，合理开发利用区域内的景观资源、水资源等。</w:t>
      </w:r>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36" w:name="_Toc184308054"/>
      <w:bookmarkEnd w:id="36"/>
      <w:bookmarkStart w:id="37" w:name="_Toc184314480"/>
      <w:bookmarkEnd w:id="37"/>
      <w:bookmarkStart w:id="38" w:name="_Toc184308089"/>
      <w:bookmarkEnd w:id="38"/>
      <w:bookmarkStart w:id="39" w:name="_Toc184308067"/>
      <w:bookmarkEnd w:id="39"/>
      <w:bookmarkStart w:id="40" w:name="_Toc184313279"/>
      <w:bookmarkEnd w:id="40"/>
      <w:bookmarkStart w:id="41" w:name="_Toc184310338"/>
      <w:bookmarkEnd w:id="41"/>
      <w:bookmarkStart w:id="42" w:name="_Toc184312117"/>
      <w:bookmarkEnd w:id="42"/>
      <w:bookmarkStart w:id="43" w:name="_Toc184313295"/>
      <w:bookmarkEnd w:id="43"/>
      <w:bookmarkStart w:id="44" w:name="_Toc184314479"/>
      <w:bookmarkEnd w:id="44"/>
      <w:bookmarkStart w:id="45" w:name="_Toc184308102"/>
      <w:bookmarkEnd w:id="45"/>
      <w:bookmarkStart w:id="46" w:name="_Toc184314414"/>
      <w:bookmarkEnd w:id="46"/>
      <w:bookmarkStart w:id="47" w:name="_Toc184312093"/>
      <w:bookmarkEnd w:id="47"/>
      <w:bookmarkStart w:id="48" w:name="_Toc184308039"/>
      <w:bookmarkEnd w:id="48"/>
      <w:bookmarkStart w:id="49" w:name="_Toc184312067"/>
      <w:bookmarkEnd w:id="49"/>
      <w:bookmarkStart w:id="50" w:name="_Toc184308093"/>
      <w:bookmarkEnd w:id="50"/>
      <w:bookmarkStart w:id="51" w:name="_Toc184313270"/>
      <w:bookmarkEnd w:id="51"/>
      <w:bookmarkStart w:id="52" w:name="_Toc184314446"/>
      <w:bookmarkEnd w:id="52"/>
      <w:bookmarkStart w:id="53" w:name="_Toc184310330"/>
      <w:bookmarkEnd w:id="53"/>
      <w:bookmarkStart w:id="54" w:name="_Toc184308061"/>
      <w:bookmarkEnd w:id="54"/>
      <w:bookmarkStart w:id="55" w:name="_Toc184310281"/>
      <w:bookmarkEnd w:id="55"/>
      <w:bookmarkStart w:id="56" w:name="_Toc184308084"/>
      <w:bookmarkEnd w:id="56"/>
      <w:bookmarkStart w:id="57" w:name="_Toc184308078"/>
      <w:bookmarkEnd w:id="57"/>
      <w:bookmarkStart w:id="58" w:name="_Toc184314471"/>
      <w:bookmarkEnd w:id="58"/>
      <w:bookmarkStart w:id="59" w:name="_Toc184314415"/>
      <w:bookmarkEnd w:id="59"/>
      <w:bookmarkStart w:id="60" w:name="_Toc184310317"/>
      <w:bookmarkEnd w:id="60"/>
      <w:bookmarkStart w:id="61" w:name="_Toc184308085"/>
      <w:bookmarkEnd w:id="61"/>
      <w:bookmarkStart w:id="62" w:name="_Toc184314468"/>
      <w:bookmarkEnd w:id="62"/>
      <w:bookmarkStart w:id="63" w:name="_Toc184313268"/>
      <w:bookmarkEnd w:id="63"/>
      <w:bookmarkStart w:id="64" w:name="_Toc184314482"/>
      <w:bookmarkEnd w:id="64"/>
      <w:bookmarkStart w:id="65" w:name="_Toc184310329"/>
      <w:bookmarkEnd w:id="65"/>
      <w:bookmarkStart w:id="66" w:name="_Toc184312108"/>
      <w:bookmarkEnd w:id="66"/>
      <w:bookmarkStart w:id="67" w:name="_Toc184313261"/>
      <w:bookmarkEnd w:id="67"/>
      <w:bookmarkStart w:id="68" w:name="_Toc184310334"/>
      <w:bookmarkEnd w:id="68"/>
      <w:bookmarkStart w:id="69" w:name="_Toc184314461"/>
      <w:bookmarkEnd w:id="69"/>
      <w:bookmarkStart w:id="70" w:name="_Toc184310282"/>
      <w:bookmarkEnd w:id="70"/>
      <w:bookmarkStart w:id="71" w:name="_Toc184312074"/>
      <w:bookmarkEnd w:id="71"/>
      <w:bookmarkStart w:id="72" w:name="_Toc184313247"/>
      <w:bookmarkEnd w:id="72"/>
      <w:bookmarkStart w:id="73" w:name="_Toc184310289"/>
      <w:bookmarkEnd w:id="73"/>
      <w:bookmarkStart w:id="74" w:name="_Toc184310286"/>
      <w:bookmarkEnd w:id="74"/>
      <w:bookmarkStart w:id="75" w:name="_Toc184308075"/>
      <w:bookmarkEnd w:id="75"/>
      <w:bookmarkStart w:id="76" w:name="_Toc184312083"/>
      <w:bookmarkEnd w:id="76"/>
      <w:bookmarkStart w:id="77" w:name="_Toc184308057"/>
      <w:bookmarkEnd w:id="77"/>
      <w:bookmarkStart w:id="78" w:name="_Toc184310307"/>
      <w:bookmarkEnd w:id="78"/>
      <w:bookmarkStart w:id="79" w:name="_Toc184314470"/>
      <w:bookmarkEnd w:id="79"/>
      <w:bookmarkStart w:id="80" w:name="_Toc184314457"/>
      <w:bookmarkEnd w:id="80"/>
      <w:bookmarkStart w:id="81" w:name="_Toc184313248"/>
      <w:bookmarkEnd w:id="81"/>
      <w:bookmarkStart w:id="82" w:name="_Toc184312124"/>
      <w:bookmarkEnd w:id="82"/>
      <w:bookmarkStart w:id="83" w:name="_Toc184308041"/>
      <w:bookmarkEnd w:id="83"/>
      <w:bookmarkStart w:id="84" w:name="_Toc184308036"/>
      <w:bookmarkEnd w:id="84"/>
      <w:bookmarkStart w:id="85" w:name="_Toc184308051"/>
      <w:bookmarkEnd w:id="85"/>
      <w:bookmarkStart w:id="86" w:name="_Toc184308038"/>
      <w:bookmarkEnd w:id="86"/>
      <w:bookmarkStart w:id="87" w:name="_Toc184308069"/>
      <w:bookmarkEnd w:id="87"/>
      <w:bookmarkStart w:id="88" w:name="_Toc184313271"/>
      <w:bookmarkEnd w:id="88"/>
      <w:bookmarkStart w:id="89" w:name="_Toc184310337"/>
      <w:bookmarkEnd w:id="89"/>
      <w:bookmarkStart w:id="90" w:name="_Toc184308056"/>
      <w:bookmarkEnd w:id="90"/>
      <w:bookmarkStart w:id="91" w:name="_Toc184312104"/>
      <w:bookmarkEnd w:id="91"/>
      <w:bookmarkStart w:id="92" w:name="_Toc184310333"/>
      <w:bookmarkEnd w:id="92"/>
      <w:bookmarkStart w:id="93" w:name="_Toc184313240"/>
      <w:bookmarkEnd w:id="93"/>
      <w:bookmarkStart w:id="94" w:name="_Toc184313253"/>
      <w:bookmarkEnd w:id="94"/>
      <w:bookmarkStart w:id="95" w:name="_Toc184313260"/>
      <w:bookmarkEnd w:id="95"/>
      <w:bookmarkStart w:id="96" w:name="_Toc184314416"/>
      <w:bookmarkEnd w:id="96"/>
      <w:bookmarkStart w:id="97" w:name="_Toc184308060"/>
      <w:bookmarkEnd w:id="97"/>
      <w:bookmarkStart w:id="98" w:name="_Toc184314451"/>
      <w:bookmarkEnd w:id="98"/>
      <w:bookmarkStart w:id="99" w:name="_Toc184313250"/>
      <w:bookmarkEnd w:id="99"/>
      <w:bookmarkStart w:id="100" w:name="_Toc184312086"/>
      <w:bookmarkEnd w:id="100"/>
      <w:bookmarkStart w:id="101" w:name="_Toc184314412"/>
      <w:bookmarkEnd w:id="101"/>
      <w:bookmarkStart w:id="102" w:name="_Toc184313243"/>
      <w:bookmarkEnd w:id="102"/>
      <w:bookmarkStart w:id="103" w:name="_Toc184310277"/>
      <w:bookmarkEnd w:id="103"/>
      <w:bookmarkStart w:id="104" w:name="_Toc184313302"/>
      <w:bookmarkEnd w:id="104"/>
      <w:bookmarkStart w:id="105" w:name="_Toc184313255"/>
      <w:bookmarkEnd w:id="105"/>
      <w:bookmarkStart w:id="106" w:name="_Toc184308048"/>
      <w:bookmarkEnd w:id="106"/>
      <w:bookmarkStart w:id="107" w:name="_Toc184312084"/>
      <w:bookmarkEnd w:id="107"/>
      <w:bookmarkStart w:id="108" w:name="_Toc184312130"/>
      <w:bookmarkEnd w:id="108"/>
      <w:bookmarkStart w:id="109" w:name="_Toc184308076"/>
      <w:bookmarkEnd w:id="109"/>
      <w:bookmarkStart w:id="110" w:name="_Toc184314429"/>
      <w:bookmarkEnd w:id="110"/>
      <w:bookmarkStart w:id="111" w:name="_Toc184308065"/>
      <w:bookmarkEnd w:id="111"/>
      <w:bookmarkStart w:id="112" w:name="_Toc184308040"/>
      <w:bookmarkEnd w:id="112"/>
      <w:bookmarkStart w:id="113" w:name="_Toc184314452"/>
      <w:bookmarkEnd w:id="113"/>
      <w:bookmarkStart w:id="114" w:name="_Toc184314425"/>
      <w:bookmarkEnd w:id="114"/>
      <w:bookmarkStart w:id="115" w:name="_Toc184313286"/>
      <w:bookmarkEnd w:id="115"/>
      <w:bookmarkStart w:id="116" w:name="_Toc184313265"/>
      <w:bookmarkEnd w:id="116"/>
      <w:bookmarkStart w:id="117" w:name="_Toc184308090"/>
      <w:bookmarkEnd w:id="117"/>
      <w:bookmarkStart w:id="118" w:name="_Toc184313254"/>
      <w:bookmarkEnd w:id="118"/>
      <w:bookmarkStart w:id="119" w:name="_Toc184312097"/>
      <w:bookmarkEnd w:id="119"/>
      <w:bookmarkStart w:id="120" w:name="_Toc184310306"/>
      <w:bookmarkEnd w:id="120"/>
      <w:bookmarkStart w:id="121" w:name="_Toc184312078"/>
      <w:bookmarkEnd w:id="121"/>
      <w:bookmarkStart w:id="122" w:name="_Toc184313259"/>
      <w:bookmarkEnd w:id="122"/>
      <w:bookmarkStart w:id="123" w:name="_Toc184308042"/>
      <w:bookmarkEnd w:id="123"/>
      <w:bookmarkStart w:id="124" w:name="_Toc184314437"/>
      <w:bookmarkEnd w:id="124"/>
      <w:bookmarkStart w:id="125" w:name="_Toc184314458"/>
      <w:bookmarkEnd w:id="125"/>
      <w:bookmarkStart w:id="126" w:name="_Toc184308108"/>
      <w:bookmarkEnd w:id="126"/>
      <w:bookmarkStart w:id="127" w:name="_Toc184312100"/>
      <w:bookmarkEnd w:id="127"/>
      <w:bookmarkStart w:id="128" w:name="_Toc184308047"/>
      <w:bookmarkEnd w:id="128"/>
      <w:bookmarkStart w:id="129" w:name="_Toc184312106"/>
      <w:bookmarkEnd w:id="129"/>
      <w:bookmarkStart w:id="130" w:name="_Toc184310275"/>
      <w:bookmarkEnd w:id="130"/>
      <w:bookmarkStart w:id="131" w:name="_Toc184313284"/>
      <w:bookmarkEnd w:id="131"/>
      <w:bookmarkStart w:id="132" w:name="_Toc184314466"/>
      <w:bookmarkEnd w:id="132"/>
      <w:bookmarkStart w:id="133" w:name="_Toc184313300"/>
      <w:bookmarkEnd w:id="133"/>
      <w:bookmarkStart w:id="134" w:name="_Toc184314459"/>
      <w:bookmarkEnd w:id="134"/>
      <w:bookmarkStart w:id="135" w:name="_Toc184310339"/>
      <w:bookmarkEnd w:id="135"/>
      <w:bookmarkStart w:id="136" w:name="_Toc184310311"/>
      <w:bookmarkEnd w:id="136"/>
      <w:bookmarkStart w:id="137" w:name="_Toc184313289"/>
      <w:bookmarkEnd w:id="137"/>
      <w:bookmarkStart w:id="138" w:name="_Toc184313310"/>
      <w:bookmarkEnd w:id="138"/>
      <w:bookmarkStart w:id="139" w:name="_Toc184313272"/>
      <w:bookmarkEnd w:id="139"/>
      <w:bookmarkStart w:id="140" w:name="_Toc184313258"/>
      <w:bookmarkEnd w:id="140"/>
      <w:bookmarkStart w:id="141" w:name="_Toc184314456"/>
      <w:bookmarkEnd w:id="141"/>
      <w:bookmarkStart w:id="142" w:name="_Toc184312075"/>
      <w:bookmarkEnd w:id="142"/>
      <w:bookmarkStart w:id="143" w:name="_Toc184308092"/>
      <w:bookmarkEnd w:id="143"/>
      <w:bookmarkStart w:id="144" w:name="_Toc184308100"/>
      <w:bookmarkEnd w:id="144"/>
      <w:bookmarkStart w:id="145" w:name="_Toc184313303"/>
      <w:bookmarkEnd w:id="145"/>
      <w:bookmarkStart w:id="146" w:name="_Toc184313273"/>
      <w:bookmarkEnd w:id="146"/>
      <w:bookmarkStart w:id="147" w:name="_Toc184313263"/>
      <w:bookmarkEnd w:id="147"/>
      <w:bookmarkStart w:id="148" w:name="_Toc184308087"/>
      <w:bookmarkEnd w:id="148"/>
      <w:bookmarkStart w:id="149" w:name="_Toc184313308"/>
      <w:bookmarkEnd w:id="149"/>
      <w:bookmarkStart w:id="150" w:name="_Toc184312079"/>
      <w:bookmarkEnd w:id="150"/>
      <w:bookmarkStart w:id="151" w:name="_Toc184308095"/>
      <w:bookmarkEnd w:id="151"/>
      <w:bookmarkStart w:id="152" w:name="_Toc184308083"/>
      <w:bookmarkEnd w:id="152"/>
      <w:bookmarkStart w:id="153" w:name="_Toc184314462"/>
      <w:bookmarkEnd w:id="153"/>
      <w:bookmarkStart w:id="154" w:name="_Toc184313256"/>
      <w:bookmarkEnd w:id="154"/>
      <w:bookmarkStart w:id="155" w:name="_Toc184313307"/>
      <w:bookmarkEnd w:id="155"/>
      <w:bookmarkStart w:id="156" w:name="_Toc184312069"/>
      <w:bookmarkEnd w:id="156"/>
      <w:bookmarkStart w:id="157" w:name="_Toc184312076"/>
      <w:bookmarkEnd w:id="157"/>
      <w:bookmarkStart w:id="158" w:name="_Toc184314444"/>
      <w:bookmarkEnd w:id="158"/>
      <w:bookmarkStart w:id="159" w:name="_Toc184310301"/>
      <w:bookmarkEnd w:id="159"/>
      <w:bookmarkStart w:id="160" w:name="_Toc184314443"/>
      <w:bookmarkEnd w:id="160"/>
      <w:bookmarkStart w:id="161" w:name="_Toc184308064"/>
      <w:bookmarkEnd w:id="161"/>
      <w:bookmarkStart w:id="162" w:name="_Toc184312092"/>
      <w:bookmarkEnd w:id="162"/>
      <w:bookmarkStart w:id="163" w:name="_Toc184308101"/>
      <w:bookmarkEnd w:id="163"/>
      <w:bookmarkStart w:id="164" w:name="_Toc184314440"/>
      <w:bookmarkEnd w:id="164"/>
      <w:bookmarkStart w:id="165" w:name="_Toc184310336"/>
      <w:bookmarkEnd w:id="165"/>
      <w:bookmarkStart w:id="166" w:name="_Toc184310288"/>
      <w:bookmarkEnd w:id="166"/>
      <w:bookmarkStart w:id="167" w:name="_Toc184308094"/>
      <w:bookmarkEnd w:id="167"/>
      <w:bookmarkStart w:id="168" w:name="_Toc184310297"/>
      <w:bookmarkEnd w:id="168"/>
      <w:bookmarkStart w:id="169" w:name="_Toc184314419"/>
      <w:bookmarkEnd w:id="169"/>
      <w:bookmarkStart w:id="170" w:name="_Toc184312119"/>
      <w:bookmarkEnd w:id="170"/>
      <w:bookmarkStart w:id="171" w:name="_Toc184313296"/>
      <w:bookmarkEnd w:id="171"/>
      <w:bookmarkStart w:id="172" w:name="_Toc184308086"/>
      <w:bookmarkEnd w:id="172"/>
      <w:bookmarkStart w:id="173" w:name="_Toc184308049"/>
      <w:bookmarkEnd w:id="173"/>
      <w:bookmarkStart w:id="174" w:name="_Toc184312127"/>
      <w:bookmarkEnd w:id="174"/>
      <w:bookmarkStart w:id="175" w:name="_Toc184310308"/>
      <w:bookmarkEnd w:id="175"/>
      <w:bookmarkStart w:id="176" w:name="_Toc184312118"/>
      <w:bookmarkEnd w:id="176"/>
      <w:bookmarkStart w:id="177" w:name="_Toc184308059"/>
      <w:bookmarkEnd w:id="177"/>
      <w:bookmarkStart w:id="178" w:name="_Toc184310273"/>
      <w:bookmarkEnd w:id="178"/>
      <w:bookmarkStart w:id="179" w:name="_Toc184312122"/>
      <w:bookmarkEnd w:id="179"/>
      <w:bookmarkStart w:id="180" w:name="_Toc184312111"/>
      <w:bookmarkEnd w:id="180"/>
      <w:bookmarkStart w:id="181" w:name="_Toc184314433"/>
      <w:bookmarkEnd w:id="181"/>
      <w:bookmarkStart w:id="182" w:name="_Toc184310276"/>
      <w:bookmarkEnd w:id="182"/>
      <w:bookmarkStart w:id="183" w:name="_Toc184314472"/>
      <w:bookmarkEnd w:id="183"/>
      <w:bookmarkStart w:id="184" w:name="_Toc184312112"/>
      <w:bookmarkEnd w:id="184"/>
      <w:bookmarkStart w:id="185" w:name="_Toc184308055"/>
      <w:bookmarkEnd w:id="185"/>
      <w:bookmarkStart w:id="186" w:name="_Toc184310280"/>
      <w:bookmarkEnd w:id="186"/>
      <w:bookmarkStart w:id="187" w:name="_Toc184313288"/>
      <w:bookmarkEnd w:id="187"/>
      <w:bookmarkStart w:id="188" w:name="_Toc184310285"/>
      <w:bookmarkEnd w:id="188"/>
      <w:bookmarkStart w:id="189" w:name="_Toc184308088"/>
      <w:bookmarkEnd w:id="189"/>
      <w:bookmarkStart w:id="190" w:name="_Toc184308045"/>
      <w:bookmarkEnd w:id="190"/>
      <w:bookmarkStart w:id="191" w:name="_Toc184314430"/>
      <w:bookmarkEnd w:id="191"/>
      <w:bookmarkStart w:id="192" w:name="_Toc184308053"/>
      <w:bookmarkEnd w:id="192"/>
      <w:bookmarkStart w:id="193" w:name="_Toc184310326"/>
      <w:bookmarkEnd w:id="193"/>
      <w:bookmarkStart w:id="194" w:name="_Toc184313267"/>
      <w:bookmarkEnd w:id="194"/>
      <w:bookmarkStart w:id="195" w:name="_Toc184312098"/>
      <w:bookmarkEnd w:id="195"/>
      <w:bookmarkStart w:id="196" w:name="_Toc184308074"/>
      <w:bookmarkEnd w:id="196"/>
      <w:bookmarkStart w:id="197" w:name="_Toc184312096"/>
      <w:bookmarkEnd w:id="197"/>
      <w:bookmarkStart w:id="198" w:name="_Toc184312135"/>
      <w:bookmarkEnd w:id="198"/>
      <w:bookmarkStart w:id="199" w:name="_Toc184313304"/>
      <w:bookmarkEnd w:id="199"/>
      <w:bookmarkStart w:id="200" w:name="_Toc184313266"/>
      <w:bookmarkEnd w:id="200"/>
      <w:bookmarkStart w:id="201" w:name="_Toc184310304"/>
      <w:bookmarkEnd w:id="201"/>
      <w:bookmarkStart w:id="202" w:name="_Toc184312081"/>
      <w:bookmarkEnd w:id="202"/>
      <w:bookmarkStart w:id="203" w:name="_Toc184313245"/>
      <w:bookmarkEnd w:id="203"/>
      <w:bookmarkStart w:id="204" w:name="_Toc184313241"/>
      <w:bookmarkEnd w:id="204"/>
      <w:bookmarkStart w:id="205" w:name="_Toc184310279"/>
      <w:bookmarkEnd w:id="205"/>
      <w:bookmarkStart w:id="206" w:name="_Toc184313305"/>
      <w:bookmarkEnd w:id="206"/>
      <w:bookmarkStart w:id="207" w:name="_Toc184308068"/>
      <w:bookmarkEnd w:id="207"/>
      <w:bookmarkStart w:id="208" w:name="_Toc184308050"/>
      <w:bookmarkEnd w:id="208"/>
      <w:bookmarkStart w:id="209" w:name="_Toc184312123"/>
      <w:bookmarkEnd w:id="209"/>
      <w:bookmarkStart w:id="210" w:name="_Toc184313238"/>
      <w:bookmarkEnd w:id="210"/>
      <w:bookmarkStart w:id="211" w:name="_Toc184313269"/>
      <w:bookmarkEnd w:id="211"/>
      <w:bookmarkStart w:id="212" w:name="_Toc184310344"/>
      <w:bookmarkEnd w:id="212"/>
      <w:bookmarkStart w:id="213" w:name="_Toc184312107"/>
      <w:bookmarkEnd w:id="213"/>
      <w:bookmarkStart w:id="214" w:name="_Toc184312138"/>
      <w:bookmarkEnd w:id="214"/>
      <w:bookmarkStart w:id="215" w:name="_Toc184310340"/>
      <w:bookmarkEnd w:id="215"/>
      <w:bookmarkStart w:id="216" w:name="_Toc184308071"/>
      <w:bookmarkEnd w:id="216"/>
      <w:bookmarkStart w:id="217" w:name="_Toc184310316"/>
      <w:bookmarkEnd w:id="217"/>
      <w:bookmarkStart w:id="218" w:name="_Toc184312091"/>
      <w:bookmarkEnd w:id="218"/>
      <w:bookmarkStart w:id="219" w:name="_Toc184314426"/>
      <w:bookmarkEnd w:id="219"/>
      <w:bookmarkStart w:id="220" w:name="_Toc184313285"/>
      <w:bookmarkEnd w:id="220"/>
      <w:bookmarkStart w:id="221" w:name="_Toc184310300"/>
      <w:bookmarkEnd w:id="221"/>
      <w:bookmarkStart w:id="222" w:name="_Toc184308079"/>
      <w:bookmarkEnd w:id="222"/>
      <w:bookmarkStart w:id="223" w:name="_Toc184310274"/>
      <w:bookmarkEnd w:id="223"/>
      <w:bookmarkStart w:id="224" w:name="_Toc184308072"/>
      <w:bookmarkEnd w:id="224"/>
      <w:bookmarkStart w:id="225" w:name="_Toc184312139"/>
      <w:bookmarkEnd w:id="225"/>
      <w:bookmarkStart w:id="226" w:name="_Toc184310305"/>
      <w:bookmarkEnd w:id="226"/>
      <w:bookmarkStart w:id="227" w:name="_Toc184312129"/>
      <w:bookmarkEnd w:id="227"/>
      <w:bookmarkStart w:id="228" w:name="_Toc184312121"/>
      <w:bookmarkEnd w:id="228"/>
      <w:bookmarkStart w:id="229" w:name="_Toc184314463"/>
      <w:bookmarkEnd w:id="229"/>
      <w:bookmarkStart w:id="230" w:name="_Toc184312073"/>
      <w:bookmarkEnd w:id="230"/>
      <w:bookmarkStart w:id="231" w:name="_Toc184314411"/>
      <w:bookmarkEnd w:id="231"/>
      <w:bookmarkStart w:id="232" w:name="_Toc184314442"/>
      <w:bookmarkEnd w:id="232"/>
      <w:bookmarkStart w:id="233" w:name="_Toc184313287"/>
      <w:bookmarkEnd w:id="233"/>
      <w:bookmarkStart w:id="234" w:name="_Toc184312094"/>
      <w:bookmarkEnd w:id="234"/>
      <w:bookmarkStart w:id="235" w:name="_Toc184314417"/>
      <w:bookmarkEnd w:id="235"/>
      <w:bookmarkStart w:id="236" w:name="_Toc184313275"/>
      <w:bookmarkEnd w:id="236"/>
      <w:bookmarkStart w:id="237" w:name="_Toc184310335"/>
      <w:bookmarkEnd w:id="237"/>
      <w:bookmarkStart w:id="238" w:name="_Toc184308073"/>
      <w:bookmarkEnd w:id="238"/>
      <w:bookmarkStart w:id="239" w:name="_Toc184314454"/>
      <w:bookmarkEnd w:id="239"/>
      <w:bookmarkStart w:id="240" w:name="_Toc184312090"/>
      <w:bookmarkEnd w:id="240"/>
      <w:bookmarkStart w:id="241" w:name="_Toc184310293"/>
      <w:bookmarkEnd w:id="241"/>
      <w:bookmarkStart w:id="242" w:name="_Toc184312099"/>
      <w:bookmarkEnd w:id="242"/>
      <w:bookmarkStart w:id="243" w:name="_Toc184310343"/>
      <w:bookmarkEnd w:id="243"/>
      <w:bookmarkStart w:id="244" w:name="_Toc184308104"/>
      <w:bookmarkEnd w:id="244"/>
      <w:bookmarkStart w:id="245" w:name="_Toc184312137"/>
      <w:bookmarkEnd w:id="245"/>
      <w:bookmarkStart w:id="246" w:name="_Toc184308096"/>
      <w:bookmarkEnd w:id="246"/>
      <w:bookmarkStart w:id="247" w:name="_Toc184313244"/>
      <w:bookmarkEnd w:id="247"/>
      <w:bookmarkStart w:id="248" w:name="_Toc184313301"/>
      <w:bookmarkEnd w:id="248"/>
      <w:bookmarkStart w:id="249" w:name="_Toc184313280"/>
      <w:bookmarkEnd w:id="249"/>
      <w:bookmarkStart w:id="250" w:name="_Toc184312101"/>
      <w:bookmarkEnd w:id="250"/>
      <w:bookmarkStart w:id="251" w:name="_Toc184313242"/>
      <w:bookmarkEnd w:id="251"/>
      <w:bookmarkStart w:id="252" w:name="_Toc184314473"/>
      <w:bookmarkEnd w:id="252"/>
      <w:bookmarkStart w:id="253" w:name="_Toc184312113"/>
      <w:bookmarkEnd w:id="253"/>
      <w:bookmarkStart w:id="254" w:name="_Toc184313292"/>
      <w:bookmarkEnd w:id="254"/>
      <w:bookmarkStart w:id="255" w:name="_Toc184313251"/>
      <w:bookmarkEnd w:id="255"/>
      <w:bookmarkStart w:id="256" w:name="_Toc184312110"/>
      <w:bookmarkEnd w:id="256"/>
      <w:bookmarkStart w:id="257" w:name="_Toc184308037"/>
      <w:bookmarkEnd w:id="257"/>
      <w:bookmarkStart w:id="258" w:name="_Toc184314441"/>
      <w:bookmarkEnd w:id="258"/>
      <w:bookmarkStart w:id="259" w:name="_Toc184314449"/>
      <w:bookmarkEnd w:id="259"/>
      <w:bookmarkStart w:id="260" w:name="_Toc184310296"/>
      <w:bookmarkEnd w:id="260"/>
      <w:bookmarkStart w:id="261" w:name="_Toc184308099"/>
      <w:bookmarkEnd w:id="261"/>
      <w:bookmarkStart w:id="262" w:name="_Toc184310303"/>
      <w:bookmarkEnd w:id="262"/>
      <w:bookmarkStart w:id="263" w:name="_Toc184313290"/>
      <w:bookmarkEnd w:id="263"/>
      <w:bookmarkStart w:id="264" w:name="_Toc184310294"/>
      <w:bookmarkEnd w:id="264"/>
      <w:bookmarkStart w:id="265" w:name="_Toc184312070"/>
      <w:bookmarkEnd w:id="265"/>
      <w:bookmarkStart w:id="266" w:name="_Toc184308063"/>
      <w:bookmarkEnd w:id="266"/>
      <w:bookmarkStart w:id="267" w:name="_Toc184312102"/>
      <w:bookmarkEnd w:id="267"/>
      <w:bookmarkStart w:id="268" w:name="_Toc184308077"/>
      <w:bookmarkEnd w:id="268"/>
      <w:bookmarkStart w:id="269" w:name="_Toc184312126"/>
      <w:bookmarkEnd w:id="269"/>
      <w:bookmarkStart w:id="270" w:name="_Toc184310312"/>
      <w:bookmarkEnd w:id="270"/>
      <w:bookmarkStart w:id="271" w:name="_Toc184310272"/>
      <w:bookmarkEnd w:id="271"/>
      <w:bookmarkStart w:id="272" w:name="_Toc184308091"/>
      <w:bookmarkEnd w:id="272"/>
      <w:bookmarkStart w:id="273" w:name="_Toc184313306"/>
      <w:bookmarkEnd w:id="273"/>
      <w:bookmarkStart w:id="274" w:name="_Toc184312087"/>
      <w:bookmarkEnd w:id="274"/>
      <w:bookmarkStart w:id="275" w:name="_Toc184310318"/>
      <w:bookmarkEnd w:id="275"/>
      <w:bookmarkStart w:id="276" w:name="_Toc184314467"/>
      <w:bookmarkEnd w:id="276"/>
      <w:bookmarkStart w:id="277" w:name="_Toc184308097"/>
      <w:bookmarkEnd w:id="277"/>
      <w:bookmarkStart w:id="278" w:name="_Toc184313264"/>
      <w:bookmarkEnd w:id="278"/>
      <w:bookmarkStart w:id="279" w:name="_Toc184313281"/>
      <w:bookmarkEnd w:id="279"/>
      <w:bookmarkStart w:id="280" w:name="_Toc184312103"/>
      <w:bookmarkEnd w:id="280"/>
      <w:bookmarkStart w:id="281" w:name="_Toc184314469"/>
      <w:bookmarkEnd w:id="281"/>
      <w:bookmarkStart w:id="282" w:name="_Toc184312068"/>
      <w:bookmarkEnd w:id="282"/>
      <w:bookmarkStart w:id="283" w:name="_Toc184313309"/>
      <w:bookmarkEnd w:id="283"/>
      <w:bookmarkStart w:id="284" w:name="_Toc184313274"/>
      <w:bookmarkEnd w:id="284"/>
      <w:bookmarkStart w:id="285" w:name="_Toc184313291"/>
      <w:bookmarkEnd w:id="285"/>
      <w:bookmarkStart w:id="286" w:name="_Toc184310325"/>
      <w:bookmarkEnd w:id="286"/>
      <w:bookmarkStart w:id="287" w:name="_Toc184312071"/>
      <w:bookmarkEnd w:id="287"/>
      <w:bookmarkStart w:id="288" w:name="_Toc184314439"/>
      <w:bookmarkEnd w:id="288"/>
      <w:bookmarkStart w:id="289" w:name="_Toc184314432"/>
      <w:bookmarkEnd w:id="289"/>
      <w:bookmarkStart w:id="290" w:name="_Toc184314477"/>
      <w:bookmarkEnd w:id="290"/>
      <w:bookmarkStart w:id="291" w:name="_Toc184308066"/>
      <w:bookmarkEnd w:id="291"/>
      <w:bookmarkStart w:id="292" w:name="_Toc184314478"/>
      <w:bookmarkEnd w:id="292"/>
      <w:bookmarkStart w:id="293" w:name="_Toc184314447"/>
      <w:bookmarkEnd w:id="293"/>
      <w:bookmarkStart w:id="294" w:name="_Toc184310313"/>
      <w:bookmarkEnd w:id="294"/>
      <w:bookmarkStart w:id="295" w:name="_Toc184314421"/>
      <w:bookmarkEnd w:id="295"/>
      <w:bookmarkStart w:id="296" w:name="_Toc184314445"/>
      <w:bookmarkEnd w:id="296"/>
      <w:bookmarkStart w:id="297" w:name="_Toc184310342"/>
      <w:bookmarkEnd w:id="297"/>
      <w:bookmarkStart w:id="298" w:name="_Toc184314465"/>
      <w:bookmarkEnd w:id="298"/>
      <w:bookmarkStart w:id="299" w:name="_Toc184308081"/>
      <w:bookmarkEnd w:id="299"/>
      <w:bookmarkStart w:id="300" w:name="_Toc184310331"/>
      <w:bookmarkEnd w:id="300"/>
      <w:bookmarkStart w:id="301" w:name="_Toc184314431"/>
      <w:bookmarkEnd w:id="301"/>
      <w:bookmarkStart w:id="302" w:name="_Toc184314436"/>
      <w:bookmarkEnd w:id="302"/>
      <w:bookmarkStart w:id="303" w:name="_Toc184312136"/>
      <w:bookmarkEnd w:id="303"/>
      <w:bookmarkStart w:id="304" w:name="_Toc184312134"/>
      <w:bookmarkEnd w:id="304"/>
      <w:bookmarkStart w:id="305" w:name="_Toc184313252"/>
      <w:bookmarkEnd w:id="305"/>
      <w:bookmarkStart w:id="306" w:name="_Toc184308044"/>
      <w:bookmarkEnd w:id="306"/>
      <w:bookmarkStart w:id="307" w:name="_Toc184314427"/>
      <w:bookmarkEnd w:id="307"/>
      <w:bookmarkStart w:id="308" w:name="_Toc184313276"/>
      <w:bookmarkEnd w:id="308"/>
      <w:bookmarkStart w:id="309" w:name="_Toc184313246"/>
      <w:bookmarkEnd w:id="309"/>
      <w:bookmarkStart w:id="310" w:name="_Toc184312082"/>
      <w:bookmarkEnd w:id="310"/>
      <w:bookmarkStart w:id="311" w:name="_Toc184314450"/>
      <w:bookmarkEnd w:id="311"/>
      <w:bookmarkStart w:id="312" w:name="_Toc184314424"/>
      <w:bookmarkEnd w:id="312"/>
      <w:bookmarkStart w:id="313" w:name="_Toc184313278"/>
      <w:bookmarkEnd w:id="313"/>
      <w:bookmarkStart w:id="314" w:name="_Toc184314434"/>
      <w:bookmarkEnd w:id="314"/>
      <w:bookmarkStart w:id="315" w:name="_Toc184308103"/>
      <w:bookmarkEnd w:id="315"/>
      <w:bookmarkStart w:id="316" w:name="_Toc184308046"/>
      <w:bookmarkEnd w:id="316"/>
      <w:bookmarkStart w:id="317" w:name="_Toc184314420"/>
      <w:bookmarkEnd w:id="317"/>
      <w:bookmarkStart w:id="318" w:name="_Toc184314474"/>
      <w:bookmarkEnd w:id="318"/>
      <w:bookmarkStart w:id="319" w:name="_Toc184310328"/>
      <w:bookmarkEnd w:id="319"/>
      <w:bookmarkStart w:id="320" w:name="_Toc184313283"/>
      <w:bookmarkEnd w:id="320"/>
      <w:bookmarkStart w:id="321" w:name="_Toc184310309"/>
      <w:bookmarkEnd w:id="321"/>
      <w:bookmarkStart w:id="322" w:name="_Toc184314464"/>
      <w:bookmarkEnd w:id="322"/>
      <w:bookmarkStart w:id="323" w:name="_Toc184313294"/>
      <w:bookmarkEnd w:id="323"/>
      <w:bookmarkStart w:id="324" w:name="_Toc184310322"/>
      <w:bookmarkEnd w:id="324"/>
      <w:bookmarkStart w:id="325" w:name="_Toc184312128"/>
      <w:bookmarkEnd w:id="325"/>
      <w:bookmarkStart w:id="326" w:name="_Toc184310321"/>
      <w:bookmarkEnd w:id="326"/>
      <w:bookmarkStart w:id="327" w:name="_Toc184312125"/>
      <w:bookmarkEnd w:id="327"/>
      <w:bookmarkStart w:id="328" w:name="_Toc184312132"/>
      <w:bookmarkEnd w:id="328"/>
      <w:bookmarkStart w:id="329" w:name="_Toc184313293"/>
      <w:bookmarkEnd w:id="329"/>
      <w:bookmarkStart w:id="330" w:name="_Toc184310298"/>
      <w:bookmarkEnd w:id="330"/>
      <w:bookmarkStart w:id="331" w:name="_Toc184310319"/>
      <w:bookmarkEnd w:id="331"/>
      <w:bookmarkStart w:id="332" w:name="_Toc184313239"/>
      <w:bookmarkEnd w:id="332"/>
      <w:bookmarkStart w:id="333" w:name="_Toc184308107"/>
      <w:bookmarkEnd w:id="333"/>
      <w:bookmarkStart w:id="334" w:name="_Toc184312085"/>
      <w:bookmarkEnd w:id="334"/>
      <w:bookmarkStart w:id="335" w:name="_Toc184310310"/>
      <w:bookmarkEnd w:id="335"/>
      <w:bookmarkStart w:id="336" w:name="_Toc184310278"/>
      <w:bookmarkEnd w:id="336"/>
      <w:bookmarkStart w:id="337" w:name="_Toc184313277"/>
      <w:bookmarkEnd w:id="337"/>
      <w:bookmarkStart w:id="338" w:name="_Toc184312072"/>
      <w:bookmarkEnd w:id="338"/>
      <w:bookmarkStart w:id="339" w:name="_Toc184308080"/>
      <w:bookmarkEnd w:id="339"/>
      <w:bookmarkStart w:id="340" w:name="_Toc184310287"/>
      <w:bookmarkEnd w:id="340"/>
      <w:bookmarkStart w:id="341" w:name="_Toc184310314"/>
      <w:bookmarkEnd w:id="341"/>
      <w:bookmarkStart w:id="342" w:name="_Toc184310302"/>
      <w:bookmarkEnd w:id="342"/>
      <w:bookmarkStart w:id="343" w:name="_Toc184314453"/>
      <w:bookmarkEnd w:id="343"/>
      <w:bookmarkStart w:id="344" w:name="_Toc184312109"/>
      <w:bookmarkEnd w:id="344"/>
      <w:bookmarkStart w:id="345" w:name="_Toc184312115"/>
      <w:bookmarkEnd w:id="345"/>
      <w:bookmarkStart w:id="346" w:name="_Toc184308098"/>
      <w:bookmarkEnd w:id="346"/>
      <w:bookmarkStart w:id="347" w:name="_Toc184310332"/>
      <w:bookmarkEnd w:id="347"/>
      <w:bookmarkStart w:id="348" w:name="_Toc184310323"/>
      <w:bookmarkEnd w:id="348"/>
      <w:bookmarkStart w:id="349" w:name="_Toc184310324"/>
      <w:bookmarkEnd w:id="349"/>
      <w:bookmarkStart w:id="350" w:name="_Toc184310292"/>
      <w:bookmarkEnd w:id="350"/>
      <w:bookmarkStart w:id="351" w:name="_Toc184308105"/>
      <w:bookmarkEnd w:id="351"/>
      <w:bookmarkStart w:id="352" w:name="_Toc184314448"/>
      <w:bookmarkEnd w:id="352"/>
      <w:bookmarkStart w:id="353" w:name="_Toc184310327"/>
      <w:bookmarkEnd w:id="353"/>
      <w:bookmarkStart w:id="354" w:name="_Toc184314423"/>
      <w:bookmarkEnd w:id="354"/>
      <w:bookmarkStart w:id="355" w:name="_Toc184312131"/>
      <w:bookmarkEnd w:id="355"/>
      <w:bookmarkStart w:id="356" w:name="_Toc184314422"/>
      <w:bookmarkEnd w:id="356"/>
      <w:bookmarkStart w:id="357" w:name="_Toc184314481"/>
      <w:bookmarkEnd w:id="357"/>
      <w:bookmarkStart w:id="358" w:name="_Toc184310320"/>
      <w:bookmarkEnd w:id="358"/>
      <w:bookmarkStart w:id="359" w:name="_Toc184310315"/>
      <w:bookmarkEnd w:id="359"/>
      <w:bookmarkStart w:id="360" w:name="_Toc184314435"/>
      <w:bookmarkEnd w:id="360"/>
      <w:bookmarkStart w:id="361" w:name="_Toc184314413"/>
      <w:bookmarkEnd w:id="361"/>
      <w:bookmarkStart w:id="362" w:name="_Toc184314418"/>
      <w:bookmarkEnd w:id="362"/>
      <w:bookmarkStart w:id="363" w:name="_Toc184313257"/>
      <w:bookmarkEnd w:id="363"/>
      <w:bookmarkStart w:id="364" w:name="_Toc184310290"/>
      <w:bookmarkEnd w:id="364"/>
      <w:bookmarkStart w:id="365" w:name="_Toc184308106"/>
      <w:bookmarkEnd w:id="365"/>
      <w:bookmarkStart w:id="366" w:name="_Toc184314438"/>
      <w:bookmarkEnd w:id="366"/>
      <w:bookmarkStart w:id="367" w:name="_Toc184312120"/>
      <w:bookmarkEnd w:id="367"/>
      <w:bookmarkStart w:id="368" w:name="_Toc184312089"/>
      <w:bookmarkEnd w:id="368"/>
      <w:bookmarkStart w:id="369" w:name="_Toc184310284"/>
      <w:bookmarkEnd w:id="369"/>
      <w:bookmarkStart w:id="370" w:name="_Toc184312095"/>
      <w:bookmarkEnd w:id="370"/>
      <w:bookmarkStart w:id="371" w:name="_Toc184312080"/>
      <w:bookmarkEnd w:id="371"/>
      <w:bookmarkStart w:id="372" w:name="_Toc184308082"/>
      <w:bookmarkEnd w:id="372"/>
      <w:bookmarkStart w:id="373" w:name="_Toc184308062"/>
      <w:bookmarkEnd w:id="373"/>
      <w:bookmarkStart w:id="374" w:name="_Toc184310295"/>
      <w:bookmarkEnd w:id="374"/>
      <w:bookmarkStart w:id="375" w:name="_Toc184308070"/>
      <w:bookmarkEnd w:id="375"/>
      <w:bookmarkStart w:id="376" w:name="_Toc184314460"/>
      <w:bookmarkEnd w:id="376"/>
      <w:bookmarkStart w:id="377" w:name="_Toc184313249"/>
      <w:bookmarkEnd w:id="377"/>
      <w:bookmarkStart w:id="378" w:name="_Toc184313297"/>
      <w:bookmarkEnd w:id="378"/>
      <w:bookmarkStart w:id="379" w:name="_Toc184312116"/>
      <w:bookmarkEnd w:id="379"/>
      <w:bookmarkStart w:id="380" w:name="_Toc184313298"/>
      <w:bookmarkEnd w:id="380"/>
      <w:bookmarkStart w:id="381" w:name="_Toc184312077"/>
      <w:bookmarkEnd w:id="381"/>
      <w:bookmarkStart w:id="382" w:name="_Toc184312105"/>
      <w:bookmarkEnd w:id="382"/>
      <w:bookmarkStart w:id="383" w:name="_Toc184314475"/>
      <w:bookmarkEnd w:id="383"/>
      <w:bookmarkStart w:id="384" w:name="_Toc184308052"/>
      <w:bookmarkEnd w:id="384"/>
      <w:bookmarkStart w:id="385" w:name="_Toc184310299"/>
      <w:bookmarkEnd w:id="385"/>
      <w:bookmarkStart w:id="386" w:name="_Toc184310283"/>
      <w:bookmarkEnd w:id="386"/>
      <w:bookmarkStart w:id="387" w:name="_Toc184312114"/>
      <w:bookmarkEnd w:id="387"/>
      <w:bookmarkStart w:id="388" w:name="_Toc184313262"/>
      <w:bookmarkEnd w:id="388"/>
      <w:bookmarkStart w:id="389" w:name="_Toc184310341"/>
      <w:bookmarkEnd w:id="389"/>
      <w:bookmarkStart w:id="390" w:name="_Toc184314410"/>
      <w:bookmarkEnd w:id="390"/>
      <w:bookmarkStart w:id="391" w:name="_Toc184314428"/>
      <w:bookmarkEnd w:id="391"/>
      <w:bookmarkStart w:id="392" w:name="_Toc184313299"/>
      <w:bookmarkEnd w:id="392"/>
      <w:bookmarkStart w:id="393" w:name="_Toc184312133"/>
      <w:bookmarkEnd w:id="393"/>
      <w:bookmarkStart w:id="394" w:name="_Toc184314476"/>
      <w:bookmarkEnd w:id="394"/>
      <w:bookmarkStart w:id="395" w:name="_Toc184313282"/>
      <w:bookmarkEnd w:id="395"/>
      <w:bookmarkStart w:id="396" w:name="_Toc184308058"/>
      <w:bookmarkEnd w:id="396"/>
      <w:bookmarkStart w:id="397" w:name="_Toc184310291"/>
      <w:bookmarkEnd w:id="397"/>
      <w:bookmarkStart w:id="398" w:name="_Toc184312088"/>
      <w:bookmarkEnd w:id="398"/>
      <w:bookmarkStart w:id="399" w:name="_Toc184314455"/>
      <w:bookmarkEnd w:id="399"/>
      <w:bookmarkStart w:id="400" w:name="_Toc184308043"/>
      <w:bookmarkEnd w:id="400"/>
      <w:r>
        <w:rPr>
          <w:rFonts w:hint="eastAsia" w:ascii="宋体" w:hAnsi="宋体" w:eastAsia="宋体" w:cs="宋体"/>
          <w:b/>
          <w:color w:val="auto"/>
          <w:sz w:val="36"/>
          <w:szCs w:val="36"/>
        </w:rPr>
        <w:t>评标办法</w:t>
      </w:r>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before="120" w:beforeLines="50" w:after="120" w:afterLines="5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。合格投标供应商的评审得分为各项目汇总得分。本项目由采购人授权的评审小组直接确定中标供应商</w:t>
      </w:r>
      <w:r>
        <w:rPr>
          <w:rFonts w:hint="eastAsia" w:ascii="宋体" w:hAnsi="宋体" w:eastAsia="宋体" w:cs="宋体"/>
          <w:color w:val="auto"/>
          <w:sz w:val="24"/>
        </w:rPr>
        <w:t>。评分过程中采用四舍五入法，并保留小数2位。</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各投标供应商最终得分=</w:t>
      </w:r>
      <w:r>
        <w:rPr>
          <w:rFonts w:hint="eastAsia" w:ascii="宋体" w:hAnsi="宋体" w:eastAsia="宋体" w:cs="宋体"/>
          <w:bCs/>
          <w:color w:val="auto"/>
          <w:sz w:val="24"/>
          <w:lang w:val="en-US" w:eastAsia="zh-CN"/>
        </w:rPr>
        <w:t>商务</w:t>
      </w:r>
      <w:r>
        <w:rPr>
          <w:rFonts w:hint="eastAsia" w:ascii="宋体" w:hAnsi="宋体" w:eastAsia="宋体" w:cs="宋体"/>
          <w:bCs/>
          <w:color w:val="auto"/>
          <w:sz w:val="24"/>
        </w:rPr>
        <w:t>技术分+价格分得分。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评审小组将对实质上投标响应本项目的投标供应商根据其报价、</w:t>
      </w:r>
      <w:r>
        <w:rPr>
          <w:rFonts w:hint="eastAsia" w:ascii="宋体" w:hAnsi="宋体" w:eastAsia="宋体" w:cs="宋体"/>
          <w:color w:val="auto"/>
          <w:sz w:val="24"/>
          <w:lang w:val="en-US" w:eastAsia="zh-CN"/>
        </w:rPr>
        <w:t>商务资信、</w:t>
      </w:r>
      <w:r>
        <w:rPr>
          <w:rFonts w:hint="eastAsia" w:ascii="宋体" w:hAnsi="宋体" w:eastAsia="宋体" w:cs="宋体"/>
          <w:color w:val="auto"/>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120" w:beforeLines="50" w:after="120"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二、评审内容及标准</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（1）价格分</w:t>
      </w:r>
      <w:r>
        <w:rPr>
          <w:rFonts w:hint="eastAsia" w:ascii="宋体" w:hAnsi="宋体" w:cs="宋体"/>
          <w:b/>
          <w:color w:val="auto"/>
          <w:sz w:val="24"/>
          <w:lang w:val="en-US" w:eastAsia="zh-CN"/>
        </w:rPr>
        <w:t>1</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分</w:t>
      </w:r>
    </w:p>
    <w:p>
      <w:pPr>
        <w:pStyle w:val="7"/>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val="0"/>
          <w:bCs/>
          <w:color w:val="auto"/>
          <w:sz w:val="24"/>
        </w:rPr>
        <w:t>价格分采用低价优先法计算，取所有技术入围投标供应商中最终报价最低的投标报价为评</w:t>
      </w:r>
      <w:r>
        <w:rPr>
          <w:rFonts w:hint="eastAsia" w:ascii="宋体" w:hAnsi="宋体" w:eastAsia="宋体" w:cs="宋体"/>
          <w:b w:val="0"/>
          <w:bCs/>
          <w:color w:val="auto"/>
          <w:sz w:val="24"/>
          <w:highlight w:val="none"/>
        </w:rPr>
        <w:t>标基准价，其他投标供应商的价格分按照</w:t>
      </w:r>
      <w:r>
        <w:rPr>
          <w:rFonts w:hint="eastAsia" w:ascii="宋体" w:hAnsi="宋体" w:eastAsia="宋体" w:cs="宋体"/>
          <w:b/>
          <w:bCs/>
          <w:color w:val="auto"/>
          <w:sz w:val="24"/>
          <w:highlight w:val="none"/>
        </w:rPr>
        <w:t>下列公式计算：</w:t>
      </w:r>
    </w:p>
    <w:p>
      <w:pPr>
        <w:pStyle w:val="7"/>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价格分=（评标基准价/最终投标报价）×</w:t>
      </w:r>
      <w:r>
        <w:rPr>
          <w:rFonts w:hint="eastAsia"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%×100</w:t>
      </w:r>
    </w:p>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 w:val="0"/>
          <w:bCs/>
          <w:color w:val="auto"/>
          <w:sz w:val="24"/>
        </w:rPr>
        <w:t>报价是中标的一个重要因素，但最低报价不是中标的唯一依据。</w:t>
      </w:r>
    </w:p>
    <w:p>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pPr>
        <w:pStyle w:val="7"/>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p>
    <w:p>
      <w:pPr>
        <w:tabs>
          <w:tab w:val="left" w:pos="1154"/>
        </w:tabs>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rPr>
        <w:t>商务技术分的计算</w:t>
      </w:r>
      <w:r>
        <w:rPr>
          <w:rFonts w:hint="eastAsia" w:ascii="宋体" w:hAnsi="宋体" w:eastAsia="宋体" w:cs="宋体"/>
          <w:b/>
          <w:bCs/>
          <w:color w:val="auto"/>
          <w:sz w:val="24"/>
          <w:lang w:eastAsia="zh-CN"/>
        </w:rPr>
        <w:t>：</w:t>
      </w:r>
      <w:r>
        <w:rPr>
          <w:rFonts w:hint="eastAsia" w:ascii="宋体" w:hAnsi="宋体" w:eastAsia="宋体" w:cs="宋体"/>
          <w:color w:val="auto"/>
          <w:sz w:val="24"/>
        </w:rPr>
        <w:t>商务技术</w:t>
      </w:r>
      <w:r>
        <w:rPr>
          <w:rFonts w:hint="eastAsia" w:ascii="宋体" w:hAnsi="宋体" w:eastAsia="宋体" w:cs="宋体"/>
          <w:color w:val="auto"/>
          <w:sz w:val="24"/>
          <w:lang w:val="en-US" w:eastAsia="zh-CN"/>
        </w:rPr>
        <w:t>部分得分</w:t>
      </w:r>
      <w:r>
        <w:rPr>
          <w:rFonts w:hint="eastAsia" w:ascii="宋体" w:hAnsi="宋体" w:eastAsia="宋体" w:cs="宋体"/>
          <w:color w:val="auto"/>
          <w:sz w:val="24"/>
        </w:rPr>
        <w:t>=评审小组所有成员评分合计数/评审小组人员数</w:t>
      </w:r>
      <w:r>
        <w:rPr>
          <w:rFonts w:hint="eastAsia" w:ascii="宋体" w:hAnsi="宋体" w:eastAsia="宋体" w:cs="宋体"/>
          <w:color w:val="auto"/>
          <w:sz w:val="24"/>
          <w:lang w:val="en-US" w:eastAsia="zh-CN"/>
        </w:rPr>
        <w:t>；</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附件：评分表格式（</w:t>
      </w:r>
      <w:r>
        <w:rPr>
          <w:rFonts w:hint="eastAsia" w:ascii="宋体" w:hAnsi="宋体" w:eastAsia="宋体" w:cs="宋体"/>
          <w:b/>
          <w:color w:val="auto"/>
          <w:sz w:val="24"/>
          <w:lang w:val="en-US" w:eastAsia="zh-CN"/>
        </w:rPr>
        <w:t>商务</w:t>
      </w:r>
      <w:r>
        <w:rPr>
          <w:rFonts w:hint="eastAsia" w:ascii="宋体" w:hAnsi="宋体" w:eastAsia="宋体" w:cs="宋体"/>
          <w:b/>
          <w:color w:val="auto"/>
          <w:sz w:val="24"/>
        </w:rPr>
        <w:t>技术分，共</w:t>
      </w:r>
      <w:r>
        <w:rPr>
          <w:rFonts w:hint="eastAsia" w:ascii="宋体" w:hAnsi="宋体" w:cs="宋体"/>
          <w:b/>
          <w:color w:val="auto"/>
          <w:sz w:val="24"/>
          <w:lang w:val="en-US" w:eastAsia="zh-CN"/>
        </w:rPr>
        <w:t>9</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分）</w:t>
      </w:r>
    </w:p>
    <w:p>
      <w:pPr>
        <w:pStyle w:val="4"/>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商务技术评分细则：</w:t>
      </w:r>
    </w:p>
    <w:tbl>
      <w:tblPr>
        <w:tblStyle w:val="63"/>
        <w:tblW w:w="9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73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9" w:type="dxa"/>
            <w:tcBorders>
              <w:top w:val="single" w:color="000000" w:sz="4" w:space="0"/>
              <w:left w:val="single" w:color="000000" w:sz="4" w:space="0"/>
              <w:bottom w:val="single" w:color="000000" w:sz="4" w:space="0"/>
              <w:right w:val="single" w:color="000000" w:sz="4" w:space="0"/>
            </w:tcBorders>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bCs/>
                <w:color w:val="auto"/>
                <w:sz w:val="24"/>
                <w:szCs w:val="24"/>
              </w:rPr>
            </w:pPr>
            <w:bookmarkStart w:id="401" w:name="scoringRules2"/>
            <w:r>
              <w:rPr>
                <w:rFonts w:hint="eastAsia" w:ascii="宋体" w:hAnsi="宋体" w:eastAsia="宋体" w:cs="宋体"/>
                <w:b/>
                <w:bCs/>
                <w:color w:val="auto"/>
                <w:sz w:val="24"/>
                <w:szCs w:val="24"/>
              </w:rPr>
              <w:t>评分</w:t>
            </w:r>
            <w:bookmarkEnd w:id="401"/>
            <w:r>
              <w:rPr>
                <w:rFonts w:hint="eastAsia" w:ascii="宋体" w:hAnsi="宋体" w:eastAsia="宋体" w:cs="宋体"/>
                <w:b/>
                <w:bCs/>
                <w:color w:val="auto"/>
                <w:sz w:val="24"/>
                <w:szCs w:val="24"/>
              </w:rPr>
              <w:t>内容</w:t>
            </w:r>
          </w:p>
        </w:tc>
        <w:tc>
          <w:tcPr>
            <w:tcW w:w="7350" w:type="dxa"/>
            <w:tcBorders>
              <w:top w:val="single" w:color="000000" w:sz="4" w:space="0"/>
              <w:left w:val="nil"/>
              <w:bottom w:val="single" w:color="000000" w:sz="4" w:space="0"/>
              <w:right w:val="single" w:color="000000" w:sz="4" w:space="0"/>
            </w:tcBorders>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评分细则</w:t>
            </w:r>
          </w:p>
        </w:tc>
        <w:tc>
          <w:tcPr>
            <w:tcW w:w="844" w:type="dxa"/>
            <w:tcBorders>
              <w:top w:val="single" w:color="000000" w:sz="4" w:space="0"/>
              <w:left w:val="nil"/>
              <w:bottom w:val="single" w:color="000000" w:sz="4" w:space="0"/>
              <w:right w:val="single" w:color="000000" w:sz="4" w:space="0"/>
            </w:tcBorders>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369" w:type="dxa"/>
            <w:vMerge w:val="restart"/>
            <w:tcBorders>
              <w:top w:val="single" w:color="000000" w:sz="4" w:space="0"/>
              <w:left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lang w:val="en-US" w:eastAsia="zh-CN"/>
              </w:rPr>
            </w:pPr>
          </w:p>
          <w:p>
            <w:pPr>
              <w:pageBreakBefore w:val="0"/>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lang w:val="en-US" w:eastAsia="zh-CN"/>
              </w:rPr>
            </w:pPr>
          </w:p>
          <w:p>
            <w:pPr>
              <w:pageBreakBefore w:val="0"/>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lang w:val="en-US" w:eastAsia="zh-CN"/>
              </w:rPr>
            </w:pPr>
          </w:p>
          <w:p>
            <w:pPr>
              <w:pageBreakBefore w:val="0"/>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项目理解和调研</w:t>
            </w:r>
          </w:p>
        </w:tc>
        <w:tc>
          <w:tcPr>
            <w:tcW w:w="7350" w:type="dxa"/>
            <w:tcBorders>
              <w:top w:val="single" w:color="000000" w:sz="4" w:space="0"/>
              <w:left w:val="nil"/>
              <w:bottom w:val="single" w:color="auto" w:sz="4" w:space="0"/>
              <w:right w:val="single" w:color="000000" w:sz="4" w:space="0"/>
            </w:tcBorders>
            <w:vAlign w:val="center"/>
          </w:tcPr>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对本项目的调研与解读，即百丈镇全域旅游未来发展定位分析；内容完整、充实的得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分；方案符合要求，内容完整，但有所欠缺的得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分；方案符合要求，但内容不完整的得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分，方案不合理或未提供方案不得分。</w:t>
            </w:r>
          </w:p>
        </w:tc>
        <w:tc>
          <w:tcPr>
            <w:tcW w:w="844" w:type="dxa"/>
            <w:tcBorders>
              <w:top w:val="single" w:color="000000" w:sz="4" w:space="0"/>
              <w:left w:val="nil"/>
              <w:bottom w:val="single" w:color="auto"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369" w:type="dxa"/>
            <w:vMerge w:val="continue"/>
            <w:tcBorders>
              <w:left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lang w:val="en-US" w:eastAsia="zh-CN"/>
              </w:rPr>
            </w:pPr>
          </w:p>
        </w:tc>
        <w:tc>
          <w:tcPr>
            <w:tcW w:w="7350" w:type="dxa"/>
            <w:tcBorders>
              <w:top w:val="single" w:color="000000" w:sz="4" w:space="0"/>
              <w:left w:val="nil"/>
              <w:bottom w:val="single" w:color="auto" w:sz="4" w:space="0"/>
              <w:right w:val="single" w:color="000000" w:sz="4" w:space="0"/>
            </w:tcBorders>
            <w:vAlign w:val="center"/>
          </w:tcPr>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结合自身经验对</w:t>
            </w:r>
            <w:r>
              <w:rPr>
                <w:rFonts w:hint="eastAsia" w:ascii="宋体" w:hAnsi="宋体" w:cs="宋体"/>
                <w:color w:val="auto"/>
                <w:sz w:val="24"/>
                <w:szCs w:val="24"/>
                <w:lang w:val="en-US" w:eastAsia="zh-CN"/>
              </w:rPr>
              <w:t>百丈</w:t>
            </w:r>
            <w:r>
              <w:rPr>
                <w:rFonts w:hint="eastAsia" w:ascii="宋体" w:hAnsi="宋体" w:eastAsia="宋体" w:cs="宋体"/>
                <w:color w:val="auto"/>
                <w:sz w:val="24"/>
                <w:szCs w:val="24"/>
                <w:lang w:val="en-US" w:eastAsia="zh-CN"/>
              </w:rPr>
              <w:t>镇全域旅游运营要点的分析；内容完整、充实的得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分；方案符合要求，内容完整，但有所欠缺的得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分；方案符合要求，但内容不完整的得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分，方案不合理或未提供方案不得分。</w:t>
            </w:r>
          </w:p>
        </w:tc>
        <w:tc>
          <w:tcPr>
            <w:tcW w:w="844" w:type="dxa"/>
            <w:tcBorders>
              <w:top w:val="single" w:color="000000" w:sz="4" w:space="0"/>
              <w:left w:val="nil"/>
              <w:bottom w:val="single" w:color="auto"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369" w:type="dxa"/>
            <w:vMerge w:val="continue"/>
            <w:tcBorders>
              <w:left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lang w:val="en-US" w:eastAsia="zh-CN"/>
              </w:rPr>
            </w:pPr>
          </w:p>
        </w:tc>
        <w:tc>
          <w:tcPr>
            <w:tcW w:w="7350" w:type="dxa"/>
            <w:tcBorders>
              <w:top w:val="single" w:color="000000" w:sz="4" w:space="0"/>
              <w:left w:val="nil"/>
              <w:bottom w:val="single" w:color="auto" w:sz="4" w:space="0"/>
              <w:right w:val="single" w:color="000000" w:sz="4" w:space="0"/>
            </w:tcBorders>
            <w:vAlign w:val="center"/>
          </w:tcPr>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olor w:val="auto"/>
                <w:sz w:val="24"/>
                <w:szCs w:val="24"/>
              </w:rPr>
              <w:t>对本项目的重难点工作分析到位</w:t>
            </w:r>
            <w:r>
              <w:rPr>
                <w:rFonts w:hint="eastAsia" w:ascii="宋体" w:hAnsi="宋体"/>
                <w:color w:val="auto"/>
                <w:sz w:val="24"/>
                <w:szCs w:val="24"/>
                <w:lang w:eastAsia="zh-CN"/>
              </w:rPr>
              <w:t>，</w:t>
            </w:r>
            <w:r>
              <w:rPr>
                <w:rFonts w:hint="eastAsia" w:ascii="宋体" w:hAnsi="宋体"/>
                <w:color w:val="auto"/>
                <w:sz w:val="24"/>
                <w:szCs w:val="24"/>
                <w:lang w:val="en-US" w:eastAsia="zh-CN"/>
              </w:rPr>
              <w:t>提供</w:t>
            </w:r>
            <w:r>
              <w:rPr>
                <w:rFonts w:hint="eastAsia" w:ascii="宋体" w:hAnsi="宋体" w:eastAsia="宋体"/>
                <w:color w:val="auto"/>
                <w:sz w:val="24"/>
                <w:szCs w:val="24"/>
              </w:rPr>
              <w:t>解决方案完整全面且切实可行、科学合理、针对性强的得</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分；方案较全面可行，科学合理性、针对性较强的得</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分；方案内容简单，欠缺较多的得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tc>
        <w:tc>
          <w:tcPr>
            <w:tcW w:w="844" w:type="dxa"/>
            <w:tcBorders>
              <w:top w:val="single" w:color="000000" w:sz="4" w:space="0"/>
              <w:left w:val="nil"/>
              <w:bottom w:val="single" w:color="auto"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369" w:type="dxa"/>
            <w:vMerge w:val="restart"/>
            <w:tcBorders>
              <w:top w:val="single" w:color="000000" w:sz="4" w:space="0"/>
              <w:left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rPr>
            </w:pPr>
          </w:p>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rPr>
            </w:pPr>
          </w:p>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rPr>
            </w:pPr>
          </w:p>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rPr>
            </w:pPr>
          </w:p>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、服务运营方案</w:t>
            </w:r>
          </w:p>
        </w:tc>
        <w:tc>
          <w:tcPr>
            <w:tcW w:w="7350" w:type="dxa"/>
            <w:tcBorders>
              <w:top w:val="single" w:color="000000" w:sz="4" w:space="0"/>
              <w:left w:val="nil"/>
              <w:bottom w:val="single" w:color="auto" w:sz="4" w:space="0"/>
              <w:right w:val="single" w:color="000000" w:sz="4" w:space="0"/>
            </w:tcBorders>
            <w:vAlign w:val="center"/>
          </w:tcPr>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整体</w:t>
            </w:r>
            <w:r>
              <w:rPr>
                <w:rFonts w:hint="eastAsia" w:ascii="宋体" w:hAnsi="宋体" w:eastAsia="宋体" w:cs="宋体"/>
                <w:color w:val="auto"/>
                <w:sz w:val="24"/>
                <w:szCs w:val="24"/>
              </w:rPr>
              <w:t>运营方案切实可行，新颖有亮点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全面且合理可行的得6分，方案符合要求，内容完整，但有所欠缺的得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分；方案符合要求，但内容不完整的得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分，方案不合理或未提供方案不得分。</w:t>
            </w:r>
          </w:p>
        </w:tc>
        <w:tc>
          <w:tcPr>
            <w:tcW w:w="844" w:type="dxa"/>
            <w:tcBorders>
              <w:top w:val="single" w:color="000000" w:sz="4" w:space="0"/>
              <w:left w:val="nil"/>
              <w:bottom w:val="single" w:color="auto"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369" w:type="dxa"/>
            <w:vMerge w:val="continue"/>
            <w:tcBorders>
              <w:left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bCs/>
                <w:color w:val="auto"/>
                <w:sz w:val="24"/>
                <w:szCs w:val="24"/>
              </w:rPr>
            </w:pPr>
          </w:p>
        </w:tc>
        <w:tc>
          <w:tcPr>
            <w:tcW w:w="7350" w:type="dxa"/>
            <w:tcBorders>
              <w:top w:val="single" w:color="auto" w:sz="4" w:space="0"/>
              <w:left w:val="nil"/>
              <w:bottom w:val="single" w:color="auto" w:sz="4" w:space="0"/>
              <w:right w:val="single" w:color="000000" w:sz="4" w:space="0"/>
            </w:tcBorders>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利用相关已有经验和渠道，围绕已有品牌进行维护和管理,品牌维护与管理方案合理且可行的得6分，内容完整，但有所欠缺的得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分；方案符合要求，但内容不完整的得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分，方案不合理或未提供方案不得分。</w:t>
            </w:r>
          </w:p>
        </w:tc>
        <w:tc>
          <w:tcPr>
            <w:tcW w:w="844" w:type="dxa"/>
            <w:tcBorders>
              <w:top w:val="single" w:color="auto" w:sz="4" w:space="0"/>
              <w:left w:val="nil"/>
              <w:bottom w:val="single" w:color="auto"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369" w:type="dxa"/>
            <w:vMerge w:val="continue"/>
            <w:tcBorders>
              <w:left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bCs/>
                <w:color w:val="auto"/>
                <w:sz w:val="24"/>
                <w:szCs w:val="24"/>
              </w:rPr>
            </w:pPr>
          </w:p>
        </w:tc>
        <w:tc>
          <w:tcPr>
            <w:tcW w:w="7350" w:type="dxa"/>
            <w:tcBorders>
              <w:top w:val="single" w:color="auto" w:sz="4" w:space="0"/>
              <w:left w:val="nil"/>
              <w:bottom w:val="single" w:color="000000" w:sz="4" w:space="0"/>
              <w:right w:val="single" w:color="000000" w:sz="4" w:space="0"/>
            </w:tcBorders>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旅游产品开发与经营方案合理，具有百丈特色且落地性强，方案合理且可行的得6分，内容完整，但有所欠缺的得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分；方案符合要求，但内容不完整的得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分，方案不合理或未提供方案不得分。</w:t>
            </w:r>
          </w:p>
        </w:tc>
        <w:tc>
          <w:tcPr>
            <w:tcW w:w="844" w:type="dxa"/>
            <w:tcBorders>
              <w:top w:val="single" w:color="auto"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9" w:type="dxa"/>
            <w:vMerge w:val="continue"/>
            <w:tcBorders>
              <w:left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p>
        </w:tc>
        <w:tc>
          <w:tcPr>
            <w:tcW w:w="7350" w:type="dxa"/>
            <w:tcBorders>
              <w:top w:val="single" w:color="000000" w:sz="4" w:space="0"/>
              <w:left w:val="nil"/>
              <w:bottom w:val="single" w:color="000000" w:sz="4" w:space="0"/>
              <w:right w:val="single" w:color="000000" w:sz="4" w:space="0"/>
            </w:tcBorders>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宣传推广思路、平台、渠道的多样性、全面性进行打分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方案合理且可行的得</w:t>
            </w:r>
            <w:r>
              <w:rPr>
                <w:rFonts w:hint="eastAsia" w:ascii="宋体" w:hAnsi="宋体" w:cs="宋体"/>
                <w:color w:val="auto"/>
                <w:sz w:val="24"/>
                <w:szCs w:val="24"/>
                <w:lang w:eastAsia="zh-CN"/>
              </w:rPr>
              <w:t>5</w:t>
            </w:r>
            <w:r>
              <w:rPr>
                <w:rFonts w:hint="eastAsia" w:ascii="宋体" w:hAnsi="宋体" w:eastAsia="宋体" w:cs="宋体"/>
                <w:color w:val="auto"/>
                <w:sz w:val="24"/>
                <w:szCs w:val="24"/>
              </w:rPr>
              <w:t>分，内容完整，但有所欠缺的得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分；方案符合要求，但内容不完整的得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分，方案不合理或未提供方案不得分。</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5</w:t>
            </w:r>
            <w:r>
              <w:rPr>
                <w:rFonts w:hint="eastAsia" w:ascii="宋体" w:hAnsi="宋体" w:eastAsia="宋体" w:cs="宋体"/>
                <w:b w:val="0"/>
                <w:bCs w:val="0"/>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vMerge w:val="continue"/>
            <w:tcBorders>
              <w:left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p>
        </w:tc>
        <w:tc>
          <w:tcPr>
            <w:tcW w:w="7350" w:type="dxa"/>
            <w:tcBorders>
              <w:top w:val="single" w:color="000000" w:sz="4" w:space="0"/>
              <w:left w:val="nil"/>
              <w:bottom w:val="single" w:color="000000" w:sz="4" w:space="0"/>
              <w:right w:val="single" w:color="000000" w:sz="4" w:space="0"/>
            </w:tcBorders>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旅游线路策划设计的特色性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多样性，市场营销思路路径的清晰性进行打分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方案合理且可行的得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分，内容完整，但有所欠缺的得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分；方案符合要求，但内容不完整的得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分，方案不合理或未提供方案不得分。</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vMerge w:val="continue"/>
            <w:tcBorders>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p>
        </w:tc>
        <w:tc>
          <w:tcPr>
            <w:tcW w:w="7350" w:type="dxa"/>
            <w:tcBorders>
              <w:top w:val="single" w:color="000000" w:sz="4" w:space="0"/>
              <w:left w:val="nil"/>
              <w:bottom w:val="single" w:color="000000" w:sz="4" w:space="0"/>
              <w:right w:val="single" w:color="000000" w:sz="4" w:space="0"/>
            </w:tcBorders>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百丈百味产品打造与开发的特色性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多样性，市场营销思路路径的清晰性进行打分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方案合理且可行的得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分，内容完整，但有所欠缺的得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分；方案符合要求，但内容不完整的得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分，方案不合理或未提供方案不得分。</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tcBorders>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p>
        </w:tc>
        <w:tc>
          <w:tcPr>
            <w:tcW w:w="7350" w:type="dxa"/>
            <w:tcBorders>
              <w:top w:val="single" w:color="000000" w:sz="4" w:space="0"/>
              <w:left w:val="nil"/>
              <w:bottom w:val="single" w:color="000000" w:sz="4" w:space="0"/>
              <w:right w:val="single" w:color="000000" w:sz="4" w:space="0"/>
            </w:tcBorders>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rPr>
              <w:t>根据百丈镇整体营销活动计划，提供农文旅相关活动策划方案，阐述的策划执行影响力大，曝光度高,内容完整得5分，影响力、曝光度一般,内容有所欠缺的得3分，影响力、曝光度较低，内容不完整的得1分，没有不得分。</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tcBorders>
              <w:left w:val="single" w:color="000000" w:sz="4" w:space="0"/>
              <w:right w:val="single" w:color="000000" w:sz="4" w:space="0"/>
            </w:tcBorders>
            <w:vAlign w:val="center"/>
          </w:tcPr>
          <w:p>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服务团队</w:t>
            </w:r>
            <w:r>
              <w:rPr>
                <w:rFonts w:hint="eastAsia" w:ascii="宋体" w:hAnsi="宋体" w:eastAsia="宋体" w:cs="宋体"/>
                <w:b/>
                <w:bCs/>
                <w:color w:val="auto"/>
                <w:sz w:val="24"/>
                <w:szCs w:val="24"/>
              </w:rPr>
              <w:t>配置</w:t>
            </w:r>
          </w:p>
        </w:tc>
        <w:tc>
          <w:tcPr>
            <w:tcW w:w="7350"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投标人配备的企划宣传、景区运营管理、导游综合素质的优异性和技术能力的专业性（包括工作经验、职称、学历等），并制定科学合理的团队架构和分工方案；团队结构稳定、人员配备合理，相关经验丰富，利于项目有效开展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分；人员配备一般但经验丰富或人员配备充足但经验缺乏的得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分；人员配备不足或人员经验缺乏</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rPr>
              <w:t>。</w:t>
            </w:r>
          </w:p>
        </w:tc>
        <w:tc>
          <w:tcPr>
            <w:tcW w:w="844"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tcBorders>
              <w:left w:val="single" w:color="000000" w:sz="4" w:space="0"/>
              <w:right w:val="single" w:color="000000" w:sz="4" w:space="0"/>
            </w:tcBorders>
            <w:vAlign w:val="center"/>
          </w:tcPr>
          <w:p>
            <w:pPr>
              <w:pageBreakBefore w:val="0"/>
              <w:widowControl w:val="0"/>
              <w:tabs>
                <w:tab w:val="left" w:pos="480"/>
              </w:tabs>
              <w:kinsoku/>
              <w:wordWrap/>
              <w:overflowPunct/>
              <w:topLinePunct w:val="0"/>
              <w:autoSpaceDE/>
              <w:autoSpaceDN/>
              <w:bidi w:val="0"/>
              <w:snapToGrid w:val="0"/>
              <w:spacing w:line="360" w:lineRule="auto"/>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4、服务质量</w:t>
            </w:r>
          </w:p>
        </w:tc>
        <w:tc>
          <w:tcPr>
            <w:tcW w:w="7350"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投标人的服务质量及其质量控制措施：</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服务质量及其质量控制方案内容完整且与项目匹配度好的得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分；服务质量及其质量控制方案内容存在欠缺或与项目匹配度一般的得3分；服务质量及其质量控制方案内容缺失或与项目不匹配的得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844"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tcBorders>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管理制度</w:t>
            </w:r>
          </w:p>
        </w:tc>
        <w:tc>
          <w:tcPr>
            <w:tcW w:w="73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lang w:eastAsia="zh-CN"/>
              </w:rPr>
              <w:t>投标人</w:t>
            </w:r>
            <w:r>
              <w:rPr>
                <w:rFonts w:hint="eastAsia" w:ascii="宋体" w:hAnsi="宋体" w:eastAsia="宋体" w:cs="宋体"/>
                <w:color w:val="auto"/>
                <w:sz w:val="24"/>
                <w:szCs w:val="24"/>
                <w:highlight w:val="none"/>
              </w:rPr>
              <w:t>具有完备的管理组织、项目实施规范和管理制度，包括文档管理，有完善的项目风险管理和质量管理体系，并能有效实施</w:t>
            </w:r>
            <w:r>
              <w:rPr>
                <w:rFonts w:hint="eastAsia" w:ascii="宋体" w:hAnsi="宋体" w:eastAsia="宋体" w:cs="宋体"/>
                <w:color w:val="auto"/>
                <w:sz w:val="24"/>
                <w:szCs w:val="24"/>
                <w:highlight w:val="none"/>
                <w:lang w:val="en-US" w:eastAsia="zh-CN"/>
              </w:rPr>
              <w:t>进行打分。</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制度设置合理、清晰、全面的得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制度设置较合理、清晰、全面的得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制度设置不够全面、清晰的得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分；未提供内容的不得分。</w:t>
            </w:r>
          </w:p>
        </w:tc>
        <w:tc>
          <w:tcPr>
            <w:tcW w:w="844"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369" w:type="dxa"/>
            <w:tcBorders>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合理化建议</w:t>
            </w:r>
          </w:p>
        </w:tc>
        <w:tc>
          <w:tcPr>
            <w:tcW w:w="7350"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投标人针</w:t>
            </w: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lang w:eastAsia="zh-CN"/>
              </w:rPr>
              <w:t>提出</w:t>
            </w:r>
            <w:r>
              <w:rPr>
                <w:rFonts w:hint="eastAsia" w:ascii="宋体" w:hAnsi="宋体" w:eastAsia="宋体" w:cs="宋体"/>
                <w:color w:val="auto"/>
                <w:sz w:val="24"/>
                <w:szCs w:val="24"/>
                <w:highlight w:val="none"/>
              </w:rPr>
              <w:t>合理化建议</w:t>
            </w:r>
            <w:r>
              <w:rPr>
                <w:rFonts w:hint="eastAsia" w:ascii="宋体" w:hAnsi="宋体" w:eastAsia="宋体" w:cs="宋体"/>
                <w:color w:val="auto"/>
                <w:sz w:val="24"/>
                <w:szCs w:val="24"/>
                <w:highlight w:val="none"/>
                <w:lang w:eastAsia="zh-CN"/>
              </w:rPr>
              <w:t>，兼具定性、定量方案，有助提高项目工作成果深度和广度，根据建议内容进行</w:t>
            </w:r>
            <w:r>
              <w:rPr>
                <w:rFonts w:hint="eastAsia" w:ascii="宋体" w:hAnsi="宋体" w:eastAsia="宋体" w:cs="宋体"/>
                <w:bCs/>
                <w:color w:val="auto"/>
                <w:sz w:val="24"/>
                <w:highlight w:val="none"/>
                <w:lang w:eastAsia="zh-CN"/>
              </w:rPr>
              <w:t>评分</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lang w:val="en-US" w:eastAsia="zh-CN"/>
              </w:rPr>
              <w:t>内容合理清晰、可操作性强的得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lang w:val="en-US" w:eastAsia="zh-CN"/>
              </w:rPr>
              <w:t>内容较合理清晰、可操作性一般的得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lang w:val="en-US" w:eastAsia="zh-CN"/>
              </w:rPr>
              <w:t>内容合理性较差、可操作性不强的得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bCs/>
                <w:color w:val="auto"/>
                <w:sz w:val="24"/>
                <w:highlight w:val="none"/>
              </w:rPr>
              <w:t>完全偏离实际情况或未提供内容的不得分。</w:t>
            </w:r>
          </w:p>
        </w:tc>
        <w:tc>
          <w:tcPr>
            <w:tcW w:w="844"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9" w:type="dxa"/>
            <w:tcBorders>
              <w:top w:val="single" w:color="000000" w:sz="4" w:space="0"/>
              <w:left w:val="single" w:color="000000" w:sz="4" w:space="0"/>
              <w:right w:val="single" w:color="000000" w:sz="4" w:space="0"/>
            </w:tcBorders>
            <w:vAlign w:val="center"/>
          </w:tcPr>
          <w:p>
            <w:pPr>
              <w:pStyle w:val="60"/>
              <w:spacing w:line="360" w:lineRule="auto"/>
              <w:jc w:val="both"/>
              <w:rPr>
                <w:rFonts w:hint="eastAsia" w:ascii="宋体" w:hAnsi="宋体" w:eastAsia="宋体" w:cs="宋体"/>
                <w:color w:val="auto"/>
                <w:sz w:val="24"/>
                <w:szCs w:val="24"/>
              </w:rPr>
            </w:pP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、服务便利性及措施</w:t>
            </w:r>
          </w:p>
        </w:tc>
        <w:tc>
          <w:tcPr>
            <w:tcW w:w="7350"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highlight w:val="none"/>
                <w:lang w:val="en-US" w:eastAsia="zh-CN" w:bidi="ar-SA"/>
              </w:rPr>
              <w:t>根据各投标人为本项目提供服务的便捷性、快速响应采购人服务要求的可行性及优越性等进行评审：服务便捷性高，响应时间迅速、服务措施合理得5分；服务便捷性较高，响应时间较快、服务措施较好得3分；服务便捷性较差，响应时间较慢、服务计划不够全面、的得1分。其他或不提供不得分。</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服务承诺 </w:t>
            </w:r>
          </w:p>
        </w:tc>
        <w:tc>
          <w:tcPr>
            <w:tcW w:w="735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投标人对本项目完成后续服务保障体系是否完善，具有针对性应对措施；后续服务保障体系是否健全</w:t>
            </w:r>
            <w:r>
              <w:rPr>
                <w:rFonts w:hint="eastAsia" w:ascii="宋体" w:hAnsi="宋体" w:eastAsia="宋体" w:cs="宋体"/>
                <w:color w:val="auto"/>
                <w:sz w:val="24"/>
                <w:szCs w:val="24"/>
                <w:highlight w:val="none"/>
                <w:lang w:eastAsia="zh-CN"/>
              </w:rPr>
              <w:t>进行评分</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color w:val="auto"/>
                <w:sz w:val="24"/>
                <w:szCs w:val="24"/>
                <w:highlight w:val="none"/>
              </w:rPr>
              <w:t>方案科学、合理的得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较科学、较合理的得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科学、</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未提供不得分。</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369" w:type="dxa"/>
            <w:vMerge w:val="restart"/>
            <w:tcBorders>
              <w:left w:val="single" w:color="000000" w:sz="4" w:space="0"/>
              <w:right w:val="single" w:color="000000" w:sz="4" w:space="0"/>
            </w:tcBorders>
            <w:vAlign w:val="center"/>
          </w:tcPr>
          <w:p>
            <w:pPr>
              <w:pStyle w:val="3"/>
              <w:pageBreakBefore w:val="0"/>
              <w:widowControl w:val="0"/>
              <w:kinsoku/>
              <w:wordWrap/>
              <w:overflowPunct/>
              <w:topLinePunct w:val="0"/>
              <w:autoSpaceDE/>
              <w:autoSpaceDN/>
              <w:bidi w:val="0"/>
              <w:spacing w:before="0" w:after="0"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、投标人实力</w:t>
            </w:r>
          </w:p>
        </w:tc>
        <w:tc>
          <w:tcPr>
            <w:tcW w:w="735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投标人获得区级及以上政府相关部门</w:t>
            </w:r>
            <w:r>
              <w:rPr>
                <w:rFonts w:hint="eastAsia" w:ascii="宋体" w:hAnsi="宋体" w:eastAsia="宋体" w:cs="宋体"/>
                <w:color w:val="auto"/>
                <w:sz w:val="24"/>
                <w:szCs w:val="24"/>
                <w:highlight w:val="none"/>
                <w:lang w:val="en-US" w:eastAsia="zh-CN"/>
              </w:rPr>
              <w:t>颁发相关荣誉奖项</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相关证明扫描件</w:t>
            </w:r>
            <w:r>
              <w:rPr>
                <w:rFonts w:hint="eastAsia" w:ascii="宋体" w:hAnsi="宋体" w:eastAsia="宋体" w:cs="宋体"/>
                <w:b/>
                <w:bCs/>
                <w:color w:val="auto"/>
                <w:sz w:val="24"/>
                <w:szCs w:val="24"/>
                <w:highlight w:val="none"/>
              </w:rPr>
              <w:t>加盖公章。</w:t>
            </w:r>
          </w:p>
        </w:tc>
        <w:tc>
          <w:tcPr>
            <w:tcW w:w="844" w:type="dxa"/>
            <w:tcBorders>
              <w:top w:val="single" w:color="000000" w:sz="4" w:space="0"/>
              <w:left w:val="nil"/>
              <w:bottom w:val="single" w:color="000000" w:sz="4" w:space="0"/>
              <w:right w:val="single" w:color="000000" w:sz="4" w:space="0"/>
            </w:tcBorders>
            <w:vAlign w:val="center"/>
          </w:tcPr>
          <w:p>
            <w:pPr>
              <w:pStyle w:val="91"/>
              <w:pageBreakBefore w:val="0"/>
              <w:widowControl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1369" w:type="dxa"/>
            <w:tcBorders>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、项目服务成绩</w:t>
            </w:r>
          </w:p>
        </w:tc>
        <w:tc>
          <w:tcPr>
            <w:tcW w:w="7350"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投标人提供自202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年1月1日以来（合同签订时间为准）具有旅游运营同类项目业绩的，每提供一个有效业绩得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（提供合同</w:t>
            </w:r>
            <w:r>
              <w:rPr>
                <w:rFonts w:hint="eastAsia" w:ascii="宋体" w:hAnsi="宋体" w:eastAsia="宋体" w:cs="宋体"/>
                <w:b/>
                <w:bCs/>
                <w:color w:val="auto"/>
                <w:sz w:val="24"/>
                <w:szCs w:val="24"/>
                <w:lang w:val="en-US" w:eastAsia="zh-CN"/>
              </w:rPr>
              <w:t>扫描</w:t>
            </w:r>
            <w:r>
              <w:rPr>
                <w:rFonts w:hint="eastAsia" w:ascii="宋体" w:hAnsi="宋体" w:eastAsia="宋体" w:cs="宋体"/>
                <w:b/>
                <w:bCs/>
                <w:color w:val="auto"/>
                <w:sz w:val="24"/>
                <w:szCs w:val="24"/>
              </w:rPr>
              <w:t>件加盖公章）</w:t>
            </w:r>
          </w:p>
        </w:tc>
        <w:tc>
          <w:tcPr>
            <w:tcW w:w="844" w:type="dxa"/>
            <w:tcBorders>
              <w:top w:val="single" w:color="000000" w:sz="4" w:space="0"/>
              <w:left w:val="nil"/>
              <w:bottom w:val="single" w:color="000000" w:sz="4" w:space="0"/>
              <w:right w:val="single" w:color="000000" w:sz="4" w:space="0"/>
            </w:tcBorders>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lang w:val="en-US" w:eastAsia="zh-CN"/>
              </w:rPr>
            </w:pPr>
            <w:bookmarkStart w:id="531" w:name="_GoBack"/>
            <w:bookmarkEnd w:id="531"/>
            <w:r>
              <w:rPr>
                <w:rFonts w:hint="eastAsia" w:ascii="宋体" w:hAnsi="宋体" w:eastAsia="宋体" w:cs="宋体"/>
                <w:b w:val="0"/>
                <w:bCs w:val="0"/>
                <w:color w:val="auto"/>
                <w:sz w:val="24"/>
                <w:szCs w:val="24"/>
                <w:lang w:val="en-US" w:eastAsia="zh-CN"/>
              </w:rPr>
              <w:t>1分</w:t>
            </w:r>
          </w:p>
        </w:tc>
      </w:tr>
    </w:tbl>
    <w:p>
      <w:pPr>
        <w:rPr>
          <w:rFonts w:hint="eastAsia" w:ascii="宋体" w:hAnsi="宋体" w:eastAsia="宋体" w:cs="宋体"/>
          <w:color w:val="auto"/>
        </w:rPr>
      </w:pPr>
    </w:p>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bookmarkEnd w:id="35"/>
    <w:p>
      <w:pPr>
        <w:snapToGrid w:val="0"/>
        <w:spacing w:line="360" w:lineRule="auto"/>
        <w:rPr>
          <w:rFonts w:hint="eastAsia" w:ascii="宋体" w:hAnsi="宋体" w:eastAsia="宋体" w:cs="宋体"/>
          <w:b/>
          <w:color w:val="auto"/>
          <w:sz w:val="28"/>
          <w:szCs w:val="28"/>
        </w:rPr>
      </w:pPr>
      <w:bookmarkStart w:id="402" w:name="第五部分"/>
      <w:bookmarkStart w:id="403" w:name="_Toc86217003"/>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snapToGrid w:val="0"/>
        <w:spacing w:line="360" w:lineRule="auto"/>
        <w:ind w:firstLine="482" w:firstLineChars="200"/>
        <w:rPr>
          <w:rFonts w:ascii="宋体" w:hAnsi="宋体" w:cs="宋体"/>
          <w:b/>
          <w:bCs/>
          <w:color w:val="auto"/>
          <w:sz w:val="24"/>
          <w:szCs w:val="24"/>
        </w:rPr>
      </w:pPr>
      <w:r>
        <w:rPr>
          <w:rFonts w:hint="eastAsia" w:ascii="宋体" w:hAnsi="宋体" w:eastAsia="宋体" w:cs="宋体"/>
          <w:b/>
          <w:color w:val="auto"/>
          <w:kern w:val="0"/>
          <w:sz w:val="24"/>
          <w:highlight w:val="none"/>
        </w:rPr>
        <w:t>3.1</w:t>
      </w:r>
      <w:r>
        <w:rPr>
          <w:rFonts w:hint="eastAsia" w:ascii="宋体" w:hAnsi="宋体" w:cs="宋体"/>
          <w:b/>
          <w:bCs/>
          <w:color w:val="auto"/>
          <w:sz w:val="24"/>
          <w:szCs w:val="24"/>
        </w:rPr>
        <w:t>资格审查</w:t>
      </w:r>
    </w:p>
    <w:p>
      <w:pPr>
        <w:pStyle w:val="21"/>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投标文件解密后，采购人或采购组织机构依法对投标人的资格进行审查，对审查发现无效的进行必要的询问，在政采云平台公布无效投标的投标人名单、投标无效的原因。</w:t>
      </w:r>
    </w:p>
    <w:tbl>
      <w:tblPr>
        <w:tblStyle w:val="6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3"/>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2143" w:type="dxa"/>
            <w:tcMar>
              <w:top w:w="57" w:type="dxa"/>
              <w:left w:w="108" w:type="dxa"/>
              <w:bottom w:w="0" w:type="dxa"/>
              <w:right w:w="108" w:type="dxa"/>
            </w:tcMar>
            <w:vAlign w:val="center"/>
          </w:tcPr>
          <w:p>
            <w:pPr>
              <w:pStyle w:val="619"/>
              <w:spacing w:before="1" w:beforeAutospacing="0" w:after="0" w:afterAutospacing="0" w:line="300" w:lineRule="auto"/>
              <w:ind w:left="0" w:right="3" w:hanging="10"/>
              <w:jc w:val="center"/>
              <w:rPr>
                <w:rFonts w:hint="default"/>
                <w:color w:val="auto"/>
                <w:szCs w:val="21"/>
              </w:rPr>
            </w:pPr>
            <w:r>
              <w:rPr>
                <w:rFonts w:hint="eastAsia"/>
                <w:color w:val="auto"/>
                <w:szCs w:val="21"/>
              </w:rPr>
              <w:t>具有独立承担民事责任的能力</w:t>
            </w:r>
          </w:p>
        </w:tc>
        <w:tc>
          <w:tcPr>
            <w:tcW w:w="6862"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color w:val="auto"/>
                <w:szCs w:val="21"/>
              </w:rPr>
            </w:pPr>
            <w:r>
              <w:rPr>
                <w:rFonts w:hint="eastAsia"/>
                <w:color w:val="auto"/>
                <w:szCs w:val="21"/>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43" w:type="dxa"/>
            <w:shd w:val="clear" w:color="auto" w:fill="F6F6F6"/>
            <w:tcMar>
              <w:top w:w="57" w:type="dxa"/>
              <w:left w:w="108" w:type="dxa"/>
              <w:bottom w:w="0" w:type="dxa"/>
              <w:right w:w="108" w:type="dxa"/>
            </w:tcMar>
            <w:vAlign w:val="center"/>
          </w:tcPr>
          <w:p>
            <w:pPr>
              <w:pStyle w:val="619"/>
              <w:spacing w:before="1" w:beforeAutospacing="0" w:after="0" w:afterAutospacing="0" w:line="300" w:lineRule="auto"/>
              <w:ind w:left="0" w:right="3" w:hanging="10"/>
              <w:jc w:val="center"/>
              <w:rPr>
                <w:rFonts w:hint="default"/>
                <w:color w:val="auto"/>
                <w:szCs w:val="21"/>
              </w:rPr>
            </w:pPr>
            <w:r>
              <w:rPr>
                <w:rFonts w:hint="eastAsia"/>
                <w:color w:val="auto"/>
                <w:szCs w:val="21"/>
              </w:rPr>
              <w:t>有依法缴纳税收和社会保障资金的良好记录</w:t>
            </w:r>
          </w:p>
        </w:tc>
        <w:tc>
          <w:tcPr>
            <w:tcW w:w="6862"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eastAsia"/>
                <w:color w:val="auto"/>
                <w:szCs w:val="21"/>
                <w:lang w:eastAsia="zh-CN"/>
              </w:rPr>
            </w:pPr>
            <w:r>
              <w:rPr>
                <w:rFonts w:hint="eastAsia"/>
                <w:color w:val="auto"/>
                <w:szCs w:val="21"/>
                <w:lang w:eastAsia="zh-CN"/>
              </w:rPr>
              <w:t>提交符合参加政府采购活动应当具备的一般条件的承诺函；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43" w:type="dxa"/>
            <w:tcMar>
              <w:top w:w="57" w:type="dxa"/>
              <w:left w:w="108" w:type="dxa"/>
              <w:bottom w:w="0" w:type="dxa"/>
              <w:right w:w="108" w:type="dxa"/>
            </w:tcMar>
            <w:vAlign w:val="center"/>
          </w:tcPr>
          <w:p>
            <w:pPr>
              <w:pStyle w:val="619"/>
              <w:spacing w:before="1" w:beforeAutospacing="0" w:after="0" w:afterAutospacing="0" w:line="300" w:lineRule="auto"/>
              <w:ind w:left="0" w:right="3" w:hanging="10"/>
              <w:jc w:val="center"/>
              <w:rPr>
                <w:rFonts w:hint="default"/>
                <w:color w:val="auto"/>
                <w:szCs w:val="21"/>
              </w:rPr>
            </w:pPr>
            <w:r>
              <w:rPr>
                <w:rFonts w:hint="eastAsia"/>
                <w:color w:val="auto"/>
                <w:szCs w:val="21"/>
              </w:rPr>
              <w:t>具有良好的商业信誉和健全的财务会计制度</w:t>
            </w:r>
          </w:p>
        </w:tc>
        <w:tc>
          <w:tcPr>
            <w:tcW w:w="6862"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color w:val="auto"/>
                <w:szCs w:val="21"/>
              </w:rPr>
            </w:pPr>
            <w:r>
              <w:rPr>
                <w:rFonts w:hint="eastAsia"/>
                <w:color w:val="auto"/>
                <w:szCs w:val="21"/>
                <w:lang w:eastAsia="zh-CN"/>
              </w:rPr>
              <w:t>提交符合参加政府采购活动应当具备的一般条件的承诺函；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43" w:type="dxa"/>
            <w:shd w:val="clear" w:color="auto" w:fill="F6F6F6"/>
            <w:tcMar>
              <w:top w:w="57" w:type="dxa"/>
              <w:left w:w="108" w:type="dxa"/>
              <w:bottom w:w="0" w:type="dxa"/>
              <w:right w:w="108" w:type="dxa"/>
            </w:tcMar>
            <w:vAlign w:val="center"/>
          </w:tcPr>
          <w:p>
            <w:pPr>
              <w:pStyle w:val="619"/>
              <w:spacing w:before="1" w:beforeAutospacing="0" w:after="0" w:afterAutospacing="0" w:line="300" w:lineRule="auto"/>
              <w:ind w:left="0" w:right="3" w:hanging="10"/>
              <w:jc w:val="center"/>
              <w:rPr>
                <w:rFonts w:hint="default"/>
                <w:color w:val="auto"/>
                <w:szCs w:val="21"/>
              </w:rPr>
            </w:pPr>
            <w:r>
              <w:rPr>
                <w:rFonts w:hint="eastAsia"/>
                <w:color w:val="auto"/>
                <w:szCs w:val="21"/>
              </w:rPr>
              <w:t>履行合同所必需的设备和专业技术能力</w:t>
            </w:r>
          </w:p>
        </w:tc>
        <w:tc>
          <w:tcPr>
            <w:tcW w:w="6862"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color w:val="auto"/>
                <w:szCs w:val="21"/>
              </w:rPr>
            </w:pPr>
            <w:r>
              <w:rPr>
                <w:rFonts w:hint="eastAsia"/>
                <w:color w:val="auto"/>
                <w:szCs w:val="21"/>
                <w:lang w:eastAsia="zh-CN"/>
              </w:rPr>
              <w:t>提交符合参加政府采购活动应当具备的一般条件的承诺函；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43" w:type="dxa"/>
            <w:tcMar>
              <w:top w:w="57" w:type="dxa"/>
              <w:left w:w="108" w:type="dxa"/>
              <w:bottom w:w="0" w:type="dxa"/>
              <w:right w:w="108" w:type="dxa"/>
            </w:tcMar>
            <w:vAlign w:val="center"/>
          </w:tcPr>
          <w:p>
            <w:pPr>
              <w:pStyle w:val="619"/>
              <w:spacing w:before="0" w:beforeAutospacing="0" w:after="0" w:afterAutospacing="0" w:line="300" w:lineRule="auto"/>
              <w:ind w:left="0" w:right="3" w:hanging="10"/>
              <w:jc w:val="center"/>
              <w:rPr>
                <w:rFonts w:hint="default"/>
                <w:color w:val="auto"/>
                <w:szCs w:val="21"/>
              </w:rPr>
            </w:pPr>
            <w:r>
              <w:rPr>
                <w:rFonts w:hint="eastAsia"/>
                <w:color w:val="auto"/>
                <w:szCs w:val="21"/>
              </w:rPr>
              <w:t>参加采购活动前3年内，在经营活动中没有重大违法记录</w:t>
            </w:r>
          </w:p>
        </w:tc>
        <w:tc>
          <w:tcPr>
            <w:tcW w:w="6862"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color w:val="auto"/>
                <w:szCs w:val="21"/>
              </w:rPr>
            </w:pPr>
            <w:r>
              <w:rPr>
                <w:rFonts w:hint="eastAsia"/>
                <w:color w:val="auto"/>
                <w:szCs w:val="21"/>
              </w:rPr>
              <w:t>参照投标</w:t>
            </w:r>
            <w:r>
              <w:rPr>
                <w:rFonts w:hint="eastAsia"/>
                <w:color w:val="auto"/>
                <w:szCs w:val="21"/>
                <w:lang w:eastAsia="zh-CN"/>
              </w:rPr>
              <w:t>函</w:t>
            </w:r>
            <w:r>
              <w:rPr>
                <w:rFonts w:hint="eastAsia"/>
                <w:color w:val="auto"/>
                <w:szCs w:val="21"/>
              </w:rPr>
              <w:t>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43"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3" w:hanging="10"/>
              <w:jc w:val="center"/>
              <w:rPr>
                <w:rFonts w:hint="default"/>
                <w:color w:val="auto"/>
                <w:szCs w:val="21"/>
              </w:rPr>
            </w:pPr>
            <w:r>
              <w:rPr>
                <w:rFonts w:hint="eastAsia"/>
                <w:color w:val="auto"/>
                <w:szCs w:val="21"/>
              </w:rPr>
              <w:t>信用记录</w:t>
            </w:r>
          </w:p>
        </w:tc>
        <w:tc>
          <w:tcPr>
            <w:tcW w:w="6862" w:type="dxa"/>
            <w:shd w:val="clear" w:color="auto" w:fill="F6F6F6"/>
            <w:tcMar>
              <w:top w:w="57" w:type="dxa"/>
              <w:left w:w="108" w:type="dxa"/>
              <w:bottom w:w="0" w:type="dxa"/>
              <w:right w:w="108" w:type="dxa"/>
            </w:tcMar>
            <w:vAlign w:val="center"/>
          </w:tcPr>
          <w:p>
            <w:pPr>
              <w:spacing w:before="0" w:beforeAutospacing="0" w:after="0" w:afterAutospacing="0" w:line="300" w:lineRule="auto"/>
              <w:ind w:left="0" w:right="-17" w:rightChars="-8"/>
              <w:rPr>
                <w:rFonts w:hint="default" w:ascii="Calibri" w:hAnsi="Calibri" w:eastAsia="宋体" w:cs="Times New Roman"/>
                <w:color w:val="auto"/>
                <w:kern w:val="0"/>
                <w:sz w:val="22"/>
                <w:szCs w:val="21"/>
                <w:lang w:val="en-US" w:eastAsia="en-US" w:bidi="ar-SA"/>
              </w:rPr>
            </w:pPr>
            <w:r>
              <w:rPr>
                <w:rFonts w:hint="eastAsia" w:ascii="Calibri" w:hAnsi="Calibri" w:eastAsia="宋体" w:cs="Times New Roman"/>
                <w:color w:val="auto"/>
                <w:kern w:val="0"/>
                <w:sz w:val="22"/>
                <w:szCs w:val="21"/>
                <w:lang w:val="en-US" w:eastAsia="en-US" w:bidi="ar-SA"/>
              </w:rPr>
              <w:t>1.截止时点：开标后评标前。</w:t>
            </w:r>
          </w:p>
          <w:p>
            <w:pPr>
              <w:spacing w:before="0" w:beforeAutospacing="0" w:after="0" w:afterAutospacing="0" w:line="300" w:lineRule="auto"/>
              <w:ind w:left="0" w:right="-17" w:rightChars="-8"/>
              <w:rPr>
                <w:rFonts w:hint="eastAsia" w:ascii="Calibri" w:hAnsi="Calibri" w:eastAsia="宋体" w:cs="Times New Roman"/>
                <w:color w:val="auto"/>
                <w:kern w:val="0"/>
                <w:sz w:val="22"/>
                <w:szCs w:val="21"/>
                <w:lang w:val="en-US" w:eastAsia="zh-CN" w:bidi="ar-SA"/>
              </w:rPr>
            </w:pPr>
            <w:r>
              <w:rPr>
                <w:rFonts w:hint="eastAsia" w:ascii="Calibri" w:hAnsi="Calibri" w:eastAsia="宋体" w:cs="Times New Roman"/>
                <w:color w:val="auto"/>
                <w:kern w:val="0"/>
                <w:sz w:val="22"/>
                <w:szCs w:val="21"/>
                <w:lang w:val="en-US" w:eastAsia="en-US" w:bidi="ar-SA"/>
              </w:rPr>
              <w:t>2.信用信息查询记录和证据留存的具体方式：由采购组织机构在规定查询时间内打印信用信息查询记录并归入项目档案。</w:t>
            </w:r>
          </w:p>
          <w:p>
            <w:pPr>
              <w:spacing w:before="0" w:beforeAutospacing="0" w:after="0" w:afterAutospacing="0" w:line="300" w:lineRule="auto"/>
              <w:ind w:left="0" w:right="-17" w:rightChars="-8"/>
              <w:rPr>
                <w:rFonts w:hint="default" w:ascii="Calibri" w:hAnsi="Calibri" w:eastAsia="宋体" w:cs="Times New Roman"/>
                <w:color w:val="auto"/>
                <w:kern w:val="0"/>
                <w:sz w:val="22"/>
                <w:szCs w:val="21"/>
                <w:lang w:val="en-US" w:eastAsia="en-US" w:bidi="ar-SA"/>
              </w:rPr>
            </w:pPr>
            <w:r>
              <w:rPr>
                <w:rFonts w:hint="eastAsia" w:ascii="Calibri" w:hAnsi="Calibri" w:eastAsia="宋体" w:cs="Times New Roman"/>
                <w:color w:val="auto"/>
                <w:kern w:val="0"/>
                <w:sz w:val="22"/>
                <w:szCs w:val="21"/>
                <w:lang w:val="en-US" w:eastAsia="en-US" w:bidi="ar-SA"/>
              </w:rPr>
              <w:t>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43" w:type="dxa"/>
            <w:tcMar>
              <w:top w:w="57" w:type="dxa"/>
              <w:left w:w="108" w:type="dxa"/>
              <w:bottom w:w="0" w:type="dxa"/>
              <w:right w:w="108" w:type="dxa"/>
            </w:tcMar>
            <w:vAlign w:val="center"/>
          </w:tcPr>
          <w:p>
            <w:pPr>
              <w:pStyle w:val="619"/>
              <w:spacing w:before="0" w:beforeAutospacing="0" w:after="0" w:afterAutospacing="0" w:line="300" w:lineRule="auto"/>
              <w:ind w:left="0" w:right="3" w:hanging="10"/>
              <w:jc w:val="center"/>
              <w:rPr>
                <w:rFonts w:hint="default"/>
                <w:color w:val="auto"/>
                <w:szCs w:val="21"/>
              </w:rPr>
            </w:pPr>
            <w:r>
              <w:rPr>
                <w:rFonts w:hint="eastAsia"/>
                <w:color w:val="auto"/>
                <w:szCs w:val="21"/>
              </w:rPr>
              <w:t>必须符合法律、行政法规规定的其他条件</w:t>
            </w:r>
          </w:p>
        </w:tc>
        <w:tc>
          <w:tcPr>
            <w:tcW w:w="6862"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color w:val="auto"/>
                <w:kern w:val="0"/>
                <w:sz w:val="22"/>
                <w:szCs w:val="21"/>
                <w:lang w:val="en-US" w:eastAsia="en-US" w:bidi="ar-SA"/>
              </w:rPr>
            </w:pPr>
            <w:r>
              <w:rPr>
                <w:rFonts w:hint="eastAsia" w:ascii="Calibri" w:hAnsi="Calibri" w:eastAsia="宋体" w:cs="Times New Roman"/>
                <w:color w:val="auto"/>
                <w:kern w:val="0"/>
                <w:sz w:val="22"/>
                <w:szCs w:val="21"/>
                <w:lang w:val="en-US" w:eastAsia="en-US" w:bidi="ar-SA"/>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pPr>
              <w:pStyle w:val="619"/>
              <w:spacing w:before="0" w:beforeAutospacing="0" w:after="0" w:afterAutospacing="0" w:line="300" w:lineRule="auto"/>
              <w:ind w:left="0" w:right="-17" w:rightChars="-8"/>
              <w:rPr>
                <w:rFonts w:hint="default" w:ascii="Calibri" w:hAnsi="Calibri" w:eastAsia="宋体" w:cs="Times New Roman"/>
                <w:color w:val="auto"/>
                <w:kern w:val="0"/>
                <w:sz w:val="22"/>
                <w:szCs w:val="21"/>
                <w:lang w:val="en-US" w:eastAsia="en-US" w:bidi="ar-SA"/>
              </w:rPr>
            </w:pPr>
            <w:r>
              <w:rPr>
                <w:rFonts w:hint="eastAsia" w:ascii="Calibri" w:hAnsi="Calibri" w:eastAsia="宋体" w:cs="Times New Roman"/>
                <w:color w:val="auto"/>
                <w:kern w:val="0"/>
                <w:sz w:val="22"/>
                <w:szCs w:val="21"/>
                <w:lang w:val="en-US" w:eastAsia="en-US" w:bidi="ar-SA"/>
              </w:rPr>
              <w:t>2.为本项目提供整体设计、规范编制或者项目管理、监理、检测等服务的供应商，不得再参与本项目投标。</w:t>
            </w:r>
          </w:p>
          <w:p>
            <w:pPr>
              <w:pStyle w:val="619"/>
              <w:spacing w:before="0" w:beforeAutospacing="0" w:after="0" w:afterAutospacing="0" w:line="300" w:lineRule="auto"/>
              <w:ind w:left="0" w:right="-17" w:rightChars="-8"/>
              <w:rPr>
                <w:rFonts w:hint="default" w:ascii="Calibri" w:hAnsi="Calibri" w:eastAsia="宋体" w:cs="Times New Roman"/>
                <w:color w:val="auto"/>
                <w:kern w:val="0"/>
                <w:sz w:val="22"/>
                <w:szCs w:val="21"/>
                <w:lang w:val="en-US" w:eastAsia="en-US" w:bidi="ar-SA"/>
              </w:rPr>
            </w:pPr>
            <w:r>
              <w:rPr>
                <w:rFonts w:hint="eastAsia" w:ascii="Calibri" w:hAnsi="Calibri" w:eastAsia="宋体" w:cs="Times New Roman"/>
                <w:color w:val="auto"/>
                <w:kern w:val="0"/>
                <w:sz w:val="22"/>
                <w:szCs w:val="21"/>
                <w:lang w:val="en-US" w:eastAsia="en-US" w:bidi="ar-SA"/>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2143" w:type="dxa"/>
            <w:shd w:val="clear" w:color="auto" w:fill="F6F6F6"/>
            <w:tcMar>
              <w:top w:w="57" w:type="dxa"/>
              <w:left w:w="108" w:type="dxa"/>
              <w:bottom w:w="0" w:type="dxa"/>
              <w:right w:w="108" w:type="dxa"/>
            </w:tcMar>
            <w:vAlign w:val="center"/>
          </w:tcPr>
          <w:p>
            <w:pPr>
              <w:pStyle w:val="619"/>
              <w:spacing w:before="48" w:beforeAutospacing="0" w:after="0" w:afterAutospacing="0" w:line="300" w:lineRule="auto"/>
              <w:ind w:left="0" w:right="3" w:hanging="10"/>
              <w:jc w:val="center"/>
              <w:rPr>
                <w:rFonts w:hint="default"/>
                <w:color w:val="auto"/>
                <w:szCs w:val="21"/>
              </w:rPr>
            </w:pPr>
            <w:r>
              <w:rPr>
                <w:rFonts w:hint="eastAsia"/>
                <w:color w:val="auto"/>
                <w:szCs w:val="21"/>
              </w:rPr>
              <w:t>落实政府采购政策需满足的资格要求</w:t>
            </w:r>
          </w:p>
        </w:tc>
        <w:tc>
          <w:tcPr>
            <w:tcW w:w="6862"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eastAsia" w:ascii="Calibri" w:hAnsi="Calibri" w:eastAsia="宋体" w:cs="Times New Roman"/>
                <w:color w:val="auto"/>
                <w:kern w:val="0"/>
                <w:sz w:val="22"/>
                <w:szCs w:val="21"/>
                <w:lang w:val="en-US" w:eastAsia="zh-CN" w:bidi="ar-SA"/>
              </w:rPr>
            </w:pPr>
            <w:r>
              <w:rPr>
                <w:rFonts w:hint="eastAsia" w:ascii="Calibri" w:hAnsi="Calibri" w:eastAsia="宋体" w:cs="Times New Roman"/>
                <w:color w:val="auto"/>
                <w:kern w:val="0"/>
                <w:sz w:val="22"/>
                <w:szCs w:val="21"/>
                <w:lang w:val="en-US" w:eastAsia="en-US" w:bidi="ar-SA"/>
              </w:rPr>
              <w:t>提供中小企业声明函或残疾人福利性单位声明函或监狱企业证明文件。</w:t>
            </w:r>
          </w:p>
        </w:tc>
      </w:tr>
    </w:tbl>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rPr>
        <w:t>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tbl>
      <w:tblPr>
        <w:tblStyle w:val="6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7"/>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投标文件</w:t>
            </w:r>
          </w:p>
        </w:tc>
        <w:tc>
          <w:tcPr>
            <w:tcW w:w="6956"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法定代表人/负责人授权委托书</w:t>
            </w:r>
          </w:p>
        </w:tc>
        <w:tc>
          <w:tcPr>
            <w:tcW w:w="6956"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“▲”实质性条款</w:t>
            </w:r>
          </w:p>
        </w:tc>
        <w:tc>
          <w:tcPr>
            <w:tcW w:w="6956"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“▲”实质性条款必须满足采购文件要求。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串通投标</w:t>
            </w:r>
          </w:p>
        </w:tc>
        <w:tc>
          <w:tcPr>
            <w:tcW w:w="6956" w:type="dxa"/>
            <w:shd w:val="clear" w:color="auto" w:fill="F6F6F6"/>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附加条件</w:t>
            </w:r>
          </w:p>
        </w:tc>
        <w:tc>
          <w:tcPr>
            <w:tcW w:w="6956" w:type="dxa"/>
            <w:tcMar>
              <w:top w:w="57" w:type="dxa"/>
              <w:left w:w="108" w:type="dxa"/>
              <w:bottom w:w="0" w:type="dxa"/>
              <w:right w:w="108" w:type="dxa"/>
            </w:tcMar>
            <w:vAlign w:val="center"/>
          </w:tcPr>
          <w:p>
            <w:pPr>
              <w:pStyle w:val="619"/>
              <w:spacing w:before="0" w:beforeAutospacing="0" w:after="0" w:afterAutospacing="0" w:line="300" w:lineRule="auto"/>
              <w:ind w:left="0" w:right="-17" w:rightChars="-8"/>
              <w:rPr>
                <w:rFonts w:hint="default" w:ascii="Calibri" w:hAnsi="Calibri" w:eastAsia="宋体" w:cs="Times New Roman"/>
                <w:b w:val="0"/>
                <w:bCs w:val="0"/>
                <w:color w:val="auto"/>
                <w:kern w:val="0"/>
                <w:sz w:val="22"/>
                <w:szCs w:val="21"/>
                <w:lang w:val="en-US" w:eastAsia="en-US" w:bidi="ar-SA"/>
              </w:rPr>
            </w:pPr>
            <w:r>
              <w:rPr>
                <w:rFonts w:hint="eastAsia" w:ascii="Calibri" w:hAnsi="Calibri" w:eastAsia="宋体" w:cs="Times New Roman"/>
                <w:b w:val="0"/>
                <w:bCs w:val="0"/>
                <w:color w:val="auto"/>
                <w:kern w:val="0"/>
                <w:sz w:val="22"/>
                <w:szCs w:val="21"/>
                <w:lang w:val="en-US" w:eastAsia="en-US" w:bidi="ar-SA"/>
              </w:rPr>
              <w:t>投标文件未含有采购人不可接受的附加条件。</w:t>
            </w:r>
          </w:p>
        </w:tc>
      </w:tr>
    </w:tbl>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3</w:t>
      </w:r>
      <w:r>
        <w:rPr>
          <w:rFonts w:hint="eastAsia" w:ascii="宋体" w:hAnsi="宋体" w:eastAsia="宋体" w:cs="宋体"/>
          <w:b/>
          <w:color w:val="auto"/>
          <w:kern w:val="0"/>
          <w:sz w:val="24"/>
          <w:highlight w:val="none"/>
        </w:rPr>
        <w:t xml:space="preserve">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 xml:space="preserve">4 </w:t>
      </w:r>
      <w:r>
        <w:rPr>
          <w:rFonts w:hint="eastAsia" w:ascii="宋体" w:hAnsi="宋体" w:eastAsia="宋体" w:cs="宋体"/>
          <w:b/>
          <w:color w:val="auto"/>
          <w:kern w:val="0"/>
          <w:sz w:val="24"/>
          <w:highlight w:val="none"/>
        </w:rPr>
        <w:t>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 xml:space="preserve">5 </w:t>
      </w:r>
      <w:r>
        <w:rPr>
          <w:rFonts w:hint="eastAsia" w:ascii="宋体" w:hAnsi="宋体" w:eastAsia="宋体" w:cs="宋体"/>
          <w:b/>
          <w:color w:val="auto"/>
          <w:kern w:val="0"/>
          <w:sz w:val="24"/>
          <w:highlight w:val="none"/>
        </w:rPr>
        <w:t>报价评审。</w:t>
      </w:r>
    </w:p>
    <w:p>
      <w:pPr>
        <w:pStyle w:val="91"/>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rPr>
        <w:t>.1投标文件报价出现前后不一致的，按照下列规定修正：</w:t>
      </w:r>
    </w:p>
    <w:p>
      <w:pPr>
        <w:pStyle w:val="9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.1.1投标文件中开标一览表(报价表)内容与投标文件中相应内容不一致的，以开标一览表(报价表)为准;</w:t>
      </w:r>
    </w:p>
    <w:p>
      <w:pPr>
        <w:pStyle w:val="9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.1.2大写金额和小写金额不一致的，以大写金额为准;</w:t>
      </w:r>
    </w:p>
    <w:p>
      <w:pPr>
        <w:pStyle w:val="9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.1.3单价金额小数点或者百分比有明显错位的，以开标一览表的总价为准，并修改单价;</w:t>
      </w:r>
    </w:p>
    <w:p>
      <w:pPr>
        <w:pStyle w:val="9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.1.4总价金额与按单价汇总金额不一致的，以单价金额计算结果为准。</w:t>
      </w:r>
    </w:p>
    <w:p>
      <w:pPr>
        <w:pStyle w:val="9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.1.5同时出现两种以上不一致的，按照3.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.1规定的顺序修正。修正后的报价按照财政部第87号令 《政府采购货物和服务招标投标管理办法》第五十一条第二款的规定经投标人确认后产生约束力。</w:t>
      </w:r>
    </w:p>
    <w:p>
      <w:pPr>
        <w:pStyle w:val="91"/>
        <w:snapToGrid w:val="0"/>
        <w:spacing w:line="360" w:lineRule="auto"/>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.2投标文件出现不是唯一的、有选择性投标报价的，投标无效。</w:t>
      </w:r>
    </w:p>
    <w:p>
      <w:pPr>
        <w:pStyle w:val="91"/>
        <w:snapToGrid w:val="0"/>
        <w:spacing w:line="360" w:lineRule="auto"/>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.3投标报价超过招标文件中规定的预算金额或者最高限价的，投标无效。</w:t>
      </w:r>
    </w:p>
    <w:p>
      <w:pPr>
        <w:pStyle w:val="9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widowControl/>
        <w:wordWrap/>
        <w:adjustRightInd w:val="0"/>
        <w:snapToGrid w:val="0"/>
        <w:spacing w:line="360" w:lineRule="auto"/>
        <w:ind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eastAsia="zh-CN"/>
        </w:rPr>
        <w:t>5</w:t>
      </w:r>
      <w:r>
        <w:rPr>
          <w:rFonts w:hint="eastAsia" w:ascii="宋体" w:hAnsi="宋体" w:eastAsia="宋体" w:cs="宋体"/>
          <w:color w:val="auto"/>
          <w:kern w:val="0"/>
          <w:szCs w:val="24"/>
          <w:highlight w:val="none"/>
        </w:rPr>
        <w:t>.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rPr>
        <w:t>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四、评标中的其他事项</w:t>
      </w:r>
    </w:p>
    <w:p>
      <w:pPr>
        <w:pStyle w:val="9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pPr>
        <w:pStyle w:val="82"/>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pPr>
        <w:spacing w:before="120" w:line="22" w:lineRule="atLeast"/>
        <w:rPr>
          <w:rFonts w:hint="eastAsia" w:ascii="宋体" w:hAnsi="宋体" w:eastAsia="宋体" w:cs="宋体"/>
          <w:color w:val="auto"/>
          <w:sz w:val="24"/>
        </w:rPr>
      </w:pPr>
    </w:p>
    <w:p>
      <w:pPr>
        <w:pStyle w:val="4"/>
        <w:rPr>
          <w:rFonts w:hint="eastAsia" w:ascii="宋体" w:hAnsi="宋体" w:eastAsia="宋体" w:cs="宋体"/>
          <w:color w:val="auto"/>
        </w:rPr>
      </w:pPr>
    </w:p>
    <w:p>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pStyle w:val="289"/>
        <w:spacing w:before="120" w:line="22" w:lineRule="atLeast"/>
        <w:rPr>
          <w:rFonts w:hint="eastAsia" w:ascii="宋体" w:hAnsi="宋体" w:eastAsia="宋体" w:cs="宋体"/>
          <w:color w:val="auto"/>
          <w:szCs w:val="24"/>
        </w:rPr>
      </w:pPr>
    </w:p>
    <w:p>
      <w:pPr>
        <w:pStyle w:val="289"/>
        <w:spacing w:before="120" w:line="22" w:lineRule="atLeast"/>
        <w:rPr>
          <w:rFonts w:hint="eastAsia" w:ascii="宋体" w:hAnsi="宋体" w:eastAsia="宋体" w:cs="宋体"/>
          <w:color w:val="auto"/>
          <w:szCs w:val="24"/>
        </w:rPr>
      </w:pPr>
    </w:p>
    <w:p>
      <w:pPr>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jc w:val="left"/>
        <w:rPr>
          <w:rFonts w:hint="eastAsia" w:ascii="宋体" w:hAnsi="宋体" w:eastAsia="宋体" w:cs="宋体"/>
          <w:color w:val="auto"/>
          <w:kern w:val="0"/>
          <w:sz w:val="24"/>
        </w:rPr>
        <w:sectPr>
          <w:headerReference r:id="rId8" w:type="default"/>
          <w:footerReference r:id="rId9" w:type="default"/>
          <w:pgSz w:w="11907" w:h="16840"/>
          <w:pgMar w:top="1474" w:right="1814" w:bottom="1474" w:left="1814" w:header="851" w:footer="851" w:gutter="0"/>
          <w:pgNumType w:fmt="numberInDash"/>
          <w:cols w:space="720" w:num="1"/>
        </w:sectPr>
      </w:pP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hint="eastAsia" w:ascii="宋体" w:hAnsi="宋体" w:eastAsia="宋体" w:cs="宋体"/>
          <w:color w:val="auto"/>
          <w:sz w:val="24"/>
        </w:rPr>
      </w:pPr>
      <w:bookmarkStart w:id="404" w:name="_Toc20421"/>
      <w:bookmarkStart w:id="405" w:name="_Toc19273"/>
      <w:bookmarkStart w:id="406" w:name="_Toc22967"/>
      <w:bookmarkStart w:id="407" w:name="_Toc28855"/>
      <w:bookmarkStart w:id="408" w:name="_Toc15367"/>
      <w:r>
        <w:rPr>
          <w:rFonts w:hint="eastAsia" w:ascii="宋体" w:hAnsi="宋体" w:eastAsia="宋体" w:cs="宋体"/>
          <w:b/>
          <w:color w:val="auto"/>
          <w:sz w:val="24"/>
        </w:rPr>
        <w:t>1.1 合同组成部分</w:t>
      </w:r>
      <w:bookmarkEnd w:id="404"/>
      <w:bookmarkEnd w:id="405"/>
      <w:bookmarkEnd w:id="406"/>
      <w:bookmarkEnd w:id="407"/>
      <w:bookmarkEnd w:id="40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hint="eastAsia" w:ascii="宋体" w:hAnsi="宋体" w:eastAsia="宋体" w:cs="宋体"/>
          <w:b/>
          <w:color w:val="auto"/>
          <w:sz w:val="24"/>
        </w:rPr>
      </w:pPr>
      <w:bookmarkStart w:id="409" w:name="_Toc6773"/>
      <w:bookmarkStart w:id="410" w:name="_Toc18585"/>
      <w:bookmarkStart w:id="411" w:name="_Toc6311"/>
      <w:bookmarkStart w:id="412" w:name="_Toc22185"/>
      <w:bookmarkStart w:id="413" w:name="_Toc2918"/>
      <w:r>
        <w:rPr>
          <w:rFonts w:hint="eastAsia" w:ascii="宋体" w:hAnsi="宋体" w:eastAsia="宋体" w:cs="宋体"/>
          <w:b/>
          <w:color w:val="auto"/>
          <w:sz w:val="24"/>
        </w:rPr>
        <w:t>1.2 标的</w:t>
      </w:r>
      <w:bookmarkEnd w:id="409"/>
      <w:bookmarkEnd w:id="410"/>
      <w:bookmarkEnd w:id="411"/>
      <w:bookmarkEnd w:id="412"/>
      <w:bookmarkEnd w:id="413"/>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414" w:name="_Toc21124"/>
      <w:bookmarkStart w:id="415" w:name="_Toc5635"/>
      <w:bookmarkStart w:id="416" w:name="_Toc4929"/>
      <w:bookmarkStart w:id="417" w:name="_Toc13918"/>
      <w:bookmarkStart w:id="418" w:name="_Toc1386"/>
      <w:r>
        <w:rPr>
          <w:rFonts w:hint="eastAsia" w:ascii="宋体" w:hAnsi="宋体" w:eastAsia="宋体" w:cs="宋体"/>
          <w:b/>
          <w:color w:val="auto"/>
          <w:sz w:val="24"/>
        </w:rPr>
        <w:t>1.3 价款</w:t>
      </w:r>
      <w:bookmarkEnd w:id="414"/>
      <w:bookmarkEnd w:id="415"/>
      <w:bookmarkEnd w:id="416"/>
      <w:bookmarkEnd w:id="417"/>
      <w:bookmarkEnd w:id="41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pPr>
              <w:pStyle w:val="112"/>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pPr>
              <w:pStyle w:val="112"/>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2"/>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2"/>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2"/>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2"/>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2"/>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2"/>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112"/>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112"/>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2"/>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pPr>
              <w:pStyle w:val="112"/>
              <w:spacing w:line="560" w:lineRule="exact"/>
              <w:ind w:firstLine="200"/>
              <w:jc w:val="center"/>
              <w:rPr>
                <w:rFonts w:hint="eastAsia" w:ascii="宋体" w:hAnsi="宋体" w:eastAsia="宋体" w:cs="宋体"/>
                <w:color w:val="auto"/>
                <w:sz w:val="24"/>
                <w:szCs w:val="24"/>
              </w:rPr>
            </w:pPr>
          </w:p>
        </w:tc>
      </w:tr>
    </w:tbl>
    <w:p>
      <w:pPr>
        <w:spacing w:line="560" w:lineRule="exact"/>
        <w:ind w:firstLine="482" w:firstLineChars="200"/>
        <w:outlineLvl w:val="0"/>
        <w:rPr>
          <w:rFonts w:hint="eastAsia" w:ascii="宋体" w:hAnsi="宋体" w:eastAsia="宋体" w:cs="宋体"/>
          <w:b/>
          <w:color w:val="auto"/>
          <w:sz w:val="24"/>
        </w:rPr>
      </w:pPr>
      <w:bookmarkStart w:id="419" w:name="_Toc30158"/>
      <w:bookmarkStart w:id="420" w:name="_Toc30506"/>
      <w:bookmarkStart w:id="421" w:name="_Toc3654"/>
      <w:bookmarkStart w:id="422" w:name="_Toc14993"/>
      <w:bookmarkStart w:id="423" w:name="_Toc26916"/>
      <w:r>
        <w:rPr>
          <w:rFonts w:hint="eastAsia" w:ascii="宋体" w:hAnsi="宋体" w:eastAsia="宋体" w:cs="宋体"/>
          <w:b/>
          <w:color w:val="auto"/>
          <w:sz w:val="24"/>
        </w:rPr>
        <w:t>1.4 付款方式和发票开具方式</w:t>
      </w:r>
      <w:bookmarkEnd w:id="419"/>
      <w:bookmarkEnd w:id="420"/>
      <w:bookmarkEnd w:id="421"/>
      <w:bookmarkEnd w:id="422"/>
      <w:bookmarkEnd w:id="423"/>
    </w:p>
    <w:p>
      <w:pPr>
        <w:pStyle w:val="622"/>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合同预付款比例为合同金额的</w:t>
      </w:r>
      <w:r>
        <w:rPr>
          <w:rFonts w:hint="eastAsia" w:ascii="宋体" w:hAnsi="宋体" w:eastAsia="宋体" w:cs="宋体"/>
          <w:color w:val="auto"/>
          <w:sz w:val="24"/>
          <w:lang w:val="en-US" w:eastAsia="zh-CN"/>
        </w:rPr>
        <w:t>5</w:t>
      </w:r>
      <w:r>
        <w:rPr>
          <w:rFonts w:hint="eastAsia" w:ascii="宋体" w:hAnsi="宋体" w:eastAsia="宋体" w:cs="宋体"/>
          <w:color w:val="auto"/>
          <w:sz w:val="24"/>
        </w:rPr>
        <w:t>0％</w:t>
      </w:r>
      <w:r>
        <w:rPr>
          <w:rFonts w:hint="eastAsia" w:ascii="宋体" w:hAnsi="宋体" w:eastAsia="宋体" w:cs="宋体"/>
          <w:color w:val="auto"/>
          <w:sz w:val="24"/>
          <w:lang w:eastAsia="zh-CN"/>
        </w:rPr>
        <w:t>；项目完成并通过验收后支付合同剩余款项</w:t>
      </w:r>
      <w:r>
        <w:rPr>
          <w:rFonts w:hint="eastAsia" w:ascii="宋体" w:hAnsi="宋体" w:eastAsia="宋体" w:cs="宋体"/>
          <w:color w:val="auto"/>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1.4.4资金支付的方式、时间和条件详见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424" w:name="_Toc4760"/>
      <w:bookmarkStart w:id="425" w:name="_Toc11108"/>
      <w:bookmarkStart w:id="426" w:name="_Toc8772"/>
      <w:bookmarkStart w:id="427" w:name="_Toc3625"/>
      <w:bookmarkStart w:id="428" w:name="_Toc31421"/>
      <w:r>
        <w:rPr>
          <w:rFonts w:hint="eastAsia" w:ascii="宋体" w:hAnsi="宋体" w:eastAsia="宋体" w:cs="宋体"/>
          <w:b/>
          <w:color w:val="auto"/>
          <w:sz w:val="24"/>
        </w:rPr>
        <w:t>1.5 履行期限、地点和方式</w:t>
      </w:r>
      <w:bookmarkEnd w:id="424"/>
      <w:bookmarkEnd w:id="425"/>
      <w:bookmarkEnd w:id="426"/>
      <w:bookmarkEnd w:id="427"/>
      <w:bookmarkEnd w:id="428"/>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color w:val="auto"/>
          <w:sz w:val="24"/>
          <w:u w:val="single"/>
        </w:rPr>
      </w:pPr>
      <w:bookmarkStart w:id="429" w:name="_Toc24662"/>
      <w:bookmarkStart w:id="430" w:name="_Toc3079"/>
      <w:bookmarkStart w:id="431" w:name="_Toc8586"/>
      <w:bookmarkStart w:id="432" w:name="_Toc5698"/>
      <w:bookmarkStart w:id="433" w:name="_Toc2375"/>
      <w:r>
        <w:rPr>
          <w:rFonts w:hint="eastAsia" w:ascii="宋体" w:hAnsi="宋体" w:eastAsia="宋体" w:cs="宋体"/>
          <w:b/>
          <w:color w:val="auto"/>
          <w:sz w:val="24"/>
        </w:rPr>
        <w:t>1.6 违约责任</w:t>
      </w:r>
      <w:bookmarkEnd w:id="429"/>
      <w:bookmarkEnd w:id="430"/>
      <w:bookmarkEnd w:id="431"/>
      <w:bookmarkEnd w:id="432"/>
      <w:bookmarkEnd w:id="433"/>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宋体" w:hAnsi="宋体" w:eastAsia="宋体" w:cs="宋体"/>
          <w:color w:val="auto"/>
        </w:rPr>
      </w:pPr>
      <w:r>
        <w:rPr>
          <w:rFonts w:hint="eastAsia" w:ascii="宋体" w:hAnsi="宋体" w:eastAsia="宋体" w:cs="宋体"/>
          <w:color w:val="auto"/>
          <w:sz w:val="24"/>
        </w:rPr>
        <w:t>1.6.7违约责任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pPr>
        <w:spacing w:line="560" w:lineRule="exact"/>
        <w:ind w:firstLine="482" w:firstLineChars="200"/>
        <w:outlineLvl w:val="0"/>
        <w:rPr>
          <w:rFonts w:hint="eastAsia" w:ascii="宋体" w:hAnsi="宋体" w:eastAsia="宋体" w:cs="宋体"/>
          <w:b/>
          <w:color w:val="auto"/>
          <w:sz w:val="24"/>
        </w:rPr>
      </w:pPr>
      <w:bookmarkStart w:id="434" w:name="_Toc32454"/>
      <w:bookmarkStart w:id="435" w:name="_Toc9497"/>
      <w:bookmarkStart w:id="436" w:name="_Toc26807"/>
      <w:bookmarkStart w:id="437" w:name="_Toc18683"/>
      <w:bookmarkStart w:id="438" w:name="_Toc30329"/>
      <w:r>
        <w:rPr>
          <w:rFonts w:hint="eastAsia" w:ascii="宋体" w:hAnsi="宋体" w:eastAsia="宋体" w:cs="宋体"/>
          <w:b/>
          <w:color w:val="auto"/>
          <w:sz w:val="24"/>
        </w:rPr>
        <w:t>1.7 合同争议的解决</w:t>
      </w:r>
      <w:bookmarkEnd w:id="434"/>
      <w:bookmarkEnd w:id="435"/>
      <w:bookmarkEnd w:id="436"/>
      <w:bookmarkEnd w:id="437"/>
      <w:bookmarkEnd w:id="438"/>
    </w:p>
    <w:p>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合同专用条款  </w:t>
      </w:r>
      <w:r>
        <w:rPr>
          <w:rFonts w:hint="eastAsia" w:ascii="宋体" w:hAnsi="宋体" w:eastAsia="宋体" w:cs="宋体"/>
          <w:color w:val="auto"/>
          <w:sz w:val="24"/>
        </w:rPr>
        <w:t>条款规定的方式解决：</w:t>
      </w:r>
    </w:p>
    <w:p>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pPr>
        <w:spacing w:line="560" w:lineRule="exact"/>
        <w:ind w:firstLine="241" w:firstLineChars="100"/>
        <w:outlineLvl w:val="0"/>
        <w:rPr>
          <w:rFonts w:hint="eastAsia" w:ascii="宋体" w:hAnsi="宋体" w:eastAsia="宋体" w:cs="宋体"/>
          <w:b/>
          <w:color w:val="auto"/>
          <w:sz w:val="24"/>
        </w:rPr>
      </w:pPr>
      <w:bookmarkStart w:id="439" w:name="_Toc12273"/>
      <w:bookmarkStart w:id="440" w:name="_Toc26227"/>
      <w:bookmarkStart w:id="441" w:name="_Toc23784"/>
      <w:bookmarkStart w:id="442" w:name="_Toc16417"/>
      <w:bookmarkStart w:id="443" w:name="_Toc15827"/>
      <w:r>
        <w:rPr>
          <w:rFonts w:hint="eastAsia" w:ascii="宋体" w:hAnsi="宋体" w:eastAsia="宋体" w:cs="宋体"/>
          <w:b/>
          <w:color w:val="auto"/>
          <w:sz w:val="24"/>
        </w:rPr>
        <w:t>1.8 合同生效</w:t>
      </w:r>
      <w:bookmarkEnd w:id="439"/>
      <w:bookmarkEnd w:id="440"/>
      <w:bookmarkEnd w:id="441"/>
      <w:bookmarkEnd w:id="442"/>
      <w:bookmarkEnd w:id="443"/>
    </w:p>
    <w:p>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本合同自双方当事人盖章或者签字时生效。</w:t>
      </w:r>
    </w:p>
    <w:p>
      <w:pPr>
        <w:autoSpaceDE w:val="0"/>
        <w:autoSpaceDN w:val="0"/>
        <w:spacing w:line="560" w:lineRule="exact"/>
        <w:rPr>
          <w:rFonts w:hint="eastAsia" w:ascii="宋体" w:hAnsi="宋体" w:eastAsia="宋体" w:cs="宋体"/>
          <w:color w:val="auto"/>
          <w:sz w:val="24"/>
          <w:lang w:val="zh-CN"/>
        </w:rPr>
      </w:pP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pStyle w:val="82"/>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pPr>
        <w:spacing w:line="560" w:lineRule="exact"/>
        <w:ind w:firstLine="482" w:firstLineChars="200"/>
        <w:outlineLvl w:val="0"/>
        <w:rPr>
          <w:rFonts w:hint="eastAsia" w:ascii="宋体" w:hAnsi="宋体" w:eastAsia="宋体" w:cs="宋体"/>
          <w:b/>
          <w:color w:val="auto"/>
          <w:sz w:val="24"/>
        </w:rPr>
      </w:pPr>
      <w:bookmarkStart w:id="444" w:name="_Toc5228"/>
      <w:bookmarkStart w:id="445" w:name="_Toc31297"/>
      <w:bookmarkStart w:id="446" w:name="_Toc25079"/>
      <w:bookmarkStart w:id="447" w:name="_Toc14021"/>
      <w:bookmarkStart w:id="448" w:name="_Toc19680"/>
      <w:r>
        <w:rPr>
          <w:rFonts w:hint="eastAsia" w:ascii="宋体" w:hAnsi="宋体" w:eastAsia="宋体" w:cs="宋体"/>
          <w:b/>
          <w:color w:val="auto"/>
          <w:sz w:val="24"/>
        </w:rPr>
        <w:t>2.1 定义</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pPr>
        <w:spacing w:line="560" w:lineRule="exact"/>
        <w:ind w:firstLine="482" w:firstLineChars="200"/>
        <w:outlineLvl w:val="0"/>
        <w:rPr>
          <w:rFonts w:hint="eastAsia" w:ascii="宋体" w:hAnsi="宋体" w:eastAsia="宋体" w:cs="宋体"/>
          <w:b/>
          <w:color w:val="auto"/>
          <w:sz w:val="24"/>
        </w:rPr>
      </w:pPr>
      <w:bookmarkStart w:id="449" w:name="_Toc3769"/>
      <w:bookmarkStart w:id="450" w:name="_Toc16752"/>
      <w:bookmarkStart w:id="451" w:name="_Toc23289"/>
      <w:bookmarkStart w:id="452" w:name="_Toc19539"/>
      <w:bookmarkStart w:id="453" w:name="_Toc31402"/>
      <w:r>
        <w:rPr>
          <w:rFonts w:hint="eastAsia" w:ascii="宋体" w:hAnsi="宋体" w:eastAsia="宋体" w:cs="宋体"/>
          <w:b/>
          <w:color w:val="auto"/>
          <w:sz w:val="24"/>
        </w:rPr>
        <w:t>2.2 技术规范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rPr>
      </w:pPr>
      <w:bookmarkStart w:id="454" w:name="_Toc9161"/>
      <w:bookmarkStart w:id="455" w:name="_Toc12412"/>
      <w:bookmarkStart w:id="456" w:name="_Toc27945"/>
      <w:bookmarkStart w:id="457" w:name="_Toc13673"/>
      <w:bookmarkStart w:id="458" w:name="_Toc4133"/>
      <w:r>
        <w:rPr>
          <w:rFonts w:hint="eastAsia" w:ascii="宋体" w:hAnsi="宋体" w:eastAsia="宋体" w:cs="宋体"/>
          <w:b/>
          <w:color w:val="auto"/>
          <w:sz w:val="24"/>
        </w:rPr>
        <w:t>2.3 知识产权</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rPr>
      </w:pPr>
      <w:bookmarkStart w:id="459" w:name="_Toc31233"/>
      <w:bookmarkStart w:id="460" w:name="_Toc22011"/>
      <w:bookmarkStart w:id="461" w:name="_Toc26555"/>
      <w:bookmarkStart w:id="462" w:name="_Toc15447"/>
      <w:bookmarkStart w:id="463" w:name="_Toc32670"/>
      <w:r>
        <w:rPr>
          <w:rFonts w:hint="eastAsia" w:ascii="宋体" w:hAnsi="宋体" w:eastAsia="宋体" w:cs="宋体"/>
          <w:b/>
          <w:color w:val="auto"/>
          <w:sz w:val="24"/>
        </w:rPr>
        <w:t>2.5 结算方式和付款条件</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464" w:name="_Toc13154"/>
      <w:bookmarkStart w:id="465" w:name="_Toc18990"/>
      <w:bookmarkStart w:id="466" w:name="_Toc13467"/>
      <w:bookmarkStart w:id="467" w:name="_Toc30507"/>
      <w:bookmarkStart w:id="468" w:name="_Toc16163"/>
      <w:r>
        <w:rPr>
          <w:rFonts w:hint="eastAsia" w:ascii="宋体" w:hAnsi="宋体" w:eastAsia="宋体" w:cs="宋体"/>
          <w:b/>
          <w:color w:val="auto"/>
          <w:sz w:val="24"/>
        </w:rPr>
        <w:t>2.6 技术资料和保密义务</w:t>
      </w:r>
      <w:bookmarkEnd w:id="464"/>
      <w:bookmarkEnd w:id="465"/>
      <w:bookmarkEnd w:id="466"/>
      <w:bookmarkEnd w:id="467"/>
      <w:bookmarkEnd w:id="468"/>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rPr>
      </w:pPr>
      <w:bookmarkStart w:id="469" w:name="_Toc19069"/>
      <w:r>
        <w:rPr>
          <w:rFonts w:hint="eastAsia" w:ascii="宋体" w:hAnsi="宋体" w:eastAsia="宋体" w:cs="宋体"/>
          <w:b/>
          <w:color w:val="auto"/>
          <w:sz w:val="24"/>
        </w:rPr>
        <w:t>2.7 质量保证</w:t>
      </w:r>
      <w:bookmarkEnd w:id="469"/>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rPr>
      </w:pPr>
      <w:bookmarkStart w:id="470" w:name="_Toc22267"/>
      <w:r>
        <w:rPr>
          <w:rFonts w:hint="eastAsia" w:ascii="宋体" w:hAnsi="宋体" w:eastAsia="宋体" w:cs="宋体"/>
          <w:b/>
          <w:color w:val="auto"/>
          <w:sz w:val="24"/>
        </w:rPr>
        <w:t>2.8 延迟履行</w:t>
      </w:r>
      <w:bookmarkEnd w:id="470"/>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rPr>
      </w:pPr>
      <w:bookmarkStart w:id="471" w:name="_Toc10611"/>
      <w:r>
        <w:rPr>
          <w:rFonts w:hint="eastAsia" w:ascii="宋体" w:hAnsi="宋体" w:eastAsia="宋体" w:cs="宋体"/>
          <w:b/>
          <w:color w:val="auto"/>
          <w:sz w:val="24"/>
        </w:rPr>
        <w:t>2.9 合同变更</w:t>
      </w:r>
      <w:bookmarkEnd w:id="47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rPr>
      </w:pPr>
      <w:bookmarkStart w:id="472" w:name="_Toc21830"/>
      <w:bookmarkStart w:id="473" w:name="_Toc10663"/>
      <w:bookmarkStart w:id="474" w:name="_Toc23368"/>
      <w:bookmarkStart w:id="475" w:name="_Toc42"/>
      <w:bookmarkStart w:id="476" w:name="_Toc26689"/>
      <w:r>
        <w:rPr>
          <w:rFonts w:hint="eastAsia" w:ascii="宋体" w:hAnsi="宋体" w:eastAsia="宋体" w:cs="宋体"/>
          <w:b/>
          <w:color w:val="auto"/>
          <w:sz w:val="24"/>
        </w:rPr>
        <w:t>2.10 合同转让和分包</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rPr>
      </w:pPr>
      <w:bookmarkStart w:id="477" w:name="_Toc14371"/>
      <w:bookmarkStart w:id="478" w:name="_Toc26633"/>
      <w:bookmarkStart w:id="479" w:name="_Toc25571"/>
      <w:bookmarkStart w:id="480" w:name="_Toc4720"/>
      <w:bookmarkStart w:id="481" w:name="_Toc32494"/>
      <w:r>
        <w:rPr>
          <w:rFonts w:hint="eastAsia" w:ascii="宋体" w:hAnsi="宋体" w:eastAsia="宋体" w:cs="宋体"/>
          <w:b/>
          <w:color w:val="auto"/>
          <w:sz w:val="24"/>
        </w:rPr>
        <w:t>2.11 不可抗力</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rPr>
      </w:pPr>
      <w:bookmarkStart w:id="482" w:name="_Toc23854"/>
      <w:bookmarkStart w:id="483" w:name="_Toc3638"/>
      <w:bookmarkStart w:id="484" w:name="_Toc25783"/>
      <w:bookmarkStart w:id="485" w:name="_Toc24465"/>
      <w:bookmarkStart w:id="486" w:name="_Toc14115"/>
      <w:r>
        <w:rPr>
          <w:rFonts w:hint="eastAsia" w:ascii="宋体" w:hAnsi="宋体" w:eastAsia="宋体" w:cs="宋体"/>
          <w:b/>
          <w:color w:val="auto"/>
          <w:sz w:val="24"/>
        </w:rPr>
        <w:t>2.12 税费</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rPr>
      </w:pPr>
      <w:bookmarkStart w:id="487" w:name="_Toc14814"/>
      <w:bookmarkStart w:id="488" w:name="_Toc30105"/>
      <w:bookmarkStart w:id="489" w:name="_Toc7315"/>
      <w:bookmarkStart w:id="490" w:name="_Toc25525"/>
      <w:bookmarkStart w:id="491" w:name="_Toc26883"/>
      <w:r>
        <w:rPr>
          <w:rFonts w:hint="eastAsia" w:ascii="宋体" w:hAnsi="宋体" w:eastAsia="宋体" w:cs="宋体"/>
          <w:b/>
          <w:color w:val="auto"/>
          <w:sz w:val="24"/>
        </w:rPr>
        <w:t>2.13 乙方破产</w:t>
      </w:r>
      <w:bookmarkEnd w:id="487"/>
      <w:bookmarkEnd w:id="488"/>
      <w:bookmarkEnd w:id="489"/>
      <w:bookmarkEnd w:id="490"/>
      <w:bookmarkEnd w:id="49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rPr>
      </w:pPr>
      <w:bookmarkStart w:id="492" w:name="_Toc1123"/>
      <w:bookmarkStart w:id="493" w:name="_Toc2016"/>
      <w:bookmarkStart w:id="494" w:name="_Toc23323"/>
      <w:r>
        <w:rPr>
          <w:rFonts w:hint="eastAsia" w:ascii="宋体" w:hAnsi="宋体" w:eastAsia="宋体" w:cs="宋体"/>
          <w:b/>
          <w:color w:val="auto"/>
          <w:sz w:val="24"/>
        </w:rPr>
        <w:t>2.14 合同中止、终止</w:t>
      </w:r>
      <w:bookmarkEnd w:id="492"/>
      <w:bookmarkEnd w:id="493"/>
      <w:bookmarkEnd w:id="494"/>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rPr>
      </w:pPr>
      <w:bookmarkStart w:id="495" w:name="_Toc1969"/>
      <w:bookmarkStart w:id="496" w:name="_Toc14525"/>
      <w:bookmarkStart w:id="497" w:name="_Toc17363"/>
      <w:r>
        <w:rPr>
          <w:rFonts w:hint="eastAsia" w:ascii="宋体" w:hAnsi="宋体" w:eastAsia="宋体" w:cs="宋体"/>
          <w:b/>
          <w:color w:val="auto"/>
          <w:sz w:val="24"/>
        </w:rPr>
        <w:t>2.15 检验和验收</w:t>
      </w:r>
      <w:bookmarkEnd w:id="495"/>
      <w:bookmarkEnd w:id="496"/>
      <w:bookmarkEnd w:id="497"/>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pPr>
        <w:spacing w:line="560" w:lineRule="exact"/>
        <w:ind w:firstLine="482" w:firstLineChars="200"/>
        <w:outlineLvl w:val="0"/>
        <w:rPr>
          <w:rFonts w:hint="eastAsia" w:ascii="宋体" w:hAnsi="宋体" w:eastAsia="宋体" w:cs="宋体"/>
          <w:b/>
          <w:color w:val="auto"/>
          <w:sz w:val="24"/>
        </w:rPr>
      </w:pPr>
      <w:bookmarkStart w:id="498" w:name="_Toc2308"/>
      <w:bookmarkStart w:id="499" w:name="_Toc9808"/>
      <w:bookmarkStart w:id="500" w:name="_Toc12666"/>
      <w:bookmarkStart w:id="501" w:name="_Toc31892"/>
      <w:bookmarkStart w:id="502" w:name="_Toc25198"/>
      <w:r>
        <w:rPr>
          <w:rFonts w:hint="eastAsia" w:ascii="宋体" w:hAnsi="宋体" w:eastAsia="宋体" w:cs="宋体"/>
          <w:b/>
          <w:color w:val="auto"/>
          <w:sz w:val="24"/>
        </w:rPr>
        <w:t>2.16 通知和送达</w:t>
      </w:r>
      <w:bookmarkEnd w:id="498"/>
      <w:bookmarkEnd w:id="499"/>
      <w:bookmarkEnd w:id="500"/>
      <w:bookmarkEnd w:id="501"/>
      <w:bookmarkEnd w:id="502"/>
    </w:p>
    <w:p>
      <w:pPr>
        <w:spacing w:line="560" w:lineRule="exact"/>
        <w:ind w:firstLine="480" w:firstLineChars="200"/>
        <w:rPr>
          <w:rFonts w:hint="eastAsia" w:ascii="宋体" w:hAnsi="宋体" w:eastAsia="宋体" w:cs="宋体"/>
          <w:color w:val="auto"/>
          <w:sz w:val="24"/>
        </w:rPr>
      </w:pPr>
      <w:bookmarkStart w:id="503" w:name="_Toc27674"/>
      <w:bookmarkStart w:id="504" w:name="_Toc18401"/>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spacing w:line="560" w:lineRule="exact"/>
        <w:ind w:firstLine="482" w:firstLineChars="200"/>
        <w:outlineLvl w:val="0"/>
        <w:rPr>
          <w:rFonts w:hint="eastAsia" w:ascii="宋体" w:hAnsi="宋体" w:eastAsia="宋体" w:cs="宋体"/>
          <w:b/>
          <w:color w:val="auto"/>
          <w:sz w:val="24"/>
        </w:rPr>
      </w:pPr>
      <w:bookmarkStart w:id="505" w:name="_Toc27644"/>
      <w:bookmarkStart w:id="506" w:name="_Toc12254"/>
      <w:bookmarkStart w:id="507" w:name="_Toc28906"/>
      <w:bookmarkStart w:id="508" w:name="_Toc5063"/>
      <w:bookmarkStart w:id="509" w:name="_Toc20808"/>
      <w:r>
        <w:rPr>
          <w:rFonts w:hint="eastAsia" w:ascii="宋体" w:hAnsi="宋体" w:eastAsia="宋体" w:cs="宋体"/>
          <w:b/>
          <w:color w:val="auto"/>
          <w:sz w:val="24"/>
        </w:rPr>
        <w:t>2.17 合同使用的文字和适用的法律</w:t>
      </w:r>
      <w:bookmarkEnd w:id="505"/>
      <w:bookmarkEnd w:id="506"/>
      <w:bookmarkEnd w:id="507"/>
      <w:bookmarkEnd w:id="508"/>
      <w:bookmarkEnd w:id="509"/>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pPr>
        <w:spacing w:line="560" w:lineRule="exact"/>
        <w:ind w:firstLine="482" w:firstLineChars="200"/>
        <w:outlineLvl w:val="0"/>
        <w:rPr>
          <w:rFonts w:hint="eastAsia" w:ascii="宋体" w:hAnsi="宋体" w:eastAsia="宋体" w:cs="宋体"/>
          <w:b/>
          <w:color w:val="auto"/>
          <w:sz w:val="24"/>
        </w:rPr>
      </w:pPr>
      <w:bookmarkStart w:id="510" w:name="_Toc30096"/>
      <w:bookmarkStart w:id="511" w:name="_Toc22266"/>
      <w:bookmarkStart w:id="512" w:name="_Toc27403"/>
      <w:bookmarkStart w:id="513" w:name="_Toc1492"/>
      <w:bookmarkStart w:id="514" w:name="_Toc27127"/>
      <w:r>
        <w:rPr>
          <w:rFonts w:hint="eastAsia" w:ascii="宋体" w:hAnsi="宋体" w:eastAsia="宋体" w:cs="宋体"/>
          <w:b/>
          <w:color w:val="auto"/>
          <w:sz w:val="24"/>
        </w:rPr>
        <w:t>2.18 履约保证金</w:t>
      </w:r>
      <w:bookmarkEnd w:id="510"/>
      <w:bookmarkEnd w:id="511"/>
      <w:bookmarkEnd w:id="512"/>
      <w:bookmarkEnd w:id="513"/>
      <w:bookmarkEnd w:id="514"/>
    </w:p>
    <w:p>
      <w:pPr>
        <w:pStyle w:val="622"/>
        <w:spacing w:before="0" w:beforeAutospacing="0" w:after="0" w:afterAutospacing="0" w:line="360" w:lineRule="auto"/>
        <w:ind w:firstLine="420"/>
        <w:rPr>
          <w:rFonts w:hint="eastAsia" w:ascii="宋体" w:hAnsi="宋体" w:eastAsia="宋体" w:cs="宋体"/>
          <w:color w:val="auto"/>
        </w:rPr>
      </w:pPr>
      <w:r>
        <w:rPr>
          <w:rFonts w:hint="eastAsia" w:ascii="宋体" w:hAnsi="宋体" w:eastAsia="宋体" w:cs="宋体"/>
          <w:color w:val="auto"/>
        </w:rPr>
        <w:t>2.18.1 采购文件要求乙方提交履约保证金的，乙方应按</w:t>
      </w:r>
      <w:r>
        <w:rPr>
          <w:rFonts w:hint="eastAsia" w:ascii="宋体" w:hAnsi="宋体" w:eastAsia="宋体" w:cs="宋体"/>
          <w:b/>
          <w:i/>
          <w:color w:val="auto"/>
          <w:u w:val="single"/>
        </w:rPr>
        <w:t>合同专用条款</w:t>
      </w:r>
      <w:r>
        <w:rPr>
          <w:rFonts w:hint="eastAsia" w:ascii="宋体" w:hAnsi="宋体" w:eastAsia="宋体" w:cs="宋体"/>
          <w:color w:va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2.18.2  甲方在项目验收结束后及时退还履约保证金。甲方在项目通过验收之日起</w:t>
      </w:r>
      <w:r>
        <w:rPr>
          <w:rFonts w:hint="eastAsia" w:ascii="宋体" w:hAnsi="宋体" w:eastAsia="宋体" w:cs="宋体"/>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%计算，最高限额为本合同履约保证金的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 xml:space="preserve">%； </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color w:val="auto"/>
        </w:rPr>
      </w:pPr>
      <w:r>
        <w:rPr>
          <w:rFonts w:hint="eastAsia" w:ascii="宋体" w:hAnsi="宋体" w:eastAsia="宋体" w:cs="宋体"/>
          <w:color w:val="auto"/>
          <w:sz w:val="24"/>
        </w:rPr>
        <w:t>2.18.4 甲方在乙方履行完合同约定义务事项后及时退还，延迟退还的，应当按照合同约定和法律规定承担相应的赔偿责任。</w:t>
      </w:r>
    </w:p>
    <w:p>
      <w:pPr>
        <w:spacing w:line="56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2.19</w:t>
      </w:r>
      <w:r>
        <w:rPr>
          <w:rFonts w:hint="eastAsia" w:ascii="宋体" w:hAnsi="宋体" w:eastAsia="宋体" w:cs="宋体"/>
          <w:color w:val="auto"/>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2.20合同份数</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pPr>
        <w:spacing w:line="360" w:lineRule="auto"/>
        <w:jc w:val="center"/>
        <w:outlineLvl w:val="0"/>
        <w:rPr>
          <w:rFonts w:hint="eastAsia" w:ascii="宋体" w:hAnsi="宋体" w:eastAsia="宋体" w:cs="宋体"/>
          <w:b/>
          <w:color w:val="auto"/>
          <w:sz w:val="24"/>
        </w:rPr>
      </w:pPr>
      <w:r>
        <w:rPr>
          <w:rFonts w:hint="eastAsia" w:ascii="宋体" w:hAnsi="宋体" w:eastAsia="宋体" w:cs="宋体"/>
          <w:color w:val="auto"/>
          <w:kern w:val="0"/>
        </w:rPr>
        <w:br w:type="page"/>
      </w:r>
      <w:bookmarkStart w:id="515" w:name="_Toc331685784"/>
      <w:r>
        <w:rPr>
          <w:rFonts w:hint="eastAsia" w:ascii="宋体" w:hAnsi="宋体" w:eastAsia="宋体" w:cs="宋体"/>
          <w:b/>
          <w:color w:val="auto"/>
          <w:sz w:val="24"/>
        </w:rPr>
        <w:t xml:space="preserve"> </w:t>
      </w:r>
      <w:bookmarkEnd w:id="515"/>
      <w:r>
        <w:rPr>
          <w:rFonts w:hint="eastAsia" w:ascii="宋体" w:hAnsi="宋体" w:eastAsia="宋体" w:cs="宋体"/>
          <w:b/>
          <w:color w:val="auto"/>
          <w:sz w:val="24"/>
        </w:rPr>
        <w:t>第三部分  合同专用条款</w:t>
      </w:r>
    </w:p>
    <w:p>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174"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1.4.4</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1.6.7</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174" w:type="dxa"/>
            <w:vAlign w:val="center"/>
          </w:tcPr>
          <w:p>
            <w:pPr>
              <w:spacing w:line="360" w:lineRule="auto"/>
              <w:ind w:left="-420" w:leftChars="-200" w:right="-420" w:rightChars="-200" w:firstLine="480" w:firstLineChars="20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8174" w:type="dxa"/>
            <w:vAlign w:val="center"/>
          </w:tcPr>
          <w:p>
            <w:pPr>
              <w:spacing w:line="360" w:lineRule="auto"/>
              <w:ind w:left="-420" w:leftChars="-200" w:right="-420" w:rightChars="-200" w:firstLine="480" w:firstLineChars="20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2.11.4 </w:t>
            </w:r>
          </w:p>
        </w:tc>
        <w:tc>
          <w:tcPr>
            <w:tcW w:w="8174" w:type="dxa"/>
            <w:vAlign w:val="top"/>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2.18.1</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2.18.2</w:t>
            </w:r>
          </w:p>
        </w:tc>
        <w:tc>
          <w:tcPr>
            <w:tcW w:w="8174" w:type="dxa"/>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2.20</w:t>
            </w:r>
          </w:p>
        </w:tc>
        <w:tc>
          <w:tcPr>
            <w:tcW w:w="8174" w:type="dxa"/>
            <w:vAlign w:val="top"/>
          </w:tcPr>
          <w:p>
            <w:pPr>
              <w:spacing w:line="360" w:lineRule="auto"/>
              <w:rPr>
                <w:rFonts w:hint="eastAsia" w:ascii="宋体" w:hAnsi="宋体" w:eastAsia="宋体" w:cs="宋体"/>
                <w:color w:val="auto"/>
                <w:sz w:val="24"/>
              </w:rPr>
            </w:pPr>
          </w:p>
        </w:tc>
      </w:tr>
    </w:tbl>
    <w:p>
      <w:pPr>
        <w:spacing w:line="360" w:lineRule="auto"/>
        <w:ind w:left="-420" w:leftChars="-200" w:right="-420" w:rightChars="-200" w:firstLine="480" w:firstLineChars="200"/>
        <w:rPr>
          <w:rFonts w:hint="eastAsia" w:ascii="宋体" w:hAnsi="宋体" w:eastAsia="宋体" w:cs="宋体"/>
          <w:color w:val="auto"/>
          <w:sz w:val="24"/>
        </w:rPr>
      </w:pPr>
    </w:p>
    <w:p>
      <w:pPr>
        <w:spacing w:line="360" w:lineRule="auto"/>
        <w:ind w:left="-420" w:leftChars="-200" w:right="-420" w:rightChars="-200"/>
        <w:rPr>
          <w:rFonts w:hint="eastAsia" w:ascii="宋体" w:hAnsi="宋体" w:eastAsia="宋体" w:cs="宋体"/>
          <w:color w:val="auto"/>
          <w:sz w:val="24"/>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rPr>
      </w:pP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402"/>
      <w:r>
        <w:rPr>
          <w:rFonts w:hint="eastAsia" w:ascii="宋体" w:hAnsi="宋体" w:eastAsia="宋体" w:cs="宋体"/>
          <w:b/>
          <w:color w:val="auto"/>
          <w:sz w:val="36"/>
          <w:szCs w:val="20"/>
        </w:rPr>
        <w:t xml:space="preserve"> </w:t>
      </w:r>
      <w:bookmarkEnd w:id="403"/>
      <w:r>
        <w:rPr>
          <w:rFonts w:hint="eastAsia" w:ascii="宋体" w:hAnsi="宋体" w:eastAsia="宋体" w:cs="宋体"/>
          <w:b/>
          <w:color w:val="auto"/>
          <w:sz w:val="36"/>
          <w:szCs w:val="20"/>
        </w:rPr>
        <w:t>应提交的有关格式范例</w:t>
      </w:r>
    </w:p>
    <w:p>
      <w:pPr>
        <w:pStyle w:val="4"/>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pStyle w:val="4"/>
        <w:rPr>
          <w:rFonts w:hint="eastAsia" w:ascii="宋体" w:hAnsi="宋体" w:eastAsia="宋体" w:cs="宋体"/>
          <w:color w:val="auto"/>
        </w:rPr>
      </w:pPr>
    </w:p>
    <w:p>
      <w:pPr>
        <w:rPr>
          <w:rFonts w:hint="eastAsia" w:ascii="宋体" w:hAnsi="宋体" w:eastAsia="宋体" w:cs="宋体"/>
          <w:color w:val="auto"/>
        </w:rPr>
      </w:pPr>
    </w:p>
    <w:p>
      <w:pPr>
        <w:pStyle w:val="4"/>
        <w:rPr>
          <w:rFonts w:hint="eastAsia" w:ascii="宋体" w:hAnsi="宋体" w:eastAsia="宋体" w:cs="宋体"/>
          <w:color w:val="auto"/>
        </w:rPr>
      </w:pPr>
    </w:p>
    <w:p>
      <w:pPr>
        <w:rPr>
          <w:rFonts w:hint="eastAsia" w:ascii="宋体" w:hAnsi="宋体" w:eastAsia="宋体" w:cs="宋体"/>
          <w:color w:val="auto"/>
        </w:rPr>
      </w:pPr>
    </w:p>
    <w:p>
      <w:pPr>
        <w:pStyle w:val="4"/>
        <w:rPr>
          <w:rFonts w:hint="eastAsia" w:ascii="宋体" w:hAnsi="宋体" w:eastAsia="宋体" w:cs="宋体"/>
          <w:color w:val="auto"/>
        </w:rPr>
      </w:pPr>
    </w:p>
    <w:p>
      <w:pPr>
        <w:rPr>
          <w:rFonts w:hint="eastAsia" w:ascii="宋体" w:hAnsi="宋体" w:eastAsia="宋体" w:cs="宋体"/>
          <w:color w:val="auto"/>
        </w:rPr>
      </w:pPr>
    </w:p>
    <w:p>
      <w:pPr>
        <w:pStyle w:val="4"/>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bCs/>
          <w:color w:val="auto"/>
          <w:sz w:val="40"/>
          <w:szCs w:val="48"/>
        </w:rPr>
      </w:pPr>
      <w:bookmarkStart w:id="516" w:name="_Toc12947"/>
      <w:r>
        <w:rPr>
          <w:rFonts w:hint="eastAsia" w:ascii="宋体" w:hAnsi="宋体" w:eastAsia="宋体" w:cs="宋体"/>
          <w:b/>
          <w:bCs/>
          <w:color w:val="auto"/>
          <w:sz w:val="40"/>
          <w:szCs w:val="48"/>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16"/>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17" w:name="_Toc13184"/>
      <w:r>
        <w:rPr>
          <w:rFonts w:hint="eastAsia" w:ascii="宋体" w:hAnsi="宋体" w:eastAsia="宋体" w:cs="宋体"/>
          <w:b/>
          <w:bCs/>
          <w:color w:val="auto"/>
          <w:sz w:val="40"/>
          <w:szCs w:val="48"/>
        </w:rPr>
        <w:t>电子备份投标文件</w:t>
      </w:r>
      <w:bookmarkEnd w:id="517"/>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18" w:name="_Toc18701"/>
      <w:r>
        <w:rPr>
          <w:rFonts w:hint="eastAsia" w:ascii="宋体" w:hAnsi="宋体" w:eastAsia="宋体" w:cs="宋体"/>
          <w:b/>
          <w:bCs/>
          <w:color w:val="auto"/>
          <w:sz w:val="40"/>
          <w:szCs w:val="48"/>
        </w:rPr>
        <w:t>项目名称：</w:t>
      </w:r>
      <w:bookmarkEnd w:id="518"/>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19" w:name="_Toc20693"/>
      <w:r>
        <w:rPr>
          <w:rFonts w:hint="eastAsia" w:ascii="宋体" w:hAnsi="宋体" w:eastAsia="宋体" w:cs="宋体"/>
          <w:b/>
          <w:bCs/>
          <w:color w:val="auto"/>
          <w:sz w:val="40"/>
          <w:szCs w:val="48"/>
        </w:rPr>
        <w:t>项目编号：</w:t>
      </w:r>
      <w:bookmarkEnd w:id="519"/>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0" w:name="_Toc27616"/>
      <w:r>
        <w:rPr>
          <w:rFonts w:hint="eastAsia" w:ascii="宋体" w:hAnsi="宋体" w:eastAsia="宋体" w:cs="宋体"/>
          <w:b/>
          <w:bCs/>
          <w:color w:val="auto"/>
          <w:sz w:val="40"/>
          <w:szCs w:val="48"/>
        </w:rPr>
        <w:t>投标人名称：（盖章）</w:t>
      </w:r>
      <w:bookmarkEnd w:id="520"/>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1" w:name="_Toc8328"/>
      <w:r>
        <w:rPr>
          <w:rFonts w:hint="eastAsia" w:ascii="宋体" w:hAnsi="宋体" w:eastAsia="宋体" w:cs="宋体"/>
          <w:b/>
          <w:bCs/>
          <w:color w:val="auto"/>
          <w:sz w:val="40"/>
          <w:szCs w:val="48"/>
        </w:rPr>
        <w:t>投标人地址：</w:t>
      </w:r>
      <w:bookmarkEnd w:id="521"/>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2"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22"/>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3"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23"/>
    </w:p>
    <w:p>
      <w:pPr>
        <w:pStyle w:val="4"/>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6"/>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XTDZFCG2024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3"/>
        <w:snapToGrid w:val="0"/>
        <w:rPr>
          <w:rFonts w:hint="eastAsia" w:ascii="宋体" w:hAnsi="宋体" w:eastAsia="宋体" w:cs="宋体"/>
          <w:color w:val="auto"/>
          <w:sz w:val="32"/>
          <w:szCs w:val="32"/>
        </w:rPr>
        <w:sectPr>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rPr>
        <w:t>法人或者其他组织</w:t>
      </w:r>
      <w:r>
        <w:rPr>
          <w:rFonts w:hint="eastAsia" w:ascii="宋体" w:hAnsi="宋体" w:cs="宋体"/>
          <w:b w:val="0"/>
          <w:bCs w:val="0"/>
          <w:color w:val="auto"/>
          <w:sz w:val="24"/>
          <w:highlight w:val="none"/>
          <w:lang w:eastAsia="zh-CN"/>
        </w:rPr>
        <w:t>机构的</w:t>
      </w:r>
      <w:r>
        <w:rPr>
          <w:rFonts w:hint="eastAsia" w:ascii="宋体" w:hAnsi="宋体" w:cs="宋体"/>
          <w:b w:val="0"/>
          <w:bCs w:val="0"/>
          <w:color w:val="auto"/>
          <w:sz w:val="24"/>
          <w:highlight w:val="none"/>
        </w:rPr>
        <w:t>营业执照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扫</w:t>
      </w:r>
      <w:r>
        <w:rPr>
          <w:rFonts w:hint="eastAsia" w:ascii="宋体" w:hAnsi="宋体" w:cs="宋体"/>
          <w:b w:val="0"/>
          <w:bCs w:val="0"/>
          <w:color w:val="auto"/>
          <w:sz w:val="24"/>
          <w:highlight w:val="none"/>
          <w:lang w:eastAsia="zh-CN"/>
        </w:rPr>
        <w:t>描件或复印件加盖公章）</w:t>
      </w:r>
      <w:r>
        <w:rPr>
          <w:rFonts w:hint="eastAsia" w:ascii="宋体" w:hAnsi="宋体" w:cs="宋体"/>
          <w:b w:val="0"/>
          <w:bCs w:val="0"/>
          <w:color w:val="auto"/>
          <w:sz w:val="24"/>
          <w:highlight w:val="none"/>
        </w:rPr>
        <w:t>或事业法人登记证书或其</w:t>
      </w:r>
      <w:r>
        <w:rPr>
          <w:rFonts w:hint="eastAsia" w:ascii="宋体" w:hAnsi="宋体" w:cs="宋体"/>
          <w:b w:val="0"/>
          <w:bCs w:val="0"/>
          <w:color w:val="auto"/>
          <w:sz w:val="24"/>
          <w:highlight w:val="none"/>
          <w:lang w:eastAsia="zh-CN"/>
        </w:rPr>
        <w:t>他</w:t>
      </w:r>
      <w:r>
        <w:rPr>
          <w:rFonts w:hint="eastAsia" w:ascii="宋体" w:hAnsi="宋体" w:cs="宋体"/>
          <w:b w:val="0"/>
          <w:bCs w:val="0"/>
          <w:color w:val="auto"/>
          <w:sz w:val="24"/>
          <w:highlight w:val="none"/>
        </w:rPr>
        <w:t>工商等登记证明材料</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如有）</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）本项目的特定资格要求………………………………………………（页码）</w:t>
      </w: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（项目名称）</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【招标编号：</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w:t>
      </w:r>
      <w:r>
        <w:rPr>
          <w:rFonts w:hint="eastAsia" w:ascii="宋体" w:hAnsi="宋体" w:eastAsia="宋体" w:cs="宋体"/>
          <w:color w:val="auto"/>
          <w:sz w:val="24"/>
          <w:highlight w:val="none"/>
          <w:lang w:eastAsia="zh-CN"/>
        </w:rPr>
        <w:t>评估</w:t>
      </w:r>
      <w:r>
        <w:rPr>
          <w:rFonts w:hint="eastAsia" w:ascii="宋体" w:hAnsi="宋体" w:eastAsia="宋体" w:cs="宋体"/>
          <w:color w:val="auto"/>
          <w:sz w:val="24"/>
          <w:highlight w:val="none"/>
        </w:rPr>
        <w:t>、检测等服务后再参加该采购项目的其他采购活动的。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pStyle w:val="4"/>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t>二、提供法人或者其他组织机构的营业执照（扫描件或复印件加盖公章）或事业法人登记证书或其他工商等登记证明材料</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numPr>
          <w:ilvl w:val="0"/>
          <w:numId w:val="0"/>
        </w:numPr>
        <w:adjustRightInd/>
        <w:spacing w:line="24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联合协议（如果有）</w:t>
      </w:r>
    </w:p>
    <w:p>
      <w:pPr>
        <w:widowControl/>
        <w:numPr>
          <w:ilvl w:val="0"/>
          <w:numId w:val="0"/>
        </w:numPr>
        <w:adjustRightInd/>
        <w:spacing w:line="240" w:lineRule="auto"/>
        <w:ind w:firstLine="0" w:firstLineChars="0"/>
        <w:jc w:val="left"/>
        <w:rPr>
          <w:rFonts w:hint="eastAsia" w:ascii="宋体" w:hAnsi="宋体" w:eastAsia="宋体" w:cs="宋体"/>
          <w:b/>
          <w:color w:val="auto"/>
          <w:kern w:val="0"/>
          <w:sz w:val="32"/>
          <w:szCs w:val="32"/>
          <w:highlight w:val="none"/>
        </w:rPr>
      </w:pP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4"/>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4"/>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4"/>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lang w:val="en-US" w:eastAsia="zh-CN"/>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落实政府采购政策需满足的资格要求：本项目为专门面向</w:t>
      </w:r>
      <w:r>
        <w:rPr>
          <w:rFonts w:hint="eastAsia" w:ascii="宋体" w:hAnsi="宋体" w:eastAsia="宋体" w:cs="宋体"/>
          <w:b/>
          <w:bCs/>
          <w:color w:val="auto"/>
          <w:sz w:val="24"/>
          <w:highlight w:val="none"/>
          <w:lang w:eastAsia="zh-CN"/>
        </w:rPr>
        <w:t>中小</w:t>
      </w:r>
      <w:r>
        <w:rPr>
          <w:rFonts w:hint="eastAsia" w:ascii="宋体" w:hAnsi="宋体" w:eastAsia="宋体" w:cs="宋体"/>
          <w:b/>
          <w:bCs/>
          <w:color w:val="auto"/>
          <w:sz w:val="24"/>
          <w:highlight w:val="none"/>
        </w:rPr>
        <w:t>企业采购的项目,投标单位应为</w:t>
      </w:r>
      <w:r>
        <w:rPr>
          <w:rFonts w:hint="eastAsia" w:ascii="宋体" w:hAnsi="宋体" w:eastAsia="宋体" w:cs="宋体"/>
          <w:b/>
          <w:bCs/>
          <w:color w:val="auto"/>
          <w:sz w:val="24"/>
          <w:highlight w:val="none"/>
          <w:lang w:eastAsia="zh-CN"/>
        </w:rPr>
        <w:t>中</w:t>
      </w:r>
      <w:r>
        <w:rPr>
          <w:rFonts w:hint="eastAsia" w:ascii="宋体" w:hAnsi="宋体" w:eastAsia="宋体" w:cs="宋体"/>
          <w:b/>
          <w:bCs/>
          <w:color w:val="auto"/>
          <w:sz w:val="24"/>
          <w:highlight w:val="none"/>
        </w:rPr>
        <w:t>小型企业或微企业或监狱企业</w:t>
      </w:r>
      <w:r>
        <w:rPr>
          <w:rFonts w:hint="eastAsia" w:ascii="宋体" w:hAnsi="宋体" w:cs="宋体"/>
          <w:b/>
          <w:bCs/>
          <w:color w:val="auto"/>
          <w:sz w:val="24"/>
          <w:highlight w:val="none"/>
          <w:lang w:val="en-US" w:eastAsia="zh-CN"/>
        </w:rPr>
        <w:t>或</w:t>
      </w:r>
      <w:r>
        <w:rPr>
          <w:rFonts w:hint="eastAsia" w:ascii="宋体" w:hAnsi="宋体" w:eastAsia="宋体" w:cs="宋体"/>
          <w:b/>
          <w:bCs/>
          <w:color w:val="auto"/>
          <w:sz w:val="24"/>
          <w:highlight w:val="none"/>
        </w:rPr>
        <w:t>残疾人福利性单位；</w:t>
      </w:r>
      <w:r>
        <w:rPr>
          <w:rFonts w:hint="eastAsia" w:ascii="宋体" w:hAnsi="宋体" w:eastAsia="宋体" w:cs="宋体"/>
          <w:b/>
          <w:bCs/>
          <w:color w:val="auto"/>
          <w:sz w:val="24"/>
          <w:highlight w:val="none"/>
          <w:lang w:eastAsia="zh-CN"/>
        </w:rPr>
        <w:t>投标时提供中小企业声明函（格式下附），</w:t>
      </w:r>
      <w:r>
        <w:rPr>
          <w:rFonts w:hint="eastAsia" w:ascii="宋体" w:hAnsi="宋体" w:eastAsia="宋体" w:cs="宋体"/>
          <w:b/>
          <w:bCs/>
          <w:color w:val="auto"/>
          <w:sz w:val="24"/>
          <w:highlight w:val="none"/>
        </w:rPr>
        <w:t>否则其投标文件作无效投标处理。</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w:t>
      </w:r>
      <w:r>
        <w:rPr>
          <w:rFonts w:hint="eastAsia" w:ascii="宋体" w:hAnsi="宋体" w:eastAsia="宋体" w:cs="宋体"/>
          <w:color w:val="auto"/>
          <w:sz w:val="24"/>
          <w:highlight w:val="none"/>
          <w:lang w:eastAsia="zh-CN"/>
        </w:rPr>
        <w:t>中小</w:t>
      </w:r>
      <w:r>
        <w:rPr>
          <w:rFonts w:hint="eastAsia" w:ascii="宋体" w:hAnsi="宋体" w:eastAsia="宋体" w:cs="宋体"/>
          <w:color w:val="auto"/>
          <w:sz w:val="24"/>
          <w:highlight w:val="none"/>
        </w:rPr>
        <w:t>企业，服务全部由符合政策要求的</w:t>
      </w:r>
      <w:r>
        <w:rPr>
          <w:rFonts w:hint="eastAsia" w:ascii="宋体" w:hAnsi="宋体" w:eastAsia="宋体" w:cs="宋体"/>
          <w:color w:val="auto"/>
          <w:sz w:val="24"/>
          <w:highlight w:val="none"/>
          <w:lang w:eastAsia="zh-CN"/>
        </w:rPr>
        <w:t>中小</w:t>
      </w:r>
      <w:r>
        <w:rPr>
          <w:rFonts w:hint="eastAsia" w:ascii="宋体" w:hAnsi="宋体" w:eastAsia="宋体" w:cs="宋体"/>
          <w:color w:val="auto"/>
          <w:sz w:val="24"/>
          <w:highlight w:val="none"/>
        </w:rPr>
        <w:t xml:space="preserve">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w:t>
      </w:r>
      <w:r>
        <w:rPr>
          <w:rFonts w:hint="eastAsia" w:ascii="宋体" w:hAnsi="宋体" w:eastAsia="宋体" w:cs="宋体"/>
          <w:color w:val="auto"/>
          <w:sz w:val="24"/>
          <w:highlight w:val="none"/>
          <w:lang w:eastAsia="zh-CN"/>
        </w:rPr>
        <w:t>小微</w:t>
      </w:r>
      <w:r>
        <w:rPr>
          <w:rFonts w:hint="eastAsia" w:ascii="宋体" w:hAnsi="宋体" w:eastAsia="宋体" w:cs="宋体"/>
          <w:color w:val="auto"/>
          <w:sz w:val="24"/>
          <w:highlight w:val="none"/>
        </w:rPr>
        <w:t>企业合同金额应当达到招标公告载明的比例；如果供应商本身提供所有标的均由</w:t>
      </w:r>
      <w:r>
        <w:rPr>
          <w:rFonts w:hint="eastAsia" w:ascii="宋体" w:hAnsi="宋体" w:eastAsia="宋体" w:cs="宋体"/>
          <w:color w:val="auto"/>
          <w:sz w:val="24"/>
          <w:highlight w:val="none"/>
          <w:lang w:eastAsia="zh-CN"/>
        </w:rPr>
        <w:t>小微</w:t>
      </w:r>
      <w:r>
        <w:rPr>
          <w:rFonts w:hint="eastAsia" w:ascii="宋体" w:hAnsi="宋体" w:eastAsia="宋体" w:cs="宋体"/>
          <w:color w:val="auto"/>
          <w:sz w:val="24"/>
          <w:highlight w:val="none"/>
        </w:rPr>
        <w:t>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w:t>
      </w:r>
      <w:r>
        <w:rPr>
          <w:rFonts w:hint="eastAsia" w:ascii="宋体" w:hAnsi="宋体" w:eastAsia="宋体" w:cs="宋体"/>
          <w:color w:val="auto"/>
          <w:sz w:val="24"/>
          <w:highlight w:val="none"/>
          <w:lang w:eastAsia="zh-CN"/>
        </w:rPr>
        <w:t>小微</w:t>
      </w:r>
      <w:r>
        <w:rPr>
          <w:rFonts w:hint="eastAsia" w:ascii="宋体" w:hAnsi="宋体" w:eastAsia="宋体" w:cs="宋体"/>
          <w:color w:val="auto"/>
          <w:sz w:val="24"/>
          <w:highlight w:val="none"/>
        </w:rPr>
        <w:t>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ind w:firstLine="2168" w:firstLineChars="600"/>
        <w:jc w:val="left"/>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lang w:eastAsia="zh-CN"/>
        </w:rPr>
        <w:t>本项目无特定资格，无须填写。</w:t>
      </w: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4"/>
        <w:rPr>
          <w:rFonts w:hint="eastAsia" w:ascii="宋体" w:hAnsi="宋体" w:eastAsia="宋体" w:cs="宋体"/>
          <w:color w:val="auto"/>
          <w:sz w:val="24"/>
          <w:highlight w:val="none"/>
        </w:rPr>
      </w:pPr>
    </w:p>
    <w:p>
      <w:pPr>
        <w:pStyle w:val="62"/>
        <w:ind w:firstLine="420"/>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pPr>
        <w:spacing w:line="360" w:lineRule="auto"/>
        <w:ind w:right="420" w:firstLine="2209" w:firstLineChars="500"/>
        <w:rPr>
          <w:rFonts w:hint="eastAsia" w:ascii="宋体" w:hAnsi="宋体" w:eastAsia="宋体" w:cs="宋体"/>
          <w:b/>
          <w:color w:val="auto"/>
          <w:kern w:val="0"/>
          <w:sz w:val="44"/>
          <w:szCs w:val="44"/>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4" w:name="_Toc17190"/>
      <w:r>
        <w:rPr>
          <w:rFonts w:hint="eastAsia" w:ascii="宋体" w:hAnsi="宋体" w:eastAsia="宋体" w:cs="宋体"/>
          <w:b/>
          <w:bCs/>
          <w:color w:val="auto"/>
          <w:sz w:val="52"/>
          <w:szCs w:val="52"/>
        </w:rPr>
        <w:t>商 务 技 术 文 件</w:t>
      </w:r>
      <w:bookmarkEnd w:id="524"/>
    </w:p>
    <w:p>
      <w:pPr>
        <w:widowControl/>
        <w:spacing w:line="360" w:lineRule="auto"/>
        <w:ind w:right="-2"/>
        <w:jc w:val="center"/>
        <w:outlineLvl w:val="1"/>
        <w:rPr>
          <w:rFonts w:hint="eastAsia" w:ascii="宋体" w:hAnsi="宋体" w:eastAsia="宋体" w:cs="宋体"/>
          <w:b/>
          <w:color w:val="auto"/>
          <w:sz w:val="36"/>
          <w:szCs w:val="36"/>
        </w:rPr>
      </w:pPr>
      <w:bookmarkStart w:id="525" w:name="_Toc27078"/>
      <w:r>
        <w:rPr>
          <w:rFonts w:hint="eastAsia" w:ascii="宋体" w:hAnsi="宋体" w:eastAsia="宋体" w:cs="宋体"/>
          <w:b/>
          <w:color w:val="auto"/>
          <w:sz w:val="36"/>
          <w:szCs w:val="36"/>
        </w:rPr>
        <w:t>（线上电子招投标）</w:t>
      </w:r>
      <w:bookmarkEnd w:id="525"/>
    </w:p>
    <w:p>
      <w:pPr>
        <w:pStyle w:val="626"/>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26" w:name="_Toc28851"/>
      <w:r>
        <w:rPr>
          <w:rFonts w:hint="eastAsia" w:ascii="宋体" w:hAnsi="宋体" w:eastAsia="宋体" w:cs="宋体"/>
          <w:b/>
          <w:bCs/>
          <w:color w:val="auto"/>
          <w:sz w:val="36"/>
          <w:szCs w:val="36"/>
        </w:rPr>
        <w:t xml:space="preserve">  招标编号：</w:t>
      </w:r>
      <w:bookmarkEnd w:id="526"/>
      <w:r>
        <w:rPr>
          <w:rFonts w:hint="eastAsia" w:ascii="宋体" w:hAnsi="宋体" w:cs="宋体"/>
          <w:b/>
          <w:bCs/>
          <w:color w:val="auto"/>
          <w:sz w:val="36"/>
          <w:szCs w:val="36"/>
          <w:lang w:eastAsia="zh-CN"/>
        </w:rPr>
        <w:t>XTDZFCG2024</w:t>
      </w:r>
      <w:r>
        <w:rPr>
          <w:rFonts w:hint="eastAsia" w:ascii="宋体" w:hAnsi="宋体" w:eastAsia="宋体" w:cs="宋体"/>
          <w:b/>
          <w:bCs/>
          <w:color w:val="auto"/>
          <w:sz w:val="36"/>
          <w:szCs w:val="36"/>
        </w:rPr>
        <w:t xml:space="preserve">- </w:t>
      </w:r>
    </w:p>
    <w:p>
      <w:pPr>
        <w:pStyle w:val="626"/>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3"/>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numberInDash"/>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pPr>
        <w:pStyle w:val="4"/>
        <w:rPr>
          <w:rFonts w:hint="eastAsia" w:ascii="宋体" w:hAnsi="宋体" w:eastAsia="宋体" w:cs="宋体"/>
          <w:color w:val="auto"/>
          <w:lang w:val="en-US" w:eastAsia="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27" w:name="_Hlk101257010"/>
      <w:r>
        <w:rPr>
          <w:rFonts w:hint="eastAsia" w:ascii="宋体" w:hAnsi="宋体" w:eastAsia="宋体" w:cs="宋体"/>
          <w:color w:val="auto"/>
          <w:sz w:val="24"/>
        </w:rPr>
        <w:t>（如果有)</w:t>
      </w:r>
      <w:bookmarkEnd w:id="527"/>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pStyle w:val="4"/>
        <w:adjustRightInd w:val="0"/>
        <w:snapToGrid w:val="0"/>
        <w:ind w:left="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94"/>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94"/>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4"/>
        <w:rPr>
          <w:rFonts w:hint="eastAsia" w:ascii="宋体" w:hAnsi="宋体" w:eastAsia="宋体" w:cs="宋体"/>
          <w:color w:val="auto"/>
        </w:rPr>
      </w:pPr>
    </w:p>
    <w:p>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pStyle w:val="4"/>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pPr>
        <w:pStyle w:val="627"/>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pPr>
        <w:pStyle w:val="62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pPr>
        <w:pStyle w:val="627"/>
        <w:snapToGrid w:val="0"/>
        <w:spacing w:before="120" w:after="120"/>
        <w:jc w:val="center"/>
        <w:rPr>
          <w:rFonts w:hint="eastAsia" w:ascii="宋体" w:hAnsi="宋体" w:eastAsia="宋体" w:cs="宋体"/>
          <w:b/>
          <w:color w:val="auto"/>
          <w:sz w:val="32"/>
          <w:szCs w:val="32"/>
          <w:highlight w:val="none"/>
        </w:rPr>
      </w:pPr>
    </w:p>
    <w:p>
      <w:pPr>
        <w:pStyle w:val="627"/>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627"/>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7"/>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28"/>
        <w:widowControl/>
        <w:numPr>
          <w:ilvl w:val="0"/>
          <w:numId w:val="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27"/>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27"/>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8"/>
        <w:widowControl/>
        <w:numPr>
          <w:ilvl w:val="0"/>
          <w:numId w:val="4"/>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628"/>
        <w:widowControl/>
        <w:numPr>
          <w:ilvl w:val="0"/>
          <w:numId w:val="4"/>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627"/>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627"/>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8" w:name="_Toc105"/>
      <w:r>
        <w:rPr>
          <w:rFonts w:hint="eastAsia" w:ascii="宋体" w:hAnsi="宋体" w:eastAsia="宋体" w:cs="宋体"/>
          <w:b/>
          <w:bCs/>
          <w:color w:val="auto"/>
          <w:sz w:val="52"/>
          <w:szCs w:val="52"/>
        </w:rPr>
        <w:t>报 价 文 件</w:t>
      </w:r>
      <w:bookmarkEnd w:id="528"/>
    </w:p>
    <w:p>
      <w:pPr>
        <w:widowControl/>
        <w:spacing w:line="360" w:lineRule="auto"/>
        <w:ind w:right="-2"/>
        <w:jc w:val="center"/>
        <w:outlineLvl w:val="1"/>
        <w:rPr>
          <w:rFonts w:hint="eastAsia" w:ascii="宋体" w:hAnsi="宋体" w:eastAsia="宋体" w:cs="宋体"/>
          <w:b/>
          <w:color w:val="auto"/>
          <w:sz w:val="36"/>
          <w:szCs w:val="36"/>
        </w:rPr>
      </w:pPr>
      <w:bookmarkStart w:id="529" w:name="_Toc22501"/>
      <w:r>
        <w:rPr>
          <w:rFonts w:hint="eastAsia" w:ascii="宋体" w:hAnsi="宋体" w:eastAsia="宋体" w:cs="宋体"/>
          <w:b/>
          <w:color w:val="auto"/>
          <w:sz w:val="36"/>
          <w:szCs w:val="36"/>
        </w:rPr>
        <w:t>（线上电子招投标）</w:t>
      </w:r>
      <w:bookmarkEnd w:id="529"/>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0"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0"/>
      <w:r>
        <w:rPr>
          <w:rFonts w:hint="eastAsia" w:ascii="宋体" w:hAnsi="宋体" w:cs="宋体"/>
          <w:b/>
          <w:bCs/>
          <w:color w:val="auto"/>
          <w:sz w:val="36"/>
          <w:szCs w:val="36"/>
          <w:lang w:eastAsia="zh-CN"/>
        </w:rPr>
        <w:t>XTDZFCG2024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4"/>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ind w:right="480"/>
        <w:jc w:val="center"/>
        <w:rPr>
          <w:rFonts w:hint="eastAsia" w:ascii="宋体" w:hAnsi="宋体" w:eastAsia="宋体" w:cs="宋体"/>
          <w:b/>
          <w:color w:val="auto"/>
          <w:kern w:val="0"/>
          <w:sz w:val="32"/>
          <w:szCs w:val="32"/>
        </w:rPr>
      </w:pPr>
    </w:p>
    <w:p>
      <w:pPr>
        <w:pStyle w:val="383"/>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2"/>
        <w:gridCol w:w="1894"/>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452"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89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452"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2"/>
                <w:highlight w:val="none"/>
                <w:u w:val="none"/>
                <w:lang w:eastAsia="zh-CN"/>
              </w:rPr>
            </w:pPr>
          </w:p>
        </w:tc>
        <w:tc>
          <w:tcPr>
            <w:tcW w:w="189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val="en-US" w:eastAsia="zh-CN"/>
              </w:rPr>
              <w:t>两年</w:t>
            </w:r>
          </w:p>
        </w:tc>
        <w:tc>
          <w:tcPr>
            <w:tcW w:w="2424" w:type="dxa"/>
            <w:tcBorders>
              <w:left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pPr>
        <w:pStyle w:val="4"/>
        <w:rPr>
          <w:rFonts w:hint="eastAsia" w:ascii="宋体" w:hAnsi="宋体" w:eastAsia="宋体" w:cs="宋体"/>
          <w:b/>
          <w:color w:val="auto"/>
          <w:kern w:val="0"/>
          <w:sz w:val="24"/>
          <w:lang w:val="zh-CN"/>
        </w:rPr>
      </w:pPr>
    </w:p>
    <w:p>
      <w:pPr>
        <w:snapToGrid w:val="0"/>
        <w:spacing w:line="360" w:lineRule="auto"/>
        <w:ind w:left="480" w:firstLine="0" w:firstLineChars="0"/>
        <w:rPr>
          <w:rFonts w:hint="eastAsia" w:ascii="宋体" w:hAnsi="宋体" w:eastAsia="宋体" w:cs="宋体"/>
          <w:color w:val="auto"/>
          <w:kern w:val="0"/>
          <w:sz w:val="24"/>
          <w:lang w:val="zh-CN" w:eastAsia="zh-CN"/>
        </w:rPr>
      </w:pPr>
      <w:r>
        <w:rPr>
          <w:rFonts w:hint="eastAsia" w:ascii="宋体" w:hAnsi="宋体" w:eastAsia="宋体" w:cs="宋体"/>
          <w:b/>
          <w:color w:val="auto"/>
          <w:kern w:val="0"/>
          <w:sz w:val="24"/>
          <w:lang w:val="zh-CN"/>
        </w:rPr>
        <w:t>注：</w:t>
      </w: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eastAsia="zh-CN"/>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年  月   日</w:t>
      </w:r>
    </w:p>
    <w:p>
      <w:pPr>
        <w:rPr>
          <w:rFonts w:hint="eastAsia" w:ascii="宋体" w:hAnsi="宋体" w:eastAsia="宋体" w:cs="宋体"/>
          <w:b/>
          <w:bCs/>
          <w:color w:val="auto"/>
          <w:kern w:val="0"/>
          <w:sz w:val="24"/>
          <w:highlight w:val="none"/>
          <w:lang w:val="en-US" w:eastAsia="zh-CN"/>
        </w:rPr>
      </w:pPr>
    </w:p>
    <w:p>
      <w:pPr>
        <w:rPr>
          <w:rFonts w:hint="eastAsia" w:ascii="宋体" w:hAnsi="宋体" w:eastAsia="宋体" w:cs="宋体"/>
          <w:b/>
          <w:bCs/>
          <w:color w:val="auto"/>
          <w:kern w:val="0"/>
          <w:sz w:val="24"/>
          <w:highlight w:val="none"/>
          <w:lang w:val="en-US" w:eastAsia="zh-CN"/>
        </w:rPr>
      </w:pPr>
    </w:p>
    <w:p>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pStyle w:val="4"/>
        <w:rPr>
          <w:rFonts w:hint="eastAsia" w:ascii="宋体" w:hAnsi="宋体" w:eastAsia="宋体" w:cs="宋体"/>
          <w:color w:val="auto"/>
          <w:highlight w:val="none"/>
          <w:lang w:val="en-US" w:eastAsia="zh-CN"/>
        </w:rPr>
      </w:pPr>
    </w:p>
    <w:p>
      <w:pPr>
        <w:pStyle w:val="62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3"/>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2"/>
        <w:gridCol w:w="7"/>
        <w:gridCol w:w="2171"/>
        <w:gridCol w:w="904"/>
        <w:gridCol w:w="930"/>
        <w:gridCol w:w="93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69" w:type="dxa"/>
            <w:gridSpan w:val="2"/>
            <w:vAlign w:val="center"/>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2171" w:type="dxa"/>
            <w:vAlign w:val="top"/>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p>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具体服务</w:t>
            </w:r>
          </w:p>
        </w:tc>
        <w:tc>
          <w:tcPr>
            <w:tcW w:w="904" w:type="dxa"/>
            <w:vAlign w:val="center"/>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930" w:type="dxa"/>
            <w:vAlign w:val="center"/>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单价</w:t>
            </w:r>
          </w:p>
        </w:tc>
        <w:tc>
          <w:tcPr>
            <w:tcW w:w="930" w:type="dxa"/>
            <w:vAlign w:val="center"/>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总价</w:t>
            </w:r>
          </w:p>
        </w:tc>
        <w:tc>
          <w:tcPr>
            <w:tcW w:w="1714" w:type="dxa"/>
            <w:vAlign w:val="center"/>
          </w:tcPr>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p>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服务要求</w:t>
            </w:r>
          </w:p>
          <w:p>
            <w:pPr>
              <w:shd w:val="clear" w:color="000000" w:fill="auto"/>
              <w:spacing w:before="0" w:beforeAutospacing="0" w:after="0" w:afterAutospacing="0" w:line="360" w:lineRule="auto"/>
              <w:ind w:left="0" w:right="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69" w:type="dxa"/>
            <w:gridSpan w:val="2"/>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2171" w:type="dxa"/>
            <w:vAlign w:val="center"/>
          </w:tcPr>
          <w:p>
            <w:pPr>
              <w:widowControl/>
              <w:shd w:val="clear" w:color="010000" w:fill="auto"/>
              <w:autoSpaceDN w:val="0"/>
              <w:adjustRightInd/>
              <w:spacing w:before="0" w:beforeAutospacing="0" w:after="0" w:afterAutospacing="0"/>
              <w:ind w:left="0" w:right="0"/>
              <w:textAlignment w:val="center"/>
              <w:rPr>
                <w:rFonts w:hint="eastAsia" w:ascii="宋体" w:hAnsi="宋体" w:eastAsia="宋体" w:cs="宋体"/>
                <w:color w:val="auto"/>
                <w:sz w:val="24"/>
                <w:szCs w:val="24"/>
              </w:rPr>
            </w:pPr>
          </w:p>
        </w:tc>
        <w:tc>
          <w:tcPr>
            <w:tcW w:w="904" w:type="dxa"/>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1714"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69" w:type="dxa"/>
            <w:gridSpan w:val="2"/>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2171" w:type="dxa"/>
            <w:vAlign w:val="center"/>
          </w:tcPr>
          <w:p>
            <w:pPr>
              <w:widowControl/>
              <w:shd w:val="clear" w:color="010000" w:fill="auto"/>
              <w:autoSpaceDN w:val="0"/>
              <w:adjustRightInd/>
              <w:spacing w:before="0" w:beforeAutospacing="0" w:after="0" w:afterAutospacing="0"/>
              <w:ind w:left="0" w:right="0"/>
              <w:textAlignment w:val="center"/>
              <w:rPr>
                <w:rFonts w:hint="eastAsia" w:ascii="宋体" w:hAnsi="宋体" w:eastAsia="宋体" w:cs="宋体"/>
                <w:color w:val="auto"/>
                <w:sz w:val="24"/>
                <w:szCs w:val="24"/>
              </w:rPr>
            </w:pPr>
          </w:p>
        </w:tc>
        <w:tc>
          <w:tcPr>
            <w:tcW w:w="904" w:type="dxa"/>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1714"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69" w:type="dxa"/>
            <w:gridSpan w:val="2"/>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2171" w:type="dxa"/>
            <w:vAlign w:val="center"/>
          </w:tcPr>
          <w:p>
            <w:pPr>
              <w:widowControl/>
              <w:shd w:val="clear" w:color="010000" w:fill="auto"/>
              <w:autoSpaceDN w:val="0"/>
              <w:adjustRightInd/>
              <w:spacing w:before="0" w:beforeAutospacing="0" w:after="0" w:afterAutospacing="0"/>
              <w:ind w:left="0" w:right="0"/>
              <w:textAlignment w:val="center"/>
              <w:rPr>
                <w:rFonts w:hint="eastAsia" w:ascii="宋体" w:hAnsi="宋体" w:eastAsia="宋体" w:cs="宋体"/>
                <w:color w:val="auto"/>
                <w:sz w:val="24"/>
                <w:szCs w:val="24"/>
              </w:rPr>
            </w:pPr>
          </w:p>
        </w:tc>
        <w:tc>
          <w:tcPr>
            <w:tcW w:w="904" w:type="dxa"/>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1714"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69" w:type="dxa"/>
            <w:gridSpan w:val="2"/>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2171" w:type="dxa"/>
            <w:vAlign w:val="center"/>
          </w:tcPr>
          <w:p>
            <w:pPr>
              <w:widowControl/>
              <w:shd w:val="clear" w:color="010000" w:fill="auto"/>
              <w:autoSpaceDN w:val="0"/>
              <w:adjustRightInd/>
              <w:spacing w:before="0" w:beforeAutospacing="0" w:after="0" w:afterAutospacing="0"/>
              <w:ind w:left="0" w:right="0"/>
              <w:textAlignment w:val="center"/>
              <w:rPr>
                <w:rFonts w:hint="eastAsia" w:ascii="宋体" w:hAnsi="宋体" w:eastAsia="宋体" w:cs="宋体"/>
                <w:color w:val="auto"/>
                <w:sz w:val="24"/>
                <w:szCs w:val="24"/>
              </w:rPr>
            </w:pPr>
          </w:p>
        </w:tc>
        <w:tc>
          <w:tcPr>
            <w:tcW w:w="904" w:type="dxa"/>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1714"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69" w:type="dxa"/>
            <w:gridSpan w:val="2"/>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2171" w:type="dxa"/>
            <w:vAlign w:val="center"/>
          </w:tcPr>
          <w:p>
            <w:pPr>
              <w:widowControl/>
              <w:shd w:val="clear" w:color="010000" w:fill="auto"/>
              <w:autoSpaceDN w:val="0"/>
              <w:adjustRightInd/>
              <w:spacing w:before="0" w:beforeAutospacing="0" w:after="0" w:afterAutospacing="0"/>
              <w:ind w:left="0" w:right="0"/>
              <w:textAlignment w:val="center"/>
              <w:rPr>
                <w:rFonts w:hint="eastAsia" w:ascii="宋体" w:hAnsi="宋体" w:eastAsia="宋体" w:cs="宋体"/>
                <w:color w:val="auto"/>
                <w:sz w:val="24"/>
                <w:szCs w:val="24"/>
                <w:highlight w:val="yellow"/>
              </w:rPr>
            </w:pPr>
          </w:p>
        </w:tc>
        <w:tc>
          <w:tcPr>
            <w:tcW w:w="904" w:type="dxa"/>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1714"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69" w:type="dxa"/>
            <w:gridSpan w:val="2"/>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71" w:type="dxa"/>
            <w:vAlign w:val="center"/>
          </w:tcPr>
          <w:p>
            <w:pPr>
              <w:widowControl/>
              <w:shd w:val="clear" w:color="010000" w:fill="auto"/>
              <w:autoSpaceDN w:val="0"/>
              <w:adjustRightInd/>
              <w:spacing w:before="0" w:beforeAutospacing="0" w:after="0" w:afterAutospacing="0"/>
              <w:ind w:left="0" w:right="0"/>
              <w:textAlignment w:val="center"/>
              <w:rPr>
                <w:rFonts w:hint="eastAsia" w:ascii="宋体" w:hAnsi="宋体" w:eastAsia="宋体" w:cs="宋体"/>
                <w:color w:val="auto"/>
                <w:sz w:val="24"/>
                <w:szCs w:val="24"/>
                <w:highlight w:val="yellow"/>
              </w:rPr>
            </w:pPr>
          </w:p>
        </w:tc>
        <w:tc>
          <w:tcPr>
            <w:tcW w:w="904" w:type="dxa"/>
            <w:vAlign w:val="center"/>
          </w:tcPr>
          <w:p>
            <w:pPr>
              <w:shd w:val="clear" w:color="000000" w:fill="auto"/>
              <w:snapToGrid w:val="0"/>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930"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c>
          <w:tcPr>
            <w:tcW w:w="1714" w:type="dxa"/>
            <w:vAlign w:val="center"/>
          </w:tcPr>
          <w:p>
            <w:pPr>
              <w:shd w:val="clear" w:color="000000" w:fill="auto"/>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60" w:type="dxa"/>
            <w:gridSpan w:val="2"/>
            <w:vMerge w:val="restart"/>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cs="宋体"/>
                <w:color w:val="auto"/>
                <w:sz w:val="24"/>
                <w:szCs w:val="21"/>
                <w:highlight w:val="none"/>
                <w:lang w:eastAsia="zh-CN"/>
              </w:rPr>
              <w:t>一年报价</w:t>
            </w:r>
            <w:r>
              <w:rPr>
                <w:rFonts w:hint="eastAsia" w:ascii="宋体" w:hAnsi="宋体" w:eastAsia="宋体" w:cs="宋体"/>
                <w:color w:val="auto"/>
                <w:sz w:val="24"/>
                <w:szCs w:val="21"/>
                <w:highlight w:val="none"/>
              </w:rPr>
              <w:t>总计</w:t>
            </w:r>
          </w:p>
        </w:tc>
        <w:tc>
          <w:tcPr>
            <w:tcW w:w="6656" w:type="dxa"/>
            <w:gridSpan w:val="6"/>
            <w:vAlign w:val="center"/>
          </w:tcPr>
          <w:p>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60" w:type="dxa"/>
            <w:gridSpan w:val="2"/>
            <w:vMerge w:val="continue"/>
            <w:vAlign w:val="center"/>
          </w:tcPr>
          <w:p>
            <w:pPr>
              <w:widowControl/>
              <w:snapToGrid w:val="0"/>
              <w:spacing w:line="360" w:lineRule="auto"/>
              <w:jc w:val="center"/>
              <w:rPr>
                <w:rFonts w:hint="eastAsia" w:ascii="宋体" w:hAnsi="宋体" w:eastAsia="宋体" w:cs="宋体"/>
                <w:b/>
                <w:color w:val="auto"/>
                <w:sz w:val="24"/>
                <w:szCs w:val="24"/>
              </w:rPr>
            </w:pPr>
          </w:p>
        </w:tc>
        <w:tc>
          <w:tcPr>
            <w:tcW w:w="6656" w:type="dxa"/>
            <w:gridSpan w:val="6"/>
            <w:vAlign w:val="center"/>
          </w:tcPr>
          <w:p>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60" w:type="dxa"/>
            <w:gridSpan w:val="2"/>
            <w:vMerge w:val="restart"/>
            <w:vAlign w:val="center"/>
          </w:tcPr>
          <w:p>
            <w:pPr>
              <w:widowControl/>
              <w:snapToGrid w:val="0"/>
              <w:spacing w:line="360" w:lineRule="auto"/>
              <w:jc w:val="center"/>
              <w:rPr>
                <w:rFonts w:hint="eastAsia" w:ascii="宋体" w:hAnsi="宋体" w:eastAsia="宋体" w:cs="宋体"/>
                <w:b/>
                <w:color w:val="auto"/>
                <w:sz w:val="24"/>
                <w:szCs w:val="24"/>
              </w:rPr>
            </w:pPr>
            <w:r>
              <w:rPr>
                <w:rFonts w:hint="eastAsia" w:ascii="宋体" w:hAnsi="宋体" w:cs="宋体"/>
                <w:color w:val="auto"/>
                <w:sz w:val="24"/>
                <w:szCs w:val="21"/>
                <w:highlight w:val="none"/>
                <w:lang w:eastAsia="zh-CN"/>
              </w:rPr>
              <w:t>二年报价总计（</w:t>
            </w:r>
            <w:r>
              <w:rPr>
                <w:rFonts w:hint="eastAsia" w:ascii="宋体" w:hAnsi="宋体" w:cs="宋体"/>
                <w:color w:val="auto"/>
                <w:sz w:val="24"/>
                <w:szCs w:val="21"/>
                <w:highlight w:val="none"/>
                <w:lang w:val="en-US" w:eastAsia="zh-CN"/>
              </w:rPr>
              <w:t>二年报价=1年报价×2</w:t>
            </w:r>
            <w:r>
              <w:rPr>
                <w:rFonts w:hint="eastAsia" w:ascii="宋体" w:hAnsi="宋体" w:cs="宋体"/>
                <w:color w:val="auto"/>
                <w:sz w:val="24"/>
                <w:szCs w:val="21"/>
                <w:highlight w:val="none"/>
                <w:lang w:eastAsia="zh-CN"/>
              </w:rPr>
              <w:t>）</w:t>
            </w:r>
          </w:p>
        </w:tc>
        <w:tc>
          <w:tcPr>
            <w:tcW w:w="6656" w:type="dxa"/>
            <w:gridSpan w:val="6"/>
            <w:vAlign w:val="center"/>
          </w:tcPr>
          <w:p>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60" w:type="dxa"/>
            <w:gridSpan w:val="2"/>
            <w:vMerge w:val="continue"/>
            <w:vAlign w:val="top"/>
          </w:tcPr>
          <w:p>
            <w:pPr>
              <w:widowControl/>
              <w:snapToGrid w:val="0"/>
              <w:spacing w:line="360" w:lineRule="auto"/>
              <w:jc w:val="center"/>
              <w:rPr>
                <w:rFonts w:hint="eastAsia" w:ascii="宋体" w:hAnsi="宋体" w:eastAsia="宋体" w:cs="宋体"/>
                <w:b/>
                <w:color w:val="auto"/>
                <w:sz w:val="24"/>
                <w:szCs w:val="24"/>
              </w:rPr>
            </w:pPr>
          </w:p>
        </w:tc>
        <w:tc>
          <w:tcPr>
            <w:tcW w:w="6656" w:type="dxa"/>
            <w:gridSpan w:val="6"/>
            <w:vAlign w:val="top"/>
          </w:tcPr>
          <w:p>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1"/>
                <w:highlight w:val="none"/>
              </w:rPr>
              <w:t>小写</w:t>
            </w:r>
          </w:p>
        </w:tc>
      </w:tr>
    </w:tbl>
    <w:p>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lang w:val="zh-CN" w:eastAsia="zh-CN"/>
        </w:rPr>
        <w:t xml:space="preserve">                                                                </w:t>
      </w:r>
    </w:p>
    <w:p>
      <w:pPr>
        <w:jc w:val="center"/>
        <w:rPr>
          <w:rFonts w:hint="eastAsia" w:ascii="宋体" w:hAnsi="宋体" w:eastAsia="宋体" w:cs="宋体"/>
          <w:b/>
          <w:color w:val="auto"/>
          <w:kern w:val="0"/>
          <w:sz w:val="24"/>
          <w:szCs w:val="24"/>
          <w:lang w:val="zh-CN" w:eastAsia="zh-CN"/>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4"/>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pPr>
        <w:pStyle w:val="4"/>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hint="eastAsia" w:ascii="宋体" w:hAnsi="宋体" w:eastAsia="宋体" w:cs="宋体"/>
          <w:color w:val="auto"/>
        </w:rPr>
      </w:pPr>
      <w:r>
        <w:rPr>
          <w:rFonts w:hint="eastAsia" w:ascii="宋体" w:hAnsi="宋体" w:eastAsia="宋体" w:cs="宋体"/>
          <w:color w:val="auto"/>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numberInDash"/>
          <w:cols w:space="720" w:num="1"/>
          <w:titlePg/>
          <w:docGrid w:linePitch="312" w:charSpace="0"/>
        </w:sectPr>
      </w:pPr>
      <w:r>
        <w:rPr>
          <w:rFonts w:hint="eastAsia" w:ascii="宋体" w:hAnsi="宋体" w:eastAsia="宋体" w:cs="宋体"/>
          <w:color w:val="auto"/>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4"/>
        <w:rPr>
          <w:rFonts w:hint="eastAsia" w:ascii="宋体" w:hAnsi="宋体" w:eastAsia="宋体" w:cs="宋体"/>
          <w:color w:val="auto"/>
          <w:lang w:val="en-US"/>
        </w:rPr>
      </w:pPr>
    </w:p>
    <w:p>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numberInDash"/>
          <w:cols w:space="720" w:num="1"/>
          <w:titlePg/>
          <w:docGrid w:linePitch="312" w:charSpace="0"/>
        </w:sectPr>
      </w:pPr>
    </w:p>
    <w:p>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杭州新天地建设管理有限公司</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rPr>
      </w:pPr>
    </w:p>
    <w:p>
      <w:pPr>
        <w:rPr>
          <w:rFonts w:hint="eastAsia" w:ascii="宋体" w:hAnsi="宋体" w:eastAsia="宋体" w:cs="宋体"/>
          <w:color w:val="auto"/>
        </w:rPr>
      </w:pPr>
    </w:p>
    <w:p>
      <w:pPr>
        <w:pStyle w:val="4"/>
        <w:rPr>
          <w:rFonts w:hint="eastAsia" w:ascii="宋体" w:hAnsi="宋体" w:eastAsia="宋体" w:cs="宋体"/>
          <w:color w:val="auto"/>
        </w:rPr>
      </w:pPr>
    </w:p>
    <w:p>
      <w:pPr>
        <w:rPr>
          <w:rFonts w:hint="eastAsia" w:ascii="宋体" w:hAnsi="宋体" w:eastAsia="宋体" w:cs="宋体"/>
          <w:color w:val="auto"/>
        </w:rPr>
      </w:pP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color w:val="auto"/>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ksdb"/>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GOljD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HnpX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ZIkTlm788uP75efvy69v&#10;7O1NMqgPWFHfQ7iHKUMKk9qhBZvepIMN2dTz1VQ1RCapuFyv1uuSwCWdzQnhFI+fB8D4XnnLUlBz&#10;oFvLZorTR4xj69ySpjl/p42huqiM+6tAmKlSJMYjxxTFYT9MxPe+OZPeni685o72mzPzwZGfaTfm&#10;AOZgPwfHAPrQEbVl5oXh3TESicwtTRhhp8F0U1ndtFVpFZ7muevxT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h56VxQEAAJE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3TJrSAQAAp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urihLLDE788uP75efv&#10;y69vpFongQYPDebde8yM4zs34tos94CXifcog0lfZEQwjvKer/KKMRKeHtVVXZcY4hhbHMQvHp/7&#10;APG9cIYko6UB55dlZaePEKfUJSVVs+5OaZ1nqC0ZEPWmfnOTX1xDiK4tFkkspm6TFcf9OFPbu+6M&#10;zAZcgpZa3HlK9AeLGqd9WYywGPvFOPqgDn1eqNQK+LfHiO3kLlOFCXYujNPLPOdNS+vxt5+zHv+u&#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XdMmtIBAAClAwAADgAAAAAAAAABACAAAAAi&#10;AQAAZHJzL2Uyb0RvYy54bWxQSwUGAAAAAAYABgBZAQAAZgU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ohCvFAQAAkQ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S5tQceaEpRs///h+/vn7/Osb&#10;e/02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6IQrxQEAAJE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zlwCrTAQAApQMAAA4AAABkcnMvZTJvRG9jLnhtbK1TzY7TMBC+&#10;I/EOlu802aC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bW0ek2JZQYnfv754/zr&#10;z/n3d1JVSaDBQ4N59x4z4/jOjbg2yz3gZeI9ymDSFxkRjKO8p4u8YoyEp0d1VdclhjjGFgfxi4fn&#10;PkB8L5whyWhpwPllWdnxI8QpdUlJ1ay7U1rnGWpLBkS9rt9e5xeXEKJri0USi6nbZMVxN87Udq47&#10;IbMBl6ClFneeEv3BosZpXxYjLMZuMQ4+qH2fFyq1Av72ELGd3GWqMMHOhXF6mee8aWk9/vVz1sPf&#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NzlwCr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dlmzFAQAAkQ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EObsObMCUs3fvn+7fLj1+Xn&#10;V/a2TAb1ASvqewwPMGVIYVI7tGDTm3SwIZt6vpqqhsgkFVfluiyX5LekszkhnOLp8wAY75W3LAU1&#10;B7q1bKY4fcA4ts4taZrzd9oYqovKuL8KhJkqRWI8ckxRHPbDRHzvmzPp7enCa+5ovzkz7x35mXZj&#10;DmAO9nNwDKAPHVFbZV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mXZZsxQEAAJE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YWvDT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hylQTqPdSY9+gxMw4f3IDJ8z3gZeI9yGDSFxkRjKO8p4u8YoiEp0fVqqpKDHGMzQ7iF0/P&#10;fYB4J5whyWhowPllWdnxAeKYOqekatbdKq3zDLUlPaJeVe+u8otLCNG1xSKJxdhtsuKwGyZqO9ee&#10;kFmPS9BQiztPib63qHHal9kIs7GbjYMPat/lhUqtgH9/iNhO7jJVGGGnwji9zHPatLQef/s56+n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NGYWvD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Es7TAQAAp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eImvKHEMoMTP//6ef79&#10;9/znB1m+TgL1HmrMu/OYGYf3bsDk+R7wMvEeZDDpi4wIxlHe00VeMUTC06NqVVUlhjjGZgfxi4fn&#10;PkD8IJwhyWhowPllWdnxE8QxdU5J1ay7VVrnGWpLekS9qt5d5ReXEKJri0USi7HbZMVhN0zUdq49&#10;IbMel6ChFneeEv3RosZpX2YjzMZuNg4+qH2XFyq1Av7mELGd3GWqMMJOhXF6mee0aWk9/vVz1sPf&#10;tb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H/Es7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koN7SAQAAp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YoSywxO/Pzj+/nn&#10;7/Ovb2T5NgnUe6gx79FjZhw+uAGT53vAy8R7kMGkLzIiGEd5Txd5xRAJT4+qVVWVGOIYmx3EL56e&#10;+wDxTjhDktHQgPPLsrLjA8QxdU5J1ay7VVrnGWpL+kSieneVX1xCiK4tFkksxm6TFYfdMFHbufaE&#10;zHpcgoZa3HlK9L1FjdO+zEaYjd1sHHxQ+y4vVGoF/PtDxHZyl6nCCDsVxullntOmpfX4289ZT3/X&#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iSg3tIBAAClAwAADgAAAAAAAAABACAAAAAi&#10;AQAAZHJzL2Uyb0RvYy54bWxQSwUGAAAAAAYABgBZAQAAZgU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kP63FAQAAkA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n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JD+txQEAAJA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enTSAQAApQ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sVNuKHEMoMTv/z4fvn5&#10;+/LrG1muk0C9hxrzHj1mxuHeDZg83wNeJt6DDCZ9kRHBOMp7vsorhkh4elStqqrEEMfY7CB+8fTc&#10;B4jvhDMkGQ0NOL8sKzt9gDimzimpmnUPSus8Q21Jj6jr6u06v7iGEF1bLJJYjN0mKw77YaK2d+0Z&#10;mfW4BA21uPOU6PcWNU77MhthNvazcfRBHbq8UKkV8HfHiO3kLlOFEXYqjNPLPKdNS+vxt5+znv6u&#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t16dNIBAAClAwAADgAAAAAAAAABACAAAAAi&#10;AQAAZHJzL2Uyb0RvYy54bWxQSwUGAAAAAAYABgBZAQAAZgU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tP9sT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center"/>
                          </w:pPr>
                        </w:p>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SyUTxQEAAJADAAAOAAAAAAAAAAEAIAAAAB8BAABkcnMvZTJvRG9jLnht&#10;bFBLBQYAAAAABgAGAFkBAABWBQAAAAA=&#10;">
              <v:fill on="f" focussize="0,0"/>
              <v:stroke on="f"/>
              <v:imagedata o:title=""/>
              <o:lock v:ext="edit" aspectratio="f"/>
              <v:textbox inset="0mm,0mm,0mm,0mm" style="mso-fit-shape-to-text:t;">
                <w:txbxContent>
                  <w:p>
                    <w:pPr>
                      <w:pStyle w:val="41"/>
                      <w:jc w:val="center"/>
                    </w:pPr>
                  </w:p>
                  <w:p/>
                </w:txbxContent>
              </v:textbox>
            </v:rect>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S6gjSAQAApQ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BY3AedumcGJn398P//8&#10;ff71jSxvk0C9hxrznjxmxuG9GzB5vge8TLwHGUz6IiOCcZT3dJFXDJHw9KhaVVWJIY6x2UH84vm5&#10;DxAfhDMkGQ0NOL8sKzt+gDimzimpmnX3Sus8Q21Jj6g31e1NfnEJIbq2WCSxGLtNVhx2w0Rt59oT&#10;MutxCRpqcecp0Y8WNU77MhthNnazcfBB7bu8UKkV8O8OEdvJXaYKI+xUGKeXeU6bltbjbz9nPf9d&#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hLqCNIBAAClAwAADgAAAAAAAAABACAAAAAi&#10;AQAAZHJzL2Uyb0RvYy54bWxQSwUGAAAAAAYABgBZAQAAZgU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center"/>
                          </w:pPr>
                        </w:p>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fjQTEAQAAkAMAAA4AAABkcnMvZTJvRG9jLnhtbK1TzY7TMBC+I/EO&#10;lu80aU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HfjQTEAQAAkAMAAA4AAAAAAAAAAQAgAAAAHwEAAGRycy9lMm9Eb2MueG1s&#10;UEsFBgAAAAAGAAYAWQEAAFUFAAAAAA==&#10;">
              <v:fill on="f" focussize="0,0"/>
              <v:stroke on="f"/>
              <v:imagedata o:title=""/>
              <o:lock v:ext="edit" aspectratio="f"/>
              <v:textbox inset="0mm,0mm,0mm,0mm" style="mso-fit-shape-to-text:t;">
                <w:txbxContent>
                  <w:p>
                    <w:pPr>
                      <w:pStyle w:val="41"/>
                      <w:jc w:val="center"/>
                    </w:pPr>
                  </w:p>
                  <w:p/>
                </w:txbxContent>
              </v:textbox>
            </v:rect>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dVYP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8J4SywxO/Pzr5/nh&#10;z/n3D7KskkC9hxrz7j1mxuGjGzB5vge8TLwHGUz6IiOCcZT3dJFXDJHw9KhaVVWJIY6x2UH84um5&#10;DxA/CWdIMhoacH5ZVnb8AnFMnVNSNetulNZ5htqSHlGvqndX+cUlhOjaYpHEYuw2WXHYDRO1nWtP&#10;yKzHJWioxZ2nRH+2qHHal9kIs7GbjYMPat/lhUqtgP9wiNhO7jJVGGGnwji9zHPatLQef/s56+nv&#10;2j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hdVYP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VuTOXTAQAApQMAAA4AAAAAAAAAAQAgAAAA&#10;IgEAAGRycy9lMm9Eb2MueG1sUEsFBgAAAAAGAAYAWQEAAGc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l7rFAQAAkAMAAA4AAABkcnMvZTJvRG9jLnhtbK1TzY7TMBC+I/EO&#10;lu80aR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PsJe6xQEAAJA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D11AB"/>
    <w:multiLevelType w:val="singleLevel"/>
    <w:tmpl w:val="379D11AB"/>
    <w:lvl w:ilvl="0" w:tentative="0">
      <w:start w:val="1"/>
      <w:numFmt w:val="decimal"/>
      <w:lvlText w:val="%1."/>
      <w:lvlJc w:val="left"/>
      <w:pPr>
        <w:tabs>
          <w:tab w:val="left" w:pos="312"/>
        </w:tabs>
      </w:pPr>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OGIwNGUyNzJmYmQ0ODg3OTA3MTYxOWZiMjBjO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A09FD"/>
    <w:rsid w:val="025F0711"/>
    <w:rsid w:val="026B2E25"/>
    <w:rsid w:val="02824D4D"/>
    <w:rsid w:val="02AC2559"/>
    <w:rsid w:val="02DC4B10"/>
    <w:rsid w:val="02DD76CE"/>
    <w:rsid w:val="02F36323"/>
    <w:rsid w:val="02F5619C"/>
    <w:rsid w:val="0326446A"/>
    <w:rsid w:val="032D5555"/>
    <w:rsid w:val="036634D2"/>
    <w:rsid w:val="03DD35E4"/>
    <w:rsid w:val="04076900"/>
    <w:rsid w:val="041A5A3B"/>
    <w:rsid w:val="042311BA"/>
    <w:rsid w:val="042B157A"/>
    <w:rsid w:val="04555F95"/>
    <w:rsid w:val="048F763B"/>
    <w:rsid w:val="049B1150"/>
    <w:rsid w:val="049F330E"/>
    <w:rsid w:val="04AA775C"/>
    <w:rsid w:val="04AF1889"/>
    <w:rsid w:val="04EF43C3"/>
    <w:rsid w:val="04F66F48"/>
    <w:rsid w:val="0504074C"/>
    <w:rsid w:val="050A0BF9"/>
    <w:rsid w:val="05251E14"/>
    <w:rsid w:val="05A16594"/>
    <w:rsid w:val="05A7762D"/>
    <w:rsid w:val="060E5941"/>
    <w:rsid w:val="06110FAF"/>
    <w:rsid w:val="06493CA7"/>
    <w:rsid w:val="065A6178"/>
    <w:rsid w:val="066F1CF3"/>
    <w:rsid w:val="06930BB8"/>
    <w:rsid w:val="07122BE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1E17EE"/>
    <w:rsid w:val="0A3E7710"/>
    <w:rsid w:val="0A5B7E63"/>
    <w:rsid w:val="0AA374A5"/>
    <w:rsid w:val="0AAB7649"/>
    <w:rsid w:val="0ABC5606"/>
    <w:rsid w:val="0AE278DF"/>
    <w:rsid w:val="0B30404E"/>
    <w:rsid w:val="0B4C6C14"/>
    <w:rsid w:val="0B4F1E49"/>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733A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B52963"/>
    <w:rsid w:val="0DD63300"/>
    <w:rsid w:val="0DF50604"/>
    <w:rsid w:val="0DF702FE"/>
    <w:rsid w:val="0E060E51"/>
    <w:rsid w:val="0E5604B2"/>
    <w:rsid w:val="0E6D5D79"/>
    <w:rsid w:val="0E850DF2"/>
    <w:rsid w:val="0E9D0089"/>
    <w:rsid w:val="0EB126E9"/>
    <w:rsid w:val="0EB803EE"/>
    <w:rsid w:val="0EF94D4B"/>
    <w:rsid w:val="0F212F9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F0EAA"/>
    <w:rsid w:val="10C26171"/>
    <w:rsid w:val="10F33360"/>
    <w:rsid w:val="10FC16EA"/>
    <w:rsid w:val="110E15E8"/>
    <w:rsid w:val="110F1D40"/>
    <w:rsid w:val="11266F33"/>
    <w:rsid w:val="117966F7"/>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851FC"/>
    <w:rsid w:val="144F3DF5"/>
    <w:rsid w:val="146D271E"/>
    <w:rsid w:val="14982588"/>
    <w:rsid w:val="149A5AD9"/>
    <w:rsid w:val="14A7619D"/>
    <w:rsid w:val="14D902A4"/>
    <w:rsid w:val="150536C3"/>
    <w:rsid w:val="150C1963"/>
    <w:rsid w:val="151447A0"/>
    <w:rsid w:val="154A6454"/>
    <w:rsid w:val="15762120"/>
    <w:rsid w:val="158F1758"/>
    <w:rsid w:val="167E42F4"/>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4C076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88086E"/>
    <w:rsid w:val="1D1461C5"/>
    <w:rsid w:val="1D266CE1"/>
    <w:rsid w:val="1D3963AF"/>
    <w:rsid w:val="1D6A673C"/>
    <w:rsid w:val="1D9247AE"/>
    <w:rsid w:val="1DB567EC"/>
    <w:rsid w:val="1DD66C7A"/>
    <w:rsid w:val="1DF51A98"/>
    <w:rsid w:val="1E3D060F"/>
    <w:rsid w:val="1E3F7D2E"/>
    <w:rsid w:val="1E4134E4"/>
    <w:rsid w:val="1E5062B3"/>
    <w:rsid w:val="1E523514"/>
    <w:rsid w:val="1E714A66"/>
    <w:rsid w:val="1E802593"/>
    <w:rsid w:val="1E8B6156"/>
    <w:rsid w:val="1EA62707"/>
    <w:rsid w:val="1EA703CC"/>
    <w:rsid w:val="1EB7330C"/>
    <w:rsid w:val="1F0A0FF3"/>
    <w:rsid w:val="1F5771FF"/>
    <w:rsid w:val="1FE868A9"/>
    <w:rsid w:val="20034907"/>
    <w:rsid w:val="20173E4B"/>
    <w:rsid w:val="204E48BC"/>
    <w:rsid w:val="208921B3"/>
    <w:rsid w:val="208B1115"/>
    <w:rsid w:val="20973DEB"/>
    <w:rsid w:val="20B26522"/>
    <w:rsid w:val="20B44310"/>
    <w:rsid w:val="20E56222"/>
    <w:rsid w:val="211116EB"/>
    <w:rsid w:val="211803A6"/>
    <w:rsid w:val="216133FC"/>
    <w:rsid w:val="21690C01"/>
    <w:rsid w:val="21D56769"/>
    <w:rsid w:val="21E52EF3"/>
    <w:rsid w:val="21FB5D7B"/>
    <w:rsid w:val="22015E94"/>
    <w:rsid w:val="220A56BB"/>
    <w:rsid w:val="220B1C3D"/>
    <w:rsid w:val="221D1D20"/>
    <w:rsid w:val="22334A87"/>
    <w:rsid w:val="22AC64ED"/>
    <w:rsid w:val="22BE6801"/>
    <w:rsid w:val="233500BF"/>
    <w:rsid w:val="23377FF7"/>
    <w:rsid w:val="236B425F"/>
    <w:rsid w:val="23836192"/>
    <w:rsid w:val="23901F29"/>
    <w:rsid w:val="239C0061"/>
    <w:rsid w:val="23B908A4"/>
    <w:rsid w:val="23E95BEF"/>
    <w:rsid w:val="23FD0064"/>
    <w:rsid w:val="24036ACE"/>
    <w:rsid w:val="245375B0"/>
    <w:rsid w:val="24642C0A"/>
    <w:rsid w:val="2475006D"/>
    <w:rsid w:val="24B22173"/>
    <w:rsid w:val="24B95AD9"/>
    <w:rsid w:val="24BB79C6"/>
    <w:rsid w:val="24BE24DA"/>
    <w:rsid w:val="24CF5825"/>
    <w:rsid w:val="24D663E6"/>
    <w:rsid w:val="24D77F2B"/>
    <w:rsid w:val="258B00E2"/>
    <w:rsid w:val="25A917A6"/>
    <w:rsid w:val="25BE27CC"/>
    <w:rsid w:val="25F26033"/>
    <w:rsid w:val="25F74A5C"/>
    <w:rsid w:val="2628662C"/>
    <w:rsid w:val="262D45DE"/>
    <w:rsid w:val="266907CF"/>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E3886"/>
    <w:rsid w:val="289F7086"/>
    <w:rsid w:val="28C32028"/>
    <w:rsid w:val="28CC490F"/>
    <w:rsid w:val="28DE40AA"/>
    <w:rsid w:val="29345E77"/>
    <w:rsid w:val="293F26DB"/>
    <w:rsid w:val="294C65AD"/>
    <w:rsid w:val="295D104C"/>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C0B63"/>
    <w:rsid w:val="2CE82D6F"/>
    <w:rsid w:val="2D343236"/>
    <w:rsid w:val="2D702645"/>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2C7396"/>
    <w:rsid w:val="319C6071"/>
    <w:rsid w:val="31AC537E"/>
    <w:rsid w:val="31E3679B"/>
    <w:rsid w:val="31E732FD"/>
    <w:rsid w:val="32517576"/>
    <w:rsid w:val="32BE5C2C"/>
    <w:rsid w:val="32FB6478"/>
    <w:rsid w:val="331E3E1C"/>
    <w:rsid w:val="33263B3F"/>
    <w:rsid w:val="336963EB"/>
    <w:rsid w:val="33816EEB"/>
    <w:rsid w:val="3394067D"/>
    <w:rsid w:val="33EB55CD"/>
    <w:rsid w:val="33EC4C02"/>
    <w:rsid w:val="34000359"/>
    <w:rsid w:val="340D2360"/>
    <w:rsid w:val="3410665D"/>
    <w:rsid w:val="34211214"/>
    <w:rsid w:val="342E63AB"/>
    <w:rsid w:val="34950E68"/>
    <w:rsid w:val="34986E94"/>
    <w:rsid w:val="34AF62C9"/>
    <w:rsid w:val="34CB4388"/>
    <w:rsid w:val="34FA6E12"/>
    <w:rsid w:val="354D7158"/>
    <w:rsid w:val="35861753"/>
    <w:rsid w:val="358D5588"/>
    <w:rsid w:val="36056CF3"/>
    <w:rsid w:val="363A3B40"/>
    <w:rsid w:val="365302AE"/>
    <w:rsid w:val="365B4B65"/>
    <w:rsid w:val="36607A0A"/>
    <w:rsid w:val="366E227C"/>
    <w:rsid w:val="366F2E0D"/>
    <w:rsid w:val="367B6A5C"/>
    <w:rsid w:val="36A46DB4"/>
    <w:rsid w:val="36A74ADA"/>
    <w:rsid w:val="36AD60D5"/>
    <w:rsid w:val="36B224F9"/>
    <w:rsid w:val="36EA7EDD"/>
    <w:rsid w:val="36EC0CC9"/>
    <w:rsid w:val="373F410B"/>
    <w:rsid w:val="37CF42DE"/>
    <w:rsid w:val="37EE7094"/>
    <w:rsid w:val="38296C89"/>
    <w:rsid w:val="383002EB"/>
    <w:rsid w:val="38514471"/>
    <w:rsid w:val="38586797"/>
    <w:rsid w:val="385F3408"/>
    <w:rsid w:val="38BC0149"/>
    <w:rsid w:val="38D87D1C"/>
    <w:rsid w:val="39636459"/>
    <w:rsid w:val="396B7F6C"/>
    <w:rsid w:val="39784634"/>
    <w:rsid w:val="39B417A9"/>
    <w:rsid w:val="39FC5695"/>
    <w:rsid w:val="3A006D8E"/>
    <w:rsid w:val="3A3651E5"/>
    <w:rsid w:val="3A744481"/>
    <w:rsid w:val="3A8C7BEF"/>
    <w:rsid w:val="3A906246"/>
    <w:rsid w:val="3B2349B7"/>
    <w:rsid w:val="3B616CFF"/>
    <w:rsid w:val="3B6259F6"/>
    <w:rsid w:val="3B6D76D3"/>
    <w:rsid w:val="3B976654"/>
    <w:rsid w:val="3BC01EFC"/>
    <w:rsid w:val="3BCA786A"/>
    <w:rsid w:val="3BD31E2F"/>
    <w:rsid w:val="3BF15831"/>
    <w:rsid w:val="3C105946"/>
    <w:rsid w:val="3C471448"/>
    <w:rsid w:val="3C5F759A"/>
    <w:rsid w:val="3C6C525A"/>
    <w:rsid w:val="3C9D061C"/>
    <w:rsid w:val="3CCE23CB"/>
    <w:rsid w:val="3CD17D17"/>
    <w:rsid w:val="3D0F66A9"/>
    <w:rsid w:val="3D3C7F39"/>
    <w:rsid w:val="3D440F09"/>
    <w:rsid w:val="3D4504A0"/>
    <w:rsid w:val="3D8734BB"/>
    <w:rsid w:val="3D9A11D4"/>
    <w:rsid w:val="3DA16D89"/>
    <w:rsid w:val="3DA364BE"/>
    <w:rsid w:val="3DE041CB"/>
    <w:rsid w:val="3E0D48F6"/>
    <w:rsid w:val="3E126451"/>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766B5"/>
    <w:rsid w:val="3F6363FE"/>
    <w:rsid w:val="3F756B8F"/>
    <w:rsid w:val="3F95482B"/>
    <w:rsid w:val="4019356B"/>
    <w:rsid w:val="402C30CE"/>
    <w:rsid w:val="40592157"/>
    <w:rsid w:val="406E1CAE"/>
    <w:rsid w:val="40A0133A"/>
    <w:rsid w:val="40B25CC9"/>
    <w:rsid w:val="40C31A53"/>
    <w:rsid w:val="40FF545D"/>
    <w:rsid w:val="410067C8"/>
    <w:rsid w:val="418F0D2A"/>
    <w:rsid w:val="41D01505"/>
    <w:rsid w:val="42453350"/>
    <w:rsid w:val="42474939"/>
    <w:rsid w:val="424C3C57"/>
    <w:rsid w:val="42613FF3"/>
    <w:rsid w:val="42660D96"/>
    <w:rsid w:val="428667D2"/>
    <w:rsid w:val="42A4001B"/>
    <w:rsid w:val="42CD1CE0"/>
    <w:rsid w:val="42E1381E"/>
    <w:rsid w:val="42ED6459"/>
    <w:rsid w:val="42FE58DD"/>
    <w:rsid w:val="43174B3D"/>
    <w:rsid w:val="434B790E"/>
    <w:rsid w:val="4360274F"/>
    <w:rsid w:val="43977AB6"/>
    <w:rsid w:val="43A3342B"/>
    <w:rsid w:val="43C77C27"/>
    <w:rsid w:val="43DE09EE"/>
    <w:rsid w:val="44002FAD"/>
    <w:rsid w:val="440F185E"/>
    <w:rsid w:val="449101DD"/>
    <w:rsid w:val="44DE1391"/>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893F2B"/>
    <w:rsid w:val="46C4686E"/>
    <w:rsid w:val="46CA767F"/>
    <w:rsid w:val="473F1A7D"/>
    <w:rsid w:val="477B778F"/>
    <w:rsid w:val="478134C0"/>
    <w:rsid w:val="478203EC"/>
    <w:rsid w:val="478A34FC"/>
    <w:rsid w:val="47B025FA"/>
    <w:rsid w:val="47C74214"/>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893386"/>
    <w:rsid w:val="49B64211"/>
    <w:rsid w:val="49BA174B"/>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F48D8"/>
    <w:rsid w:val="4E793892"/>
    <w:rsid w:val="4E800872"/>
    <w:rsid w:val="4EC569ED"/>
    <w:rsid w:val="4ED50EA1"/>
    <w:rsid w:val="4EEC050C"/>
    <w:rsid w:val="4F104EC3"/>
    <w:rsid w:val="4F47354A"/>
    <w:rsid w:val="4F6B32AC"/>
    <w:rsid w:val="4F911C54"/>
    <w:rsid w:val="4FE625E0"/>
    <w:rsid w:val="5020302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71D9D"/>
    <w:rsid w:val="58B85899"/>
    <w:rsid w:val="58CE507A"/>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25448"/>
    <w:rsid w:val="5AA85BE2"/>
    <w:rsid w:val="5AAD6F28"/>
    <w:rsid w:val="5AC6441F"/>
    <w:rsid w:val="5AD63A24"/>
    <w:rsid w:val="5B2E1A1D"/>
    <w:rsid w:val="5B705D94"/>
    <w:rsid w:val="5B843A1C"/>
    <w:rsid w:val="5B873E3F"/>
    <w:rsid w:val="5BE1734D"/>
    <w:rsid w:val="5C02690E"/>
    <w:rsid w:val="5C196DA7"/>
    <w:rsid w:val="5C2A048C"/>
    <w:rsid w:val="5C593F1E"/>
    <w:rsid w:val="5C80234E"/>
    <w:rsid w:val="5C8A680C"/>
    <w:rsid w:val="5C9122C7"/>
    <w:rsid w:val="5CAD2216"/>
    <w:rsid w:val="5D0C4701"/>
    <w:rsid w:val="5D0F0395"/>
    <w:rsid w:val="5D221076"/>
    <w:rsid w:val="5D397964"/>
    <w:rsid w:val="5D5A391C"/>
    <w:rsid w:val="5D5F10C0"/>
    <w:rsid w:val="5D6879E4"/>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D73A6"/>
    <w:rsid w:val="5F6062E3"/>
    <w:rsid w:val="5F6277C6"/>
    <w:rsid w:val="5F6D0B1D"/>
    <w:rsid w:val="5F8D0B82"/>
    <w:rsid w:val="5FA771D4"/>
    <w:rsid w:val="5FCC5339"/>
    <w:rsid w:val="5FE34A5B"/>
    <w:rsid w:val="5FFE1E36"/>
    <w:rsid w:val="60232584"/>
    <w:rsid w:val="607330CE"/>
    <w:rsid w:val="60825176"/>
    <w:rsid w:val="609F2AC4"/>
    <w:rsid w:val="60FA2EE8"/>
    <w:rsid w:val="61054A27"/>
    <w:rsid w:val="610A52BC"/>
    <w:rsid w:val="611D2366"/>
    <w:rsid w:val="61421856"/>
    <w:rsid w:val="61447E20"/>
    <w:rsid w:val="615227C4"/>
    <w:rsid w:val="61654E3F"/>
    <w:rsid w:val="6182292A"/>
    <w:rsid w:val="619F7F92"/>
    <w:rsid w:val="61F94C26"/>
    <w:rsid w:val="62000E56"/>
    <w:rsid w:val="624F3E49"/>
    <w:rsid w:val="62632286"/>
    <w:rsid w:val="62885958"/>
    <w:rsid w:val="62EC11C6"/>
    <w:rsid w:val="62F23767"/>
    <w:rsid w:val="62F40B65"/>
    <w:rsid w:val="62FC2CFE"/>
    <w:rsid w:val="63024505"/>
    <w:rsid w:val="635600A5"/>
    <w:rsid w:val="635B1DB5"/>
    <w:rsid w:val="63711FED"/>
    <w:rsid w:val="63880DDC"/>
    <w:rsid w:val="638D750D"/>
    <w:rsid w:val="63AC6CC0"/>
    <w:rsid w:val="64055776"/>
    <w:rsid w:val="64240056"/>
    <w:rsid w:val="64276B94"/>
    <w:rsid w:val="643E143A"/>
    <w:rsid w:val="64491666"/>
    <w:rsid w:val="648B6EEF"/>
    <w:rsid w:val="64C158BF"/>
    <w:rsid w:val="64CE2EAA"/>
    <w:rsid w:val="65364288"/>
    <w:rsid w:val="653C3090"/>
    <w:rsid w:val="65854376"/>
    <w:rsid w:val="658767BE"/>
    <w:rsid w:val="65892531"/>
    <w:rsid w:val="660A758F"/>
    <w:rsid w:val="66195831"/>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55852"/>
    <w:rsid w:val="67EB1AB4"/>
    <w:rsid w:val="67FA1285"/>
    <w:rsid w:val="68551F4F"/>
    <w:rsid w:val="687C10C9"/>
    <w:rsid w:val="68840C16"/>
    <w:rsid w:val="68876EFB"/>
    <w:rsid w:val="68884654"/>
    <w:rsid w:val="689F444F"/>
    <w:rsid w:val="68B96DBB"/>
    <w:rsid w:val="68CA2805"/>
    <w:rsid w:val="68D66492"/>
    <w:rsid w:val="68D679DF"/>
    <w:rsid w:val="68E937A3"/>
    <w:rsid w:val="69063995"/>
    <w:rsid w:val="693E15D3"/>
    <w:rsid w:val="69627681"/>
    <w:rsid w:val="6977531D"/>
    <w:rsid w:val="69CC2BFF"/>
    <w:rsid w:val="69FD55B8"/>
    <w:rsid w:val="6A0B1C62"/>
    <w:rsid w:val="6A2406C8"/>
    <w:rsid w:val="6A9B5D2D"/>
    <w:rsid w:val="6ADE0BD1"/>
    <w:rsid w:val="6AE96859"/>
    <w:rsid w:val="6B147746"/>
    <w:rsid w:val="6B24787C"/>
    <w:rsid w:val="6B573233"/>
    <w:rsid w:val="6B5B6274"/>
    <w:rsid w:val="6B935D53"/>
    <w:rsid w:val="6C032012"/>
    <w:rsid w:val="6C187481"/>
    <w:rsid w:val="6C196F71"/>
    <w:rsid w:val="6C226FCB"/>
    <w:rsid w:val="6C31226F"/>
    <w:rsid w:val="6C552F0B"/>
    <w:rsid w:val="6C8C67B7"/>
    <w:rsid w:val="6C9D744C"/>
    <w:rsid w:val="6CB1188F"/>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544B7"/>
    <w:rsid w:val="6EFF1A27"/>
    <w:rsid w:val="6F2A7D94"/>
    <w:rsid w:val="6F6D5E81"/>
    <w:rsid w:val="6F8331F1"/>
    <w:rsid w:val="6F996EF5"/>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622E5"/>
    <w:rsid w:val="742222F5"/>
    <w:rsid w:val="74476126"/>
    <w:rsid w:val="74706664"/>
    <w:rsid w:val="747F3682"/>
    <w:rsid w:val="749C4185"/>
    <w:rsid w:val="74B73BD4"/>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6449A"/>
    <w:rsid w:val="77472422"/>
    <w:rsid w:val="777F31F2"/>
    <w:rsid w:val="77D1700D"/>
    <w:rsid w:val="77EC04CC"/>
    <w:rsid w:val="78224A61"/>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B257FFD"/>
    <w:rsid w:val="7B343476"/>
    <w:rsid w:val="7B5A2978"/>
    <w:rsid w:val="7B5A7E4C"/>
    <w:rsid w:val="7B667AF9"/>
    <w:rsid w:val="7B6E188D"/>
    <w:rsid w:val="7B7468F8"/>
    <w:rsid w:val="7B8A4C7B"/>
    <w:rsid w:val="7BEE0103"/>
    <w:rsid w:val="7C0A0FE4"/>
    <w:rsid w:val="7C254906"/>
    <w:rsid w:val="7C4A7B9A"/>
    <w:rsid w:val="7C590818"/>
    <w:rsid w:val="7C5A0786"/>
    <w:rsid w:val="7C7C10F6"/>
    <w:rsid w:val="7C853BEA"/>
    <w:rsid w:val="7C881368"/>
    <w:rsid w:val="7CE27788"/>
    <w:rsid w:val="7D0C32F1"/>
    <w:rsid w:val="7D0F408D"/>
    <w:rsid w:val="7D491C6C"/>
    <w:rsid w:val="7D5429C0"/>
    <w:rsid w:val="7D6E6D43"/>
    <w:rsid w:val="7D847129"/>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725"/>
    <w:autoRedefine/>
    <w:qFormat/>
    <w:uiPriority w:val="0"/>
    <w:rPr>
      <w:sz w:val="18"/>
      <w:szCs w:val="18"/>
    </w:rPr>
  </w:style>
  <w:style w:type="paragraph" w:styleId="6">
    <w:name w:val="Normal Indent"/>
    <w:basedOn w:val="1"/>
    <w:next w:val="7"/>
    <w:link w:val="729"/>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792"/>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6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6"/>
    <w:autoRedefine/>
    <w:qFormat/>
    <w:uiPriority w:val="0"/>
    <w:pPr>
      <w:shd w:val="clear" w:color="auto" w:fill="000080"/>
    </w:pPr>
  </w:style>
  <w:style w:type="paragraph" w:styleId="21">
    <w:name w:val="annotation text"/>
    <w:basedOn w:val="1"/>
    <w:link w:val="864"/>
    <w:autoRedefine/>
    <w:qFormat/>
    <w:uiPriority w:val="99"/>
    <w:pPr>
      <w:jc w:val="left"/>
    </w:pPr>
  </w:style>
  <w:style w:type="paragraph" w:styleId="22">
    <w:name w:val="Salutation"/>
    <w:basedOn w:val="1"/>
    <w:next w:val="1"/>
    <w:link w:val="824"/>
    <w:autoRedefine/>
    <w:qFormat/>
    <w:uiPriority w:val="0"/>
    <w:rPr>
      <w:rFonts w:ascii="仿宋_GB2312" w:eastAsia="仿宋_GB2312"/>
      <w:sz w:val="28"/>
      <w:szCs w:val="20"/>
    </w:rPr>
  </w:style>
  <w:style w:type="paragraph" w:styleId="23">
    <w:name w:val="Body Text 3"/>
    <w:basedOn w:val="1"/>
    <w:link w:val="85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3"/>
    <w:autoRedefine/>
    <w:qFormat/>
    <w:uiPriority w:val="0"/>
    <w:pPr>
      <w:ind w:firstLine="420"/>
    </w:pPr>
    <w:rPr>
      <w:rFonts w:hAnsi="Calibri" w:cs="Times New Roman"/>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8"/>
    <w:autoRedefine/>
    <w:qFormat/>
    <w:uiPriority w:val="0"/>
    <w:pPr>
      <w:ind w:left="100" w:leftChars="2500"/>
    </w:pPr>
    <w:rPr>
      <w:rFonts w:ascii="宋体"/>
      <w:sz w:val="24"/>
      <w:szCs w:val="21"/>
      <w:lang w:val="zh-CN"/>
    </w:rPr>
  </w:style>
  <w:style w:type="paragraph" w:styleId="39">
    <w:name w:val="Body Text Indent 2"/>
    <w:basedOn w:val="1"/>
    <w:link w:val="83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9"/>
    <w:autoRedefine/>
    <w:qFormat/>
    <w:uiPriority w:val="0"/>
    <w:rPr>
      <w:lang w:val="zh-CN"/>
    </w:rPr>
  </w:style>
  <w:style w:type="paragraph" w:styleId="41">
    <w:name w:val="footer"/>
    <w:basedOn w:val="1"/>
    <w:link w:val="900"/>
    <w:autoRedefine/>
    <w:qFormat/>
    <w:uiPriority w:val="99"/>
    <w:pPr>
      <w:tabs>
        <w:tab w:val="center" w:pos="4153"/>
        <w:tab w:val="right" w:pos="8306"/>
      </w:tabs>
      <w:snapToGrid w:val="0"/>
      <w:jc w:val="left"/>
    </w:pPr>
    <w:rPr>
      <w:sz w:val="18"/>
      <w:szCs w:val="18"/>
    </w:rPr>
  </w:style>
  <w:style w:type="paragraph" w:styleId="42">
    <w:name w:val="header"/>
    <w:basedOn w:val="1"/>
    <w:next w:val="43"/>
    <w:link w:val="90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4">
    <w:name w:val="Signature"/>
    <w:basedOn w:val="1"/>
    <w:link w:val="86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7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834"/>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8"/>
    <w:autoRedefine/>
    <w:qFormat/>
    <w:uiPriority w:val="0"/>
    <w:pPr>
      <w:spacing w:after="120" w:line="480" w:lineRule="auto"/>
    </w:pPr>
  </w:style>
  <w:style w:type="paragraph" w:styleId="58">
    <w:name w:val="HTML Preformatted"/>
    <w:basedOn w:val="1"/>
    <w:link w:val="82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2"/>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41"/>
    <w:autoRedefine/>
    <w:qFormat/>
    <w:uiPriority w:val="0"/>
    <w:rPr>
      <w:b/>
      <w:bCs/>
    </w:rPr>
  </w:style>
  <w:style w:type="paragraph" w:styleId="62">
    <w:name w:val="Body Text First Indent 2"/>
    <w:basedOn w:val="7"/>
    <w:next w:val="1"/>
    <w:link w:val="66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s>
      <w:ind w:left="106" w:firstLine="454"/>
      <w:outlineLvl w:val="1"/>
    </w:pPr>
    <w:rPr>
      <w:rFonts w:ascii="Arial" w:hAnsi="Arial" w:eastAsia="??"/>
      <w:b/>
      <w:bCs/>
      <w:szCs w:val="32"/>
    </w:rPr>
  </w:style>
  <w:style w:type="paragraph" w:customStyle="1" w:styleId="85">
    <w:name w:val="报告正文"/>
    <w:basedOn w:val="35"/>
    <w:autoRedefine/>
    <w:qFormat/>
    <w:uiPriority w:val="0"/>
    <w:pPr>
      <w:snapToGrid w:val="0"/>
      <w:spacing w:line="480" w:lineRule="exact"/>
      <w:ind w:firstLine="200" w:firstLineChars="200"/>
    </w:pPr>
    <w:rPr>
      <w:sz w:val="24"/>
    </w:rPr>
  </w:style>
  <w:style w:type="paragraph" w:customStyle="1" w:styleId="86">
    <w:name w:val="表格非标题文字"/>
    <w:link w:val="63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1"/>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9"/>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6"/>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92"/>
    <w:link w:val="673"/>
    <w:autoRedefine/>
    <w:qFormat/>
    <w:uiPriority w:val="0"/>
    <w:pPr>
      <w:spacing w:before="156" w:line="360" w:lineRule="auto"/>
      <w:ind w:firstLine="510" w:firstLineChars="200"/>
    </w:pPr>
    <w:rPr>
      <w:sz w:val="24"/>
      <w:szCs w:val="20"/>
    </w:rPr>
  </w:style>
  <w:style w:type="paragraph" w:customStyle="1" w:styleId="92">
    <w:name w:val="正文11"/>
    <w:next w:val="84"/>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3">
    <w:name w:val="无间隔1"/>
    <w:link w:val="681"/>
    <w:autoRedefine/>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9"/>
    <w:autoRedefine/>
    <w:qFormat/>
    <w:uiPriority w:val="0"/>
    <w:rPr>
      <w:rFonts w:ascii="宋体" w:hAnsi="Courier New"/>
      <w:szCs w:val="21"/>
    </w:rPr>
  </w:style>
  <w:style w:type="paragraph" w:customStyle="1" w:styleId="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9"/>
    <w:autoRedefine/>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4"/>
    <w:link w:val="70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8"/>
    <w:autoRedefine/>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4"/>
    <w:autoRedefine/>
    <w:qFormat/>
    <w:uiPriority w:val="0"/>
    <w:pPr>
      <w:ind w:left="0" w:right="466" w:firstLine="288"/>
    </w:pPr>
    <w:rPr>
      <w:rFonts w:hAnsi="宋体"/>
    </w:rPr>
  </w:style>
  <w:style w:type="paragraph" w:customStyle="1" w:styleId="100">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6"/>
    <w:autoRedefine/>
    <w:qFormat/>
    <w:uiPriority w:val="0"/>
    <w:pPr>
      <w:adjustRightInd/>
      <w:spacing w:line="360" w:lineRule="auto"/>
      <w:ind w:firstLine="480" w:firstLineChars="200"/>
    </w:pPr>
    <w:rPr>
      <w:kern w:val="0"/>
      <w:sz w:val="24"/>
    </w:rPr>
  </w:style>
  <w:style w:type="paragraph" w:customStyle="1" w:styleId="105">
    <w:name w:val="gf正文1"/>
    <w:basedOn w:val="1"/>
    <w:link w:val="78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07"/>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9"/>
    <w:autoRedefine/>
    <w:qFormat/>
    <w:uiPriority w:val="0"/>
    <w:pPr>
      <w:tabs>
        <w:tab w:val="left" w:pos="2356"/>
      </w:tabs>
    </w:pPr>
  </w:style>
  <w:style w:type="paragraph" w:customStyle="1" w:styleId="110">
    <w:name w:val="样式 标题 4h4H4Fab-4T5Ref Heading 1rh1Heading sqlsect 1.2.3...."/>
    <w:basedOn w:val="8"/>
    <w:link w:val="92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4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2"/>
    <w:autoRedefine/>
    <w:qFormat/>
    <w:uiPriority w:val="0"/>
    <w:pPr>
      <w:adjustRightInd/>
    </w:pPr>
    <w:rPr>
      <w:rFonts w:ascii="宋体" w:hAnsi="Courier New"/>
      <w:kern w:val="0"/>
      <w:sz w:val="20"/>
      <w:szCs w:val="20"/>
    </w:rPr>
  </w:style>
  <w:style w:type="paragraph" w:customStyle="1" w:styleId="113">
    <w:name w:val="正文说明"/>
    <w:basedOn w:val="1"/>
    <w:link w:val="854"/>
    <w:autoRedefine/>
    <w:qFormat/>
    <w:uiPriority w:val="0"/>
    <w:pPr>
      <w:adjustRightInd/>
      <w:spacing w:line="360" w:lineRule="auto"/>
    </w:pPr>
    <w:rPr>
      <w:kern w:val="0"/>
      <w:sz w:val="24"/>
    </w:rPr>
  </w:style>
  <w:style w:type="paragraph" w:customStyle="1" w:styleId="114">
    <w:name w:val="Table Text"/>
    <w:basedOn w:val="1"/>
    <w:link w:val="860"/>
    <w:autoRedefine/>
    <w:qFormat/>
    <w:uiPriority w:val="0"/>
    <w:pPr>
      <w:widowControl/>
      <w:spacing w:before="60" w:after="60"/>
      <w:jc w:val="left"/>
    </w:pPr>
    <w:rPr>
      <w:kern w:val="0"/>
      <w:sz w:val="24"/>
    </w:rPr>
  </w:style>
  <w:style w:type="paragraph" w:customStyle="1" w:styleId="115">
    <w:name w:val="公文正文"/>
    <w:basedOn w:val="1"/>
    <w:link w:val="872"/>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5"/>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2"/>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5"/>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8"/>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6"/>
    <w:link w:val="94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50"/>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5"/>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9"/>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5"/>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8"/>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Char"/>
    <w:basedOn w:val="1"/>
    <w:autoRedefine/>
    <w:qFormat/>
    <w:uiPriority w:val="0"/>
    <w:rPr>
      <w:rFonts w:ascii="仿宋_GB2312" w:eastAsia="仿宋_GB2312"/>
      <w:b/>
      <w:sz w:val="32"/>
      <w:szCs w:val="32"/>
    </w:rPr>
  </w:style>
  <w:style w:type="paragraph" w:customStyle="1" w:styleId="24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autoRedefine/>
    <w:qFormat/>
    <w:uiPriority w:val="0"/>
    <w:rPr>
      <w:szCs w:val="20"/>
    </w:rPr>
  </w:style>
  <w:style w:type="paragraph" w:customStyle="1" w:styleId="24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autoRedefine/>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autoRedefine/>
    <w:qFormat/>
    <w:uiPriority w:val="0"/>
    <w:rPr>
      <w:szCs w:val="20"/>
    </w:rPr>
  </w:style>
  <w:style w:type="paragraph" w:customStyle="1" w:styleId="2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autoRedefine/>
    <w:qFormat/>
    <w:uiPriority w:val="0"/>
    <w:rPr>
      <w:rFonts w:ascii="Tahoma" w:hAnsi="Tahoma"/>
      <w:sz w:val="24"/>
      <w:szCs w:val="20"/>
    </w:rPr>
  </w:style>
  <w:style w:type="paragraph" w:customStyle="1" w:styleId="274">
    <w:name w:val="标题五"/>
    <w:basedOn w:val="1"/>
    <w:autoRedefine/>
    <w:qFormat/>
    <w:uiPriority w:val="0"/>
    <w:pPr>
      <w:adjustRightInd/>
      <w:spacing w:before="156" w:beforeLines="50" w:line="360" w:lineRule="auto"/>
    </w:pPr>
    <w:rPr>
      <w:b/>
      <w:sz w:val="24"/>
    </w:rPr>
  </w:style>
  <w:style w:type="paragraph" w:customStyle="1" w:styleId="275">
    <w:name w:val="Char Char1101"/>
    <w:basedOn w:val="1"/>
    <w:autoRedefine/>
    <w:qFormat/>
    <w:uiPriority w:val="0"/>
    <w:pPr>
      <w:spacing w:line="360" w:lineRule="auto"/>
    </w:pPr>
    <w:rPr>
      <w:rFonts w:ascii="Tahoma" w:hAnsi="Tahoma"/>
      <w:sz w:val="24"/>
      <w:szCs w:val="20"/>
    </w:rPr>
  </w:style>
  <w:style w:type="paragraph" w:customStyle="1" w:styleId="276">
    <w:name w:val="Char Char Char Char Char Char Char Char1"/>
    <w:basedOn w:val="1"/>
    <w:autoRedefine/>
    <w:qFormat/>
    <w:uiPriority w:val="0"/>
    <w:pPr>
      <w:tabs>
        <w:tab w:val="left" w:pos="360"/>
      </w:tabs>
    </w:pPr>
    <w:rPr>
      <w:sz w:val="24"/>
      <w:szCs w:val="20"/>
    </w:rPr>
  </w:style>
  <w:style w:type="paragraph" w:customStyle="1" w:styleId="277">
    <w:name w:val="Char Char Char 字元 字元"/>
    <w:basedOn w:val="1"/>
    <w:autoRedefine/>
    <w:qFormat/>
    <w:uiPriority w:val="0"/>
    <w:pPr>
      <w:adjustRightInd/>
      <w:spacing w:line="360" w:lineRule="auto"/>
      <w:ind w:firstLine="200" w:firstLineChars="200"/>
    </w:pPr>
    <w:rPr>
      <w:szCs w:val="20"/>
    </w:rPr>
  </w:style>
  <w:style w:type="paragraph" w:customStyle="1" w:styleId="27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autoRedefine/>
    <w:qFormat/>
    <w:uiPriority w:val="0"/>
    <w:rPr>
      <w:rFonts w:ascii="仿宋_GB2312" w:eastAsia="仿宋_GB2312"/>
      <w:b/>
      <w:sz w:val="32"/>
      <w:szCs w:val="32"/>
    </w:rPr>
  </w:style>
  <w:style w:type="paragraph" w:customStyle="1" w:styleId="28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autoRedefine/>
    <w:qFormat/>
    <w:uiPriority w:val="0"/>
    <w:pPr>
      <w:adjustRightInd/>
    </w:pPr>
    <w:rPr>
      <w:sz w:val="18"/>
      <w:szCs w:val="20"/>
    </w:rPr>
  </w:style>
  <w:style w:type="paragraph" w:customStyle="1" w:styleId="28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autoRedefine/>
    <w:qFormat/>
    <w:uiPriority w:val="0"/>
    <w:pPr>
      <w:snapToGrid w:val="0"/>
      <w:spacing w:line="360" w:lineRule="auto"/>
    </w:pPr>
    <w:rPr>
      <w:rFonts w:ascii="宋体"/>
      <w:b/>
      <w:sz w:val="24"/>
      <w:szCs w:val="20"/>
    </w:rPr>
  </w:style>
  <w:style w:type="paragraph" w:customStyle="1" w:styleId="2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autoRedefine/>
    <w:qFormat/>
    <w:uiPriority w:val="7"/>
    <w:pPr>
      <w:adjustRightInd/>
    </w:pPr>
    <w:rPr>
      <w:rFonts w:ascii="宋体" w:hAnsi="Courier New"/>
    </w:rPr>
  </w:style>
  <w:style w:type="paragraph" w:customStyle="1" w:styleId="298">
    <w:name w:val="Char3"/>
    <w:basedOn w:val="1"/>
    <w:autoRedefine/>
    <w:qFormat/>
    <w:uiPriority w:val="0"/>
    <w:pPr>
      <w:adjustRightInd/>
    </w:pPr>
    <w:rPr>
      <w:rFonts w:ascii="仿宋_GB2312" w:eastAsia="仿宋_GB2312"/>
      <w:b/>
      <w:sz w:val="32"/>
      <w:szCs w:val="32"/>
    </w:rPr>
  </w:style>
  <w:style w:type="paragraph" w:customStyle="1" w:styleId="2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autoRedefine/>
    <w:qFormat/>
    <w:uiPriority w:val="0"/>
    <w:pPr>
      <w:widowControl/>
      <w:adjustRightInd/>
      <w:spacing w:after="160" w:line="240" w:lineRule="exact"/>
      <w:jc w:val="left"/>
    </w:pPr>
    <w:rPr>
      <w:szCs w:val="20"/>
    </w:rPr>
  </w:style>
  <w:style w:type="paragraph" w:customStyle="1" w:styleId="307">
    <w:name w:val="表格标题2"/>
    <w:basedOn w:val="308"/>
    <w:autoRedefine/>
    <w:qFormat/>
    <w:uiPriority w:val="0"/>
    <w:rPr>
      <w:b/>
    </w:rPr>
  </w:style>
  <w:style w:type="paragraph" w:customStyle="1" w:styleId="308">
    <w:name w:val="表格内文"/>
    <w:basedOn w:val="1"/>
    <w:autoRedefine/>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autoRedefine/>
    <w:qFormat/>
    <w:uiPriority w:val="0"/>
    <w:rPr>
      <w:rFonts w:ascii="仿宋_GB2312" w:eastAsia="仿宋_GB2312"/>
      <w:b/>
      <w:sz w:val="32"/>
      <w:szCs w:val="32"/>
    </w:rPr>
  </w:style>
  <w:style w:type="paragraph" w:customStyle="1" w:styleId="31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autoRedefine/>
    <w:qFormat/>
    <w:uiPriority w:val="0"/>
    <w:pPr>
      <w:spacing w:line="360" w:lineRule="auto"/>
    </w:pPr>
    <w:rPr>
      <w:szCs w:val="20"/>
    </w:rPr>
  </w:style>
  <w:style w:type="paragraph" w:customStyle="1" w:styleId="31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5">
    <w:name w:val="MM Topic 1"/>
    <w:basedOn w:val="3"/>
    <w:autoRedefine/>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autoRedefine/>
    <w:qFormat/>
    <w:uiPriority w:val="0"/>
    <w:pPr>
      <w:spacing w:line="360" w:lineRule="auto"/>
      <w:ind w:firstLine="200" w:firstLineChars="200"/>
    </w:pPr>
    <w:rPr>
      <w:kern w:val="0"/>
      <w:sz w:val="24"/>
      <w:szCs w:val="20"/>
    </w:rPr>
  </w:style>
  <w:style w:type="paragraph" w:customStyle="1" w:styleId="318">
    <w:name w:val="表格"/>
    <w:basedOn w:val="1"/>
    <w:autoRedefine/>
    <w:qFormat/>
    <w:uiPriority w:val="0"/>
    <w:pPr>
      <w:snapToGrid w:val="0"/>
      <w:ind w:firstLine="42" w:firstLineChars="21"/>
    </w:pPr>
    <w:rPr>
      <w:rFonts w:ascii="宋体" w:hAnsi="宋体"/>
      <w:kern w:val="0"/>
      <w:sz w:val="20"/>
      <w:szCs w:val="20"/>
    </w:rPr>
  </w:style>
  <w:style w:type="paragraph" w:customStyle="1" w:styleId="319">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autoRedefine/>
    <w:qFormat/>
    <w:uiPriority w:val="0"/>
    <w:pPr>
      <w:adjustRightInd/>
      <w:spacing w:line="300" w:lineRule="auto"/>
      <w:jc w:val="center"/>
    </w:pPr>
  </w:style>
  <w:style w:type="paragraph" w:customStyle="1" w:styleId="324">
    <w:name w:val="_Style 6"/>
    <w:basedOn w:val="1"/>
    <w:autoRedefine/>
    <w:qFormat/>
    <w:uiPriority w:val="34"/>
    <w:pPr>
      <w:adjustRightInd/>
      <w:ind w:firstLine="420" w:firstLineChars="200"/>
    </w:pPr>
    <w:rPr>
      <w:rFonts w:eastAsia="仿宋_GB2312"/>
      <w:sz w:val="28"/>
    </w:rPr>
  </w:style>
  <w:style w:type="paragraph" w:customStyle="1" w:styleId="32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autoRedefine/>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autoRedefine/>
    <w:qFormat/>
    <w:uiPriority w:val="0"/>
    <w:rPr>
      <w:rFonts w:ascii="仿宋_GB2312" w:eastAsia="仿宋_GB2312"/>
      <w:b/>
      <w:sz w:val="32"/>
      <w:szCs w:val="20"/>
    </w:rPr>
  </w:style>
  <w:style w:type="paragraph" w:customStyle="1" w:styleId="33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autoRedefine/>
    <w:qFormat/>
    <w:uiPriority w:val="0"/>
    <w:pPr>
      <w:adjustRightInd/>
      <w:ind w:firstLine="200" w:firstLineChars="200"/>
    </w:pPr>
    <w:rPr>
      <w:rFonts w:ascii="Tahoma" w:hAnsi="Tahoma"/>
      <w:sz w:val="24"/>
      <w:szCs w:val="20"/>
    </w:rPr>
  </w:style>
  <w:style w:type="paragraph" w:customStyle="1" w:styleId="337">
    <w:name w:val="a1"/>
    <w:basedOn w:val="1"/>
    <w:autoRedefine/>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autoRedefine/>
    <w:qFormat/>
    <w:uiPriority w:val="0"/>
    <w:pPr>
      <w:spacing w:after="156" w:afterLines="50"/>
      <w:jc w:val="left"/>
      <w:outlineLvl w:val="3"/>
    </w:pPr>
    <w:rPr>
      <w:sz w:val="24"/>
      <w:szCs w:val="24"/>
    </w:rPr>
  </w:style>
  <w:style w:type="paragraph" w:customStyle="1" w:styleId="33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autoRedefine/>
    <w:qFormat/>
    <w:uiPriority w:val="0"/>
    <w:pPr>
      <w:adjustRightInd/>
    </w:pPr>
    <w:rPr>
      <w:rFonts w:ascii="Tahoma" w:hAnsi="Tahoma"/>
      <w:sz w:val="24"/>
      <w:szCs w:val="20"/>
    </w:rPr>
  </w:style>
  <w:style w:type="paragraph" w:customStyle="1" w:styleId="34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autoRedefine/>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autoRedefine/>
    <w:qFormat/>
    <w:uiPriority w:val="0"/>
    <w:pPr>
      <w:tabs>
        <w:tab w:val="left" w:pos="1260"/>
        <w:tab w:val="left" w:pos="1680"/>
        <w:tab w:val="left" w:pos="2100"/>
      </w:tabs>
      <w:ind w:left="0"/>
      <w:outlineLvl w:val="3"/>
    </w:pPr>
  </w:style>
  <w:style w:type="paragraph" w:customStyle="1" w:styleId="347">
    <w:name w:val="一级条标题"/>
    <w:basedOn w:val="348"/>
    <w:next w:val="330"/>
    <w:autoRedefine/>
    <w:qFormat/>
    <w:uiPriority w:val="0"/>
    <w:pPr>
      <w:tabs>
        <w:tab w:val="left" w:pos="1260"/>
        <w:tab w:val="left" w:pos="1680"/>
      </w:tabs>
      <w:spacing w:before="0" w:beforeLines="0" w:after="0" w:afterLines="0"/>
      <w:ind w:left="1680"/>
      <w:outlineLvl w:val="2"/>
    </w:pPr>
  </w:style>
  <w:style w:type="paragraph" w:customStyle="1" w:styleId="348">
    <w:name w:val="章标题"/>
    <w:next w:val="33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autoRedefine/>
    <w:qFormat/>
    <w:uiPriority w:val="0"/>
    <w:pPr>
      <w:tabs>
        <w:tab w:val="left" w:pos="840"/>
      </w:tabs>
      <w:spacing w:after="0"/>
      <w:ind w:left="900"/>
    </w:pPr>
  </w:style>
  <w:style w:type="paragraph" w:customStyle="1" w:styleId="35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autoRedefine/>
    <w:qFormat/>
    <w:uiPriority w:val="6"/>
    <w:pPr>
      <w:widowControl/>
      <w:adjustRightInd/>
      <w:ind w:left="720" w:hanging="720"/>
    </w:pPr>
    <w:rPr>
      <w:color w:val="000000"/>
      <w:kern w:val="0"/>
      <w:sz w:val="24"/>
      <w:szCs w:val="20"/>
    </w:rPr>
  </w:style>
  <w:style w:type="paragraph" w:customStyle="1" w:styleId="358">
    <w:name w:val="表1"/>
    <w:basedOn w:val="1"/>
    <w:autoRedefine/>
    <w:qFormat/>
    <w:uiPriority w:val="0"/>
    <w:pPr>
      <w:tabs>
        <w:tab w:val="left" w:pos="703"/>
      </w:tabs>
      <w:adjustRightInd/>
      <w:spacing w:line="360" w:lineRule="auto"/>
      <w:ind w:left="703"/>
      <w:jc w:val="center"/>
    </w:pPr>
  </w:style>
  <w:style w:type="paragraph" w:customStyle="1" w:styleId="35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autoRedefine/>
    <w:qFormat/>
    <w:uiPriority w:val="0"/>
    <w:pPr>
      <w:jc w:val="left"/>
      <w:outlineLvl w:val="1"/>
    </w:pPr>
    <w:rPr>
      <w:rFonts w:ascii="Times New Roman" w:hAnsi="Times New Roman" w:eastAsia="仿宋"/>
      <w:sz w:val="30"/>
    </w:rPr>
  </w:style>
  <w:style w:type="paragraph" w:customStyle="1" w:styleId="36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autoRedefine/>
    <w:qFormat/>
    <w:uiPriority w:val="0"/>
    <w:pPr>
      <w:tabs>
        <w:tab w:val="left" w:pos="840"/>
      </w:tabs>
      <w:adjustRightInd/>
      <w:ind w:left="840" w:hanging="420"/>
    </w:pPr>
  </w:style>
  <w:style w:type="paragraph" w:customStyle="1" w:styleId="36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8"/>
    <w:autoRedefine/>
    <w:qFormat/>
    <w:uiPriority w:val="0"/>
    <w:pPr>
      <w:tabs>
        <w:tab w:val="left" w:pos="2100"/>
        <w:tab w:val="clear" w:pos="864"/>
      </w:tabs>
      <w:adjustRightInd/>
      <w:ind w:left="2100" w:hanging="420"/>
    </w:pPr>
    <w:rPr>
      <w:lang w:val="en-US"/>
    </w:rPr>
  </w:style>
  <w:style w:type="paragraph" w:customStyle="1" w:styleId="37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autoRedefine/>
    <w:qFormat/>
    <w:uiPriority w:val="6"/>
    <w:pPr>
      <w:spacing w:line="360" w:lineRule="auto"/>
    </w:pPr>
    <w:rPr>
      <w:szCs w:val="20"/>
    </w:rPr>
  </w:style>
  <w:style w:type="paragraph" w:customStyle="1" w:styleId="38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autoRedefine/>
    <w:qFormat/>
    <w:uiPriority w:val="0"/>
    <w:pPr>
      <w:adjustRightInd/>
      <w:spacing w:line="360" w:lineRule="auto"/>
      <w:jc w:val="center"/>
    </w:pPr>
    <w:rPr>
      <w:sz w:val="24"/>
    </w:rPr>
  </w:style>
  <w:style w:type="paragraph" w:customStyle="1" w:styleId="39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autoRedefine/>
    <w:qFormat/>
    <w:uiPriority w:val="6"/>
    <w:rPr>
      <w:rFonts w:ascii="仿宋_GB2312" w:eastAsia="仿宋_GB2312"/>
      <w:b/>
      <w:sz w:val="32"/>
      <w:szCs w:val="32"/>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7"/>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9"/>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5"/>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autoRedefine/>
    <w:qFormat/>
    <w:uiPriority w:val="0"/>
    <w:pPr>
      <w:snapToGrid w:val="0"/>
      <w:ind w:firstLine="480" w:firstLineChars="200"/>
    </w:pPr>
    <w:rPr>
      <w:rFonts w:ascii="Times New Roman"/>
      <w:szCs w:val="24"/>
      <w:lang w:val="en-US"/>
    </w:rPr>
  </w:style>
  <w:style w:type="paragraph" w:customStyle="1" w:styleId="45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30"/>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4"/>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20"/>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8"/>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3"/>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51"/>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正文空2字"/>
    <w:basedOn w:val="62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autoRedefine/>
    <w:qFormat/>
    <w:uiPriority w:val="99"/>
    <w:rPr>
      <w:rFonts w:ascii="Calibri" w:hAnsi="Calibri" w:eastAsia="仿宋_GB2312" w:cs="Calibri"/>
      <w:kern w:val="2"/>
      <w:sz w:val="32"/>
      <w:szCs w:val="32"/>
      <w:lang w:val="en-US" w:eastAsia="zh-CN" w:bidi="ar-SA"/>
    </w:rPr>
  </w:style>
  <w:style w:type="paragraph" w:customStyle="1" w:styleId="626">
    <w:name w:val="[Normal]"/>
    <w:autoRedefine/>
    <w:qFormat/>
    <w:uiPriority w:val="0"/>
    <w:rPr>
      <w:rFonts w:ascii="宋体" w:hAnsi="宋体" w:eastAsia="宋体" w:cs="Times New Roman"/>
      <w:sz w:val="24"/>
      <w:szCs w:val="22"/>
      <w:lang w:val="zh-CN" w:eastAsia="zh-CN" w:bidi="ar-SA"/>
    </w:rPr>
  </w:style>
  <w:style w:type="paragraph" w:customStyle="1" w:styleId="627">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28">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正文文本首行缩进 21"/>
    <w:basedOn w:val="7"/>
    <w:autoRedefine/>
    <w:qFormat/>
    <w:uiPriority w:val="99"/>
    <w:pPr>
      <w:spacing w:line="200" w:lineRule="atLeast"/>
      <w:ind w:firstLine="420"/>
    </w:pPr>
    <w:rPr>
      <w:rFonts w:ascii="宋体" w:hAnsi="Courier New"/>
      <w:spacing w:val="-4"/>
      <w:sz w:val="18"/>
    </w:rPr>
  </w:style>
  <w:style w:type="character" w:customStyle="1" w:styleId="630">
    <w:name w:val="表格非标题文字 Char"/>
    <w:link w:val="86"/>
    <w:autoRedefine/>
    <w:qFormat/>
    <w:uiPriority w:val="0"/>
    <w:rPr>
      <w:rFonts w:ascii="Futura Bk" w:hAnsi="Futura Bk"/>
      <w:kern w:val="2"/>
      <w:sz w:val="18"/>
      <w:szCs w:val="21"/>
      <w:lang w:val="en-US" w:eastAsia="zh-CN" w:bidi="ar-SA"/>
    </w:rPr>
  </w:style>
  <w:style w:type="character" w:customStyle="1" w:styleId="631">
    <w:name w:val="*正文 Char"/>
    <w:link w:val="87"/>
    <w:autoRedefine/>
    <w:qFormat/>
    <w:locked/>
    <w:uiPriority w:val="0"/>
    <w:rPr>
      <w:rFonts w:ascii="宋体" w:hAnsi="宋体"/>
      <w:sz w:val="24"/>
    </w:rPr>
  </w:style>
  <w:style w:type="character" w:customStyle="1" w:styleId="632">
    <w:name w:val="Char Char71"/>
    <w:autoRedefine/>
    <w:semiHidden/>
    <w:qFormat/>
    <w:uiPriority w:val="0"/>
    <w:rPr>
      <w:rFonts w:eastAsia="宋体"/>
      <w:kern w:val="2"/>
      <w:sz w:val="21"/>
      <w:szCs w:val="24"/>
      <w:lang w:val="en-US" w:eastAsia="zh-CN" w:bidi="ar-SA"/>
    </w:rPr>
  </w:style>
  <w:style w:type="character" w:customStyle="1" w:styleId="633">
    <w:name w:val="Char Char6"/>
    <w:autoRedefine/>
    <w:qFormat/>
    <w:uiPriority w:val="0"/>
    <w:rPr>
      <w:rFonts w:eastAsia="宋体"/>
      <w:kern w:val="2"/>
      <w:sz w:val="21"/>
      <w:szCs w:val="24"/>
      <w:lang w:val="en-US" w:eastAsia="zh-CN" w:bidi="ar-SA"/>
    </w:rPr>
  </w:style>
  <w:style w:type="character" w:customStyle="1" w:styleId="634">
    <w:name w:val="正文缩进 Char"/>
    <w:autoRedefine/>
    <w:qFormat/>
    <w:uiPriority w:val="0"/>
    <w:rPr>
      <w:rFonts w:eastAsia="宋体"/>
      <w:kern w:val="2"/>
      <w:sz w:val="21"/>
      <w:lang w:val="en-US" w:eastAsia="zh-CN"/>
    </w:rPr>
  </w:style>
  <w:style w:type="character" w:customStyle="1" w:styleId="63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6">
    <w:name w:val="Char Char28"/>
    <w:autoRedefine/>
    <w:qFormat/>
    <w:uiPriority w:val="6"/>
    <w:rPr>
      <w:rFonts w:ascii="仿宋_GB2312" w:hAnsi="仿宋_GB2312" w:eastAsia="仿宋_GB2312"/>
      <w:kern w:val="1"/>
      <w:sz w:val="28"/>
    </w:rPr>
  </w:style>
  <w:style w:type="character" w:customStyle="1" w:styleId="63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autoRedefine/>
    <w:qFormat/>
    <w:uiPriority w:val="6"/>
    <w:rPr>
      <w:rFonts w:ascii="Times New Roman" w:hAnsi="Times New Roman" w:eastAsia="黑体" w:cs="Times New Roman"/>
      <w:b/>
      <w:kern w:val="0"/>
      <w:sz w:val="24"/>
      <w:szCs w:val="24"/>
    </w:rPr>
  </w:style>
  <w:style w:type="character" w:customStyle="1" w:styleId="639">
    <w:name w:val="U_正文 Char"/>
    <w:link w:val="88"/>
    <w:autoRedefine/>
    <w:qFormat/>
    <w:uiPriority w:val="0"/>
    <w:rPr>
      <w:sz w:val="24"/>
      <w:szCs w:val="24"/>
    </w:rPr>
  </w:style>
  <w:style w:type="character" w:customStyle="1" w:styleId="640">
    <w:name w:val="HTML 地址 Char1"/>
    <w:autoRedefine/>
    <w:qFormat/>
    <w:uiPriority w:val="0"/>
    <w:rPr>
      <w:rFonts w:ascii="Times New Roman" w:hAnsi="Times New Roman" w:eastAsia="宋体" w:cs="Times New Roman"/>
      <w:i/>
      <w:iCs/>
      <w:szCs w:val="24"/>
    </w:rPr>
  </w:style>
  <w:style w:type="character" w:customStyle="1" w:styleId="641">
    <w:name w:val="批注主题 Char1"/>
    <w:link w:val="61"/>
    <w:autoRedefine/>
    <w:qFormat/>
    <w:uiPriority w:val="0"/>
    <w:rPr>
      <w:b/>
      <w:bCs/>
      <w:kern w:val="2"/>
      <w:sz w:val="21"/>
      <w:szCs w:val="24"/>
    </w:rPr>
  </w:style>
  <w:style w:type="character" w:customStyle="1" w:styleId="642">
    <w:name w:val="Char Char51"/>
    <w:autoRedefine/>
    <w:qFormat/>
    <w:uiPriority w:val="0"/>
    <w:rPr>
      <w:rFonts w:ascii="宋体" w:hAnsi="Courier New" w:eastAsia="宋体"/>
      <w:kern w:val="2"/>
      <w:sz w:val="21"/>
      <w:lang w:val="en-US" w:eastAsia="zh-CN"/>
    </w:rPr>
  </w:style>
  <w:style w:type="character" w:customStyle="1" w:styleId="643">
    <w:name w:val="表正文 Char"/>
    <w:autoRedefine/>
    <w:qFormat/>
    <w:uiPriority w:val="0"/>
    <w:rPr>
      <w:rFonts w:ascii="宋体" w:eastAsia="宋体"/>
      <w:snapToGrid w:val="0"/>
      <w:color w:val="000000"/>
      <w:kern w:val="28"/>
      <w:sz w:val="28"/>
      <w:lang w:val="en-US" w:eastAsia="zh-CN" w:bidi="ar-SA"/>
    </w:rPr>
  </w:style>
  <w:style w:type="character" w:customStyle="1" w:styleId="644">
    <w:name w:val="Char Char34"/>
    <w:autoRedefine/>
    <w:qFormat/>
    <w:uiPriority w:val="6"/>
    <w:rPr>
      <w:b/>
      <w:kern w:val="1"/>
      <w:sz w:val="28"/>
      <w:szCs w:val="28"/>
    </w:rPr>
  </w:style>
  <w:style w:type="character" w:customStyle="1" w:styleId="64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89"/>
    <w:autoRedefine/>
    <w:qFormat/>
    <w:uiPriority w:val="0"/>
    <w:rPr>
      <w:rFonts w:ascii="宋体" w:hAnsi="宋体" w:eastAsia="宋体"/>
      <w:kern w:val="2"/>
      <w:sz w:val="24"/>
      <w:lang w:bidi="ar-SA"/>
    </w:rPr>
  </w:style>
  <w:style w:type="character" w:customStyle="1" w:styleId="647">
    <w:name w:val="未处理的提及1"/>
    <w:autoRedefine/>
    <w:qFormat/>
    <w:uiPriority w:val="0"/>
    <w:rPr>
      <w:color w:val="808080"/>
      <w:shd w:val="clear" w:color="auto" w:fill="E6E6E6"/>
    </w:rPr>
  </w:style>
  <w:style w:type="character" w:customStyle="1" w:styleId="648">
    <w:name w:val="txt"/>
    <w:autoRedefine/>
    <w:qFormat/>
    <w:uiPriority w:val="0"/>
    <w:rPr>
      <w:rFonts w:ascii="仿宋_GB2312" w:eastAsia="微软雅黑"/>
      <w:b/>
      <w:kern w:val="2"/>
      <w:sz w:val="32"/>
      <w:szCs w:val="32"/>
      <w:lang w:val="en-US" w:eastAsia="zh-CN" w:bidi="ar-SA"/>
    </w:rPr>
  </w:style>
  <w:style w:type="character" w:customStyle="1" w:styleId="64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0">
    <w:name w:val="Char Char32"/>
    <w:autoRedefine/>
    <w:qFormat/>
    <w:uiPriority w:val="6"/>
    <w:rPr>
      <w:b/>
      <w:kern w:val="1"/>
      <w:sz w:val="24"/>
      <w:szCs w:val="24"/>
    </w:rPr>
  </w:style>
  <w:style w:type="character" w:customStyle="1" w:styleId="651">
    <w:name w:val="PI Char1"/>
    <w:autoRedefine/>
    <w:qFormat/>
    <w:uiPriority w:val="0"/>
    <w:rPr>
      <w:rFonts w:ascii="宋体" w:hAnsi="宋体"/>
      <w:kern w:val="2"/>
      <w:sz w:val="24"/>
      <w:szCs w:val="24"/>
    </w:rPr>
  </w:style>
  <w:style w:type="character" w:customStyle="1" w:styleId="652">
    <w:name w:val="tw4winTerm"/>
    <w:autoRedefine/>
    <w:qFormat/>
    <w:uiPriority w:val="0"/>
    <w:rPr>
      <w:color w:val="0000FF"/>
    </w:rPr>
  </w:style>
  <w:style w:type="character" w:customStyle="1" w:styleId="653">
    <w:name w:val="Footer Char"/>
    <w:autoRedefine/>
    <w:qFormat/>
    <w:locked/>
    <w:uiPriority w:val="0"/>
    <w:rPr>
      <w:rFonts w:eastAsia="宋体"/>
      <w:kern w:val="2"/>
      <w:sz w:val="18"/>
      <w:lang w:val="en-US" w:eastAsia="zh-CN" w:bidi="ar-SA"/>
    </w:rPr>
  </w:style>
  <w:style w:type="character" w:customStyle="1" w:styleId="654">
    <w:name w:val="普通文字 Char Char1"/>
    <w:autoRedefine/>
    <w:qFormat/>
    <w:uiPriority w:val="0"/>
    <w:rPr>
      <w:rFonts w:ascii="宋体" w:hAnsi="Courier New"/>
      <w:kern w:val="2"/>
      <w:sz w:val="21"/>
    </w:rPr>
  </w:style>
  <w:style w:type="character" w:customStyle="1" w:styleId="655">
    <w:name w:val="Char Char101"/>
    <w:autoRedefine/>
    <w:qFormat/>
    <w:uiPriority w:val="6"/>
    <w:rPr>
      <w:rFonts w:ascii="宋体" w:hAnsi="宋体"/>
      <w:kern w:val="2"/>
      <w:sz w:val="21"/>
      <w:szCs w:val="24"/>
      <w:lang w:val="en-US" w:eastAsia="zh-CN"/>
    </w:rPr>
  </w:style>
  <w:style w:type="character" w:customStyle="1" w:styleId="656">
    <w:name w:val="标题 4 Char"/>
    <w:autoRedefine/>
    <w:qFormat/>
    <w:uiPriority w:val="0"/>
    <w:rPr>
      <w:rFonts w:ascii="Arial" w:hAnsi="Arial" w:eastAsia="黑体"/>
      <w:b/>
      <w:kern w:val="2"/>
      <w:sz w:val="28"/>
    </w:rPr>
  </w:style>
  <w:style w:type="character" w:customStyle="1" w:styleId="657">
    <w:name w:val="链接"/>
    <w:autoRedefine/>
    <w:qFormat/>
    <w:uiPriority w:val="0"/>
    <w:rPr>
      <w:color w:val="0000FF"/>
      <w:sz w:val="21"/>
      <w:szCs w:val="21"/>
      <w:u w:val="single"/>
    </w:rPr>
  </w:style>
  <w:style w:type="character" w:customStyle="1" w:styleId="658">
    <w:name w:val="h4 Char"/>
    <w:autoRedefine/>
    <w:qFormat/>
    <w:uiPriority w:val="0"/>
    <w:rPr>
      <w:rFonts w:ascii="Arial" w:hAnsi="Arial" w:eastAsia="黑体"/>
      <w:b/>
      <w:bCs/>
      <w:kern w:val="2"/>
      <w:sz w:val="28"/>
      <w:szCs w:val="28"/>
      <w:lang w:val="zh-CN" w:eastAsia="zh-CN" w:bidi="ar-SA"/>
    </w:rPr>
  </w:style>
  <w:style w:type="character" w:customStyle="1" w:styleId="659">
    <w:name w:val="5正文 Char"/>
    <w:link w:val="90"/>
    <w:autoRedefine/>
    <w:qFormat/>
    <w:uiPriority w:val="0"/>
    <w:rPr>
      <w:rFonts w:ascii="仿宋_GB2312" w:hAnsi="微软雅黑" w:eastAsia="仿宋_GB2312"/>
      <w:sz w:val="28"/>
      <w:szCs w:val="21"/>
    </w:rPr>
  </w:style>
  <w:style w:type="character" w:customStyle="1" w:styleId="660">
    <w:name w:val="标题 3 字符"/>
    <w:autoRedefine/>
    <w:qFormat/>
    <w:uiPriority w:val="9"/>
    <w:rPr>
      <w:b/>
      <w:bCs/>
      <w:kern w:val="2"/>
      <w:sz w:val="32"/>
      <w:szCs w:val="32"/>
    </w:rPr>
  </w:style>
  <w:style w:type="character" w:customStyle="1" w:styleId="661">
    <w:name w:val="样式6 Char"/>
    <w:autoRedefine/>
    <w:qFormat/>
    <w:uiPriority w:val="0"/>
    <w:rPr>
      <w:rFonts w:ascii="仿宋_GB2312" w:hAnsi="宋体" w:eastAsia="仿宋_GB2312"/>
      <w:b/>
      <w:bCs/>
      <w:kern w:val="2"/>
      <w:sz w:val="24"/>
      <w:szCs w:val="24"/>
      <w:lang w:val="en-US" w:eastAsia="zh-CN" w:bidi="ar-SA"/>
    </w:rPr>
  </w:style>
  <w:style w:type="character" w:customStyle="1" w:styleId="662">
    <w:name w:val="Char Char14"/>
    <w:autoRedefine/>
    <w:qFormat/>
    <w:uiPriority w:val="6"/>
    <w:rPr>
      <w:rFonts w:ascii="黑体" w:hAnsi="黑体" w:eastAsia="黑体"/>
    </w:rPr>
  </w:style>
  <w:style w:type="character" w:customStyle="1" w:styleId="663">
    <w:name w:val="Heading 2 Hidden Char"/>
    <w:autoRedefine/>
    <w:qFormat/>
    <w:uiPriority w:val="0"/>
    <w:rPr>
      <w:rFonts w:ascii="仿宋_GB2312" w:eastAsia="仿宋_GB2312"/>
      <w:b/>
      <w:bCs/>
      <w:kern w:val="2"/>
      <w:sz w:val="24"/>
      <w:szCs w:val="24"/>
      <w:lang w:val="zh-CN" w:eastAsia="zh-CN" w:bidi="ar-SA"/>
    </w:rPr>
  </w:style>
  <w:style w:type="character" w:customStyle="1" w:styleId="664">
    <w:name w:val="正文首行缩进 2 Char"/>
    <w:link w:val="62"/>
    <w:autoRedefine/>
    <w:qFormat/>
    <w:uiPriority w:val="0"/>
    <w:rPr>
      <w:rFonts w:ascii="宋体" w:hAnsi="宋体"/>
      <w:kern w:val="2"/>
      <w:sz w:val="21"/>
      <w:szCs w:val="24"/>
    </w:rPr>
  </w:style>
  <w:style w:type="character" w:customStyle="1" w:styleId="665">
    <w:name w:val="font11"/>
    <w:autoRedefine/>
    <w:qFormat/>
    <w:uiPriority w:val="0"/>
    <w:rPr>
      <w:rFonts w:hint="default" w:ascii="Times New Roman" w:hAnsi="Times New Roman" w:cs="Times New Roman"/>
      <w:color w:val="000000"/>
      <w:sz w:val="22"/>
      <w:szCs w:val="22"/>
      <w:u w:val="none"/>
    </w:rPr>
  </w:style>
  <w:style w:type="character" w:customStyle="1" w:styleId="666">
    <w:name w:val="表正文 Char1"/>
    <w:autoRedefine/>
    <w:qFormat/>
    <w:uiPriority w:val="0"/>
    <w:rPr>
      <w:rFonts w:ascii="宋体" w:eastAsia="宋体"/>
      <w:snapToGrid w:val="0"/>
      <w:color w:val="000000"/>
      <w:kern w:val="28"/>
      <w:sz w:val="28"/>
    </w:rPr>
  </w:style>
  <w:style w:type="character" w:customStyle="1" w:styleId="667">
    <w:name w:val="blue1"/>
    <w:basedOn w:val="70"/>
    <w:autoRedefine/>
    <w:qFormat/>
    <w:uiPriority w:val="0"/>
    <w:rPr>
      <w:rFonts w:ascii="Arial" w:hAnsi="Arial" w:eastAsia="黑体" w:cs="Arial"/>
      <w:snapToGrid w:val="0"/>
      <w:kern w:val="0"/>
      <w:szCs w:val="21"/>
    </w:rPr>
  </w:style>
  <w:style w:type="character" w:customStyle="1" w:styleId="66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69">
    <w:name w:val="标书1 Char"/>
    <w:autoRedefine/>
    <w:qFormat/>
    <w:uiPriority w:val="0"/>
    <w:rPr>
      <w:rFonts w:eastAsia="宋体"/>
      <w:b/>
      <w:bCs/>
      <w:kern w:val="44"/>
      <w:sz w:val="44"/>
      <w:szCs w:val="44"/>
      <w:lang w:val="en-US" w:eastAsia="zh-CN" w:bidi="ar-SA"/>
    </w:rPr>
  </w:style>
  <w:style w:type="character" w:customStyle="1" w:styleId="670">
    <w:name w:val="样式5 Char"/>
    <w:autoRedefine/>
    <w:qFormat/>
    <w:uiPriority w:val="0"/>
    <w:rPr>
      <w:rFonts w:ascii="仿宋_GB2312" w:hAnsi="仿宋" w:eastAsia="仿宋_GB2312"/>
      <w:kern w:val="2"/>
      <w:sz w:val="24"/>
      <w:szCs w:val="24"/>
    </w:rPr>
  </w:style>
  <w:style w:type="character" w:customStyle="1" w:styleId="671">
    <w:name w:val="样式4 Char"/>
    <w:autoRedefine/>
    <w:qFormat/>
    <w:uiPriority w:val="0"/>
    <w:rPr>
      <w:rFonts w:ascii="仿宋_GB2312" w:hAnsi="仿宋" w:eastAsia="仿宋_GB2312"/>
      <w:b/>
      <w:kern w:val="2"/>
      <w:sz w:val="32"/>
      <w:szCs w:val="32"/>
      <w:lang w:bidi="ar-SA"/>
    </w:rPr>
  </w:style>
  <w:style w:type="character" w:customStyle="1" w:styleId="672">
    <w:name w:val="插图说明 Char"/>
    <w:autoRedefine/>
    <w:qFormat/>
    <w:uiPriority w:val="0"/>
    <w:rPr>
      <w:rFonts w:eastAsia="黑体"/>
      <w:sz w:val="24"/>
      <w:lang w:val="en-US" w:eastAsia="zh-CN"/>
    </w:rPr>
  </w:style>
  <w:style w:type="character" w:customStyle="1" w:styleId="673">
    <w:name w:val="正文2 Char Char"/>
    <w:link w:val="91"/>
    <w:autoRedefine/>
    <w:qFormat/>
    <w:uiPriority w:val="0"/>
    <w:rPr>
      <w:rFonts w:eastAsia="宋体"/>
      <w:kern w:val="2"/>
      <w:sz w:val="24"/>
      <w:lang w:val="en-US" w:eastAsia="zh-CN" w:bidi="ar-SA"/>
    </w:rPr>
  </w:style>
  <w:style w:type="character" w:customStyle="1" w:styleId="674">
    <w:name w:val="Char Char24"/>
    <w:autoRedefine/>
    <w:qFormat/>
    <w:uiPriority w:val="6"/>
    <w:rPr>
      <w:kern w:val="1"/>
      <w:sz w:val="21"/>
    </w:rPr>
  </w:style>
  <w:style w:type="character" w:customStyle="1" w:styleId="675">
    <w:name w:val="副标题 Char"/>
    <w:link w:val="49"/>
    <w:autoRedefine/>
    <w:qFormat/>
    <w:uiPriority w:val="0"/>
    <w:rPr>
      <w:rFonts w:ascii="Arial" w:hAnsi="Arial" w:eastAsia="隶书"/>
      <w:b/>
      <w:bCs/>
      <w:kern w:val="28"/>
      <w:sz w:val="44"/>
      <w:szCs w:val="32"/>
      <w:lang w:val="en-US" w:eastAsia="zh-CN" w:bidi="ar-SA"/>
    </w:rPr>
  </w:style>
  <w:style w:type="character" w:customStyle="1" w:styleId="676">
    <w:name w:val="普通文字 Char1 Char"/>
    <w:autoRedefine/>
    <w:qFormat/>
    <w:uiPriority w:val="0"/>
    <w:rPr>
      <w:rFonts w:ascii="宋体" w:hAnsi="Courier New" w:eastAsia="宋体"/>
      <w:kern w:val="2"/>
      <w:sz w:val="21"/>
      <w:szCs w:val="24"/>
      <w:lang w:val="en-US" w:eastAsia="zh-CN" w:bidi="ar-SA"/>
    </w:rPr>
  </w:style>
  <w:style w:type="character" w:customStyle="1" w:styleId="677">
    <w:name w:val="h3 Char1"/>
    <w:autoRedefine/>
    <w:qFormat/>
    <w:uiPriority w:val="0"/>
    <w:rPr>
      <w:rFonts w:eastAsia="宋体"/>
      <w:b/>
      <w:bCs/>
      <w:kern w:val="2"/>
      <w:sz w:val="32"/>
      <w:szCs w:val="32"/>
      <w:lang w:bidi="ar-SA"/>
    </w:rPr>
  </w:style>
  <w:style w:type="character" w:customStyle="1" w:styleId="678">
    <w:name w:val="标题 Char1"/>
    <w:autoRedefine/>
    <w:qFormat/>
    <w:uiPriority w:val="0"/>
    <w:rPr>
      <w:rFonts w:ascii="Cambria" w:hAnsi="Cambria" w:eastAsia="宋体" w:cs="Times New Roman"/>
      <w:b/>
      <w:bCs/>
      <w:sz w:val="32"/>
      <w:szCs w:val="32"/>
      <w:lang w:bidi="ar-SA"/>
    </w:rPr>
  </w:style>
  <w:style w:type="character" w:customStyle="1" w:styleId="679">
    <w:name w:val="gf正文1 Char"/>
    <w:autoRedefine/>
    <w:qFormat/>
    <w:uiPriority w:val="0"/>
    <w:rPr>
      <w:rFonts w:ascii="宋体" w:hAnsi="宋体" w:eastAsia="宋体" w:cs="宋体"/>
      <w:kern w:val="2"/>
      <w:sz w:val="24"/>
      <w:szCs w:val="24"/>
      <w:lang w:val="en-US" w:eastAsia="zh-CN" w:bidi="ar-SA"/>
    </w:rPr>
  </w:style>
  <w:style w:type="character" w:customStyle="1" w:styleId="680">
    <w:name w:val="正文文本缩进 Char1"/>
    <w:autoRedefine/>
    <w:qFormat/>
    <w:uiPriority w:val="0"/>
    <w:rPr>
      <w:rFonts w:ascii="Calibri" w:hAnsi="Calibri"/>
      <w:sz w:val="28"/>
    </w:rPr>
  </w:style>
  <w:style w:type="character" w:customStyle="1" w:styleId="681">
    <w:name w:val="No Spacing Char"/>
    <w:link w:val="93"/>
    <w:autoRedefine/>
    <w:qFormat/>
    <w:uiPriority w:val="1"/>
    <w:rPr>
      <w:sz w:val="22"/>
      <w:szCs w:val="22"/>
      <w:lang w:val="en-US" w:eastAsia="zh-CN" w:bidi="ar-SA"/>
    </w:rPr>
  </w:style>
  <w:style w:type="character" w:customStyle="1" w:styleId="682">
    <w:name w:val="样式7 Char"/>
    <w:autoRedefine/>
    <w:qFormat/>
    <w:uiPriority w:val="0"/>
    <w:rPr>
      <w:rFonts w:ascii="仿宋_GB2312" w:hAnsi="仿宋" w:eastAsia="仿宋_GB2312"/>
      <w:b/>
      <w:kern w:val="2"/>
      <w:sz w:val="24"/>
      <w:szCs w:val="24"/>
    </w:rPr>
  </w:style>
  <w:style w:type="character" w:customStyle="1" w:styleId="683">
    <w:name w:val="font12gray1"/>
    <w:autoRedefine/>
    <w:qFormat/>
    <w:uiPriority w:val="0"/>
    <w:rPr>
      <w:rFonts w:ascii="仿宋_GB2312" w:eastAsia="微软雅黑"/>
      <w:b/>
      <w:spacing w:val="300"/>
      <w:kern w:val="2"/>
      <w:sz w:val="18"/>
      <w:szCs w:val="18"/>
      <w:lang w:val="en-US" w:eastAsia="zh-CN" w:bidi="ar-SA"/>
    </w:rPr>
  </w:style>
  <w:style w:type="character" w:customStyle="1" w:styleId="684">
    <w:name w:val="Char Char7"/>
    <w:autoRedefine/>
    <w:semiHidden/>
    <w:qFormat/>
    <w:uiPriority w:val="0"/>
    <w:rPr>
      <w:rFonts w:eastAsia="宋体"/>
      <w:kern w:val="2"/>
      <w:sz w:val="21"/>
      <w:szCs w:val="24"/>
      <w:lang w:val="en-US" w:eastAsia="zh-CN" w:bidi="ar-SA"/>
    </w:rPr>
  </w:style>
  <w:style w:type="character" w:customStyle="1" w:styleId="685">
    <w:name w:val="表名 Char"/>
    <w:autoRedefine/>
    <w:qFormat/>
    <w:uiPriority w:val="0"/>
    <w:rPr>
      <w:rFonts w:eastAsia="宋体"/>
      <w:b/>
      <w:bCs/>
      <w:kern w:val="2"/>
      <w:sz w:val="24"/>
      <w:szCs w:val="24"/>
      <w:lang w:val="en-US" w:eastAsia="zh-CN" w:bidi="ar-SA"/>
    </w:rPr>
  </w:style>
  <w:style w:type="character" w:customStyle="1" w:styleId="686">
    <w:name w:val="Document Map Char"/>
    <w:autoRedefine/>
    <w:qFormat/>
    <w:locked/>
    <w:uiPriority w:val="0"/>
    <w:rPr>
      <w:rFonts w:eastAsia="宋体"/>
      <w:kern w:val="2"/>
      <w:sz w:val="21"/>
      <w:szCs w:val="24"/>
      <w:lang w:val="en-US" w:eastAsia="zh-CN" w:bidi="ar-SA"/>
    </w:rPr>
  </w:style>
  <w:style w:type="character" w:customStyle="1" w:styleId="687">
    <w:name w:val="font41"/>
    <w:autoRedefine/>
    <w:qFormat/>
    <w:uiPriority w:val="0"/>
    <w:rPr>
      <w:rFonts w:hint="eastAsia" w:ascii="仿宋_GB2312" w:eastAsia="仿宋_GB2312" w:cs="仿宋_GB2312"/>
      <w:color w:val="000000"/>
      <w:sz w:val="22"/>
      <w:szCs w:val="22"/>
      <w:u w:val="none"/>
    </w:rPr>
  </w:style>
  <w:style w:type="character" w:customStyle="1" w:styleId="688">
    <w:name w:val="标题 6 Char"/>
    <w:link w:val="10"/>
    <w:autoRedefine/>
    <w:qFormat/>
    <w:uiPriority w:val="0"/>
    <w:rPr>
      <w:rFonts w:ascii="Arial" w:hAnsi="Arial" w:eastAsia="黑体"/>
      <w:b/>
      <w:bCs/>
      <w:kern w:val="2"/>
      <w:sz w:val="24"/>
      <w:szCs w:val="24"/>
    </w:rPr>
  </w:style>
  <w:style w:type="character" w:customStyle="1" w:styleId="689">
    <w:name w:val="纯文本 Char_0"/>
    <w:link w:val="94"/>
    <w:autoRedefine/>
    <w:qFormat/>
    <w:uiPriority w:val="0"/>
    <w:rPr>
      <w:rFonts w:ascii="宋体" w:hAnsi="Courier New"/>
      <w:kern w:val="2"/>
      <w:sz w:val="21"/>
      <w:szCs w:val="21"/>
      <w:lang w:val="en-US" w:eastAsia="zh-CN"/>
    </w:rPr>
  </w:style>
  <w:style w:type="character" w:customStyle="1" w:styleId="690">
    <w:name w:val="Balloon Text Char"/>
    <w:autoRedefine/>
    <w:qFormat/>
    <w:locked/>
    <w:uiPriority w:val="0"/>
    <w:rPr>
      <w:rFonts w:eastAsia="宋体"/>
      <w:kern w:val="2"/>
      <w:sz w:val="18"/>
      <w:szCs w:val="18"/>
      <w:lang w:val="en-US" w:eastAsia="zh-CN" w:bidi="ar-SA"/>
    </w:rPr>
  </w:style>
  <w:style w:type="character" w:customStyle="1" w:styleId="691">
    <w:name w:val="正文 项目2 Char"/>
    <w:basedOn w:val="692"/>
    <w:autoRedefine/>
    <w:qFormat/>
    <w:uiPriority w:val="0"/>
    <w:rPr>
      <w:rFonts w:ascii="仿宋_GB2312" w:hAnsi="仿宋_GB2312" w:eastAsia="仿宋_GB2312"/>
      <w:kern w:val="2"/>
      <w:sz w:val="24"/>
      <w:lang w:bidi="ar-SA"/>
    </w:rPr>
  </w:style>
  <w:style w:type="character" w:customStyle="1" w:styleId="692">
    <w:name w:val="正文 项目 Char"/>
    <w:autoRedefine/>
    <w:qFormat/>
    <w:uiPriority w:val="0"/>
    <w:rPr>
      <w:rFonts w:ascii="仿宋_GB2312" w:hAnsi="仿宋_GB2312" w:eastAsia="仿宋_GB2312"/>
      <w:kern w:val="2"/>
      <w:sz w:val="24"/>
      <w:lang w:bidi="ar-SA"/>
    </w:rPr>
  </w:style>
  <w:style w:type="character" w:customStyle="1" w:styleId="693">
    <w:name w:val="h Char Char1"/>
    <w:autoRedefine/>
    <w:qFormat/>
    <w:uiPriority w:val="0"/>
    <w:rPr>
      <w:rFonts w:eastAsia="宋体"/>
      <w:kern w:val="2"/>
      <w:sz w:val="18"/>
      <w:szCs w:val="18"/>
      <w:lang w:val="en-US" w:eastAsia="zh-CN" w:bidi="ar-SA"/>
    </w:rPr>
  </w:style>
  <w:style w:type="character" w:customStyle="1" w:styleId="694">
    <w:name w:val="Char Char27"/>
    <w:autoRedefine/>
    <w:qFormat/>
    <w:uiPriority w:val="6"/>
    <w:rPr>
      <w:rFonts w:ascii="宋体" w:hAnsi="宋体" w:eastAsia="宋体"/>
      <w:color w:val="000000"/>
      <w:kern w:val="1"/>
      <w:sz w:val="28"/>
      <w:lang w:val="en-US" w:eastAsia="zh-CN" w:bidi="ar-SA"/>
    </w:rPr>
  </w:style>
  <w:style w:type="character" w:customStyle="1" w:styleId="695">
    <w:name w:val="px14"/>
    <w:autoRedefine/>
    <w:qFormat/>
    <w:uiPriority w:val="0"/>
    <w:rPr>
      <w:rFonts w:ascii="仿宋_GB2312" w:eastAsia="微软雅黑" w:cs="Times New Roman"/>
      <w:b/>
      <w:kern w:val="2"/>
      <w:sz w:val="32"/>
      <w:szCs w:val="32"/>
      <w:lang w:val="en-US" w:eastAsia="zh-CN" w:bidi="ar-SA"/>
    </w:rPr>
  </w:style>
  <w:style w:type="character" w:customStyle="1" w:styleId="696">
    <w:name w:val="HTML 预设格式 Char1"/>
    <w:autoRedefine/>
    <w:qFormat/>
    <w:uiPriority w:val="0"/>
    <w:rPr>
      <w:rFonts w:ascii="Courier New" w:hAnsi="Courier New" w:eastAsia="宋体" w:cs="Courier New"/>
      <w:sz w:val="20"/>
      <w:szCs w:val="20"/>
    </w:rPr>
  </w:style>
  <w:style w:type="character" w:customStyle="1" w:styleId="697">
    <w:name w:val="普通文字 Char1"/>
    <w:autoRedefine/>
    <w:qFormat/>
    <w:uiPriority w:val="0"/>
    <w:rPr>
      <w:rFonts w:ascii="宋体" w:hAnsi="Courier New" w:eastAsia="宋体"/>
      <w:kern w:val="2"/>
      <w:sz w:val="21"/>
      <w:lang w:val="en-US" w:eastAsia="zh-CN"/>
    </w:rPr>
  </w:style>
  <w:style w:type="character" w:customStyle="1" w:styleId="698">
    <w:name w:val="hei16b1"/>
    <w:autoRedefine/>
    <w:qFormat/>
    <w:uiPriority w:val="0"/>
    <w:rPr>
      <w:rFonts w:hint="default" w:ascii="Arial" w:hAnsi="Arial" w:cs="Arial"/>
      <w:b/>
      <w:bCs/>
      <w:color w:val="000000"/>
      <w:sz w:val="24"/>
      <w:szCs w:val="24"/>
    </w:rPr>
  </w:style>
  <w:style w:type="character" w:customStyle="1" w:styleId="699">
    <w:name w:val="正文（绿盟科技） Char"/>
    <w:link w:val="96"/>
    <w:autoRedefine/>
    <w:qFormat/>
    <w:uiPriority w:val="0"/>
    <w:rPr>
      <w:rFonts w:ascii="Arial" w:hAnsi="Arial"/>
      <w:sz w:val="21"/>
      <w:szCs w:val="21"/>
    </w:rPr>
  </w:style>
  <w:style w:type="character" w:customStyle="1" w:styleId="700">
    <w:name w:val="Char Char19"/>
    <w:autoRedefine/>
    <w:qFormat/>
    <w:uiPriority w:val="6"/>
    <w:rPr>
      <w:rFonts w:ascii="宋体" w:hAnsi="宋体"/>
      <w:i/>
      <w:sz w:val="24"/>
      <w:szCs w:val="24"/>
    </w:rPr>
  </w:style>
  <w:style w:type="character" w:customStyle="1" w:styleId="701">
    <w:name w:val="页脚 Char"/>
    <w:autoRedefine/>
    <w:qFormat/>
    <w:uiPriority w:val="0"/>
    <w:rPr>
      <w:rFonts w:eastAsia="仿宋_GB2312"/>
      <w:kern w:val="2"/>
      <w:sz w:val="18"/>
      <w:lang w:val="en-US" w:eastAsia="zh-CN"/>
    </w:rPr>
  </w:style>
  <w:style w:type="character" w:customStyle="1" w:styleId="702">
    <w:name w:val="批注主题 Char"/>
    <w:autoRedefine/>
    <w:qFormat/>
    <w:uiPriority w:val="0"/>
    <w:rPr>
      <w:rFonts w:eastAsia="宋体"/>
      <w:b/>
      <w:bCs/>
      <w:kern w:val="2"/>
      <w:sz w:val="21"/>
      <w:szCs w:val="24"/>
      <w:lang w:val="en-US" w:eastAsia="zh-CN" w:bidi="ar-SA"/>
    </w:rPr>
  </w:style>
  <w:style w:type="character" w:customStyle="1" w:styleId="703">
    <w:name w:val="Comment Text Char"/>
    <w:autoRedefine/>
    <w:qFormat/>
    <w:locked/>
    <w:uiPriority w:val="0"/>
    <w:rPr>
      <w:rFonts w:ascii="宋体" w:hAnsi="宋体" w:eastAsia="宋体"/>
      <w:kern w:val="2"/>
      <w:sz w:val="24"/>
      <w:lang w:val="en-US" w:eastAsia="zh-CN" w:bidi="ar-SA"/>
    </w:rPr>
  </w:style>
  <w:style w:type="character" w:customStyle="1" w:styleId="704">
    <w:name w:val="标题 2 字符"/>
    <w:autoRedefine/>
    <w:qFormat/>
    <w:uiPriority w:val="1"/>
    <w:rPr>
      <w:rFonts w:ascii="仿宋_GB2312" w:hAnsi="Times New Roman" w:eastAsia="仿宋_GB2312" w:cs="Times New Roman"/>
      <w:b/>
      <w:kern w:val="2"/>
      <w:sz w:val="24"/>
      <w:lang w:val="zh-CN"/>
    </w:rPr>
  </w:style>
  <w:style w:type="character" w:customStyle="1" w:styleId="705">
    <w:name w:val="Char Char72"/>
    <w:autoRedefine/>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autoRedefine/>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7"/>
    <w:autoRedefine/>
    <w:qFormat/>
    <w:uiPriority w:val="0"/>
    <w:rPr>
      <w:sz w:val="32"/>
    </w:rPr>
  </w:style>
  <w:style w:type="character" w:customStyle="1" w:styleId="709">
    <w:name w:val="Char Char4"/>
    <w:autoRedefine/>
    <w:qFormat/>
    <w:uiPriority w:val="0"/>
    <w:rPr>
      <w:rFonts w:eastAsia="宋体"/>
      <w:b/>
      <w:sz w:val="24"/>
      <w:lang w:eastAsia="zh-CN" w:bidi="ar-SA"/>
    </w:rPr>
  </w:style>
  <w:style w:type="character" w:customStyle="1" w:styleId="710">
    <w:name w:val="c7 style3"/>
    <w:autoRedefine/>
    <w:qFormat/>
    <w:uiPriority w:val="0"/>
  </w:style>
  <w:style w:type="character" w:customStyle="1" w:styleId="711">
    <w:name w:val="正文文本 3 Char1"/>
    <w:autoRedefine/>
    <w:semiHidden/>
    <w:qFormat/>
    <w:uiPriority w:val="99"/>
    <w:rPr>
      <w:rFonts w:ascii="Times New Roman" w:hAnsi="Times New Roman" w:eastAsia="宋体" w:cs="Times New Roman"/>
      <w:sz w:val="16"/>
      <w:szCs w:val="16"/>
    </w:rPr>
  </w:style>
  <w:style w:type="character" w:customStyle="1" w:styleId="712">
    <w:name w:val="tw4winInternal"/>
    <w:autoRedefine/>
    <w:qFormat/>
    <w:uiPriority w:val="0"/>
    <w:rPr>
      <w:rFonts w:ascii="Courier New" w:hAnsi="Courier New" w:cs="Courier New"/>
      <w:color w:val="FF0000"/>
      <w:lang w:val="en-US" w:eastAsia="zh-CN"/>
    </w:rPr>
  </w:style>
  <w:style w:type="character" w:customStyle="1" w:styleId="713">
    <w:name w:val="Char Char10"/>
    <w:autoRedefine/>
    <w:semiHidden/>
    <w:qFormat/>
    <w:uiPriority w:val="0"/>
    <w:rPr>
      <w:rFonts w:ascii="宋体" w:hAnsi="宋体"/>
      <w:kern w:val="2"/>
      <w:sz w:val="21"/>
      <w:szCs w:val="24"/>
      <w:lang w:val="en-US" w:eastAsia="zh-CN"/>
    </w:rPr>
  </w:style>
  <w:style w:type="character" w:customStyle="1" w:styleId="714">
    <w:name w:val="shadow11"/>
    <w:autoRedefine/>
    <w:qFormat/>
    <w:uiPriority w:val="0"/>
    <w:rPr>
      <w:color w:val="000000"/>
      <w:sz w:val="21"/>
    </w:rPr>
  </w:style>
  <w:style w:type="character" w:customStyle="1" w:styleId="715">
    <w:name w:val="正文非缩进 Char3"/>
    <w:autoRedefine/>
    <w:qFormat/>
    <w:uiPriority w:val="0"/>
    <w:rPr>
      <w:rFonts w:ascii="宋体" w:eastAsia="宋体"/>
      <w:snapToGrid w:val="0"/>
      <w:color w:val="000000"/>
      <w:kern w:val="28"/>
      <w:sz w:val="28"/>
      <w:lang w:val="en-US" w:eastAsia="zh-CN" w:bidi="ar-SA"/>
    </w:rPr>
  </w:style>
  <w:style w:type="character" w:customStyle="1" w:styleId="716">
    <w:name w:val="Char Char"/>
    <w:autoRedefine/>
    <w:qFormat/>
    <w:uiPriority w:val="0"/>
    <w:rPr>
      <w:rFonts w:ascii="宋体" w:hAnsi="Courier New" w:eastAsia="宋体"/>
      <w:kern w:val="2"/>
      <w:sz w:val="21"/>
      <w:lang w:val="en-US" w:eastAsia="zh-CN" w:bidi="ar-SA"/>
    </w:rPr>
  </w:style>
  <w:style w:type="character" w:customStyle="1" w:styleId="717">
    <w:name w:val="签名 Char1"/>
    <w:autoRedefine/>
    <w:qFormat/>
    <w:uiPriority w:val="0"/>
    <w:rPr>
      <w:rFonts w:ascii="Times New Roman" w:hAnsi="Times New Roman" w:eastAsia="宋体" w:cs="Times New Roman"/>
      <w:szCs w:val="24"/>
    </w:rPr>
  </w:style>
  <w:style w:type="character" w:customStyle="1" w:styleId="718">
    <w:name w:val="日期 Char"/>
    <w:link w:val="38"/>
    <w:autoRedefine/>
    <w:qFormat/>
    <w:uiPriority w:val="0"/>
    <w:rPr>
      <w:rFonts w:ascii="宋体"/>
      <w:kern w:val="2"/>
      <w:sz w:val="24"/>
      <w:szCs w:val="21"/>
      <w:lang w:val="zh-CN"/>
    </w:rPr>
  </w:style>
  <w:style w:type="character" w:customStyle="1" w:styleId="719">
    <w:name w:val="标题 9 Char"/>
    <w:link w:val="13"/>
    <w:autoRedefine/>
    <w:qFormat/>
    <w:uiPriority w:val="0"/>
    <w:rPr>
      <w:rFonts w:ascii="Arial" w:hAnsi="Arial" w:eastAsia="黑体"/>
      <w:kern w:val="2"/>
      <w:sz w:val="21"/>
      <w:szCs w:val="21"/>
    </w:rPr>
  </w:style>
  <w:style w:type="character" w:customStyle="1" w:styleId="720">
    <w:name w:val="Char Char18"/>
    <w:autoRedefine/>
    <w:qFormat/>
    <w:uiPriority w:val="6"/>
    <w:rPr>
      <w:rFonts w:ascii="宋体" w:hAnsi="宋体"/>
      <w:sz w:val="28"/>
    </w:rPr>
  </w:style>
  <w:style w:type="character" w:customStyle="1" w:styleId="721">
    <w:name w:val="批注文字 Char"/>
    <w:autoRedefine/>
    <w:qFormat/>
    <w:uiPriority w:val="99"/>
    <w:rPr>
      <w:kern w:val="2"/>
      <w:sz w:val="21"/>
      <w:szCs w:val="24"/>
    </w:rPr>
  </w:style>
  <w:style w:type="character" w:customStyle="1" w:styleId="722">
    <w:name w:val="Char Char22"/>
    <w:autoRedefine/>
    <w:qFormat/>
    <w:uiPriority w:val="6"/>
    <w:rPr>
      <w:rFonts w:ascii="宋体" w:hAnsi="宋体"/>
      <w:kern w:val="1"/>
      <w:sz w:val="24"/>
      <w:szCs w:val="24"/>
    </w:rPr>
  </w:style>
  <w:style w:type="character" w:customStyle="1" w:styleId="723">
    <w:name w:val="pt141"/>
    <w:autoRedefine/>
    <w:qFormat/>
    <w:uiPriority w:val="0"/>
    <w:rPr>
      <w:color w:val="330066"/>
      <w:sz w:val="22"/>
      <w:szCs w:val="22"/>
    </w:rPr>
  </w:style>
  <w:style w:type="character" w:customStyle="1" w:styleId="724">
    <w:name w:val="正文文本缩进 2 Char1"/>
    <w:autoRedefine/>
    <w:semiHidden/>
    <w:qFormat/>
    <w:uiPriority w:val="99"/>
    <w:rPr>
      <w:rFonts w:ascii="Times New Roman" w:hAnsi="Times New Roman" w:eastAsia="宋体" w:cs="Times New Roman"/>
      <w:szCs w:val="24"/>
    </w:rPr>
  </w:style>
  <w:style w:type="character" w:customStyle="1" w:styleId="725">
    <w:name w:val="批注框文本 Char"/>
    <w:link w:val="2"/>
    <w:autoRedefine/>
    <w:qFormat/>
    <w:uiPriority w:val="0"/>
    <w:rPr>
      <w:kern w:val="2"/>
      <w:sz w:val="18"/>
      <w:szCs w:val="18"/>
    </w:rPr>
  </w:style>
  <w:style w:type="character" w:customStyle="1" w:styleId="726">
    <w:name w:val="Char Char611"/>
    <w:autoRedefine/>
    <w:qFormat/>
    <w:uiPriority w:val="0"/>
    <w:rPr>
      <w:rFonts w:eastAsia="宋体"/>
      <w:kern w:val="2"/>
      <w:sz w:val="21"/>
      <w:szCs w:val="24"/>
      <w:lang w:val="en-US" w:eastAsia="zh-CN" w:bidi="ar-SA"/>
    </w:rPr>
  </w:style>
  <w:style w:type="character" w:customStyle="1" w:styleId="727">
    <w:name w:val="highlight1"/>
    <w:autoRedefine/>
    <w:qFormat/>
    <w:uiPriority w:val="0"/>
    <w:rPr>
      <w:rFonts w:ascii="仿宋_GB2312" w:eastAsia="微软雅黑"/>
      <w:b/>
      <w:kern w:val="2"/>
      <w:sz w:val="23"/>
      <w:szCs w:val="23"/>
      <w:lang w:val="en-US" w:eastAsia="zh-CN" w:bidi="ar-SA"/>
    </w:rPr>
  </w:style>
  <w:style w:type="character" w:customStyle="1" w:styleId="728">
    <w:name w:val="my正文 Char"/>
    <w:link w:val="98"/>
    <w:autoRedefine/>
    <w:qFormat/>
    <w:locked/>
    <w:uiPriority w:val="0"/>
    <w:rPr>
      <w:rFonts w:ascii="Tahoma" w:hAnsi="Tahoma"/>
      <w:sz w:val="24"/>
      <w:szCs w:val="24"/>
    </w:rPr>
  </w:style>
  <w:style w:type="character" w:customStyle="1" w:styleId="729">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autoRedefine/>
    <w:qFormat/>
    <w:uiPriority w:val="0"/>
    <w:rPr>
      <w:color w:val="0000FF"/>
      <w:sz w:val="21"/>
    </w:rPr>
  </w:style>
  <w:style w:type="character" w:customStyle="1" w:styleId="731">
    <w:name w:val="页眉 Char"/>
    <w:autoRedefine/>
    <w:qFormat/>
    <w:uiPriority w:val="0"/>
    <w:rPr>
      <w:rFonts w:eastAsia="仿宋_GB2312"/>
      <w:kern w:val="2"/>
      <w:sz w:val="18"/>
      <w:lang w:val="en-US" w:eastAsia="zh-CN"/>
    </w:rPr>
  </w:style>
  <w:style w:type="character" w:customStyle="1" w:styleId="732">
    <w:name w:val="FA正文 Char Char"/>
    <w:autoRedefine/>
    <w:qFormat/>
    <w:uiPriority w:val="0"/>
    <w:rPr>
      <w:rFonts w:hAnsi="宋体"/>
      <w:kern w:val="2"/>
      <w:sz w:val="24"/>
      <w:lang w:bidi="ar-SA"/>
    </w:rPr>
  </w:style>
  <w:style w:type="character" w:customStyle="1" w:styleId="73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99"/>
    <w:autoRedefine/>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20"/>
    <w:autoRedefine/>
    <w:qFormat/>
    <w:uiPriority w:val="0"/>
    <w:rPr>
      <w:kern w:val="2"/>
      <w:sz w:val="21"/>
      <w:szCs w:val="24"/>
      <w:shd w:val="clear" w:color="auto" w:fill="000080"/>
    </w:rPr>
  </w:style>
  <w:style w:type="character" w:customStyle="1" w:styleId="737">
    <w:name w:val="H6 Char"/>
    <w:autoRedefine/>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autoRedefine/>
    <w:qFormat/>
    <w:uiPriority w:val="0"/>
    <w:rPr>
      <w:rFonts w:ascii="Cambria" w:hAnsi="Cambria" w:eastAsia="宋体" w:cs="Times New Roman"/>
      <w:b/>
      <w:bCs/>
      <w:snapToGrid w:val="0"/>
      <w:kern w:val="28"/>
      <w:sz w:val="32"/>
      <w:szCs w:val="32"/>
    </w:rPr>
  </w:style>
  <w:style w:type="character" w:customStyle="1" w:styleId="740">
    <w:name w:val="font61"/>
    <w:autoRedefine/>
    <w:qFormat/>
    <w:uiPriority w:val="0"/>
    <w:rPr>
      <w:rFonts w:hint="eastAsia" w:ascii="仿宋" w:hAnsi="仿宋" w:eastAsia="仿宋" w:cs="仿宋"/>
      <w:color w:val="000000"/>
      <w:sz w:val="20"/>
      <w:szCs w:val="20"/>
      <w:u w:val="none"/>
    </w:rPr>
  </w:style>
  <w:style w:type="character" w:customStyle="1" w:styleId="74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autoRedefine/>
    <w:qFormat/>
    <w:uiPriority w:val="0"/>
    <w:rPr>
      <w:rFonts w:eastAsia="宋体"/>
      <w:b/>
      <w:bCs/>
      <w:kern w:val="2"/>
      <w:sz w:val="21"/>
      <w:szCs w:val="24"/>
      <w:lang w:val="en-US" w:eastAsia="zh-CN" w:bidi="ar-SA"/>
    </w:rPr>
  </w:style>
  <w:style w:type="character" w:customStyle="1" w:styleId="743">
    <w:name w:val="标题 2 Char"/>
    <w:autoRedefine/>
    <w:qFormat/>
    <w:uiPriority w:val="0"/>
    <w:rPr>
      <w:rFonts w:ascii="Arial" w:hAnsi="Arial" w:eastAsia="黑体"/>
      <w:b/>
      <w:kern w:val="2"/>
      <w:sz w:val="32"/>
      <w:lang w:val="en-US" w:eastAsia="zh-CN"/>
    </w:rPr>
  </w:style>
  <w:style w:type="character" w:customStyle="1" w:styleId="744">
    <w:name w:val="maywed421"/>
    <w:autoRedefine/>
    <w:qFormat/>
    <w:uiPriority w:val="0"/>
    <w:rPr>
      <w:color w:val="366FB6"/>
      <w:u w:val="none"/>
    </w:rPr>
  </w:style>
  <w:style w:type="character" w:customStyle="1" w:styleId="745">
    <w:name w:val="正文文本缩进 Char"/>
    <w:autoRedefine/>
    <w:qFormat/>
    <w:uiPriority w:val="0"/>
    <w:rPr>
      <w:rFonts w:ascii="宋体" w:hAnsi="宋体"/>
      <w:kern w:val="2"/>
      <w:sz w:val="24"/>
      <w:szCs w:val="24"/>
    </w:rPr>
  </w:style>
  <w:style w:type="character" w:customStyle="1" w:styleId="746">
    <w:name w:val="Char Char102"/>
    <w:autoRedefine/>
    <w:semiHidden/>
    <w:qFormat/>
    <w:uiPriority w:val="0"/>
    <w:rPr>
      <w:rFonts w:ascii="宋体" w:hAnsi="宋体"/>
      <w:kern w:val="2"/>
      <w:sz w:val="21"/>
      <w:szCs w:val="24"/>
      <w:lang w:val="en-US" w:eastAsia="zh-CN"/>
    </w:rPr>
  </w:style>
  <w:style w:type="character" w:customStyle="1" w:styleId="747">
    <w:name w:val="页眉 Char1"/>
    <w:autoRedefine/>
    <w:qFormat/>
    <w:uiPriority w:val="0"/>
    <w:rPr>
      <w:rFonts w:eastAsia="宋体"/>
      <w:kern w:val="2"/>
      <w:sz w:val="18"/>
      <w:szCs w:val="18"/>
      <w:lang w:val="en-US" w:eastAsia="zh-CN" w:bidi="ar-SA"/>
    </w:rPr>
  </w:style>
  <w:style w:type="character" w:customStyle="1" w:styleId="748">
    <w:name w:val="md"/>
    <w:basedOn w:val="70"/>
    <w:qFormat/>
    <w:uiPriority w:val="0"/>
    <w:rPr>
      <w:rFonts w:ascii="Arial" w:hAnsi="Arial" w:eastAsia="黑体" w:cs="Arial"/>
      <w:snapToGrid w:val="0"/>
      <w:kern w:val="0"/>
      <w:szCs w:val="21"/>
    </w:rPr>
  </w:style>
  <w:style w:type="character" w:customStyle="1" w:styleId="749">
    <w:name w:val="big1"/>
    <w:autoRedefine/>
    <w:qFormat/>
    <w:uiPriority w:val="0"/>
    <w:rPr>
      <w:rFonts w:hint="eastAsia" w:ascii="宋体" w:hAnsi="宋体" w:eastAsia="宋体"/>
      <w:color w:val="333333"/>
      <w:sz w:val="22"/>
      <w:szCs w:val="22"/>
    </w:rPr>
  </w:style>
  <w:style w:type="character" w:customStyle="1" w:styleId="750">
    <w:name w:val="Char Char311"/>
    <w:autoRedefine/>
    <w:qFormat/>
    <w:uiPriority w:val="0"/>
    <w:rPr>
      <w:rFonts w:eastAsia="宋体"/>
      <w:kern w:val="2"/>
      <w:sz w:val="21"/>
      <w:szCs w:val="24"/>
      <w:lang w:val="en-US" w:eastAsia="zh-CN" w:bidi="ar-SA"/>
    </w:rPr>
  </w:style>
  <w:style w:type="character" w:customStyle="1" w:styleId="751">
    <w:name w:val="Char Char81"/>
    <w:autoRedefine/>
    <w:qFormat/>
    <w:uiPriority w:val="6"/>
    <w:rPr>
      <w:rFonts w:eastAsia="宋体"/>
      <w:b/>
      <w:sz w:val="24"/>
      <w:lang w:eastAsia="zh-CN"/>
    </w:rPr>
  </w:style>
  <w:style w:type="character" w:customStyle="1" w:styleId="752">
    <w:name w:val="样式3 Char"/>
    <w:basedOn w:val="707"/>
    <w:autoRedefine/>
    <w:qFormat/>
    <w:uiPriority w:val="0"/>
    <w:rPr>
      <w:rFonts w:ascii="仿宋_GB2312" w:hAnsi="仿宋" w:eastAsia="仿宋_GB2312" w:cs="仿宋_GB2312"/>
      <w:sz w:val="32"/>
      <w:szCs w:val="30"/>
      <w:lang w:val="zh-CN"/>
    </w:rPr>
  </w:style>
  <w:style w:type="character" w:customStyle="1" w:styleId="753">
    <w:name w:val="HTML 地址 Char"/>
    <w:link w:val="32"/>
    <w:autoRedefine/>
    <w:qFormat/>
    <w:uiPriority w:val="0"/>
    <w:rPr>
      <w:rFonts w:ascii="宋体" w:hAnsi="宋体"/>
      <w:i/>
      <w:iCs/>
      <w:sz w:val="24"/>
      <w:szCs w:val="24"/>
    </w:rPr>
  </w:style>
  <w:style w:type="character" w:customStyle="1" w:styleId="754">
    <w:name w:val="正文首行缩进 2 Char1"/>
    <w:autoRedefine/>
    <w:qFormat/>
    <w:uiPriority w:val="0"/>
    <w:rPr>
      <w:rFonts w:ascii="Times New Roman" w:hAnsi="Times New Roman" w:eastAsia="宋体" w:cs="Times New Roman"/>
      <w:kern w:val="2"/>
      <w:sz w:val="24"/>
      <w:szCs w:val="24"/>
    </w:rPr>
  </w:style>
  <w:style w:type="character" w:customStyle="1" w:styleId="755">
    <w:name w:val="副标题 Char2"/>
    <w:autoRedefine/>
    <w:qFormat/>
    <w:uiPriority w:val="0"/>
    <w:rPr>
      <w:rFonts w:ascii="Cambria" w:hAnsi="Cambria" w:eastAsia="宋体" w:cs="Times New Roman"/>
      <w:b/>
      <w:bCs/>
      <w:snapToGrid w:val="0"/>
      <w:kern w:val="28"/>
      <w:sz w:val="32"/>
      <w:szCs w:val="32"/>
    </w:rPr>
  </w:style>
  <w:style w:type="character" w:customStyle="1" w:styleId="756">
    <w:name w:val="标题4-dyf Char"/>
    <w:link w:val="101"/>
    <w:autoRedefine/>
    <w:qFormat/>
    <w:uiPriority w:val="0"/>
    <w:rPr>
      <w:rFonts w:ascii="Cambria" w:hAnsi="Cambria"/>
      <w:b/>
      <w:bCs/>
      <w:color w:val="000000"/>
      <w:kern w:val="2"/>
      <w:sz w:val="21"/>
      <w:szCs w:val="21"/>
    </w:rPr>
  </w:style>
  <w:style w:type="character" w:customStyle="1" w:styleId="757">
    <w:name w:val="dectext1"/>
    <w:autoRedefine/>
    <w:qFormat/>
    <w:uiPriority w:val="0"/>
    <w:rPr>
      <w:rFonts w:ascii="宋体" w:hAnsi="宋体" w:eastAsia="宋体"/>
      <w:color w:val="333333"/>
      <w:sz w:val="21"/>
      <w:szCs w:val="21"/>
      <w:u w:val="none"/>
    </w:rPr>
  </w:style>
  <w:style w:type="character" w:customStyle="1" w:styleId="758">
    <w:name w:val="冯 Char"/>
    <w:link w:val="102"/>
    <w:autoRedefine/>
    <w:qFormat/>
    <w:uiPriority w:val="0"/>
    <w:rPr>
      <w:rFonts w:ascii="宋体" w:hAnsi="宋体"/>
      <w:color w:val="000000"/>
      <w:sz w:val="24"/>
      <w:szCs w:val="24"/>
    </w:rPr>
  </w:style>
  <w:style w:type="character" w:customStyle="1" w:styleId="759">
    <w:name w:val="Header Char"/>
    <w:autoRedefine/>
    <w:qFormat/>
    <w:locked/>
    <w:uiPriority w:val="0"/>
    <w:rPr>
      <w:rFonts w:eastAsia="宋体"/>
      <w:kern w:val="2"/>
      <w:sz w:val="18"/>
      <w:szCs w:val="18"/>
      <w:lang w:val="en-US" w:eastAsia="zh-CN" w:bidi="ar-SA"/>
    </w:rPr>
  </w:style>
  <w:style w:type="character" w:customStyle="1" w:styleId="760">
    <w:name w:val="Char Char12"/>
    <w:autoRedefine/>
    <w:qFormat/>
    <w:uiPriority w:val="0"/>
    <w:rPr>
      <w:rFonts w:ascii="仿宋_GB2312" w:eastAsia="仿宋_GB2312"/>
      <w:b/>
      <w:bCs/>
      <w:kern w:val="2"/>
      <w:sz w:val="24"/>
      <w:szCs w:val="24"/>
      <w:lang w:val="zh-CN" w:eastAsia="zh-CN" w:bidi="ar-SA"/>
    </w:rPr>
  </w:style>
  <w:style w:type="character" w:customStyle="1" w:styleId="761">
    <w:name w:val="题注 Char"/>
    <w:link w:val="18"/>
    <w:autoRedefine/>
    <w:qFormat/>
    <w:uiPriority w:val="0"/>
    <w:rPr>
      <w:b/>
      <w:kern w:val="2"/>
      <w:sz w:val="28"/>
    </w:rPr>
  </w:style>
  <w:style w:type="character" w:customStyle="1" w:styleId="762">
    <w:name w:val="普通文字 Char3"/>
    <w:autoRedefine/>
    <w:qFormat/>
    <w:uiPriority w:val="0"/>
    <w:rPr>
      <w:rFonts w:ascii="宋体" w:hAnsi="Courier New" w:eastAsia="宋体"/>
      <w:kern w:val="2"/>
      <w:sz w:val="21"/>
      <w:lang w:val="en-US" w:eastAsia="zh-CN" w:bidi="ar-SA"/>
    </w:rPr>
  </w:style>
  <w:style w:type="character" w:customStyle="1" w:styleId="763">
    <w:name w:val="公文正文 Char"/>
    <w:autoRedefine/>
    <w:qFormat/>
    <w:uiPriority w:val="0"/>
    <w:rPr>
      <w:rFonts w:ascii="仿宋_GB2312" w:eastAsia="仿宋_GB2312"/>
      <w:kern w:val="2"/>
      <w:sz w:val="24"/>
      <w:szCs w:val="24"/>
      <w:lang w:val="en-US" w:eastAsia="zh-CN" w:bidi="ar-SA"/>
    </w:rPr>
  </w:style>
  <w:style w:type="character" w:customStyle="1" w:styleId="764">
    <w:name w:val="正文首行缩进 Char Char Char Char Char"/>
    <w:autoRedefine/>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103"/>
    <w:qFormat/>
    <w:uiPriority w:val="0"/>
    <w:rPr>
      <w:rFonts w:ascii="仿宋_GB2312" w:eastAsia="仿宋_GB2312" w:cs="仿宋_GB2312"/>
      <w:color w:val="000000"/>
      <w:sz w:val="24"/>
      <w:szCs w:val="24"/>
      <w:lang w:val="en-US" w:eastAsia="zh-CN" w:bidi="ar-SA"/>
    </w:rPr>
  </w:style>
  <w:style w:type="character" w:customStyle="1" w:styleId="767">
    <w:name w:val="style91"/>
    <w:autoRedefine/>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autoRedefine/>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autoRedefine/>
    <w:qFormat/>
    <w:uiPriority w:val="0"/>
    <w:rPr>
      <w:rFonts w:eastAsia="楷体_GB2312"/>
      <w:kern w:val="2"/>
      <w:sz w:val="24"/>
      <w:szCs w:val="24"/>
      <w:lang w:bidi="ar-SA"/>
    </w:rPr>
  </w:style>
  <w:style w:type="character" w:customStyle="1" w:styleId="773">
    <w:name w:val="Char Char11"/>
    <w:autoRedefine/>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4"/>
    <w:autoRedefine/>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autoRedefine/>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autoRedefine/>
    <w:qFormat/>
    <w:uiPriority w:val="0"/>
    <w:rPr>
      <w:rFonts w:ascii="仿宋_GB2312" w:hAnsi="仿宋_GB2312" w:eastAsia="仿宋_GB2312"/>
      <w:kern w:val="2"/>
      <w:sz w:val="24"/>
      <w:lang w:bidi="ar-SA"/>
    </w:rPr>
  </w:style>
  <w:style w:type="character" w:customStyle="1" w:styleId="781">
    <w:name w:val="question-title2"/>
    <w:autoRedefine/>
    <w:qFormat/>
    <w:uiPriority w:val="6"/>
    <w:rPr>
      <w:rFonts w:ascii="Arial" w:hAnsi="Arial" w:eastAsia="黑体" w:cs="Arial"/>
      <w:snapToGrid w:val="0"/>
      <w:kern w:val="0"/>
      <w:szCs w:val="21"/>
    </w:rPr>
  </w:style>
  <w:style w:type="character" w:customStyle="1" w:styleId="782">
    <w:name w:val="gf正文1 Char Char"/>
    <w:link w:val="105"/>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autoRedefine/>
    <w:qFormat/>
    <w:uiPriority w:val="0"/>
    <w:rPr>
      <w:rFonts w:ascii="宋体" w:eastAsia="宋体"/>
      <w:snapToGrid w:val="0"/>
      <w:color w:val="000000"/>
      <w:kern w:val="28"/>
      <w:sz w:val="28"/>
      <w:lang w:val="en-US" w:eastAsia="zh-CN" w:bidi="ar-SA"/>
    </w:rPr>
  </w:style>
  <w:style w:type="character" w:customStyle="1" w:styleId="785">
    <w:name w:val="列出段落 Char1"/>
    <w:link w:val="106"/>
    <w:autoRedefine/>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autoRedefine/>
    <w:qFormat/>
    <w:uiPriority w:val="0"/>
    <w:rPr>
      <w:rFonts w:eastAsia="宋体"/>
      <w:kern w:val="2"/>
      <w:sz w:val="18"/>
      <w:szCs w:val="18"/>
      <w:lang w:val="en-US" w:eastAsia="zh-CN" w:bidi="ar-SA"/>
    </w:rPr>
  </w:style>
  <w:style w:type="character" w:customStyle="1" w:styleId="790">
    <w:name w:val="方案正文 Char"/>
    <w:autoRedefine/>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7"/>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autoRedefine/>
    <w:qFormat/>
    <w:uiPriority w:val="6"/>
    <w:rPr>
      <w:kern w:val="1"/>
      <w:sz w:val="24"/>
    </w:rPr>
  </w:style>
  <w:style w:type="character" w:customStyle="1" w:styleId="795">
    <w:name w:val="tw4winExternal"/>
    <w:autoRedefine/>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autoRedefine/>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autoRedefine/>
    <w:qFormat/>
    <w:uiPriority w:val="0"/>
    <w:rPr>
      <w:rFonts w:hint="default" w:ascii="Tahoma" w:hAnsi="Tahoma" w:cs="Tahoma"/>
      <w:sz w:val="18"/>
      <w:szCs w:val="18"/>
    </w:rPr>
  </w:style>
  <w:style w:type="character" w:customStyle="1" w:styleId="801">
    <w:name w:val="Char Char23"/>
    <w:autoRedefine/>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autoRedefine/>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autoRedefine/>
    <w:qFormat/>
    <w:locked/>
    <w:uiPriority w:val="0"/>
    <w:rPr>
      <w:rFonts w:ascii="宋体" w:hAnsi="宋体" w:eastAsia="宋体"/>
      <w:b/>
      <w:bCs/>
      <w:kern w:val="2"/>
      <w:sz w:val="24"/>
      <w:szCs w:val="24"/>
      <w:lang w:val="en-US" w:eastAsia="zh-CN" w:bidi="ar-SA"/>
    </w:rPr>
  </w:style>
  <w:style w:type="character" w:customStyle="1" w:styleId="807">
    <w:name w:val="此正文 Char"/>
    <w:link w:val="108"/>
    <w:autoRedefine/>
    <w:qFormat/>
    <w:uiPriority w:val="0"/>
    <w:rPr>
      <w:kern w:val="2"/>
      <w:sz w:val="24"/>
      <w:szCs w:val="24"/>
    </w:rPr>
  </w:style>
  <w:style w:type="character" w:customStyle="1" w:styleId="808">
    <w:name w:val="Char Char2"/>
    <w:autoRedefine/>
    <w:qFormat/>
    <w:uiPriority w:val="0"/>
    <w:rPr>
      <w:rFonts w:eastAsia="宋体"/>
      <w:b/>
      <w:bCs/>
      <w:kern w:val="2"/>
      <w:sz w:val="21"/>
      <w:szCs w:val="24"/>
      <w:lang w:val="en-US" w:eastAsia="zh-CN" w:bidi="ar-SA"/>
    </w:rPr>
  </w:style>
  <w:style w:type="character" w:customStyle="1" w:styleId="809">
    <w:name w:val="标题 1 Char"/>
    <w:link w:val="3"/>
    <w:autoRedefine/>
    <w:qFormat/>
    <w:uiPriority w:val="9"/>
    <w:rPr>
      <w:b/>
      <w:bCs/>
      <w:kern w:val="44"/>
      <w:sz w:val="44"/>
      <w:szCs w:val="44"/>
    </w:rPr>
  </w:style>
  <w:style w:type="character" w:customStyle="1" w:styleId="810">
    <w:name w:val="Footer-Even Char1"/>
    <w:autoRedefine/>
    <w:qFormat/>
    <w:uiPriority w:val="0"/>
    <w:rPr>
      <w:rFonts w:eastAsia="宋体"/>
      <w:kern w:val="2"/>
      <w:sz w:val="18"/>
      <w:szCs w:val="18"/>
      <w:lang w:val="en-US" w:eastAsia="zh-CN" w:bidi="ar-SA"/>
    </w:rPr>
  </w:style>
  <w:style w:type="character" w:customStyle="1" w:styleId="811">
    <w:name w:val="Char Char29"/>
    <w:autoRedefine/>
    <w:qFormat/>
    <w:uiPriority w:val="6"/>
    <w:rPr>
      <w:rFonts w:ascii="Arial" w:hAnsi="Arial" w:eastAsia="微软雅黑"/>
      <w:b/>
      <w:kern w:val="1"/>
      <w:sz w:val="44"/>
      <w:szCs w:val="32"/>
      <w:lang w:val="en-US" w:eastAsia="zh-CN" w:bidi="ar-SA"/>
    </w:rPr>
  </w:style>
  <w:style w:type="character" w:customStyle="1" w:styleId="812">
    <w:name w:val="标题 Char2"/>
    <w:link w:val="60"/>
    <w:autoRedefine/>
    <w:qFormat/>
    <w:uiPriority w:val="10"/>
    <w:rPr>
      <w:b/>
      <w:sz w:val="24"/>
    </w:rPr>
  </w:style>
  <w:style w:type="character" w:customStyle="1" w:styleId="813">
    <w:name w:val="font81"/>
    <w:autoRedefine/>
    <w:qFormat/>
    <w:uiPriority w:val="0"/>
    <w:rPr>
      <w:rFonts w:ascii="微软雅黑" w:hAnsi="微软雅黑" w:eastAsia="微软雅黑" w:cs="微软雅黑"/>
      <w:color w:val="000000"/>
      <w:sz w:val="20"/>
      <w:szCs w:val="20"/>
      <w:u w:val="none"/>
    </w:rPr>
  </w:style>
  <w:style w:type="character" w:customStyle="1" w:styleId="81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5">
    <w:name w:val="t21"/>
    <w:autoRedefine/>
    <w:qFormat/>
    <w:uiPriority w:val="0"/>
    <w:rPr>
      <w:rFonts w:ascii="仿宋_GB2312" w:eastAsia="微软雅黑"/>
      <w:b/>
      <w:kern w:val="2"/>
      <w:sz w:val="23"/>
      <w:szCs w:val="23"/>
      <w:lang w:val="en-US" w:eastAsia="zh-CN" w:bidi="ar-SA"/>
    </w:rPr>
  </w:style>
  <w:style w:type="character" w:customStyle="1" w:styleId="816">
    <w:name w:val="样式8 Char"/>
    <w:autoRedefine/>
    <w:qFormat/>
    <w:uiPriority w:val="0"/>
    <w:rPr>
      <w:rFonts w:ascii="仿宋_GB2312" w:hAnsi="宋体" w:eastAsia="仿宋_GB2312"/>
      <w:b/>
      <w:bCs/>
      <w:kern w:val="2"/>
      <w:sz w:val="24"/>
      <w:szCs w:val="24"/>
    </w:rPr>
  </w:style>
  <w:style w:type="character" w:customStyle="1" w:styleId="817">
    <w:name w:val="表格 Char Char"/>
    <w:autoRedefine/>
    <w:qFormat/>
    <w:uiPriority w:val="0"/>
    <w:rPr>
      <w:rFonts w:ascii="宋体" w:hAnsi="宋体" w:eastAsia="宋体"/>
      <w:lang w:bidi="ar-SA"/>
    </w:rPr>
  </w:style>
  <w:style w:type="character" w:customStyle="1" w:styleId="818">
    <w:name w:val="正文文本 字符1"/>
    <w:autoRedefine/>
    <w:qFormat/>
    <w:uiPriority w:val="0"/>
    <w:rPr>
      <w:rFonts w:ascii="Calibri" w:hAnsi="Calibri" w:eastAsia="黑体" w:cs="Arial"/>
      <w:snapToGrid w:val="0"/>
      <w:kern w:val="2"/>
      <w:sz w:val="28"/>
      <w:szCs w:val="21"/>
    </w:rPr>
  </w:style>
  <w:style w:type="character" w:customStyle="1" w:styleId="819">
    <w:name w:val="标题 5 Char"/>
    <w:link w:val="9"/>
    <w:autoRedefine/>
    <w:qFormat/>
    <w:uiPriority w:val="9"/>
    <w:rPr>
      <w:b/>
      <w:bCs/>
      <w:kern w:val="2"/>
      <w:sz w:val="28"/>
      <w:szCs w:val="28"/>
    </w:rPr>
  </w:style>
  <w:style w:type="character" w:customStyle="1" w:styleId="820">
    <w:name w:val="标题 6 Char1"/>
    <w:autoRedefine/>
    <w:qFormat/>
    <w:uiPriority w:val="0"/>
    <w:rPr>
      <w:rFonts w:ascii="Arial" w:hAnsi="Arial" w:eastAsia="黑体" w:cs="Times New Roman"/>
      <w:b/>
      <w:sz w:val="24"/>
      <w:szCs w:val="20"/>
      <w:lang w:bidi="ar-SA"/>
    </w:rPr>
  </w:style>
  <w:style w:type="character" w:customStyle="1" w:styleId="821">
    <w:name w:val="带编号样式 Char"/>
    <w:autoRedefine/>
    <w:qFormat/>
    <w:uiPriority w:val="0"/>
    <w:rPr>
      <w:rFonts w:ascii="仿宋_GB2312" w:eastAsia="仿宋_GB2312"/>
      <w:color w:val="000000"/>
      <w:sz w:val="24"/>
      <w:lang w:bidi="ar-SA"/>
    </w:rPr>
  </w:style>
  <w:style w:type="character" w:customStyle="1" w:styleId="822">
    <w:name w:val="unnamed31"/>
    <w:autoRedefine/>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autoRedefine/>
    <w:qFormat/>
    <w:uiPriority w:val="0"/>
    <w:rPr>
      <w:rFonts w:ascii="宋体" w:eastAsia="宋体"/>
      <w:kern w:val="2"/>
      <w:sz w:val="24"/>
      <w:szCs w:val="24"/>
      <w:lang w:val="zh-CN" w:bidi="ar-SA"/>
    </w:rPr>
  </w:style>
  <w:style w:type="character" w:customStyle="1" w:styleId="824">
    <w:name w:val="称呼 Char"/>
    <w:link w:val="22"/>
    <w:autoRedefine/>
    <w:qFormat/>
    <w:uiPriority w:val="0"/>
    <w:rPr>
      <w:rFonts w:ascii="仿宋_GB2312" w:eastAsia="仿宋_GB2312"/>
      <w:kern w:val="2"/>
      <w:sz w:val="28"/>
    </w:rPr>
  </w:style>
  <w:style w:type="character" w:customStyle="1" w:styleId="825">
    <w:name w:val="文本正文 Char Char"/>
    <w:autoRedefine/>
    <w:qFormat/>
    <w:locked/>
    <w:uiPriority w:val="0"/>
    <w:rPr>
      <w:sz w:val="24"/>
      <w:lang w:bidi="ar-SA"/>
    </w:rPr>
  </w:style>
  <w:style w:type="character" w:customStyle="1" w:styleId="826">
    <w:name w:val="正文缩进 字符"/>
    <w:autoRedefine/>
    <w:qFormat/>
    <w:uiPriority w:val="0"/>
    <w:rPr>
      <w:rFonts w:ascii="宋体" w:eastAsia="宋体"/>
      <w:snapToGrid w:val="0"/>
      <w:color w:val="000000"/>
      <w:kern w:val="28"/>
      <w:sz w:val="28"/>
      <w:lang w:val="en-US" w:eastAsia="zh-CN" w:bidi="ar-SA"/>
    </w:rPr>
  </w:style>
  <w:style w:type="character" w:customStyle="1" w:styleId="827">
    <w:name w:val="HTML 预设格式 Char"/>
    <w:link w:val="58"/>
    <w:autoRedefine/>
    <w:qFormat/>
    <w:uiPriority w:val="0"/>
    <w:rPr>
      <w:rFonts w:ascii="黑体" w:hAnsi="Courier New" w:eastAsia="黑体"/>
    </w:rPr>
  </w:style>
  <w:style w:type="character" w:customStyle="1" w:styleId="828">
    <w:name w:val="正文文本 2 Char1"/>
    <w:link w:val="57"/>
    <w:autoRedefine/>
    <w:qFormat/>
    <w:uiPriority w:val="0"/>
    <w:rPr>
      <w:kern w:val="2"/>
      <w:sz w:val="21"/>
      <w:szCs w:val="24"/>
    </w:rPr>
  </w:style>
  <w:style w:type="character" w:customStyle="1" w:styleId="829">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30">
    <w:name w:val="正文非缩进 Char"/>
    <w:autoRedefine/>
    <w:qFormat/>
    <w:uiPriority w:val="0"/>
    <w:rPr>
      <w:rFonts w:ascii="宋体" w:eastAsia="宋体"/>
      <w:snapToGrid w:val="0"/>
      <w:color w:val="000000"/>
      <w:kern w:val="28"/>
      <w:sz w:val="28"/>
      <w:lang w:val="en-US" w:eastAsia="zh-CN" w:bidi="ar-SA"/>
    </w:rPr>
  </w:style>
  <w:style w:type="character" w:customStyle="1" w:styleId="831">
    <w:name w:val="标题 7 Char"/>
    <w:link w:val="11"/>
    <w:autoRedefine/>
    <w:qFormat/>
    <w:uiPriority w:val="0"/>
    <w:rPr>
      <w:b/>
      <w:bCs/>
      <w:kern w:val="2"/>
      <w:sz w:val="24"/>
      <w:szCs w:val="24"/>
    </w:rPr>
  </w:style>
  <w:style w:type="character" w:customStyle="1" w:styleId="832">
    <w:name w:val="正文文本缩进 2 Char"/>
    <w:link w:val="39"/>
    <w:autoRedefine/>
    <w:qFormat/>
    <w:uiPriority w:val="0"/>
    <w:rPr>
      <w:rFonts w:ascii="宋体"/>
      <w:sz w:val="28"/>
    </w:rPr>
  </w:style>
  <w:style w:type="character" w:customStyle="1" w:styleId="833">
    <w:name w:val="Char Char5"/>
    <w:autoRedefine/>
    <w:qFormat/>
    <w:uiPriority w:val="0"/>
    <w:rPr>
      <w:rFonts w:ascii="宋体" w:hAnsi="Courier New" w:eastAsia="宋体"/>
      <w:kern w:val="2"/>
      <w:sz w:val="21"/>
      <w:lang w:val="en-US" w:eastAsia="zh-CN"/>
    </w:rPr>
  </w:style>
  <w:style w:type="character" w:customStyle="1" w:styleId="834">
    <w:name w:val="脚注文本 Char"/>
    <w:link w:val="52"/>
    <w:autoRedefine/>
    <w:qFormat/>
    <w:uiPriority w:val="0"/>
    <w:rPr>
      <w:color w:val="0000FF"/>
      <w:sz w:val="21"/>
    </w:rPr>
  </w:style>
  <w:style w:type="character" w:customStyle="1" w:styleId="835">
    <w:name w:val="称呼 Char1"/>
    <w:autoRedefine/>
    <w:qFormat/>
    <w:uiPriority w:val="0"/>
    <w:rPr>
      <w:rFonts w:ascii="Times New Roman" w:hAnsi="Times New Roman" w:eastAsia="宋体" w:cs="Times New Roman"/>
      <w:szCs w:val="24"/>
    </w:rPr>
  </w:style>
  <w:style w:type="character" w:customStyle="1" w:styleId="836">
    <w:name w:val="正文1 Char"/>
    <w:autoRedefine/>
    <w:qFormat/>
    <w:uiPriority w:val="0"/>
    <w:rPr>
      <w:rFonts w:ascii="宋体" w:eastAsia="宋体"/>
      <w:snapToGrid w:val="0"/>
      <w:color w:val="000000"/>
      <w:kern w:val="28"/>
      <w:sz w:val="28"/>
      <w:lang w:val="en-US" w:eastAsia="zh-CN" w:bidi="ar-SA"/>
    </w:rPr>
  </w:style>
  <w:style w:type="character" w:customStyle="1" w:styleId="837">
    <w:name w:val="正文缩进 Char1"/>
    <w:autoRedefine/>
    <w:qFormat/>
    <w:uiPriority w:val="0"/>
    <w:rPr>
      <w:rFonts w:ascii="宋体" w:eastAsia="宋体"/>
      <w:snapToGrid w:val="0"/>
      <w:color w:val="000000"/>
      <w:kern w:val="28"/>
      <w:sz w:val="28"/>
      <w:lang w:val="en-US" w:eastAsia="zh-CN" w:bidi="ar-SA"/>
    </w:rPr>
  </w:style>
  <w:style w:type="character" w:customStyle="1" w:styleId="838">
    <w:name w:val="font21"/>
    <w:autoRedefine/>
    <w:qFormat/>
    <w:uiPriority w:val="0"/>
    <w:rPr>
      <w:rFonts w:hint="eastAsia" w:ascii="宋体" w:hAnsi="宋体" w:eastAsia="宋体"/>
      <w:kern w:val="2"/>
      <w:sz w:val="28"/>
      <w:szCs w:val="28"/>
      <w:lang w:val="en-US" w:eastAsia="zh-CN" w:bidi="ar-SA"/>
    </w:rPr>
  </w:style>
  <w:style w:type="character" w:customStyle="1" w:styleId="839">
    <w:name w:val="Char Char26"/>
    <w:autoRedefine/>
    <w:qFormat/>
    <w:uiPriority w:val="6"/>
    <w:rPr>
      <w:kern w:val="1"/>
      <w:sz w:val="21"/>
      <w:szCs w:val="24"/>
    </w:rPr>
  </w:style>
  <w:style w:type="character" w:customStyle="1" w:styleId="840">
    <w:name w:val="Item List Char"/>
    <w:link w:val="111"/>
    <w:autoRedefine/>
    <w:qFormat/>
    <w:uiPriority w:val="0"/>
    <w:rPr>
      <w:rFonts w:ascii="Arial"/>
      <w:bCs/>
      <w:sz w:val="21"/>
      <w:szCs w:val="21"/>
      <w:lang w:val="en-US" w:eastAsia="zh-CN" w:bidi="ar-SA"/>
    </w:rPr>
  </w:style>
  <w:style w:type="character" w:customStyle="1" w:styleId="841">
    <w:name w:val="批注框文本 Char1"/>
    <w:autoRedefine/>
    <w:qFormat/>
    <w:uiPriority w:val="0"/>
    <w:rPr>
      <w:rFonts w:ascii="Times New Roman" w:hAnsi="Times New Roman" w:eastAsia="宋体" w:cs="Times New Roman"/>
      <w:sz w:val="18"/>
      <w:szCs w:val="18"/>
    </w:rPr>
  </w:style>
  <w:style w:type="character" w:customStyle="1" w:styleId="842">
    <w:name w:val="纯文本 Char1"/>
    <w:link w:val="112"/>
    <w:autoRedefine/>
    <w:qFormat/>
    <w:uiPriority w:val="0"/>
    <w:rPr>
      <w:rFonts w:ascii="宋体" w:hAnsi="Courier New"/>
    </w:rPr>
  </w:style>
  <w:style w:type="character" w:customStyle="1" w:styleId="843">
    <w:name w:val="正文首行缩进 Char"/>
    <w:link w:val="26"/>
    <w:autoRedefine/>
    <w:qFormat/>
    <w:uiPriority w:val="0"/>
    <w:rPr>
      <w:rFonts w:ascii="宋体"/>
      <w:kern w:val="2"/>
      <w:sz w:val="24"/>
      <w:lang w:val="zh-CN"/>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标题 4 Char2"/>
    <w:link w:val="8"/>
    <w:autoRedefine/>
    <w:qFormat/>
    <w:uiPriority w:val="9"/>
    <w:rPr>
      <w:rFonts w:ascii="Arial" w:hAnsi="Arial" w:eastAsia="黑体"/>
      <w:b/>
      <w:bCs/>
      <w:kern w:val="2"/>
      <w:sz w:val="28"/>
      <w:szCs w:val="28"/>
      <w:lang w:val="zh-CN"/>
    </w:rPr>
  </w:style>
  <w:style w:type="character" w:customStyle="1" w:styleId="850">
    <w:name w:val="首行缩进 Char"/>
    <w:autoRedefine/>
    <w:qFormat/>
    <w:uiPriority w:val="0"/>
    <w:rPr>
      <w:rFonts w:ascii="宋体" w:eastAsia="宋体"/>
      <w:kern w:val="2"/>
      <w:sz w:val="24"/>
      <w:lang w:val="en-US" w:eastAsia="zh-CN" w:bidi="ar-SA"/>
    </w:rPr>
  </w:style>
  <w:style w:type="character" w:customStyle="1" w:styleId="851">
    <w:name w:val="Char Char52"/>
    <w:autoRedefine/>
    <w:qFormat/>
    <w:uiPriority w:val="0"/>
    <w:rPr>
      <w:rFonts w:ascii="宋体" w:hAnsi="Courier New" w:eastAsia="宋体"/>
      <w:kern w:val="2"/>
      <w:sz w:val="21"/>
      <w:lang w:val="en-US" w:eastAsia="zh-CN"/>
    </w:rPr>
  </w:style>
  <w:style w:type="character" w:customStyle="1" w:styleId="852">
    <w:name w:val="正文文本 3 Char"/>
    <w:link w:val="23"/>
    <w:autoRedefine/>
    <w:qFormat/>
    <w:uiPriority w:val="0"/>
    <w:rPr>
      <w:kern w:val="2"/>
      <w:sz w:val="21"/>
    </w:rPr>
  </w:style>
  <w:style w:type="character" w:customStyle="1" w:styleId="853">
    <w:name w:val="font31"/>
    <w:autoRedefine/>
    <w:qFormat/>
    <w:uiPriority w:val="0"/>
    <w:rPr>
      <w:rFonts w:hint="eastAsia" w:ascii="仿宋" w:hAnsi="仿宋" w:eastAsia="仿宋" w:cs="仿宋"/>
      <w:color w:val="000000"/>
      <w:sz w:val="20"/>
      <w:szCs w:val="20"/>
      <w:u w:val="none"/>
    </w:rPr>
  </w:style>
  <w:style w:type="character" w:customStyle="1" w:styleId="854">
    <w:name w:val="正文说明 Char"/>
    <w:link w:val="113"/>
    <w:autoRedefine/>
    <w:qFormat/>
    <w:uiPriority w:val="0"/>
    <w:rPr>
      <w:sz w:val="24"/>
      <w:szCs w:val="24"/>
    </w:rPr>
  </w:style>
  <w:style w:type="character" w:customStyle="1" w:styleId="855">
    <w:name w:val="脚注文本 Char1"/>
    <w:autoRedefine/>
    <w:qFormat/>
    <w:uiPriority w:val="0"/>
    <w:rPr>
      <w:rFonts w:ascii="Times New Roman" w:hAnsi="Times New Roman" w:eastAsia="宋体" w:cs="Times New Roman"/>
      <w:sz w:val="18"/>
      <w:szCs w:val="18"/>
    </w:rPr>
  </w:style>
  <w:style w:type="character" w:customStyle="1" w:styleId="856">
    <w:name w:val="Char Char1211"/>
    <w:autoRedefine/>
    <w:qFormat/>
    <w:uiPriority w:val="0"/>
    <w:rPr>
      <w:rFonts w:ascii="仿宋_GB2312" w:eastAsia="仿宋_GB2312"/>
      <w:b/>
      <w:bCs/>
      <w:kern w:val="2"/>
      <w:sz w:val="24"/>
      <w:szCs w:val="24"/>
      <w:lang w:val="zh-CN" w:eastAsia="zh-CN" w:bidi="ar-SA"/>
    </w:rPr>
  </w:style>
  <w:style w:type="character" w:customStyle="1" w:styleId="857">
    <w:name w:val="标题 Char"/>
    <w:autoRedefine/>
    <w:qFormat/>
    <w:uiPriority w:val="0"/>
    <w:rPr>
      <w:rFonts w:eastAsia="宋体"/>
      <w:b/>
      <w:sz w:val="24"/>
      <w:lang w:eastAsia="zh-CN" w:bidi="ar-SA"/>
    </w:rPr>
  </w:style>
  <w:style w:type="character" w:customStyle="1" w:styleId="858">
    <w:name w:val="Char Char35"/>
    <w:autoRedefine/>
    <w:qFormat/>
    <w:uiPriority w:val="6"/>
    <w:rPr>
      <w:rFonts w:ascii="Arial" w:hAnsi="Arial" w:eastAsia="黑体"/>
      <w:b/>
      <w:kern w:val="1"/>
      <w:sz w:val="28"/>
      <w:szCs w:val="28"/>
      <w:lang w:val="zh-CN"/>
    </w:rPr>
  </w:style>
  <w:style w:type="character" w:customStyle="1" w:styleId="859">
    <w:name w:val="纯文本 Char Char Char"/>
    <w:autoRedefine/>
    <w:qFormat/>
    <w:uiPriority w:val="0"/>
    <w:rPr>
      <w:rFonts w:ascii="宋体" w:hAnsi="Courier New" w:eastAsia="宋体"/>
      <w:kern w:val="2"/>
      <w:sz w:val="21"/>
      <w:lang w:val="en-US" w:eastAsia="zh-CN" w:bidi="ar-SA"/>
    </w:rPr>
  </w:style>
  <w:style w:type="character" w:customStyle="1" w:styleId="860">
    <w:name w:val="Table Text Char"/>
    <w:link w:val="114"/>
    <w:autoRedefine/>
    <w:qFormat/>
    <w:uiPriority w:val="0"/>
    <w:rPr>
      <w:sz w:val="24"/>
      <w:szCs w:val="24"/>
    </w:rPr>
  </w:style>
  <w:style w:type="character" w:customStyle="1" w:styleId="861">
    <w:name w:val="正文1 Char1"/>
    <w:autoRedefine/>
    <w:qFormat/>
    <w:uiPriority w:val="0"/>
    <w:rPr>
      <w:rFonts w:ascii="仿宋_GB2312" w:hAnsi="Courier New" w:eastAsia="仿宋_GB2312"/>
      <w:kern w:val="28"/>
      <w:sz w:val="24"/>
      <w:szCs w:val="24"/>
      <w:lang w:val="en-US" w:eastAsia="zh-CN"/>
    </w:rPr>
  </w:style>
  <w:style w:type="character" w:customStyle="1" w:styleId="862">
    <w:name w:val="页脚 Char1"/>
    <w:autoRedefine/>
    <w:qFormat/>
    <w:uiPriority w:val="0"/>
    <w:rPr>
      <w:rFonts w:eastAsia="宋体"/>
      <w:kern w:val="2"/>
      <w:sz w:val="18"/>
      <w:szCs w:val="18"/>
      <w:lang w:val="en-US" w:eastAsia="zh-CN" w:bidi="ar-SA"/>
    </w:rPr>
  </w:style>
  <w:style w:type="character" w:customStyle="1" w:styleId="863">
    <w:name w:val="Bold"/>
    <w:autoRedefine/>
    <w:qFormat/>
    <w:uiPriority w:val="0"/>
    <w:rPr>
      <w:rFonts w:ascii="Arial" w:hAnsi="Arial" w:eastAsia="黑体" w:cs="Times New Roman"/>
      <w:b/>
      <w:kern w:val="2"/>
      <w:sz w:val="32"/>
      <w:szCs w:val="32"/>
      <w:lang w:val="en-US" w:eastAsia="zh-CN" w:bidi="ar-SA"/>
    </w:rPr>
  </w:style>
  <w:style w:type="character" w:customStyle="1" w:styleId="864">
    <w:name w:val="批注文字 Char1"/>
    <w:link w:val="21"/>
    <w:autoRedefine/>
    <w:qFormat/>
    <w:uiPriority w:val="99"/>
    <w:rPr>
      <w:kern w:val="2"/>
      <w:sz w:val="21"/>
      <w:szCs w:val="24"/>
    </w:rPr>
  </w:style>
  <w:style w:type="character" w:customStyle="1" w:styleId="865">
    <w:name w:val="签名 Char"/>
    <w:link w:val="44"/>
    <w:autoRedefine/>
    <w:qFormat/>
    <w:uiPriority w:val="0"/>
    <w:rPr>
      <w:rFonts w:eastAsia="仿宋_GB2312"/>
      <w:sz w:val="24"/>
    </w:rPr>
  </w:style>
  <w:style w:type="character" w:customStyle="1" w:styleId="866">
    <w:name w:val="hui3"/>
    <w:autoRedefine/>
    <w:qFormat/>
    <w:uiPriority w:val="0"/>
    <w:rPr>
      <w:color w:val="333333"/>
    </w:rPr>
  </w:style>
  <w:style w:type="character" w:customStyle="1" w:styleId="867">
    <w:name w:val="Char Char17"/>
    <w:autoRedefine/>
    <w:qFormat/>
    <w:uiPriority w:val="6"/>
    <w:rPr>
      <w:rFonts w:eastAsia="仿宋_GB2312"/>
      <w:sz w:val="24"/>
    </w:rPr>
  </w:style>
  <w:style w:type="character" w:customStyle="1" w:styleId="86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9">
    <w:name w:val="Char Char37"/>
    <w:autoRedefine/>
    <w:qFormat/>
    <w:uiPriority w:val="6"/>
    <w:rPr>
      <w:b/>
      <w:kern w:val="1"/>
      <w:sz w:val="44"/>
      <w:szCs w:val="44"/>
    </w:rPr>
  </w:style>
  <w:style w:type="character" w:customStyle="1" w:styleId="870">
    <w:name w:val="列出段落 Char"/>
    <w:autoRedefine/>
    <w:qFormat/>
    <w:uiPriority w:val="0"/>
    <w:rPr>
      <w:rFonts w:eastAsia="楷体_GB2312" w:cs="Lucida Sans"/>
      <w:kern w:val="2"/>
      <w:sz w:val="24"/>
      <w:szCs w:val="24"/>
      <w:lang w:val="en-US" w:eastAsia="zh-CN" w:bidi="ar-SA"/>
    </w:rPr>
  </w:style>
  <w:style w:type="character" w:customStyle="1" w:styleId="871">
    <w:name w:val="正文文本缩进 3 Char1"/>
    <w:autoRedefine/>
    <w:semiHidden/>
    <w:qFormat/>
    <w:uiPriority w:val="99"/>
    <w:rPr>
      <w:rFonts w:ascii="Times New Roman" w:hAnsi="Times New Roman" w:eastAsia="宋体" w:cs="Times New Roman"/>
      <w:sz w:val="16"/>
      <w:szCs w:val="16"/>
    </w:rPr>
  </w:style>
  <w:style w:type="character" w:customStyle="1" w:styleId="872">
    <w:name w:val="公文正文 Char Char"/>
    <w:link w:val="115"/>
    <w:autoRedefine/>
    <w:qFormat/>
    <w:uiPriority w:val="0"/>
    <w:rPr>
      <w:rFonts w:ascii="仿宋_GB2312" w:eastAsia="仿宋_GB2312"/>
      <w:kern w:val="2"/>
      <w:sz w:val="24"/>
      <w:szCs w:val="24"/>
    </w:rPr>
  </w:style>
  <w:style w:type="character" w:customStyle="1" w:styleId="873">
    <w:name w:val="Table Text Char1"/>
    <w:autoRedefine/>
    <w:qFormat/>
    <w:uiPriority w:val="0"/>
    <w:rPr>
      <w:rFonts w:eastAsia="宋体"/>
      <w:sz w:val="24"/>
      <w:szCs w:val="24"/>
      <w:lang w:val="en-US" w:eastAsia="zh-CN" w:bidi="ar-SA"/>
    </w:rPr>
  </w:style>
  <w:style w:type="character" w:customStyle="1" w:styleId="874">
    <w:name w:val="标题 1 Char Char"/>
    <w:autoRedefine/>
    <w:qFormat/>
    <w:uiPriority w:val="0"/>
    <w:rPr>
      <w:rFonts w:hint="eastAsia" w:ascii="宋体" w:hAnsi="宋体" w:eastAsia="宋体"/>
      <w:b/>
      <w:spacing w:val="-2"/>
      <w:sz w:val="24"/>
      <w:lang w:val="en-US" w:eastAsia="zh-CN" w:bidi="ar-SA"/>
    </w:rPr>
  </w:style>
  <w:style w:type="character" w:customStyle="1" w:styleId="875">
    <w:name w:val="正文（缩进2汉字） Char"/>
    <w:link w:val="116"/>
    <w:autoRedefine/>
    <w:qFormat/>
    <w:uiPriority w:val="0"/>
    <w:rPr>
      <w:rFonts w:ascii="宋体"/>
    </w:rPr>
  </w:style>
  <w:style w:type="character" w:customStyle="1" w:styleId="876">
    <w:name w:val="标题 8 Char"/>
    <w:link w:val="12"/>
    <w:autoRedefine/>
    <w:qFormat/>
    <w:uiPriority w:val="0"/>
    <w:rPr>
      <w:rFonts w:ascii="Arial" w:hAnsi="Arial" w:eastAsia="黑体"/>
      <w:kern w:val="2"/>
      <w:sz w:val="24"/>
      <w:szCs w:val="24"/>
    </w:rPr>
  </w:style>
  <w:style w:type="character" w:customStyle="1" w:styleId="877">
    <w:name w:val="标书表格字体格式 Char"/>
    <w:autoRedefine/>
    <w:qFormat/>
    <w:uiPriority w:val="0"/>
    <w:rPr>
      <w:kern w:val="2"/>
      <w:sz w:val="21"/>
      <w:szCs w:val="24"/>
      <w:lang w:bidi="ar-SA"/>
    </w:rPr>
  </w:style>
  <w:style w:type="character" w:customStyle="1" w:styleId="878">
    <w:name w:val="tw4winError"/>
    <w:autoRedefine/>
    <w:qFormat/>
    <w:uiPriority w:val="0"/>
    <w:rPr>
      <w:rFonts w:ascii="Courier New" w:hAnsi="Courier New" w:cs="Courier New"/>
      <w:color w:val="00FF00"/>
      <w:sz w:val="40"/>
      <w:szCs w:val="40"/>
    </w:rPr>
  </w:style>
  <w:style w:type="character" w:customStyle="1" w:styleId="879">
    <w:name w:val="Body Text(ch) Char Char"/>
    <w:autoRedefine/>
    <w:qFormat/>
    <w:uiPriority w:val="0"/>
    <w:rPr>
      <w:rFonts w:ascii="宋体"/>
      <w:kern w:val="2"/>
      <w:sz w:val="24"/>
      <w:szCs w:val="21"/>
      <w:lang w:val="zh-CN"/>
    </w:rPr>
  </w:style>
  <w:style w:type="character" w:customStyle="1" w:styleId="880">
    <w:name w:val="正文首行缩进两字 Char"/>
    <w:autoRedefine/>
    <w:qFormat/>
    <w:uiPriority w:val="0"/>
    <w:rPr>
      <w:sz w:val="24"/>
      <w:szCs w:val="24"/>
      <w:lang w:val="en-US" w:eastAsia="zh-CN" w:bidi="ar-SA"/>
    </w:rPr>
  </w:style>
  <w:style w:type="character" w:customStyle="1" w:styleId="881">
    <w:name w:val="正文文本 Char"/>
    <w:autoRedefine/>
    <w:qFormat/>
    <w:uiPriority w:val="0"/>
    <w:rPr>
      <w:rFonts w:eastAsia="宋体"/>
      <w:kern w:val="2"/>
      <w:sz w:val="24"/>
      <w:szCs w:val="24"/>
      <w:lang w:val="en-US" w:eastAsia="zh-CN" w:bidi="ar-SA"/>
    </w:rPr>
  </w:style>
  <w:style w:type="character" w:customStyle="1" w:styleId="882">
    <w:name w:val="文档结构图 字符1"/>
    <w:autoRedefine/>
    <w:qFormat/>
    <w:uiPriority w:val="0"/>
    <w:rPr>
      <w:rFonts w:ascii="宋体" w:hAnsi="Calibri" w:eastAsia="黑体" w:cs="Arial"/>
      <w:snapToGrid w:val="0"/>
      <w:kern w:val="2"/>
      <w:sz w:val="18"/>
      <w:szCs w:val="18"/>
    </w:rPr>
  </w:style>
  <w:style w:type="character" w:customStyle="1" w:styleId="883">
    <w:name w:val="content"/>
    <w:autoRedefine/>
    <w:qFormat/>
    <w:uiPriority w:val="0"/>
  </w:style>
  <w:style w:type="character" w:customStyle="1" w:styleId="884">
    <w:name w:val="tw4winPopup"/>
    <w:autoRedefine/>
    <w:qFormat/>
    <w:uiPriority w:val="0"/>
    <w:rPr>
      <w:rFonts w:ascii="Courier New" w:hAnsi="Courier New" w:cs="Courier New"/>
      <w:color w:val="008000"/>
      <w:lang w:val="en-US" w:eastAsia="zh-CN"/>
    </w:rPr>
  </w:style>
  <w:style w:type="character" w:customStyle="1" w:styleId="885">
    <w:name w:val="param-name"/>
    <w:autoRedefine/>
    <w:qFormat/>
    <w:uiPriority w:val="99"/>
    <w:rPr>
      <w:rFonts w:ascii="Arial" w:hAnsi="Arial" w:eastAsia="黑体" w:cs="Arial"/>
      <w:snapToGrid w:val="0"/>
      <w:kern w:val="0"/>
      <w:szCs w:val="21"/>
    </w:rPr>
  </w:style>
  <w:style w:type="character" w:customStyle="1" w:styleId="886">
    <w:name w:val="标准正文格式 Char"/>
    <w:autoRedefine/>
    <w:qFormat/>
    <w:uiPriority w:val="0"/>
    <w:rPr>
      <w:rFonts w:ascii="宋体" w:eastAsia="仿宋_GB2312" w:cs="宋体"/>
      <w:color w:val="000000"/>
      <w:sz w:val="24"/>
      <w:lang w:val="en-US" w:eastAsia="zh-CN" w:bidi="ar-SA"/>
    </w:rPr>
  </w:style>
  <w:style w:type="character" w:customStyle="1" w:styleId="887">
    <w:name w:val="Char Char212"/>
    <w:autoRedefine/>
    <w:qFormat/>
    <w:uiPriority w:val="0"/>
    <w:rPr>
      <w:rFonts w:eastAsia="宋体"/>
      <w:b/>
      <w:bCs/>
      <w:kern w:val="2"/>
      <w:sz w:val="21"/>
      <w:szCs w:val="24"/>
      <w:lang w:val="en-US" w:eastAsia="zh-CN" w:bidi="ar-SA"/>
    </w:rPr>
  </w:style>
  <w:style w:type="character" w:customStyle="1" w:styleId="888">
    <w:name w:val="文档结构图 Char"/>
    <w:autoRedefine/>
    <w:qFormat/>
    <w:uiPriority w:val="0"/>
    <w:rPr>
      <w:rFonts w:eastAsia="宋体"/>
      <w:kern w:val="2"/>
      <w:sz w:val="21"/>
      <w:szCs w:val="24"/>
      <w:lang w:val="en-US" w:eastAsia="zh-CN" w:bidi="ar-SA"/>
    </w:rPr>
  </w:style>
  <w:style w:type="character" w:customStyle="1" w:styleId="889">
    <w:name w:val="zbggmain style9"/>
    <w:autoRedefine/>
    <w:qFormat/>
    <w:uiPriority w:val="0"/>
  </w:style>
  <w:style w:type="character" w:customStyle="1" w:styleId="890">
    <w:name w:val="Char Char16"/>
    <w:autoRedefine/>
    <w:qFormat/>
    <w:uiPriority w:val="6"/>
    <w:rPr>
      <w:kern w:val="1"/>
      <w:sz w:val="18"/>
      <w:szCs w:val="18"/>
    </w:rPr>
  </w:style>
  <w:style w:type="character" w:customStyle="1" w:styleId="891">
    <w:name w:val="font51"/>
    <w:autoRedefine/>
    <w:qFormat/>
    <w:uiPriority w:val="0"/>
    <w:rPr>
      <w:rFonts w:hint="eastAsia" w:ascii="仿宋" w:hAnsi="仿宋" w:eastAsia="仿宋" w:cs="仿宋"/>
      <w:color w:val="000000"/>
      <w:sz w:val="20"/>
      <w:szCs w:val="20"/>
      <w:u w:val="none"/>
    </w:rPr>
  </w:style>
  <w:style w:type="character" w:customStyle="1" w:styleId="892">
    <w:name w:val="Char Char82"/>
    <w:autoRedefine/>
    <w:qFormat/>
    <w:uiPriority w:val="0"/>
    <w:rPr>
      <w:rFonts w:eastAsia="宋体"/>
      <w:b/>
      <w:sz w:val="24"/>
      <w:lang w:eastAsia="zh-CN"/>
    </w:rPr>
  </w:style>
  <w:style w:type="character" w:customStyle="1" w:styleId="893">
    <w:name w:val="正文文本缩进 3 Char"/>
    <w:link w:val="54"/>
    <w:autoRedefine/>
    <w:qFormat/>
    <w:uiPriority w:val="0"/>
    <w:rPr>
      <w:kern w:val="2"/>
      <w:sz w:val="24"/>
    </w:rPr>
  </w:style>
  <w:style w:type="character" w:customStyle="1" w:styleId="894">
    <w:name w:val="日期 Char1"/>
    <w:autoRedefine/>
    <w:semiHidden/>
    <w:qFormat/>
    <w:uiPriority w:val="99"/>
    <w:rPr>
      <w:rFonts w:ascii="Times New Roman" w:hAnsi="Times New Roman" w:eastAsia="宋体" w:cs="Times New Roman"/>
      <w:szCs w:val="24"/>
    </w:rPr>
  </w:style>
  <w:style w:type="character" w:customStyle="1" w:styleId="895">
    <w:name w:val="页眉 字符"/>
    <w:autoRedefine/>
    <w:qFormat/>
    <w:uiPriority w:val="99"/>
    <w:rPr>
      <w:kern w:val="2"/>
      <w:sz w:val="18"/>
      <w:szCs w:val="18"/>
    </w:rPr>
  </w:style>
  <w:style w:type="character" w:customStyle="1" w:styleId="896">
    <w:name w:val="Char Char33"/>
    <w:autoRedefine/>
    <w:qFormat/>
    <w:uiPriority w:val="6"/>
    <w:rPr>
      <w:rFonts w:ascii="Arial" w:hAnsi="Arial" w:eastAsia="黑体"/>
      <w:b/>
      <w:kern w:val="1"/>
      <w:sz w:val="24"/>
      <w:szCs w:val="24"/>
    </w:rPr>
  </w:style>
  <w:style w:type="character" w:customStyle="1" w:styleId="897">
    <w:name w:val="b11_01b Char"/>
    <w:link w:val="117"/>
    <w:autoRedefine/>
    <w:qFormat/>
    <w:uiPriority w:val="0"/>
    <w:rPr>
      <w:rFonts w:ascii="Verdana" w:hAnsi="Verdana"/>
      <w:b/>
      <w:bCs/>
      <w:color w:val="4A82CA"/>
      <w:sz w:val="17"/>
      <w:szCs w:val="17"/>
    </w:rPr>
  </w:style>
  <w:style w:type="character" w:customStyle="1" w:styleId="898">
    <w:name w:val="Char Char121"/>
    <w:autoRedefine/>
    <w:qFormat/>
    <w:uiPriority w:val="6"/>
    <w:rPr>
      <w:rFonts w:ascii="仿宋_GB2312" w:eastAsia="仿宋_GB2312"/>
      <w:b/>
      <w:bCs/>
      <w:kern w:val="2"/>
      <w:sz w:val="24"/>
      <w:szCs w:val="24"/>
      <w:lang w:val="zh-CN" w:eastAsia="zh-CN" w:bidi="ar-SA"/>
    </w:rPr>
  </w:style>
  <w:style w:type="character" w:customStyle="1" w:styleId="899">
    <w:name w:val="Footer-Even Char"/>
    <w:autoRedefine/>
    <w:qFormat/>
    <w:uiPriority w:val="0"/>
    <w:rPr>
      <w:rFonts w:eastAsia="宋体"/>
      <w:kern w:val="2"/>
      <w:sz w:val="18"/>
      <w:lang w:val="en-US" w:eastAsia="zh-CN" w:bidi="ar-SA"/>
    </w:rPr>
  </w:style>
  <w:style w:type="character" w:customStyle="1" w:styleId="900">
    <w:name w:val="页脚 Char2"/>
    <w:link w:val="41"/>
    <w:autoRedefine/>
    <w:qFormat/>
    <w:locked/>
    <w:uiPriority w:val="99"/>
    <w:rPr>
      <w:kern w:val="2"/>
      <w:sz w:val="18"/>
      <w:szCs w:val="18"/>
    </w:rPr>
  </w:style>
  <w:style w:type="character" w:customStyle="1" w:styleId="90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2">
    <w:name w:val="Char Char61"/>
    <w:autoRedefine/>
    <w:qFormat/>
    <w:uiPriority w:val="6"/>
    <w:rPr>
      <w:rFonts w:eastAsia="宋体"/>
      <w:kern w:val="2"/>
      <w:sz w:val="21"/>
      <w:szCs w:val="24"/>
      <w:lang w:val="en-US" w:eastAsia="zh-CN" w:bidi="ar-SA"/>
    </w:rPr>
  </w:style>
  <w:style w:type="character" w:customStyle="1" w:styleId="903">
    <w:name w:val="正文文字缩进 2 Char Char"/>
    <w:autoRedefine/>
    <w:qFormat/>
    <w:uiPriority w:val="0"/>
    <w:rPr>
      <w:rFonts w:ascii="宋体"/>
      <w:sz w:val="28"/>
    </w:rPr>
  </w:style>
  <w:style w:type="character" w:customStyle="1" w:styleId="904">
    <w:name w:val="f141"/>
    <w:autoRedefine/>
    <w:qFormat/>
    <w:uiPriority w:val="0"/>
    <w:rPr>
      <w:rFonts w:ascii="Tahoma" w:hAnsi="Tahoma" w:eastAsia="宋体"/>
      <w:b/>
      <w:kern w:val="2"/>
      <w:sz w:val="21"/>
      <w:szCs w:val="21"/>
      <w:lang w:val="en-US" w:eastAsia="zh-CN" w:bidi="ar-SA"/>
    </w:rPr>
  </w:style>
  <w:style w:type="character" w:customStyle="1" w:styleId="905">
    <w:name w:val="段落 Char Char"/>
    <w:link w:val="118"/>
    <w:autoRedefine/>
    <w:qFormat/>
    <w:uiPriority w:val="0"/>
    <w:rPr>
      <w:rFonts w:ascii="宋体" w:hAnsi="宋体"/>
      <w:sz w:val="24"/>
    </w:rPr>
  </w:style>
  <w:style w:type="character" w:customStyle="1" w:styleId="906">
    <w:name w:val="标题 3 Char2"/>
    <w:autoRedefine/>
    <w:qFormat/>
    <w:uiPriority w:val="0"/>
    <w:rPr>
      <w:rFonts w:eastAsia="宋体"/>
      <w:b/>
      <w:bCs/>
      <w:kern w:val="2"/>
      <w:sz w:val="32"/>
      <w:szCs w:val="32"/>
      <w:lang w:val="en-US" w:eastAsia="zh-CN" w:bidi="ar-SA"/>
    </w:rPr>
  </w:style>
  <w:style w:type="character" w:customStyle="1" w:styleId="907">
    <w:name w:val="apple-converted-space"/>
    <w:autoRedefine/>
    <w:qFormat/>
    <w:uiPriority w:val="0"/>
  </w:style>
  <w:style w:type="character" w:customStyle="1" w:styleId="908">
    <w:name w:val="页眉 Char2"/>
    <w:link w:val="42"/>
    <w:autoRedefine/>
    <w:qFormat/>
    <w:uiPriority w:val="99"/>
    <w:rPr>
      <w:kern w:val="2"/>
      <w:sz w:val="18"/>
      <w:szCs w:val="18"/>
    </w:rPr>
  </w:style>
  <w:style w:type="character" w:customStyle="1" w:styleId="909">
    <w:name w:val="Char Char9"/>
    <w:autoRedefine/>
    <w:qFormat/>
    <w:uiPriority w:val="0"/>
    <w:rPr>
      <w:rFonts w:eastAsia="宋体"/>
      <w:kern w:val="2"/>
      <w:sz w:val="18"/>
      <w:szCs w:val="18"/>
      <w:lang w:val="en-US" w:eastAsia="zh-CN" w:bidi="ar-SA"/>
    </w:rPr>
  </w:style>
  <w:style w:type="character" w:customStyle="1" w:styleId="910">
    <w:name w:val="Char Char41"/>
    <w:autoRedefine/>
    <w:qFormat/>
    <w:uiPriority w:val="0"/>
    <w:rPr>
      <w:rFonts w:eastAsia="宋体"/>
      <w:b/>
      <w:sz w:val="24"/>
      <w:lang w:eastAsia="zh-CN" w:bidi="ar-SA"/>
    </w:rPr>
  </w:style>
  <w:style w:type="character" w:customStyle="1" w:styleId="911">
    <w:name w:val="large1"/>
    <w:autoRedefine/>
    <w:qFormat/>
    <w:uiPriority w:val="0"/>
    <w:rPr>
      <w:rFonts w:hint="eastAsia" w:ascii="宋体" w:hAnsi="宋体" w:eastAsia="宋体"/>
      <w:sz w:val="21"/>
      <w:szCs w:val="21"/>
    </w:rPr>
  </w:style>
  <w:style w:type="character" w:customStyle="1" w:styleId="912">
    <w:name w:val="正文段 Char"/>
    <w:link w:val="119"/>
    <w:autoRedefine/>
    <w:qFormat/>
    <w:uiPriority w:val="0"/>
    <w:rPr>
      <w:sz w:val="24"/>
    </w:rPr>
  </w:style>
  <w:style w:type="character" w:customStyle="1" w:styleId="913">
    <w:name w:val="Char Char13"/>
    <w:autoRedefine/>
    <w:qFormat/>
    <w:uiPriority w:val="6"/>
    <w:rPr>
      <w:rFonts w:ascii="宋体" w:hAnsi="宋体"/>
      <w:kern w:val="1"/>
      <w:sz w:val="21"/>
      <w:szCs w:val="24"/>
    </w:rPr>
  </w:style>
  <w:style w:type="character" w:customStyle="1" w:styleId="91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0"/>
    <w:autoRedefine/>
    <w:qFormat/>
    <w:uiPriority w:val="0"/>
    <w:rPr>
      <w:rFonts w:ascii="宋体" w:hAnsi="宋体"/>
      <w:kern w:val="2"/>
      <w:sz w:val="24"/>
      <w:szCs w:val="22"/>
    </w:rPr>
  </w:style>
  <w:style w:type="character" w:customStyle="1" w:styleId="916">
    <w:name w:val="批注文字 字符"/>
    <w:autoRedefine/>
    <w:qFormat/>
    <w:uiPriority w:val="0"/>
    <w:rPr>
      <w:rFonts w:ascii="Arial" w:hAnsi="Arial" w:eastAsia="黑体" w:cs="Arial"/>
      <w:snapToGrid w:val="0"/>
      <w:kern w:val="0"/>
      <w:szCs w:val="21"/>
    </w:rPr>
  </w:style>
  <w:style w:type="character" w:customStyle="1" w:styleId="917">
    <w:name w:val="Char Char161"/>
    <w:autoRedefine/>
    <w:qFormat/>
    <w:uiPriority w:val="0"/>
    <w:rPr>
      <w:rFonts w:eastAsia="宋体"/>
      <w:b/>
      <w:kern w:val="2"/>
      <w:sz w:val="32"/>
      <w:lang w:val="en-US" w:eastAsia="zh-CN"/>
    </w:rPr>
  </w:style>
  <w:style w:type="character" w:customStyle="1" w:styleId="918">
    <w:name w:val="javascript"/>
    <w:autoRedefine/>
    <w:qFormat/>
    <w:uiPriority w:val="0"/>
  </w:style>
  <w:style w:type="character" w:customStyle="1" w:styleId="919">
    <w:name w:val="图名 Char"/>
    <w:autoRedefine/>
    <w:qFormat/>
    <w:uiPriority w:val="0"/>
    <w:rPr>
      <w:rFonts w:ascii="Arial" w:hAnsi="Arial" w:eastAsia="黑体"/>
      <w:kern w:val="2"/>
      <w:sz w:val="24"/>
      <w:szCs w:val="24"/>
      <w:lang w:val="en-US" w:eastAsia="zh-CN" w:bidi="ar-SA"/>
    </w:rPr>
  </w:style>
  <w:style w:type="character" w:customStyle="1" w:styleId="920">
    <w:name w:val="Used by Word for text of Help footnotes Char Char"/>
    <w:autoRedefine/>
    <w:qFormat/>
    <w:uiPriority w:val="0"/>
    <w:rPr>
      <w:rFonts w:ascii="Times New Roman" w:hAnsi="Times New Roman" w:eastAsia="宋体" w:cs="Times New Roman"/>
      <w:sz w:val="20"/>
      <w:szCs w:val="20"/>
    </w:rPr>
  </w:style>
  <w:style w:type="character" w:customStyle="1" w:styleId="921">
    <w:name w:val="编号，小四 Char"/>
    <w:link w:val="121"/>
    <w:autoRedefine/>
    <w:qFormat/>
    <w:uiPriority w:val="0"/>
    <w:rPr>
      <w:rFonts w:ascii="Arial" w:hAnsi="Arial"/>
      <w:sz w:val="24"/>
    </w:rPr>
  </w:style>
  <w:style w:type="character" w:customStyle="1" w:styleId="922">
    <w:name w:val="Font Style82"/>
    <w:autoRedefine/>
    <w:qFormat/>
    <w:uiPriority w:val="99"/>
    <w:rPr>
      <w:rFonts w:ascii="宋体" w:eastAsia="宋体" w:cs="宋体"/>
      <w:color w:val="000000"/>
      <w:sz w:val="14"/>
      <w:szCs w:val="14"/>
    </w:rPr>
  </w:style>
  <w:style w:type="character" w:customStyle="1" w:styleId="92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4">
    <w:name w:val="未用 Char"/>
    <w:autoRedefine/>
    <w:qFormat/>
    <w:uiPriority w:val="0"/>
    <w:rPr>
      <w:rFonts w:ascii="Arial" w:hAnsi="Arial" w:eastAsia="黑体"/>
      <w:kern w:val="2"/>
      <w:sz w:val="21"/>
      <w:szCs w:val="21"/>
      <w:lang w:val="en-US" w:eastAsia="zh-CN" w:bidi="ar-SA"/>
    </w:rPr>
  </w:style>
  <w:style w:type="character" w:customStyle="1" w:styleId="925">
    <w:name w:val="myp1111"/>
    <w:autoRedefine/>
    <w:qFormat/>
    <w:uiPriority w:val="0"/>
    <w:rPr>
      <w:rFonts w:hint="default" w:ascii="ˎ̥" w:hAnsi="ˎ̥"/>
      <w:color w:val="000000"/>
      <w:sz w:val="20"/>
      <w:szCs w:val="20"/>
      <w:u w:val="none"/>
    </w:rPr>
  </w:style>
  <w:style w:type="character" w:customStyle="1" w:styleId="926">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7">
    <w:name w:val="h Char Char"/>
    <w:autoRedefine/>
    <w:qFormat/>
    <w:uiPriority w:val="0"/>
    <w:rPr>
      <w:rFonts w:eastAsia="宋体"/>
      <w:kern w:val="2"/>
      <w:sz w:val="18"/>
      <w:lang w:val="en-US" w:eastAsia="zh-CN" w:bidi="ar-SA"/>
    </w:rPr>
  </w:style>
  <w:style w:type="character" w:customStyle="1" w:styleId="928">
    <w:name w:val="仿宋正文 Char"/>
    <w:link w:val="122"/>
    <w:autoRedefine/>
    <w:qFormat/>
    <w:uiPriority w:val="0"/>
    <w:rPr>
      <w:rFonts w:ascii="仿宋_GB2312" w:eastAsia="仿宋_GB2312"/>
      <w:kern w:val="2"/>
      <w:sz w:val="24"/>
      <w:lang w:val="en-US" w:eastAsia="zh-CN" w:bidi="ar-SA"/>
    </w:rPr>
  </w:style>
  <w:style w:type="character" w:customStyle="1" w:styleId="929">
    <w:name w:val="正文首行缩进 Char Char Char Char Char Char"/>
    <w:autoRedefine/>
    <w:qFormat/>
    <w:uiPriority w:val="0"/>
    <w:rPr>
      <w:rFonts w:ascii="宋体" w:eastAsia="宋体"/>
      <w:kern w:val="2"/>
      <w:sz w:val="24"/>
      <w:lang w:val="zh-CN" w:bidi="ar-SA"/>
    </w:rPr>
  </w:style>
  <w:style w:type="character" w:customStyle="1" w:styleId="930">
    <w:name w:val="样式 宋体"/>
    <w:autoRedefine/>
    <w:qFormat/>
    <w:uiPriority w:val="0"/>
    <w:rPr>
      <w:rFonts w:ascii="宋体" w:hAnsi="宋体"/>
      <w:sz w:val="24"/>
    </w:rPr>
  </w:style>
  <w:style w:type="character" w:customStyle="1" w:styleId="931">
    <w:name w:val="tw4winJump"/>
    <w:autoRedefine/>
    <w:qFormat/>
    <w:uiPriority w:val="0"/>
    <w:rPr>
      <w:rFonts w:ascii="Courier New" w:hAnsi="Courier New" w:cs="Courier New"/>
      <w:color w:val="008080"/>
      <w:lang w:val="en-US" w:eastAsia="zh-CN"/>
    </w:rPr>
  </w:style>
  <w:style w:type="character" w:customStyle="1" w:styleId="932">
    <w:name w:val="标题 1 字符"/>
    <w:autoRedefine/>
    <w:qFormat/>
    <w:uiPriority w:val="9"/>
    <w:rPr>
      <w:rFonts w:ascii="Arial" w:hAnsi="Arial" w:eastAsia="黑体" w:cs="Arial"/>
      <w:b/>
      <w:bCs/>
      <w:snapToGrid w:val="0"/>
      <w:kern w:val="44"/>
      <w:sz w:val="44"/>
      <w:szCs w:val="44"/>
    </w:rPr>
  </w:style>
  <w:style w:type="character" w:customStyle="1" w:styleId="933">
    <w:name w:val="style36"/>
    <w:basedOn w:val="70"/>
    <w:autoRedefine/>
    <w:qFormat/>
    <w:uiPriority w:val="0"/>
    <w:rPr>
      <w:rFonts w:ascii="Arial" w:hAnsi="Arial" w:eastAsia="黑体" w:cs="Arial"/>
      <w:snapToGrid w:val="0"/>
      <w:kern w:val="0"/>
      <w:szCs w:val="21"/>
    </w:rPr>
  </w:style>
  <w:style w:type="character" w:customStyle="1" w:styleId="934">
    <w:name w:val="pt9"/>
    <w:autoRedefine/>
    <w:qFormat/>
    <w:uiPriority w:val="0"/>
    <w:rPr>
      <w:rFonts w:ascii="仿宋_GB2312" w:eastAsia="微软雅黑"/>
      <w:b/>
      <w:kern w:val="2"/>
      <w:sz w:val="32"/>
      <w:szCs w:val="32"/>
      <w:lang w:val="en-US" w:eastAsia="zh-CN" w:bidi="ar-SA"/>
    </w:rPr>
  </w:style>
  <w:style w:type="character" w:customStyle="1" w:styleId="935">
    <w:name w:val="DO_NOT_TRANSLATE"/>
    <w:autoRedefine/>
    <w:qFormat/>
    <w:uiPriority w:val="0"/>
    <w:rPr>
      <w:rFonts w:ascii="Courier New" w:hAnsi="Courier New" w:cs="Courier New"/>
      <w:color w:val="800000"/>
      <w:lang w:val="en-US" w:eastAsia="zh-CN"/>
    </w:rPr>
  </w:style>
  <w:style w:type="character" w:customStyle="1" w:styleId="936">
    <w:name w:val="标书1 Char1"/>
    <w:autoRedefine/>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autoRedefine/>
    <w:qFormat/>
    <w:uiPriority w:val="0"/>
    <w:rPr>
      <w:rFonts w:eastAsia="宋体"/>
      <w:kern w:val="2"/>
      <w:sz w:val="24"/>
      <w:lang w:val="en-US" w:eastAsia="zh-CN" w:bidi="ar-SA"/>
    </w:rPr>
  </w:style>
  <w:style w:type="character" w:customStyle="1" w:styleId="939">
    <w:name w:val="Char Char21"/>
    <w:autoRedefine/>
    <w:qFormat/>
    <w:uiPriority w:val="6"/>
    <w:rPr>
      <w:rFonts w:ascii="宋体" w:hAnsi="宋体"/>
      <w:kern w:val="1"/>
      <w:sz w:val="24"/>
      <w:szCs w:val="21"/>
      <w:lang w:val="zh-CN"/>
    </w:rPr>
  </w:style>
  <w:style w:type="character" w:customStyle="1" w:styleId="940">
    <w:name w:val="样式 正文缩进 + 首行缩进:  2 字符 Char Char"/>
    <w:link w:val="123"/>
    <w:autoRedefine/>
    <w:qFormat/>
    <w:uiPriority w:val="0"/>
    <w:rPr>
      <w:rFonts w:cs="宋体"/>
      <w:kern w:val="2"/>
      <w:sz w:val="24"/>
    </w:rPr>
  </w:style>
  <w:style w:type="character" w:customStyle="1" w:styleId="94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42">
    <w:name w:val="gray6"/>
    <w:basedOn w:val="70"/>
    <w:autoRedefine/>
    <w:qFormat/>
    <w:uiPriority w:val="0"/>
    <w:rPr>
      <w:rFonts w:ascii="Arial" w:hAnsi="Arial" w:eastAsia="黑体" w:cs="Arial"/>
      <w:snapToGrid w:val="0"/>
      <w:kern w:val="0"/>
      <w:szCs w:val="21"/>
    </w:rPr>
  </w:style>
  <w:style w:type="character" w:customStyle="1" w:styleId="943">
    <w:name w:val="hui"/>
    <w:basedOn w:val="70"/>
    <w:autoRedefine/>
    <w:qFormat/>
    <w:uiPriority w:val="0"/>
    <w:rPr>
      <w:rFonts w:ascii="Arial" w:hAnsi="Arial" w:eastAsia="黑体" w:cs="Arial"/>
      <w:snapToGrid w:val="0"/>
      <w:kern w:val="0"/>
      <w:szCs w:val="21"/>
    </w:rPr>
  </w:style>
  <w:style w:type="character" w:customStyle="1" w:styleId="944">
    <w:name w:val="哈哈正文 Char Char"/>
    <w:autoRedefine/>
    <w:qFormat/>
    <w:uiPriority w:val="0"/>
    <w:rPr>
      <w:rFonts w:ascii="宋体" w:hAnsi="宋体" w:eastAsia="宋体" w:cs="宋体"/>
      <w:kern w:val="2"/>
      <w:sz w:val="24"/>
      <w:lang w:val="en-US" w:eastAsia="zh-CN" w:bidi="ar-SA"/>
    </w:rPr>
  </w:style>
  <w:style w:type="character" w:customStyle="1" w:styleId="94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autoRedefine/>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autoRedefine/>
    <w:qFormat/>
    <w:uiPriority w:val="99"/>
    <w:rPr>
      <w:kern w:val="2"/>
      <w:sz w:val="18"/>
      <w:szCs w:val="18"/>
    </w:rPr>
  </w:style>
  <w:style w:type="character" w:customStyle="1" w:styleId="949">
    <w:name w:val="尾注文本 Char"/>
    <w:link w:val="40"/>
    <w:autoRedefine/>
    <w:qFormat/>
    <w:uiPriority w:val="0"/>
    <w:rPr>
      <w:kern w:val="2"/>
      <w:sz w:val="21"/>
      <w:szCs w:val="24"/>
      <w:lang w:val="zh-CN"/>
    </w:rPr>
  </w:style>
  <w:style w:type="character" w:customStyle="1" w:styleId="950">
    <w:name w:val="无间隔 Char"/>
    <w:link w:val="173"/>
    <w:autoRedefine/>
    <w:qFormat/>
    <w:uiPriority w:val="99"/>
    <w:rPr>
      <w:kern w:val="2"/>
      <w:sz w:val="21"/>
      <w:szCs w:val="22"/>
    </w:rPr>
  </w:style>
  <w:style w:type="character" w:customStyle="1" w:styleId="951">
    <w:name w:val="标准文本 Char Char"/>
    <w:link w:val="610"/>
    <w:autoRedefine/>
    <w:qFormat/>
    <w:uiPriority w:val="0"/>
    <w:rPr>
      <w:rFonts w:cs="宋体"/>
      <w:kern w:val="2"/>
      <w:sz w:val="24"/>
    </w:rPr>
  </w:style>
  <w:style w:type="character" w:customStyle="1" w:styleId="952">
    <w:name w:val="Char Char213"/>
    <w:autoRedefine/>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autoRedefine/>
    <w:qFormat/>
    <w:uiPriority w:val="0"/>
    <w:rPr>
      <w:rFonts w:hint="default" w:ascii="Calibri" w:hAnsi="Calibri"/>
      <w:color w:val="0000FF"/>
      <w:u w:val="single"/>
    </w:rPr>
  </w:style>
  <w:style w:type="character" w:customStyle="1" w:styleId="955">
    <w:name w:val="16"/>
    <w:autoRedefine/>
    <w:qFormat/>
    <w:uiPriority w:val="0"/>
    <w:rPr>
      <w:rFonts w:hint="eastAsia" w:ascii="宋体" w:hAnsi="宋体" w:eastAsia="宋体"/>
      <w:color w:val="000000"/>
      <w:sz w:val="20"/>
      <w:szCs w:val="20"/>
    </w:rPr>
  </w:style>
  <w:style w:type="character" w:customStyle="1" w:styleId="956">
    <w:name w:val="edui-unclickable"/>
    <w:autoRedefin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autoRedefine/>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autoRedefine/>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table" w:customStyle="1" w:styleId="96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42167</Words>
  <Characters>44563</Characters>
  <Lines>274</Lines>
  <Paragraphs>77</Paragraphs>
  <TotalTime>64</TotalTime>
  <ScaleCrop>false</ScaleCrop>
  <LinksUpToDate>false</LinksUpToDate>
  <CharactersWithSpaces>50542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hi</cp:lastModifiedBy>
  <cp:lastPrinted>2021-12-27T03:06:00Z</cp:lastPrinted>
  <dcterms:modified xsi:type="dcterms:W3CDTF">2024-06-24T06:43:13Z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82D1B4D7424645C1A7E6C65ABA4B007B_13</vt:lpwstr>
  </property>
</Properties>
</file>