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8DC06">
      <w:pPr>
        <w:adjustRightInd/>
        <w:spacing w:line="360" w:lineRule="auto"/>
        <w:jc w:val="center"/>
        <w:rPr>
          <w:rFonts w:hint="eastAsia" w:ascii="仿宋" w:hAnsi="仿宋" w:eastAsia="仿宋" w:cs="仿宋"/>
          <w:color w:val="auto"/>
          <w:sz w:val="24"/>
          <w:highlight w:val="none"/>
        </w:rPr>
      </w:pPr>
    </w:p>
    <w:p w14:paraId="28B9D590">
      <w:pPr>
        <w:adjustRightInd/>
        <w:spacing w:line="360" w:lineRule="auto"/>
        <w:rPr>
          <w:rFonts w:hint="eastAsia" w:ascii="仿宋" w:hAnsi="仿宋" w:eastAsia="仿宋" w:cs="仿宋"/>
          <w:color w:val="auto"/>
          <w:sz w:val="24"/>
          <w:highlight w:val="none"/>
        </w:rPr>
      </w:pPr>
    </w:p>
    <w:p w14:paraId="00A585B4">
      <w:pPr>
        <w:adjustRightInd/>
        <w:spacing w:line="360" w:lineRule="auto"/>
        <w:rPr>
          <w:rFonts w:hint="eastAsia" w:ascii="仿宋" w:hAnsi="仿宋" w:eastAsia="仿宋" w:cs="仿宋"/>
          <w:color w:val="auto"/>
          <w:sz w:val="24"/>
          <w:highlight w:val="none"/>
        </w:rPr>
      </w:pPr>
    </w:p>
    <w:p w14:paraId="5D30EDAC">
      <w:pPr>
        <w:adjustRightInd/>
        <w:spacing w:line="360" w:lineRule="auto"/>
        <w:rPr>
          <w:rFonts w:hint="eastAsia" w:ascii="仿宋" w:hAnsi="仿宋" w:eastAsia="仿宋" w:cs="仿宋"/>
          <w:color w:val="auto"/>
          <w:sz w:val="24"/>
          <w:highlight w:val="none"/>
        </w:rPr>
      </w:pPr>
    </w:p>
    <w:p w14:paraId="7C6BD59E">
      <w:pPr>
        <w:adjustRightInd/>
        <w:spacing w:line="360" w:lineRule="auto"/>
        <w:rPr>
          <w:rFonts w:hint="eastAsia" w:ascii="仿宋" w:hAnsi="仿宋" w:eastAsia="仿宋" w:cs="仿宋"/>
          <w:color w:val="auto"/>
          <w:sz w:val="24"/>
          <w:highlight w:val="none"/>
        </w:rPr>
      </w:pPr>
    </w:p>
    <w:p w14:paraId="72117E26">
      <w:pPr>
        <w:adjustRightInd/>
        <w:spacing w:line="360" w:lineRule="auto"/>
        <w:jc w:val="center"/>
        <w:rPr>
          <w:rFonts w:hint="eastAsia" w:ascii="仿宋" w:hAnsi="仿宋" w:eastAsia="仿宋" w:cs="仿宋"/>
          <w:color w:val="auto"/>
          <w:sz w:val="24"/>
          <w:highlight w:val="none"/>
        </w:rPr>
      </w:pPr>
    </w:p>
    <w:p w14:paraId="6B137FA8">
      <w:pPr>
        <w:adjustRightInd/>
        <w:spacing w:line="360" w:lineRule="auto"/>
        <w:ind w:firstLine="964"/>
        <w:jc w:val="center"/>
        <w:rPr>
          <w:rFonts w:hint="eastAsia" w:ascii="仿宋" w:hAnsi="仿宋" w:eastAsia="仿宋" w:cs="仿宋"/>
          <w:color w:val="auto"/>
          <w:sz w:val="48"/>
          <w:szCs w:val="48"/>
          <w:highlight w:val="none"/>
          <w:lang w:eastAsia="zh-CN"/>
        </w:rPr>
      </w:pPr>
      <w:r>
        <w:rPr>
          <w:rFonts w:hint="eastAsia" w:ascii="仿宋" w:hAnsi="仿宋" w:eastAsia="仿宋" w:cs="仿宋"/>
          <w:b/>
          <w:bCs/>
          <w:color w:val="auto"/>
          <w:sz w:val="48"/>
          <w:szCs w:val="48"/>
          <w:highlight w:val="none"/>
          <w:lang w:eastAsia="zh-CN"/>
        </w:rPr>
        <w:t>2025年区级人民调解案件化解服务</w:t>
      </w:r>
    </w:p>
    <w:p w14:paraId="40DECEBD">
      <w:pPr>
        <w:adjustRightInd/>
        <w:spacing w:line="360" w:lineRule="auto"/>
        <w:ind w:firstLine="960"/>
        <w:jc w:val="center"/>
        <w:rPr>
          <w:rFonts w:hint="eastAsia" w:ascii="仿宋" w:hAnsi="仿宋" w:eastAsia="仿宋" w:cs="仿宋"/>
          <w:color w:val="auto"/>
          <w:sz w:val="48"/>
          <w:szCs w:val="48"/>
          <w:highlight w:val="none"/>
        </w:rPr>
      </w:pPr>
    </w:p>
    <w:p w14:paraId="469ACD41">
      <w:pPr>
        <w:pStyle w:val="2"/>
        <w:ind w:firstLine="964"/>
        <w:rPr>
          <w:rFonts w:hint="eastAsia" w:ascii="仿宋" w:hAnsi="仿宋" w:eastAsia="仿宋" w:cs="仿宋"/>
          <w:color w:val="auto"/>
          <w:sz w:val="48"/>
          <w:szCs w:val="48"/>
          <w:highlight w:val="none"/>
        </w:rPr>
      </w:pPr>
    </w:p>
    <w:p w14:paraId="222FCB34">
      <w:pPr>
        <w:adjustRightInd/>
        <w:spacing w:line="360" w:lineRule="auto"/>
        <w:ind w:firstLine="880"/>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 xml:space="preserve">招标文件 </w:t>
      </w:r>
    </w:p>
    <w:p w14:paraId="74A6499C">
      <w:pPr>
        <w:adjustRightInd/>
        <w:spacing w:line="360" w:lineRule="auto"/>
        <w:ind w:firstLine="883"/>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2CEDB1D2">
      <w:pPr>
        <w:adjustRightInd/>
        <w:spacing w:line="360" w:lineRule="auto"/>
        <w:ind w:firstLine="720"/>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36"/>
          <w:szCs w:val="36"/>
          <w:highlight w:val="none"/>
        </w:rPr>
        <w:t xml:space="preserve">编号: </w:t>
      </w:r>
      <w:r>
        <w:rPr>
          <w:rFonts w:hint="eastAsia" w:ascii="仿宋" w:hAnsi="仿宋" w:eastAsia="仿宋" w:cs="仿宋"/>
          <w:color w:val="auto"/>
          <w:sz w:val="36"/>
          <w:szCs w:val="36"/>
          <w:highlight w:val="none"/>
          <w:lang w:eastAsia="zh-CN"/>
        </w:rPr>
        <w:t>HBZFCG-2025-013</w:t>
      </w:r>
    </w:p>
    <w:p w14:paraId="725EF834">
      <w:pPr>
        <w:spacing w:line="360" w:lineRule="auto"/>
        <w:ind w:firstLine="964"/>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 xml:space="preserve"> </w:t>
      </w:r>
    </w:p>
    <w:p w14:paraId="3DC36813">
      <w:pPr>
        <w:spacing w:line="360" w:lineRule="auto"/>
        <w:ind w:firstLine="960"/>
        <w:jc w:val="center"/>
        <w:rPr>
          <w:rFonts w:hint="eastAsia" w:ascii="仿宋" w:hAnsi="仿宋" w:eastAsia="仿宋" w:cs="仿宋"/>
          <w:color w:val="auto"/>
          <w:sz w:val="48"/>
          <w:szCs w:val="48"/>
          <w:highlight w:val="none"/>
        </w:rPr>
      </w:pPr>
    </w:p>
    <w:p w14:paraId="2BC97524">
      <w:pPr>
        <w:snapToGrid w:val="0"/>
        <w:spacing w:line="360" w:lineRule="auto"/>
        <w:ind w:firstLine="723"/>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采购人：</w:t>
      </w:r>
      <w:r>
        <w:rPr>
          <w:rFonts w:hint="eastAsia" w:ascii="仿宋" w:hAnsi="仿宋" w:eastAsia="仿宋" w:cs="仿宋"/>
          <w:b/>
          <w:color w:val="auto"/>
          <w:sz w:val="36"/>
          <w:szCs w:val="36"/>
          <w:highlight w:val="none"/>
          <w:lang w:eastAsia="zh-CN"/>
        </w:rPr>
        <w:t>杭州市余杭区司法局</w:t>
      </w:r>
      <w:r>
        <w:rPr>
          <w:rFonts w:hint="eastAsia" w:ascii="仿宋" w:hAnsi="仿宋" w:eastAsia="仿宋" w:cs="仿宋"/>
          <w:b/>
          <w:color w:val="auto"/>
          <w:sz w:val="36"/>
          <w:szCs w:val="36"/>
          <w:highlight w:val="none"/>
        </w:rPr>
        <w:t xml:space="preserve"> </w:t>
      </w:r>
    </w:p>
    <w:p w14:paraId="1177E384">
      <w:pPr>
        <w:snapToGrid w:val="0"/>
        <w:spacing w:line="360" w:lineRule="auto"/>
        <w:ind w:firstLine="723"/>
        <w:jc w:val="center"/>
        <w:rPr>
          <w:rFonts w:hint="eastAsia" w:ascii="仿宋" w:hAnsi="仿宋" w:eastAsia="仿宋" w:cs="仿宋"/>
          <w:bCs/>
          <w:color w:val="auto"/>
          <w:sz w:val="36"/>
          <w:szCs w:val="36"/>
          <w:highlight w:val="none"/>
        </w:rPr>
      </w:pPr>
      <w:r>
        <w:rPr>
          <w:rFonts w:hint="eastAsia" w:ascii="仿宋" w:hAnsi="仿宋" w:eastAsia="仿宋" w:cs="仿宋"/>
          <w:b/>
          <w:color w:val="auto"/>
          <w:sz w:val="36"/>
          <w:szCs w:val="36"/>
          <w:highlight w:val="none"/>
        </w:rPr>
        <w:t>采购代理机构：海标工程管理有限公司</w:t>
      </w:r>
    </w:p>
    <w:p w14:paraId="2A8F236D">
      <w:pPr>
        <w:snapToGrid w:val="0"/>
        <w:spacing w:line="360" w:lineRule="auto"/>
        <w:ind w:firstLine="720"/>
        <w:jc w:val="center"/>
        <w:rPr>
          <w:rFonts w:hint="eastAsia" w:ascii="仿宋" w:hAnsi="仿宋" w:eastAsia="仿宋" w:cs="仿宋"/>
          <w:bCs/>
          <w:color w:val="auto"/>
          <w:sz w:val="36"/>
          <w:szCs w:val="36"/>
          <w:highlight w:val="none"/>
        </w:rPr>
      </w:pPr>
      <w:r>
        <w:rPr>
          <w:rFonts w:hint="eastAsia" w:ascii="仿宋" w:hAnsi="仿宋" w:eastAsia="仿宋" w:cs="仿宋"/>
          <w:bCs/>
          <w:color w:val="auto"/>
          <w:sz w:val="36"/>
          <w:szCs w:val="36"/>
          <w:highlight w:val="none"/>
        </w:rPr>
        <w:t>二〇二五年</w:t>
      </w:r>
      <w:r>
        <w:rPr>
          <w:rFonts w:hint="eastAsia" w:ascii="仿宋" w:hAnsi="仿宋" w:eastAsia="仿宋" w:cs="仿宋"/>
          <w:bCs/>
          <w:color w:val="auto"/>
          <w:sz w:val="36"/>
          <w:szCs w:val="36"/>
          <w:highlight w:val="none"/>
          <w:lang w:val="en-US" w:eastAsia="zh-CN"/>
        </w:rPr>
        <w:t>二</w:t>
      </w:r>
      <w:r>
        <w:rPr>
          <w:rFonts w:hint="eastAsia" w:ascii="仿宋" w:hAnsi="仿宋" w:eastAsia="仿宋" w:cs="仿宋"/>
          <w:bCs/>
          <w:color w:val="auto"/>
          <w:sz w:val="36"/>
          <w:szCs w:val="36"/>
          <w:highlight w:val="none"/>
        </w:rPr>
        <w:t>月</w:t>
      </w:r>
    </w:p>
    <w:p w14:paraId="74012A2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24E57AAA">
      <w:pPr>
        <w:pStyle w:val="722"/>
        <w:spacing w:line="360" w:lineRule="auto"/>
        <w:ind w:firstLine="482"/>
        <w:rPr>
          <w:rFonts w:hint="eastAsia" w:ascii="仿宋" w:hAnsi="仿宋" w:eastAsia="仿宋" w:cs="仿宋"/>
          <w:color w:val="auto"/>
          <w:sz w:val="24"/>
          <w:szCs w:val="24"/>
          <w:highlight w:val="none"/>
        </w:rPr>
      </w:pPr>
    </w:p>
    <w:p w14:paraId="408E7605">
      <w:pPr>
        <w:spacing w:line="360" w:lineRule="auto"/>
        <w:ind w:firstLine="723"/>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目  录</w:t>
      </w:r>
    </w:p>
    <w:p w14:paraId="12C39C71">
      <w:pPr>
        <w:spacing w:line="360" w:lineRule="auto"/>
        <w:rPr>
          <w:rFonts w:hint="eastAsia" w:ascii="仿宋" w:hAnsi="仿宋" w:eastAsia="仿宋" w:cs="仿宋"/>
          <w:color w:val="auto"/>
          <w:sz w:val="24"/>
          <w:highlight w:val="none"/>
        </w:rPr>
      </w:pPr>
    </w:p>
    <w:p w14:paraId="0895C699">
      <w:pPr>
        <w:spacing w:line="360" w:lineRule="auto"/>
        <w:rPr>
          <w:rFonts w:hint="eastAsia" w:ascii="仿宋" w:hAnsi="仿宋" w:eastAsia="仿宋" w:cs="仿宋"/>
          <w:color w:val="auto"/>
          <w:sz w:val="24"/>
          <w:highlight w:val="none"/>
        </w:rPr>
      </w:pPr>
    </w:p>
    <w:p w14:paraId="58CF9BDD">
      <w:pPr>
        <w:spacing w:line="360" w:lineRule="auto"/>
        <w:ind w:firstLine="1440" w:firstLineChars="4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第一部分      招标公告</w:t>
      </w:r>
    </w:p>
    <w:p w14:paraId="69EDEA35">
      <w:pPr>
        <w:spacing w:line="360" w:lineRule="auto"/>
        <w:ind w:firstLine="1440" w:firstLineChars="4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第二部分      投标人须知</w:t>
      </w:r>
    </w:p>
    <w:p w14:paraId="18F5CF34">
      <w:pPr>
        <w:spacing w:line="360" w:lineRule="auto"/>
        <w:ind w:firstLine="1440" w:firstLineChars="4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第三部分      采购需求</w:t>
      </w:r>
    </w:p>
    <w:p w14:paraId="3BA4F770">
      <w:pPr>
        <w:spacing w:line="360" w:lineRule="auto"/>
        <w:ind w:firstLine="1440" w:firstLineChars="4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第四部分      评标办法</w:t>
      </w:r>
    </w:p>
    <w:p w14:paraId="68F1D19A">
      <w:pPr>
        <w:spacing w:line="360" w:lineRule="auto"/>
        <w:ind w:firstLine="1440" w:firstLineChars="4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第五部分      拟签订的合同文本</w:t>
      </w:r>
    </w:p>
    <w:p w14:paraId="0AE4B1C4">
      <w:pPr>
        <w:spacing w:line="360" w:lineRule="auto"/>
        <w:ind w:firstLine="1440" w:firstLineChars="4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第六部分      应提交的有关格式范例</w:t>
      </w:r>
    </w:p>
    <w:p w14:paraId="56B60E6C">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14945E42">
      <w:pPr>
        <w:spacing w:line="360" w:lineRule="auto"/>
        <w:ind w:firstLine="549" w:firstLineChars="229"/>
        <w:rPr>
          <w:rFonts w:hint="eastAsia" w:ascii="仿宋" w:hAnsi="仿宋" w:eastAsia="仿宋" w:cs="仿宋"/>
          <w:color w:val="auto"/>
          <w:sz w:val="24"/>
          <w:highlight w:val="none"/>
        </w:rPr>
      </w:pPr>
    </w:p>
    <w:p w14:paraId="35538F69">
      <w:pPr>
        <w:spacing w:line="360" w:lineRule="auto"/>
        <w:ind w:firstLine="549" w:firstLineChars="229"/>
        <w:rPr>
          <w:rFonts w:hint="eastAsia" w:ascii="仿宋" w:hAnsi="仿宋" w:eastAsia="仿宋" w:cs="仿宋"/>
          <w:color w:val="auto"/>
          <w:sz w:val="24"/>
          <w:highlight w:val="none"/>
        </w:rPr>
      </w:pPr>
    </w:p>
    <w:p w14:paraId="5A3CDBEB">
      <w:pPr>
        <w:spacing w:line="360" w:lineRule="auto"/>
        <w:ind w:firstLine="549" w:firstLineChars="229"/>
        <w:rPr>
          <w:rFonts w:hint="eastAsia" w:ascii="仿宋" w:hAnsi="仿宋" w:eastAsia="仿宋" w:cs="仿宋"/>
          <w:color w:val="auto"/>
          <w:sz w:val="24"/>
          <w:highlight w:val="none"/>
        </w:rPr>
      </w:pPr>
    </w:p>
    <w:p w14:paraId="0FF06357">
      <w:pPr>
        <w:spacing w:line="360" w:lineRule="auto"/>
        <w:ind w:firstLine="549" w:firstLineChars="229"/>
        <w:rPr>
          <w:rFonts w:hint="eastAsia" w:ascii="仿宋" w:hAnsi="仿宋" w:eastAsia="仿宋" w:cs="仿宋"/>
          <w:color w:val="auto"/>
          <w:sz w:val="24"/>
          <w:highlight w:val="none"/>
        </w:rPr>
      </w:pPr>
    </w:p>
    <w:p w14:paraId="1FF7F1A2">
      <w:pPr>
        <w:spacing w:line="360" w:lineRule="auto"/>
        <w:ind w:firstLine="549" w:firstLineChars="229"/>
        <w:rPr>
          <w:rFonts w:hint="eastAsia" w:ascii="仿宋" w:hAnsi="仿宋" w:eastAsia="仿宋" w:cs="仿宋"/>
          <w:color w:val="auto"/>
          <w:sz w:val="24"/>
          <w:highlight w:val="none"/>
        </w:rPr>
      </w:pPr>
    </w:p>
    <w:p w14:paraId="39F62891">
      <w:pPr>
        <w:spacing w:line="360" w:lineRule="auto"/>
        <w:ind w:firstLine="549" w:firstLineChars="229"/>
        <w:rPr>
          <w:rFonts w:hint="eastAsia" w:ascii="仿宋" w:hAnsi="仿宋" w:eastAsia="仿宋" w:cs="仿宋"/>
          <w:color w:val="auto"/>
          <w:sz w:val="24"/>
          <w:highlight w:val="none"/>
        </w:rPr>
      </w:pPr>
    </w:p>
    <w:p w14:paraId="33BF7ADC">
      <w:pPr>
        <w:spacing w:line="360" w:lineRule="auto"/>
        <w:ind w:firstLine="549" w:firstLineChars="229"/>
        <w:rPr>
          <w:rFonts w:hint="eastAsia" w:ascii="仿宋" w:hAnsi="仿宋" w:eastAsia="仿宋" w:cs="仿宋"/>
          <w:color w:val="auto"/>
          <w:sz w:val="24"/>
          <w:highlight w:val="none"/>
        </w:rPr>
      </w:pPr>
    </w:p>
    <w:p w14:paraId="00AD1F0E">
      <w:pPr>
        <w:spacing w:line="360" w:lineRule="auto"/>
        <w:ind w:firstLine="549" w:firstLineChars="229"/>
        <w:rPr>
          <w:rFonts w:hint="eastAsia" w:ascii="仿宋" w:hAnsi="仿宋" w:eastAsia="仿宋" w:cs="仿宋"/>
          <w:color w:val="auto"/>
          <w:sz w:val="24"/>
          <w:highlight w:val="none"/>
        </w:rPr>
      </w:pPr>
    </w:p>
    <w:p w14:paraId="4917A3CA">
      <w:pPr>
        <w:spacing w:line="360" w:lineRule="auto"/>
        <w:ind w:firstLine="549" w:firstLineChars="229"/>
        <w:rPr>
          <w:rFonts w:hint="eastAsia" w:ascii="仿宋" w:hAnsi="仿宋" w:eastAsia="仿宋" w:cs="仿宋"/>
          <w:color w:val="auto"/>
          <w:sz w:val="24"/>
          <w:highlight w:val="none"/>
        </w:rPr>
      </w:pPr>
    </w:p>
    <w:p w14:paraId="63434D9F">
      <w:pPr>
        <w:spacing w:line="360" w:lineRule="auto"/>
        <w:ind w:firstLine="549" w:firstLineChars="229"/>
        <w:rPr>
          <w:rFonts w:hint="eastAsia" w:ascii="仿宋" w:hAnsi="仿宋" w:eastAsia="仿宋" w:cs="仿宋"/>
          <w:color w:val="auto"/>
          <w:sz w:val="24"/>
          <w:highlight w:val="none"/>
        </w:rPr>
      </w:pPr>
    </w:p>
    <w:p w14:paraId="0581DED6">
      <w:pPr>
        <w:spacing w:line="360" w:lineRule="auto"/>
        <w:ind w:firstLine="549" w:firstLineChars="229"/>
        <w:rPr>
          <w:rFonts w:hint="eastAsia" w:ascii="仿宋" w:hAnsi="仿宋" w:eastAsia="仿宋" w:cs="仿宋"/>
          <w:color w:val="auto"/>
          <w:sz w:val="24"/>
          <w:highlight w:val="none"/>
        </w:rPr>
      </w:pPr>
    </w:p>
    <w:p w14:paraId="6FFECFB5">
      <w:pPr>
        <w:spacing w:line="360" w:lineRule="auto"/>
        <w:ind w:firstLine="549" w:firstLineChars="229"/>
        <w:rPr>
          <w:rFonts w:hint="eastAsia" w:ascii="仿宋" w:hAnsi="仿宋" w:eastAsia="仿宋" w:cs="仿宋"/>
          <w:color w:val="auto"/>
          <w:sz w:val="24"/>
          <w:highlight w:val="none"/>
        </w:rPr>
      </w:pPr>
    </w:p>
    <w:p w14:paraId="7193CB4A">
      <w:pPr>
        <w:spacing w:line="360" w:lineRule="auto"/>
        <w:rPr>
          <w:rFonts w:hint="eastAsia" w:ascii="仿宋" w:hAnsi="仿宋" w:eastAsia="仿宋" w:cs="仿宋"/>
          <w:color w:val="auto"/>
          <w:sz w:val="24"/>
          <w:highlight w:val="none"/>
        </w:rPr>
      </w:pPr>
    </w:p>
    <w:p w14:paraId="406A8D26">
      <w:pPr>
        <w:adjustRightInd/>
        <w:spacing w:line="360" w:lineRule="auto"/>
        <w:ind w:firstLine="482"/>
        <w:jc w:val="center"/>
        <w:outlineLvl w:val="0"/>
        <w:rPr>
          <w:rFonts w:hint="eastAsia" w:ascii="仿宋" w:hAnsi="仿宋" w:eastAsia="仿宋" w:cs="仿宋"/>
          <w:b/>
          <w:color w:val="auto"/>
          <w:sz w:val="32"/>
          <w:szCs w:val="32"/>
          <w:highlight w:val="none"/>
        </w:rPr>
      </w:pPr>
      <w:bookmarkStart w:id="3" w:name="第一部分"/>
      <w:r>
        <w:rPr>
          <w:rFonts w:hint="eastAsia" w:ascii="仿宋" w:hAnsi="仿宋" w:eastAsia="仿宋" w:cs="仿宋"/>
          <w:b/>
          <w:color w:val="auto"/>
          <w:sz w:val="24"/>
          <w:highlight w:val="none"/>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 w:hAnsi="仿宋" w:eastAsia="仿宋" w:cs="仿宋"/>
          <w:b/>
          <w:color w:val="auto"/>
          <w:sz w:val="32"/>
          <w:szCs w:val="32"/>
          <w:highlight w:val="none"/>
        </w:rPr>
        <w:t>第一部分 招标公告</w:t>
      </w:r>
    </w:p>
    <w:p w14:paraId="5899286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2493F3F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2025年区级人民调解案件化解服务</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8"/>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highlight w:val="none"/>
          <w:u w:val="single"/>
        </w:rPr>
        <w:t>2025年</w:t>
      </w:r>
      <w:r>
        <w:rPr>
          <w:rFonts w:hint="eastAsia" w:ascii="仿宋" w:hAnsi="仿宋" w:eastAsia="仿宋" w:cs="仿宋"/>
          <w:color w:val="auto"/>
          <w:sz w:val="24"/>
          <w:highlight w:val="none"/>
          <w:u w:val="single"/>
          <w:lang w:val="en-US" w:eastAsia="zh-CN"/>
        </w:rPr>
        <w:t>03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rPr>
        <w:t>0分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3AA90FDC">
      <w:pPr>
        <w:spacing w:line="360" w:lineRule="auto"/>
        <w:ind w:firstLine="482"/>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6E27BDCB">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color w:val="auto"/>
          <w:sz w:val="24"/>
          <w:highlight w:val="none"/>
          <w:lang w:eastAsia="zh-CN"/>
        </w:rPr>
        <w:t>HBZFCG-2025-013</w:t>
      </w:r>
    </w:p>
    <w:p w14:paraId="4A0C3FA8">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bCs/>
          <w:color w:val="auto"/>
          <w:sz w:val="24"/>
          <w:highlight w:val="none"/>
          <w:lang w:eastAsia="zh-CN"/>
        </w:rPr>
        <w:t>2025年区级人民调解案件化解服务</w:t>
      </w:r>
    </w:p>
    <w:p w14:paraId="0A4E86D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color w:val="auto"/>
          <w:sz w:val="24"/>
          <w:highlight w:val="none"/>
          <w:lang w:val="en-US" w:eastAsia="zh-CN"/>
        </w:rPr>
        <w:t>2880000</w:t>
      </w:r>
    </w:p>
    <w:p w14:paraId="7FF43990">
      <w:pPr>
        <w:pStyle w:val="5"/>
        <w:spacing w:line="360" w:lineRule="auto"/>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最高限价（元）：</w:t>
      </w:r>
      <w:r>
        <w:rPr>
          <w:rFonts w:hint="eastAsia" w:ascii="仿宋" w:hAnsi="仿宋" w:eastAsia="仿宋" w:cs="仿宋"/>
          <w:b/>
          <w:color w:val="auto"/>
          <w:sz w:val="24"/>
          <w:highlight w:val="none"/>
          <w:lang w:val="en-US" w:eastAsia="zh-CN"/>
        </w:rPr>
        <w:t>2880000</w:t>
      </w:r>
    </w:p>
    <w:p w14:paraId="1BE34B77">
      <w:pPr>
        <w:pStyle w:val="5"/>
        <w:spacing w:line="360" w:lineRule="auto"/>
        <w:ind w:firstLine="482"/>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szCs w:val="24"/>
          <w:highlight w:val="none"/>
        </w:rPr>
        <w:t>采购需求：</w:t>
      </w:r>
      <w:r>
        <w:rPr>
          <w:rFonts w:hint="eastAsia" w:ascii="仿宋" w:hAnsi="仿宋" w:eastAsia="仿宋" w:cs="仿宋"/>
          <w:color w:val="auto"/>
          <w:sz w:val="24"/>
          <w:szCs w:val="24"/>
          <w:highlight w:val="none"/>
          <w:u w:val="single"/>
          <w:lang w:eastAsia="zh-CN"/>
        </w:rPr>
        <w:t>2025年区级人民调解案件化解服务</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37E1E717">
      <w:pPr>
        <w:pStyle w:val="156"/>
        <w:ind w:firstLine="482"/>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合同履约期限：</w:t>
      </w:r>
      <w:r>
        <w:rPr>
          <w:rFonts w:hint="eastAsia" w:ascii="仿宋" w:hAnsi="仿宋" w:eastAsia="仿宋" w:cs="仿宋"/>
          <w:bCs/>
          <w:color w:val="auto"/>
          <w:szCs w:val="24"/>
          <w:highlight w:val="none"/>
        </w:rPr>
        <w:t xml:space="preserve">详见招标文件 </w:t>
      </w:r>
    </w:p>
    <w:p w14:paraId="3D159E19">
      <w:pPr>
        <w:pStyle w:val="5"/>
        <w:spacing w:line="360" w:lineRule="auto"/>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本项目接受联合体投标：</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sym w:font="Wingdings" w:char="00FE"/>
      </w:r>
      <w:r>
        <w:rPr>
          <w:rFonts w:hint="eastAsia" w:ascii="仿宋" w:hAnsi="仿宋" w:eastAsia="仿宋" w:cs="仿宋"/>
          <w:b/>
          <w:color w:val="auto"/>
          <w:sz w:val="24"/>
          <w:szCs w:val="24"/>
          <w:highlight w:val="none"/>
        </w:rPr>
        <w:t>是；</w:t>
      </w:r>
      <w:r>
        <w:rPr>
          <w:rFonts w:hint="eastAsia" w:ascii="仿宋" w:hAnsi="仿宋" w:eastAsia="仿宋" w:cs="仿宋"/>
          <w:color w:val="auto"/>
          <w:kern w:val="0"/>
          <w:sz w:val="24"/>
          <w:szCs w:val="24"/>
          <w:highlight w:val="none"/>
        </w:rPr>
        <w:sym w:font="Wingdings" w:char="00A8"/>
      </w:r>
      <w:r>
        <w:rPr>
          <w:rFonts w:hint="eastAsia" w:ascii="仿宋" w:hAnsi="仿宋" w:eastAsia="仿宋" w:cs="仿宋"/>
          <w:b/>
          <w:color w:val="auto"/>
          <w:sz w:val="24"/>
          <w:szCs w:val="24"/>
          <w:highlight w:val="none"/>
        </w:rPr>
        <w:t>否</w:t>
      </w:r>
      <w:r>
        <w:rPr>
          <w:rFonts w:hint="eastAsia" w:ascii="仿宋" w:hAnsi="仿宋" w:eastAsia="仿宋" w:cs="仿宋"/>
          <w:color w:val="auto"/>
          <w:kern w:val="0"/>
          <w:sz w:val="24"/>
          <w:szCs w:val="24"/>
          <w:highlight w:val="none"/>
        </w:rPr>
        <w:t>。</w:t>
      </w:r>
    </w:p>
    <w:p w14:paraId="3B23CA22">
      <w:pPr>
        <w:spacing w:line="360" w:lineRule="auto"/>
        <w:ind w:firstLine="482"/>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627CE936">
      <w:pPr>
        <w:spacing w:line="360" w:lineRule="auto"/>
        <w:ind w:firstLine="48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76A5970">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 xml:space="preserve">    2.</w:t>
      </w:r>
      <w:r>
        <w:rPr>
          <w:rFonts w:hint="eastAsia" w:ascii="仿宋" w:hAnsi="仿宋" w:eastAsia="仿宋" w:cs="仿宋"/>
          <w:color w:val="auto"/>
          <w:sz w:val="24"/>
          <w:highlight w:val="none"/>
        </w:rPr>
        <w:t xml:space="preserve"> </w:t>
      </w:r>
      <w:r>
        <w:rPr>
          <w:rFonts w:hint="eastAsia" w:ascii="仿宋" w:hAnsi="仿宋" w:eastAsia="仿宋" w:cs="仿宋"/>
          <w:snapToGrid w:val="0"/>
          <w:color w:val="auto"/>
          <w:kern w:val="28"/>
          <w:sz w:val="24"/>
          <w:highlight w:val="none"/>
        </w:rPr>
        <w:t>以联合体形式投标的，提供联合协议(本项目不接受联合体投标或者投标人不以联合体形式投标的，则不需要提供) ；</w:t>
      </w:r>
    </w:p>
    <w:p w14:paraId="243E7589">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3.落实政府采购政策需满足的资格要求：</w:t>
      </w:r>
    </w:p>
    <w:p w14:paraId="60E569D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highlight w:val="none"/>
        </w:rPr>
        <w:t>（注：不得限制大中型企业与小微企业组成联合体参与投标）；</w:t>
      </w:r>
    </w:p>
    <w:p w14:paraId="4973E3F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27669587">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服务全部由符合政策要求的中小企业承接，提供中小企业声明函；</w:t>
      </w:r>
    </w:p>
    <w:p w14:paraId="7AD4E2A7">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服务全部由符合政策要求的小微企业承接，提供中小企业声明函；</w:t>
      </w:r>
    </w:p>
    <w:p w14:paraId="1D20B7E4">
      <w:pPr>
        <w:spacing w:line="360" w:lineRule="auto"/>
        <w:rPr>
          <w:rFonts w:hint="eastAsia" w:ascii="仿宋" w:hAnsi="仿宋" w:eastAsia="仿宋" w:cs="仿宋"/>
          <w:color w:val="auto"/>
          <w:sz w:val="24"/>
          <w:highlight w:val="none"/>
        </w:rPr>
      </w:pPr>
    </w:p>
    <w:p w14:paraId="7528615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6674D13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0C4BD13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p>
    <w:p w14:paraId="5CF3214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无。</w:t>
      </w:r>
    </w:p>
    <w:p w14:paraId="0A297C0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b/>
          <w:bCs/>
          <w:color w:val="auto"/>
          <w:sz w:val="24"/>
          <w:highlight w:val="none"/>
        </w:rPr>
        <w:t>有特定资格要求：</w:t>
      </w:r>
      <w:r>
        <w:rPr>
          <w:rFonts w:hint="eastAsia" w:ascii="仿宋" w:hAnsi="仿宋" w:eastAsia="仿宋" w:cs="仿宋"/>
          <w:b/>
          <w:bCs/>
          <w:color w:val="auto"/>
          <w:sz w:val="24"/>
          <w:highlight w:val="none"/>
          <w:u w:val="single"/>
        </w:rPr>
        <w:t>承接政府购买人民调解服务的主体原则上应为依法登记成立，并经司法行政部门备案的具有从事纠纷调处条件的人民调解协会以及品牌人民调解工作室等社会组织，依法登记成立的社会组织是根据《民办非企业单位登记管理暂行条例》第二条、第三条规定</w:t>
      </w:r>
      <w:r>
        <w:rPr>
          <w:rFonts w:hint="eastAsia" w:ascii="仿宋" w:hAnsi="仿宋" w:eastAsia="仿宋" w:cs="仿宋"/>
          <w:b/>
          <w:bCs/>
          <w:color w:val="auto"/>
          <w:sz w:val="24"/>
          <w:highlight w:val="none"/>
        </w:rPr>
        <w:t>，该特定条件的法律法规依据：</w:t>
      </w:r>
      <w:r>
        <w:rPr>
          <w:rFonts w:hint="eastAsia" w:ascii="仿宋" w:hAnsi="仿宋" w:eastAsia="仿宋" w:cs="仿宋"/>
          <w:b/>
          <w:bCs/>
          <w:color w:val="auto"/>
          <w:sz w:val="24"/>
          <w:highlight w:val="none"/>
          <w:u w:val="single"/>
        </w:rPr>
        <w:t>司法通［2020］72号、浙财行[2018]32规定</w:t>
      </w:r>
      <w:r>
        <w:rPr>
          <w:rFonts w:hint="eastAsia" w:ascii="仿宋" w:hAnsi="仿宋" w:eastAsia="仿宋" w:cs="仿宋"/>
          <w:b/>
          <w:bCs/>
          <w:color w:val="auto"/>
          <w:sz w:val="24"/>
          <w:highlight w:val="none"/>
        </w:rPr>
        <w:t>。</w:t>
      </w:r>
    </w:p>
    <w:p w14:paraId="4209933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CD0064D">
      <w:pPr>
        <w:spacing w:line="360" w:lineRule="auto"/>
        <w:ind w:firstLine="482"/>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2FF23A1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2025年</w:t>
      </w:r>
      <w:r>
        <w:rPr>
          <w:rFonts w:hint="eastAsia" w:ascii="仿宋" w:hAnsi="仿宋" w:eastAsia="仿宋" w:cs="仿宋"/>
          <w:color w:val="auto"/>
          <w:sz w:val="24"/>
          <w:highlight w:val="none"/>
          <w:u w:val="single"/>
          <w:lang w:val="en-US" w:eastAsia="zh-CN"/>
        </w:rPr>
        <w:t>03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4C85921A">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0EA5B4B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1227214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24D1B921">
      <w:pPr>
        <w:spacing w:line="360" w:lineRule="auto"/>
        <w:ind w:firstLine="482"/>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72FD9273">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2025年</w:t>
      </w:r>
      <w:r>
        <w:rPr>
          <w:rFonts w:hint="eastAsia" w:ascii="仿宋" w:hAnsi="仿宋" w:eastAsia="仿宋" w:cs="仿宋"/>
          <w:color w:val="auto"/>
          <w:sz w:val="24"/>
          <w:highlight w:val="none"/>
          <w:u w:val="single"/>
          <w:lang w:val="en-US" w:eastAsia="zh-CN"/>
        </w:rPr>
        <w:t>03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rPr>
        <w:t>0分00秒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29103804">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3010FADF">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2025年</w:t>
      </w:r>
      <w:r>
        <w:rPr>
          <w:rFonts w:hint="eastAsia" w:ascii="仿宋" w:hAnsi="仿宋" w:eastAsia="仿宋" w:cs="仿宋"/>
          <w:color w:val="auto"/>
          <w:sz w:val="24"/>
          <w:highlight w:val="none"/>
          <w:u w:val="single"/>
          <w:lang w:val="en-US" w:eastAsia="zh-CN"/>
        </w:rPr>
        <w:t>03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rPr>
        <w:t>0分00秒</w:t>
      </w:r>
      <w:r>
        <w:rPr>
          <w:rFonts w:hint="eastAsia" w:ascii="仿宋" w:hAnsi="仿宋" w:eastAsia="仿宋" w:cs="仿宋"/>
          <w:bCs/>
          <w:color w:val="auto"/>
          <w:sz w:val="24"/>
          <w:highlight w:val="none"/>
          <w:u w:val="single"/>
        </w:rPr>
        <w:t xml:space="preserve">  </w:t>
      </w:r>
    </w:p>
    <w:p w14:paraId="4953480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540CCFFB">
      <w:pPr>
        <w:spacing w:line="360" w:lineRule="auto"/>
        <w:ind w:firstLine="482"/>
        <w:outlineLvl w:val="1"/>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4594502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755642F2">
      <w:pPr>
        <w:spacing w:line="360" w:lineRule="auto"/>
        <w:ind w:firstLine="482"/>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232A2E3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04F39B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08A8BD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ECC2F3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5B91BA2">
      <w:pPr>
        <w:spacing w:line="360" w:lineRule="auto"/>
        <w:ind w:firstLine="482"/>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085ABD2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6AA334D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名称：</w:t>
      </w:r>
      <w:r>
        <w:rPr>
          <w:rFonts w:hint="eastAsia" w:ascii="仿宋" w:hAnsi="仿宋" w:eastAsia="仿宋" w:cs="仿宋"/>
          <w:color w:val="auto"/>
          <w:sz w:val="24"/>
          <w:highlight w:val="none"/>
          <w:lang w:eastAsia="zh-CN"/>
        </w:rPr>
        <w:t>杭州市余杭区司法局</w:t>
      </w:r>
      <w:r>
        <w:rPr>
          <w:rFonts w:hint="eastAsia" w:ascii="仿宋" w:hAnsi="仿宋" w:eastAsia="仿宋" w:cs="仿宋"/>
          <w:color w:val="auto"/>
          <w:sz w:val="24"/>
          <w:highlight w:val="none"/>
        </w:rPr>
        <w:t xml:space="preserve">   </w:t>
      </w:r>
    </w:p>
    <w:p w14:paraId="704496D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地址：杭州市余杭区五常街道西坝路49号友谊综合楼4号楼</w:t>
      </w:r>
    </w:p>
    <w:p w14:paraId="3FB4D87E">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项目联系人（询问）：巫</w:t>
      </w:r>
      <w:r>
        <w:rPr>
          <w:rFonts w:hint="eastAsia" w:ascii="仿宋" w:hAnsi="仿宋" w:eastAsia="仿宋" w:cs="仿宋"/>
          <w:color w:val="auto"/>
          <w:sz w:val="24"/>
          <w:highlight w:val="none"/>
          <w:lang w:val="en-US" w:eastAsia="zh-CN"/>
        </w:rPr>
        <w:t>工</w:t>
      </w:r>
    </w:p>
    <w:p w14:paraId="01DC822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项目联系方式（询问）：0571-88582132</w:t>
      </w:r>
    </w:p>
    <w:p w14:paraId="1F3E9660">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质疑联系人：徐</w:t>
      </w:r>
      <w:r>
        <w:rPr>
          <w:rFonts w:hint="eastAsia" w:ascii="仿宋" w:hAnsi="仿宋" w:eastAsia="仿宋" w:cs="仿宋"/>
          <w:color w:val="auto"/>
          <w:sz w:val="24"/>
          <w:highlight w:val="none"/>
          <w:lang w:val="en-US" w:eastAsia="zh-CN"/>
        </w:rPr>
        <w:t>工</w:t>
      </w:r>
    </w:p>
    <w:p w14:paraId="447FFBC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质疑联系方式：0571-89516083 </w:t>
      </w:r>
    </w:p>
    <w:p w14:paraId="05AD715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130261F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名称：海标工程管理有限公司</w:t>
      </w:r>
    </w:p>
    <w:p w14:paraId="62CEC2F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地址：杭州市余杭区仓前街道绿创广场3号楼A座703室</w:t>
      </w:r>
    </w:p>
    <w:p w14:paraId="2D3369F2">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项文娜</w:t>
      </w:r>
    </w:p>
    <w:p w14:paraId="1343CA8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项目联系方式（询问）：0571-86137060 </w:t>
      </w:r>
    </w:p>
    <w:p w14:paraId="4E26631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质疑联系人：王达</w:t>
      </w:r>
    </w:p>
    <w:p w14:paraId="7486C08C">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质疑联系方式：0571-86137060 </w:t>
      </w:r>
    </w:p>
    <w:p w14:paraId="2D8D64E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            </w:t>
      </w:r>
    </w:p>
    <w:p w14:paraId="79E14AA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w:t>
      </w:r>
      <w:r>
        <w:rPr>
          <w:rFonts w:hint="eastAsia" w:ascii="仿宋" w:hAnsi="仿宋" w:eastAsia="仿宋" w:cs="仿宋"/>
          <w:color w:val="auto"/>
          <w:sz w:val="27"/>
          <w:szCs w:val="27"/>
          <w:highlight w:val="none"/>
        </w:rPr>
        <w:t>杭州市余杭区财政局、浙江省政府采购行政裁决服务中心（杭州）</w:t>
      </w:r>
      <w:r>
        <w:rPr>
          <w:rFonts w:hint="eastAsia" w:ascii="仿宋" w:hAnsi="仿宋" w:eastAsia="仿宋" w:cs="仿宋"/>
          <w:color w:val="auto"/>
          <w:sz w:val="24"/>
          <w:highlight w:val="none"/>
        </w:rPr>
        <w:t xml:space="preserve"> </w:t>
      </w:r>
    </w:p>
    <w:p w14:paraId="1882381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址：杭州市上城区清泰街549号城建综合大楼11楼（快递仅限ems或顺丰）</w:t>
      </w:r>
    </w:p>
    <w:p w14:paraId="6F6FA30D">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4FD8342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联系人 ：</w:t>
      </w:r>
      <w:r>
        <w:rPr>
          <w:rFonts w:hint="eastAsia" w:ascii="仿宋" w:hAnsi="仿宋" w:eastAsia="仿宋" w:cs="仿宋"/>
          <w:color w:val="auto"/>
          <w:sz w:val="27"/>
          <w:szCs w:val="27"/>
          <w:highlight w:val="none"/>
        </w:rPr>
        <w:t>朱女士、王女士</w:t>
      </w:r>
      <w:r>
        <w:rPr>
          <w:rFonts w:hint="eastAsia" w:ascii="仿宋" w:hAnsi="仿宋" w:eastAsia="仿宋" w:cs="仿宋"/>
          <w:color w:val="auto"/>
          <w:sz w:val="24"/>
          <w:highlight w:val="none"/>
        </w:rPr>
        <w:t xml:space="preserve">    </w:t>
      </w:r>
    </w:p>
    <w:p w14:paraId="0B768650">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监督投诉电话：0571-87227671,0571-87800218 </w:t>
      </w:r>
    </w:p>
    <w:p w14:paraId="168B9207">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559C80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614CAA5E">
      <w:pPr>
        <w:widowControl/>
        <w:adjustRightInd/>
        <w:spacing w:line="360" w:lineRule="auto"/>
        <w:ind w:firstLine="482"/>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2B369050">
      <w:pPr>
        <w:adjustRightInd/>
        <w:spacing w:line="360" w:lineRule="auto"/>
        <w:ind w:firstLine="643"/>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第二部分</w:t>
      </w:r>
      <w:bookmarkEnd w:id="8"/>
      <w:r>
        <w:rPr>
          <w:rFonts w:hint="eastAsia" w:ascii="仿宋" w:hAnsi="仿宋" w:eastAsia="仿宋" w:cs="仿宋"/>
          <w:b/>
          <w:color w:val="auto"/>
          <w:sz w:val="32"/>
          <w:szCs w:val="32"/>
          <w:highlight w:val="none"/>
        </w:rPr>
        <w:t xml:space="preserve"> 投标人须知</w:t>
      </w:r>
      <w:bookmarkEnd w:id="9"/>
    </w:p>
    <w:p w14:paraId="2DD548BF">
      <w:pPr>
        <w:adjustRightInd/>
        <w:spacing w:line="360" w:lineRule="auto"/>
        <w:ind w:firstLine="482"/>
        <w:jc w:val="center"/>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前附表</w:t>
      </w:r>
    </w:p>
    <w:tbl>
      <w:tblPr>
        <w:tblStyle w:val="6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BC959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39C62A10">
            <w:pPr>
              <w:snapToGrid w:val="0"/>
              <w:spacing w:line="360" w:lineRule="auto"/>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332BF4D">
            <w:pPr>
              <w:snapToGrid w:val="0"/>
              <w:spacing w:line="360" w:lineRule="auto"/>
              <w:ind w:firstLine="482"/>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FCD9FB3">
            <w:pPr>
              <w:snapToGrid w:val="0"/>
              <w:spacing w:line="360" w:lineRule="auto"/>
              <w:ind w:firstLine="48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002FF8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309F2EF">
            <w:pPr>
              <w:snapToGrid w:val="0"/>
              <w:spacing w:line="360" w:lineRule="auto"/>
              <w:jc w:val="center"/>
              <w:rPr>
                <w:rFonts w:hint="eastAsia" w:ascii="仿宋" w:hAnsi="仿宋" w:eastAsia="仿宋" w:cs="仿宋"/>
                <w:color w:val="auto"/>
                <w:sz w:val="24"/>
                <w:highlight w:val="none"/>
              </w:rPr>
            </w:pPr>
          </w:p>
          <w:p w14:paraId="6B832B1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668EE15">
            <w:pPr>
              <w:snapToGrid w:val="0"/>
              <w:spacing w:line="360" w:lineRule="auto"/>
              <w:ind w:firstLine="482"/>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7FA172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6E87B1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5A74835">
            <w:pPr>
              <w:snapToGrid w:val="0"/>
              <w:spacing w:line="36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D551F7F">
            <w:pPr>
              <w:snapToGrid w:val="0"/>
              <w:spacing w:line="360" w:lineRule="auto"/>
              <w:ind w:firstLine="482"/>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121ED4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w:t>
            </w:r>
            <w:r>
              <w:rPr>
                <w:rFonts w:hint="eastAsia" w:ascii="仿宋" w:hAnsi="仿宋" w:eastAsia="仿宋" w:cs="仿宋"/>
                <w:color w:val="auto"/>
                <w:sz w:val="24"/>
                <w:highlight w:val="none"/>
                <w:lang w:eastAsia="zh-CN"/>
              </w:rPr>
              <w:t>2025年区级人民调解案件化解服务</w:t>
            </w:r>
            <w:r>
              <w:rPr>
                <w:rFonts w:hint="eastAsia" w:ascii="仿宋" w:hAnsi="仿宋" w:eastAsia="仿宋" w:cs="仿宋"/>
                <w:color w:val="auto"/>
                <w:sz w:val="24"/>
                <w:highlight w:val="none"/>
              </w:rPr>
              <w:t>，属于租赁和商务服务业；根据《关于印发中小企业划型标准规定的通知》（工信部联企业〔2011〕300）第四条第（十</w:t>
            </w: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rPr>
              <w:t>）项规定：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5B85BE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01635DBB">
            <w:pPr>
              <w:snapToGrid w:val="0"/>
              <w:spacing w:line="360" w:lineRule="auto"/>
              <w:jc w:val="center"/>
              <w:rPr>
                <w:rFonts w:hint="eastAsia" w:ascii="仿宋" w:hAnsi="仿宋" w:eastAsia="仿宋" w:cs="仿宋"/>
                <w:color w:val="auto"/>
                <w:sz w:val="24"/>
                <w:highlight w:val="none"/>
              </w:rPr>
            </w:pPr>
          </w:p>
          <w:p w14:paraId="5CC9C884">
            <w:pPr>
              <w:snapToGrid w:val="0"/>
              <w:spacing w:line="360" w:lineRule="auto"/>
              <w:jc w:val="center"/>
              <w:rPr>
                <w:rFonts w:hint="eastAsia" w:ascii="仿宋" w:hAnsi="仿宋" w:eastAsia="仿宋" w:cs="仿宋"/>
                <w:color w:val="auto"/>
                <w:sz w:val="24"/>
                <w:highlight w:val="none"/>
              </w:rPr>
            </w:pPr>
          </w:p>
          <w:p w14:paraId="75893D8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8850A16">
            <w:pPr>
              <w:snapToGrid w:val="0"/>
              <w:spacing w:line="360" w:lineRule="auto"/>
              <w:ind w:firstLine="482"/>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BAA0084">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本项目不允许采购进口产品。</w:t>
            </w:r>
          </w:p>
          <w:p w14:paraId="008BCFAA">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6133C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D55314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685E3A4">
            <w:pPr>
              <w:snapToGrid w:val="0"/>
              <w:spacing w:line="360" w:lineRule="auto"/>
              <w:ind w:firstLine="482" w:firstLineChars="200"/>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9D36E4D">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14:paraId="76B8927D">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44B88C82">
            <w:pPr>
              <w:pStyle w:val="42"/>
              <w:rPr>
                <w:rFonts w:hint="eastAsia" w:ascii="仿宋" w:hAnsi="仿宋" w:eastAsia="仿宋" w:cs="仿宋"/>
                <w:color w:val="auto"/>
                <w:highlight w:val="none"/>
              </w:rPr>
            </w:pPr>
            <w:r>
              <w:rPr>
                <w:rFonts w:hint="eastAsia" w:ascii="仿宋" w:hAnsi="仿宋" w:eastAsia="仿宋" w:cs="仿宋"/>
                <w:color w:val="auto"/>
                <w:sz w:val="24"/>
                <w:szCs w:val="24"/>
                <w:highlight w:val="none"/>
              </w:rPr>
              <w:t>注：不得限制大中型企业向小微企业合理分包。</w:t>
            </w:r>
          </w:p>
        </w:tc>
      </w:tr>
      <w:tr w14:paraId="40215E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1589DF7F">
            <w:pPr>
              <w:snapToGrid w:val="0"/>
              <w:spacing w:line="360" w:lineRule="auto"/>
              <w:jc w:val="center"/>
              <w:rPr>
                <w:rFonts w:hint="eastAsia" w:ascii="仿宋" w:hAnsi="仿宋" w:eastAsia="仿宋" w:cs="仿宋"/>
                <w:color w:val="auto"/>
                <w:sz w:val="24"/>
                <w:highlight w:val="none"/>
              </w:rPr>
            </w:pPr>
          </w:p>
          <w:p w14:paraId="221DAD9E">
            <w:pPr>
              <w:snapToGrid w:val="0"/>
              <w:spacing w:line="360" w:lineRule="auto"/>
              <w:jc w:val="center"/>
              <w:rPr>
                <w:rFonts w:hint="eastAsia" w:ascii="仿宋" w:hAnsi="仿宋" w:eastAsia="仿宋" w:cs="仿宋"/>
                <w:color w:val="auto"/>
                <w:sz w:val="24"/>
                <w:highlight w:val="none"/>
              </w:rPr>
            </w:pPr>
          </w:p>
          <w:p w14:paraId="473D8B1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84EB56D">
            <w:pPr>
              <w:snapToGrid w:val="0"/>
              <w:spacing w:line="360" w:lineRule="auto"/>
              <w:ind w:firstLine="482"/>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2C3C85">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55B9B1B0">
            <w:pPr>
              <w:spacing w:line="360" w:lineRule="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kern w:val="0"/>
                <w:sz w:val="24"/>
                <w:highlight w:val="none"/>
              </w:rPr>
              <w:sym w:font="Wingdings" w:char="00A8"/>
            </w:r>
            <w:r>
              <w:rPr>
                <w:rFonts w:hint="eastAsia" w:ascii="仿宋" w:hAnsi="仿宋" w:eastAsia="仿宋" w:cs="仿宋"/>
                <w:b w:val="0"/>
                <w:bCs w:val="0"/>
                <w:color w:val="auto"/>
                <w:kern w:val="0"/>
                <w:sz w:val="24"/>
                <w:highlight w:val="none"/>
              </w:rPr>
              <w:t>B组织，</w:t>
            </w:r>
            <w:r>
              <w:rPr>
                <w:rFonts w:hint="eastAsia" w:ascii="仿宋" w:hAnsi="仿宋" w:eastAsia="仿宋" w:cs="仿宋"/>
                <w:b w:val="0"/>
                <w:bCs w:val="0"/>
                <w:color w:val="auto"/>
                <w:sz w:val="24"/>
                <w:highlight w:val="none"/>
              </w:rPr>
              <w:t>时间：</w:t>
            </w:r>
            <w:r>
              <w:rPr>
                <w:rFonts w:hint="eastAsia" w:ascii="仿宋" w:hAnsi="仿宋" w:eastAsia="仿宋" w:cs="仿宋"/>
                <w:b w:val="0"/>
                <w:bCs w:val="0"/>
                <w:color w:val="auto"/>
                <w:sz w:val="24"/>
                <w:highlight w:val="none"/>
                <w:u w:val="single"/>
                <w:lang w:val="en-US" w:eastAsia="zh-CN"/>
              </w:rPr>
              <w:t xml:space="preserve">       </w:t>
            </w:r>
            <w:r>
              <w:rPr>
                <w:rFonts w:hint="eastAsia" w:ascii="仿宋" w:hAnsi="仿宋" w:eastAsia="仿宋" w:cs="仿宋"/>
                <w:b w:val="0"/>
                <w:bCs w:val="0"/>
                <w:color w:val="auto"/>
                <w:sz w:val="24"/>
                <w:highlight w:val="none"/>
              </w:rPr>
              <w:t>,地点：</w:t>
            </w:r>
            <w:r>
              <w:rPr>
                <w:rFonts w:hint="eastAsia" w:ascii="仿宋" w:hAnsi="仿宋" w:eastAsia="仿宋" w:cs="仿宋"/>
                <w:b w:val="0"/>
                <w:bCs w:val="0"/>
                <w:color w:val="auto"/>
                <w:sz w:val="24"/>
                <w:highlight w:val="none"/>
                <w:u w:val="single"/>
                <w:lang w:val="en-US" w:eastAsia="zh-CN"/>
              </w:rPr>
              <w:t xml:space="preserve">       </w:t>
            </w:r>
            <w:r>
              <w:rPr>
                <w:rFonts w:hint="eastAsia" w:ascii="仿宋" w:hAnsi="仿宋" w:eastAsia="仿宋" w:cs="仿宋"/>
                <w:b w:val="0"/>
                <w:bCs w:val="0"/>
                <w:color w:val="auto"/>
                <w:sz w:val="24"/>
                <w:highlight w:val="none"/>
              </w:rPr>
              <w:t>，联系人：</w:t>
            </w:r>
            <w:r>
              <w:rPr>
                <w:rFonts w:hint="eastAsia" w:ascii="仿宋" w:hAnsi="仿宋" w:eastAsia="仿宋" w:cs="仿宋"/>
                <w:b w:val="0"/>
                <w:bCs w:val="0"/>
                <w:color w:val="auto"/>
                <w:sz w:val="24"/>
                <w:highlight w:val="none"/>
                <w:u w:val="single"/>
                <w:lang w:val="en-US" w:eastAsia="zh-CN"/>
              </w:rPr>
              <w:t xml:space="preserve">       </w:t>
            </w:r>
            <w:r>
              <w:rPr>
                <w:rFonts w:hint="eastAsia" w:ascii="仿宋" w:hAnsi="仿宋" w:eastAsia="仿宋" w:cs="仿宋"/>
                <w:b w:val="0"/>
                <w:bCs w:val="0"/>
                <w:color w:val="auto"/>
                <w:sz w:val="24"/>
                <w:highlight w:val="none"/>
              </w:rPr>
              <w:t>，联系方式：</w:t>
            </w:r>
            <w:r>
              <w:rPr>
                <w:rFonts w:hint="eastAsia" w:ascii="仿宋" w:hAnsi="仿宋" w:eastAsia="仿宋" w:cs="仿宋"/>
                <w:b w:val="0"/>
                <w:bCs w:val="0"/>
                <w:color w:val="auto"/>
                <w:sz w:val="24"/>
                <w:highlight w:val="none"/>
                <w:u w:val="single"/>
                <w:lang w:val="en-US" w:eastAsia="zh-CN"/>
              </w:rPr>
              <w:t xml:space="preserve">        </w:t>
            </w:r>
            <w:r>
              <w:rPr>
                <w:rFonts w:hint="eastAsia" w:ascii="仿宋" w:hAnsi="仿宋" w:eastAsia="仿宋" w:cs="仿宋"/>
                <w:b w:val="0"/>
                <w:bCs w:val="0"/>
                <w:color w:val="auto"/>
                <w:sz w:val="24"/>
                <w:highlight w:val="none"/>
              </w:rPr>
              <w:t>。</w:t>
            </w:r>
          </w:p>
          <w:p w14:paraId="6F0081B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☐C不统一组织，供应商在获取采购文件后，自行至项目现场考察。地点：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r>
      <w:tr w14:paraId="0716F3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43D6676F">
            <w:pPr>
              <w:snapToGrid w:val="0"/>
              <w:spacing w:line="360" w:lineRule="auto"/>
              <w:rPr>
                <w:rFonts w:hint="eastAsia" w:ascii="仿宋" w:hAnsi="仿宋" w:eastAsia="仿宋" w:cs="仿宋"/>
                <w:color w:val="auto"/>
                <w:sz w:val="24"/>
                <w:highlight w:val="none"/>
              </w:rPr>
            </w:pPr>
          </w:p>
          <w:p w14:paraId="300CD3E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0449342">
            <w:pPr>
              <w:snapToGrid w:val="0"/>
              <w:spacing w:line="360" w:lineRule="auto"/>
              <w:ind w:firstLine="482"/>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39CF8E7">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sz w:val="24"/>
                <w:highlight w:val="none"/>
              </w:rPr>
              <w:t>不要求提供。</w:t>
            </w:r>
          </w:p>
          <w:p w14:paraId="76E719E6">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p w14:paraId="05F2996E">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239C5165">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3138CA5F">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1D0487B5">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0A18B2A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5E03DD2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82AFF44">
            <w:pPr>
              <w:pStyle w:val="42"/>
              <w:rPr>
                <w:rFonts w:hint="eastAsia" w:ascii="仿宋" w:hAnsi="仿宋" w:eastAsia="仿宋" w:cs="仿宋"/>
                <w:color w:val="auto"/>
                <w:highlight w:val="none"/>
              </w:rPr>
            </w:pPr>
            <w:r>
              <w:rPr>
                <w:rFonts w:hint="eastAsia" w:ascii="仿宋" w:hAnsi="仿宋" w:eastAsia="仿宋" w:cs="仿宋"/>
                <w:color w:val="auto"/>
                <w:sz w:val="24"/>
                <w:highlight w:val="none"/>
              </w:rPr>
              <w:t>（7）制作、运输、安装和保管样品所发生的一切费用由投标人自理。</w:t>
            </w:r>
          </w:p>
        </w:tc>
      </w:tr>
      <w:tr w14:paraId="2702A5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8"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6D7E42A2">
            <w:pPr>
              <w:snapToGrid w:val="0"/>
              <w:spacing w:line="360" w:lineRule="auto"/>
              <w:rPr>
                <w:rFonts w:hint="eastAsia" w:ascii="仿宋" w:hAnsi="仿宋" w:eastAsia="仿宋" w:cs="仿宋"/>
                <w:color w:val="auto"/>
                <w:sz w:val="24"/>
                <w:highlight w:val="none"/>
              </w:rPr>
            </w:pPr>
          </w:p>
          <w:p w14:paraId="1C0E6B5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0CA5CD9">
            <w:pPr>
              <w:snapToGrid w:val="0"/>
              <w:spacing w:line="360" w:lineRule="auto"/>
              <w:ind w:firstLine="482"/>
              <w:jc w:val="both"/>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功能演示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C3602DE">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524C7819">
            <w:pPr>
              <w:snapToGrid w:val="0"/>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470430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B组织。</w:t>
            </w:r>
          </w:p>
          <w:p w14:paraId="3974CDB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w:t>
            </w:r>
            <w:r>
              <w:rPr>
                <w:rFonts w:hint="eastAsia" w:ascii="仿宋" w:hAnsi="仿宋" w:eastAsia="仿宋" w:cs="仿宋"/>
                <w:color w:val="auto"/>
                <w:kern w:val="0"/>
                <w:sz w:val="24"/>
                <w:highlight w:val="none"/>
                <w:u w:val="single"/>
              </w:rPr>
              <w:t>15</w:t>
            </w:r>
            <w:r>
              <w:rPr>
                <w:rFonts w:hint="eastAsia" w:ascii="仿宋" w:hAnsi="仿宋" w:eastAsia="仿宋" w:cs="仿宋"/>
                <w:color w:val="auto"/>
                <w:kern w:val="0"/>
                <w:sz w:val="24"/>
                <w:highlight w:val="none"/>
              </w:rPr>
              <w:t>分钟，讲解次序以投标文件解密时间先后次序为准，讲解演示人员不超过</w:t>
            </w:r>
            <w:r>
              <w:rPr>
                <w:rFonts w:hint="eastAsia" w:ascii="仿宋" w:hAnsi="仿宋" w:eastAsia="仿宋" w:cs="仿宋"/>
                <w:color w:val="auto"/>
                <w:kern w:val="0"/>
                <w:sz w:val="24"/>
                <w:highlight w:val="none"/>
                <w:u w:val="single"/>
              </w:rPr>
              <w:t>3</w:t>
            </w:r>
            <w:r>
              <w:rPr>
                <w:rFonts w:hint="eastAsia" w:ascii="仿宋" w:hAnsi="仿宋" w:eastAsia="仿宋" w:cs="仿宋"/>
                <w:color w:val="auto"/>
                <w:kern w:val="0"/>
                <w:sz w:val="24"/>
                <w:highlight w:val="none"/>
              </w:rPr>
              <w:t>人。讲解演示结束后按要求解答评标委员会提问。</w:t>
            </w:r>
          </w:p>
          <w:p w14:paraId="3D9B360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14:paraId="57FD56F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14:paraId="5FB13E24">
            <w:pPr>
              <w:snapToGrid w:val="0"/>
              <w:spacing w:line="360" w:lineRule="auto"/>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lang w:val="en-US" w:eastAsia="zh-CN"/>
              </w:rPr>
              <w:t>方式</w:t>
            </w:r>
            <w:r>
              <w:rPr>
                <w:rFonts w:hint="eastAsia" w:ascii="仿宋" w:hAnsi="仿宋" w:eastAsia="仿宋" w:cs="仿宋"/>
                <w:b w:val="0"/>
                <w:bCs w:val="0"/>
                <w:color w:val="auto"/>
                <w:kern w:val="0"/>
                <w:sz w:val="24"/>
                <w:highlight w:val="none"/>
              </w:rPr>
              <w:t>二：现场讲解演示或视频演示。现场讲解地点为</w:t>
            </w:r>
            <w:r>
              <w:rPr>
                <w:rFonts w:hint="eastAsia" w:ascii="仿宋" w:hAnsi="仿宋" w:eastAsia="仿宋" w:cs="仿宋"/>
                <w:b w:val="0"/>
                <w:bCs w:val="0"/>
                <w:color w:val="auto"/>
                <w:kern w:val="0"/>
                <w:sz w:val="24"/>
                <w:highlight w:val="none"/>
                <w:u w:val="single"/>
                <w:lang w:val="en-US" w:eastAsia="zh-CN"/>
              </w:rPr>
              <w:t xml:space="preserve">      </w:t>
            </w:r>
            <w:r>
              <w:rPr>
                <w:rFonts w:hint="eastAsia" w:ascii="仿宋" w:hAnsi="仿宋" w:eastAsia="仿宋" w:cs="仿宋"/>
                <w:b w:val="0"/>
                <w:bCs w:val="0"/>
                <w:color w:val="auto"/>
                <w:kern w:val="0"/>
                <w:sz w:val="24"/>
                <w:highlight w:val="none"/>
              </w:rPr>
              <w:t>，讲解演示所用电脑等设备由投标人自备。现场讲解演示人员进场时提供讲解人员名单（加盖公章或授权代表签名）及身份证明，否则不得讲解演示。</w:t>
            </w:r>
          </w:p>
          <w:p w14:paraId="004507E5">
            <w:pPr>
              <w:spacing w:line="360" w:lineRule="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817CD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tcPr>
          <w:p w14:paraId="23BFAF4B">
            <w:pPr>
              <w:snapToGrid w:val="0"/>
              <w:spacing w:line="360" w:lineRule="auto"/>
              <w:jc w:val="center"/>
              <w:rPr>
                <w:rFonts w:hint="eastAsia" w:ascii="仿宋" w:hAnsi="仿宋" w:eastAsia="仿宋" w:cs="仿宋"/>
                <w:color w:val="auto"/>
                <w:sz w:val="24"/>
                <w:highlight w:val="none"/>
              </w:rPr>
            </w:pPr>
          </w:p>
          <w:p w14:paraId="13B40993">
            <w:pPr>
              <w:snapToGrid w:val="0"/>
              <w:spacing w:line="360" w:lineRule="auto"/>
              <w:jc w:val="center"/>
              <w:rPr>
                <w:rFonts w:hint="eastAsia" w:ascii="仿宋" w:hAnsi="仿宋" w:eastAsia="仿宋" w:cs="仿宋"/>
                <w:color w:val="auto"/>
                <w:sz w:val="24"/>
                <w:highlight w:val="none"/>
              </w:rPr>
            </w:pPr>
          </w:p>
          <w:p w14:paraId="30D9C57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C5EAD02">
            <w:pPr>
              <w:snapToGrid w:val="0"/>
              <w:spacing w:line="360" w:lineRule="auto"/>
              <w:ind w:firstLine="482"/>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F46D8E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63704C9E">
            <w:pPr>
              <w:spacing w:line="360" w:lineRule="auto"/>
              <w:rPr>
                <w:rFonts w:hint="eastAsia" w:ascii="仿宋" w:hAnsi="仿宋" w:eastAsia="仿宋" w:cs="仿宋"/>
                <w:snapToGrid w:val="0"/>
                <w:color w:val="auto"/>
                <w:kern w:val="0"/>
                <w:sz w:val="24"/>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440710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jc w:val="center"/>
        </w:trPr>
        <w:tc>
          <w:tcPr>
            <w:tcW w:w="629" w:type="dxa"/>
            <w:vMerge w:val="continue"/>
            <w:tcBorders>
              <w:left w:val="single" w:color="auto" w:sz="4" w:space="0"/>
              <w:bottom w:val="single" w:color="auto" w:sz="4" w:space="0"/>
              <w:right w:val="single" w:color="auto" w:sz="4" w:space="0"/>
            </w:tcBorders>
          </w:tcPr>
          <w:p w14:paraId="2CD8752B">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418F9A">
            <w:pPr>
              <w:snapToGrid w:val="0"/>
              <w:spacing w:line="360" w:lineRule="auto"/>
              <w:ind w:firstLine="482"/>
              <w:jc w:val="both"/>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6AE845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5E23C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77EEC69B">
            <w:pPr>
              <w:snapToGrid w:val="0"/>
              <w:spacing w:line="360" w:lineRule="auto"/>
              <w:jc w:val="center"/>
              <w:rPr>
                <w:rFonts w:hint="eastAsia" w:ascii="仿宋" w:hAnsi="仿宋" w:eastAsia="仿宋" w:cs="仿宋"/>
                <w:color w:val="auto"/>
                <w:sz w:val="24"/>
                <w:highlight w:val="none"/>
              </w:rPr>
            </w:pPr>
          </w:p>
          <w:p w14:paraId="6F6D55E1">
            <w:pPr>
              <w:snapToGrid w:val="0"/>
              <w:spacing w:line="360" w:lineRule="auto"/>
              <w:jc w:val="center"/>
              <w:rPr>
                <w:rFonts w:hint="eastAsia" w:ascii="仿宋" w:hAnsi="仿宋" w:eastAsia="仿宋" w:cs="仿宋"/>
                <w:color w:val="auto"/>
                <w:sz w:val="24"/>
                <w:highlight w:val="none"/>
              </w:rPr>
            </w:pPr>
          </w:p>
          <w:p w14:paraId="6B1424B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FAEEFDB">
            <w:pPr>
              <w:snapToGrid w:val="0"/>
              <w:spacing w:line="360" w:lineRule="auto"/>
              <w:ind w:firstLine="482"/>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3213D2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5B24FBC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☐强制采购。产品：    </w:t>
            </w:r>
          </w:p>
          <w:p w14:paraId="1CB7351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□优先采购节能产品。产品：   </w:t>
            </w:r>
          </w:p>
          <w:p w14:paraId="4340FDC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□优先采购环保产品。产品：    </w:t>
            </w:r>
          </w:p>
          <w:p w14:paraId="350008E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☑无</w:t>
            </w:r>
          </w:p>
        </w:tc>
      </w:tr>
      <w:tr w14:paraId="35E39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1D4EB1D5">
            <w:pPr>
              <w:snapToGrid w:val="0"/>
              <w:spacing w:line="360" w:lineRule="auto"/>
              <w:jc w:val="center"/>
              <w:rPr>
                <w:rFonts w:hint="eastAsia" w:ascii="仿宋" w:hAnsi="仿宋" w:eastAsia="仿宋" w:cs="仿宋"/>
                <w:color w:val="auto"/>
                <w:sz w:val="24"/>
                <w:highlight w:val="none"/>
              </w:rPr>
            </w:pPr>
          </w:p>
          <w:p w14:paraId="0642A5B7">
            <w:pPr>
              <w:snapToGrid w:val="0"/>
              <w:spacing w:line="360" w:lineRule="auto"/>
              <w:jc w:val="center"/>
              <w:rPr>
                <w:rFonts w:hint="eastAsia" w:ascii="仿宋" w:hAnsi="仿宋" w:eastAsia="仿宋" w:cs="仿宋"/>
                <w:color w:val="auto"/>
                <w:sz w:val="24"/>
                <w:highlight w:val="none"/>
              </w:rPr>
            </w:pPr>
          </w:p>
          <w:p w14:paraId="38416AEF">
            <w:pPr>
              <w:snapToGrid w:val="0"/>
              <w:spacing w:line="360" w:lineRule="auto"/>
              <w:jc w:val="center"/>
              <w:rPr>
                <w:rFonts w:hint="eastAsia" w:ascii="仿宋" w:hAnsi="仿宋" w:eastAsia="仿宋" w:cs="仿宋"/>
                <w:color w:val="auto"/>
                <w:sz w:val="24"/>
                <w:highlight w:val="none"/>
              </w:rPr>
            </w:pPr>
          </w:p>
          <w:p w14:paraId="1D849AE6">
            <w:pPr>
              <w:snapToGrid w:val="0"/>
              <w:spacing w:line="360" w:lineRule="auto"/>
              <w:jc w:val="center"/>
              <w:rPr>
                <w:rFonts w:hint="eastAsia" w:ascii="仿宋" w:hAnsi="仿宋" w:eastAsia="仿宋" w:cs="仿宋"/>
                <w:color w:val="auto"/>
                <w:sz w:val="24"/>
                <w:highlight w:val="none"/>
              </w:rPr>
            </w:pPr>
          </w:p>
          <w:p w14:paraId="6AEABBA8">
            <w:pPr>
              <w:snapToGrid w:val="0"/>
              <w:spacing w:line="360" w:lineRule="auto"/>
              <w:jc w:val="center"/>
              <w:rPr>
                <w:rFonts w:hint="eastAsia" w:ascii="仿宋" w:hAnsi="仿宋" w:eastAsia="仿宋" w:cs="仿宋"/>
                <w:color w:val="auto"/>
                <w:sz w:val="24"/>
                <w:highlight w:val="none"/>
              </w:rPr>
            </w:pPr>
          </w:p>
          <w:p w14:paraId="645C9CB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AB2152C">
            <w:pPr>
              <w:snapToGrid w:val="0"/>
              <w:spacing w:line="360" w:lineRule="auto"/>
              <w:ind w:firstLine="482"/>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318538E">
            <w:pPr>
              <w:snapToGrid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p>
          <w:p w14:paraId="01D3E866">
            <w:pPr>
              <w:pStyle w:val="82"/>
              <w:rPr>
                <w:rFonts w:hint="eastAsia" w:ascii="仿宋" w:hAnsi="仿宋" w:eastAsia="仿宋" w:cs="仿宋"/>
                <w:b/>
                <w:bCs/>
                <w:color w:val="auto"/>
                <w:kern w:val="2"/>
                <w:sz w:val="24"/>
                <w:szCs w:val="24"/>
                <w:highlight w:val="none"/>
                <w:lang w:val="zh-CN" w:eastAsia="zh-CN" w:bidi="ar-SA"/>
              </w:rPr>
            </w:pPr>
            <w:r>
              <w:rPr>
                <w:rFonts w:hint="eastAsia" w:ascii="仿宋" w:hAnsi="仿宋" w:eastAsia="仿宋" w:cs="仿宋"/>
                <w:b/>
                <w:bCs/>
                <w:color w:val="auto"/>
                <w:kern w:val="2"/>
                <w:sz w:val="24"/>
                <w:szCs w:val="24"/>
                <w:highlight w:val="none"/>
                <w:lang w:val="zh-CN" w:eastAsia="zh-CN" w:bidi="ar-SA"/>
              </w:rPr>
              <w:t>采购预算/最高限价：总预算288万元</w:t>
            </w:r>
          </w:p>
          <w:p w14:paraId="06D06DD3">
            <w:pPr>
              <w:pStyle w:val="82"/>
              <w:rPr>
                <w:rFonts w:hint="eastAsia" w:ascii="仿宋" w:hAnsi="仿宋" w:eastAsia="仿宋" w:cs="仿宋"/>
                <w:b/>
                <w:bCs/>
                <w:color w:val="auto"/>
                <w:kern w:val="2"/>
                <w:sz w:val="24"/>
                <w:szCs w:val="24"/>
                <w:highlight w:val="none"/>
                <w:lang w:val="zh-CN" w:eastAsia="zh-CN" w:bidi="ar-SA"/>
              </w:rPr>
            </w:pPr>
            <w:r>
              <w:rPr>
                <w:rFonts w:hint="eastAsia" w:ascii="仿宋" w:hAnsi="仿宋" w:eastAsia="仿宋" w:cs="仿宋"/>
                <w:b/>
                <w:bCs/>
                <w:color w:val="auto"/>
                <w:kern w:val="2"/>
                <w:sz w:val="24"/>
                <w:szCs w:val="24"/>
                <w:highlight w:val="none"/>
                <w:lang w:val="zh-CN" w:eastAsia="zh-CN" w:bidi="ar-SA"/>
              </w:rPr>
              <w:t>单价限价：</w:t>
            </w:r>
          </w:p>
          <w:p w14:paraId="4AD86BCC">
            <w:pPr>
              <w:pStyle w:val="82"/>
              <w:rPr>
                <w:rFonts w:hint="eastAsia" w:ascii="仿宋" w:hAnsi="仿宋" w:eastAsia="仿宋" w:cs="仿宋"/>
                <w:b/>
                <w:bCs/>
                <w:color w:val="auto"/>
                <w:kern w:val="2"/>
                <w:sz w:val="24"/>
                <w:szCs w:val="24"/>
                <w:highlight w:val="none"/>
                <w:lang w:val="zh-CN" w:eastAsia="zh-CN" w:bidi="ar-SA"/>
              </w:rPr>
            </w:pPr>
            <w:r>
              <w:rPr>
                <w:rFonts w:hint="eastAsia" w:ascii="仿宋" w:hAnsi="仿宋" w:eastAsia="仿宋" w:cs="仿宋"/>
                <w:b/>
                <w:bCs/>
                <w:color w:val="auto"/>
                <w:kern w:val="2"/>
                <w:sz w:val="24"/>
                <w:szCs w:val="24"/>
                <w:highlight w:val="none"/>
                <w:lang w:val="zh-CN" w:eastAsia="zh-CN" w:bidi="ar-SA"/>
              </w:rPr>
              <w:t>1、调解成功不形成卷宗仅有协议型不超过300元/件；</w:t>
            </w:r>
          </w:p>
          <w:p w14:paraId="6ED35A22">
            <w:pPr>
              <w:pStyle w:val="82"/>
              <w:rPr>
                <w:rFonts w:hint="eastAsia" w:ascii="仿宋" w:hAnsi="仿宋" w:eastAsia="仿宋" w:cs="仿宋"/>
                <w:b/>
                <w:bCs/>
                <w:color w:val="auto"/>
                <w:kern w:val="2"/>
                <w:sz w:val="24"/>
                <w:szCs w:val="24"/>
                <w:highlight w:val="none"/>
                <w:lang w:val="zh-CN" w:eastAsia="zh-CN" w:bidi="ar-SA"/>
              </w:rPr>
            </w:pPr>
            <w:r>
              <w:rPr>
                <w:rFonts w:hint="eastAsia" w:ascii="仿宋" w:hAnsi="仿宋" w:eastAsia="仿宋" w:cs="仿宋"/>
                <w:b/>
                <w:bCs/>
                <w:color w:val="auto"/>
                <w:kern w:val="2"/>
                <w:sz w:val="24"/>
                <w:szCs w:val="24"/>
                <w:highlight w:val="none"/>
                <w:lang w:val="zh-CN" w:eastAsia="zh-CN" w:bidi="ar-SA"/>
              </w:rPr>
              <w:t>2、调解成功并形成调解案卷一般型不超过550元/件（一般型纠纷：赔补偿低于20万元、涉案标的低于100万元等其他一般纠纷）；</w:t>
            </w:r>
          </w:p>
          <w:p w14:paraId="55080463">
            <w:pPr>
              <w:pStyle w:val="82"/>
              <w:rPr>
                <w:rFonts w:hint="eastAsia" w:ascii="仿宋" w:hAnsi="仿宋" w:eastAsia="仿宋" w:cs="仿宋"/>
                <w:b/>
                <w:bCs/>
                <w:color w:val="auto"/>
                <w:kern w:val="2"/>
                <w:sz w:val="24"/>
                <w:szCs w:val="24"/>
                <w:highlight w:val="none"/>
                <w:lang w:val="zh-CN" w:eastAsia="zh-CN" w:bidi="ar-SA"/>
              </w:rPr>
            </w:pPr>
            <w:r>
              <w:rPr>
                <w:rFonts w:hint="eastAsia" w:ascii="仿宋" w:hAnsi="仿宋" w:eastAsia="仿宋" w:cs="仿宋"/>
                <w:b/>
                <w:bCs/>
                <w:color w:val="auto"/>
                <w:kern w:val="2"/>
                <w:sz w:val="24"/>
                <w:szCs w:val="24"/>
                <w:highlight w:val="none"/>
                <w:lang w:val="zh-CN" w:eastAsia="zh-CN" w:bidi="ar-SA"/>
              </w:rPr>
              <w:t>3、调解成功并形成调解案卷疑难型不超过1500元/件（疑难型纠纷：赔补偿20万元以上、涉案标的100万元及以上或5人至10人群体性纠纷等其他疑难纠纷）；</w:t>
            </w:r>
          </w:p>
          <w:p w14:paraId="20B0C222">
            <w:pPr>
              <w:pStyle w:val="82"/>
              <w:rPr>
                <w:rFonts w:hint="eastAsia" w:ascii="仿宋" w:hAnsi="仿宋" w:eastAsia="仿宋" w:cs="仿宋"/>
                <w:b/>
                <w:bCs/>
                <w:color w:val="auto"/>
                <w:kern w:val="2"/>
                <w:sz w:val="24"/>
                <w:szCs w:val="24"/>
                <w:highlight w:val="none"/>
                <w:lang w:val="zh-CN" w:eastAsia="zh-CN" w:bidi="ar-SA"/>
              </w:rPr>
            </w:pPr>
            <w:r>
              <w:rPr>
                <w:rFonts w:hint="eastAsia" w:ascii="仿宋" w:hAnsi="仿宋" w:eastAsia="仿宋" w:cs="仿宋"/>
                <w:b/>
                <w:bCs/>
                <w:color w:val="auto"/>
                <w:kern w:val="2"/>
                <w:sz w:val="24"/>
                <w:szCs w:val="24"/>
                <w:highlight w:val="none"/>
                <w:lang w:val="zh-CN" w:eastAsia="zh-CN" w:bidi="ar-SA"/>
              </w:rPr>
              <w:t>4、调解成功并形成调解案卷重大型不超过3000元/件（重大型纠纷：亡人或涉案标的500万元及以上或10人及以上群体性及其他重大纠纷）；</w:t>
            </w:r>
          </w:p>
          <w:p w14:paraId="197A45A3">
            <w:pPr>
              <w:pStyle w:val="82"/>
              <w:rPr>
                <w:rFonts w:hint="eastAsia" w:ascii="仿宋" w:hAnsi="仿宋" w:eastAsia="仿宋" w:cs="仿宋"/>
                <w:highlight w:val="none"/>
                <w:lang w:val="zh-CN"/>
              </w:rPr>
            </w:pPr>
            <w:r>
              <w:rPr>
                <w:rFonts w:hint="eastAsia" w:ascii="仿宋" w:hAnsi="仿宋" w:eastAsia="仿宋" w:cs="仿宋"/>
                <w:b/>
                <w:bCs/>
                <w:color w:val="auto"/>
                <w:kern w:val="2"/>
                <w:sz w:val="24"/>
                <w:szCs w:val="24"/>
                <w:highlight w:val="none"/>
                <w:lang w:val="zh-CN" w:eastAsia="zh-CN" w:bidi="ar-SA"/>
              </w:rPr>
              <w:t>5、其他调解不成功案件录入“浙里调解”平台的不超过20元/件。</w:t>
            </w:r>
          </w:p>
          <w:p w14:paraId="0E13F564">
            <w:pPr>
              <w:snapToGrid w:val="0"/>
              <w:spacing w:line="360" w:lineRule="auto"/>
              <w:ind w:firstLine="482"/>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6D43403C">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7997C107">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4E671C2D">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14:paraId="425B7BD5">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761A01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69" w:hRule="atLeast"/>
          <w:tblHeader/>
          <w:jc w:val="center"/>
        </w:trPr>
        <w:tc>
          <w:tcPr>
            <w:tcW w:w="629" w:type="dxa"/>
            <w:tcBorders>
              <w:top w:val="single" w:color="auto" w:sz="4" w:space="0"/>
              <w:left w:val="single" w:color="000000" w:sz="8" w:space="0"/>
              <w:right w:val="single" w:color="000000" w:sz="2" w:space="0"/>
            </w:tcBorders>
          </w:tcPr>
          <w:p w14:paraId="688CBA0A">
            <w:pPr>
              <w:snapToGrid w:val="0"/>
              <w:spacing w:line="360" w:lineRule="auto"/>
              <w:jc w:val="center"/>
              <w:rPr>
                <w:rFonts w:hint="eastAsia" w:ascii="仿宋" w:hAnsi="仿宋" w:eastAsia="仿宋" w:cs="仿宋"/>
                <w:color w:val="auto"/>
                <w:sz w:val="24"/>
                <w:highlight w:val="none"/>
              </w:rPr>
            </w:pPr>
          </w:p>
          <w:p w14:paraId="1781378E">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D40C197">
            <w:pPr>
              <w:snapToGrid w:val="0"/>
              <w:spacing w:line="360" w:lineRule="auto"/>
              <w:ind w:firstLine="482"/>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6C2188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F71FB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000000" w:sz="8" w:space="0"/>
              <w:right w:val="single" w:color="000000" w:sz="2" w:space="0"/>
            </w:tcBorders>
            <w:vAlign w:val="center"/>
          </w:tcPr>
          <w:p w14:paraId="25388D9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BB29914">
            <w:pPr>
              <w:snapToGrid w:val="0"/>
              <w:spacing w:line="360" w:lineRule="auto"/>
              <w:ind w:firstLine="482"/>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6BD62162">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备份投标文件送达地点：</w:t>
            </w:r>
            <w:r>
              <w:rPr>
                <w:rFonts w:hint="eastAsia" w:ascii="仿宋" w:hAnsi="仿宋" w:eastAsia="仿宋" w:cs="仿宋"/>
                <w:color w:val="auto"/>
                <w:sz w:val="24"/>
                <w:highlight w:val="none"/>
                <w:u w:val="single"/>
              </w:rPr>
              <w:t>杭州市临平区星桥街道远展路59号工力大厦3楼</w:t>
            </w:r>
            <w:r>
              <w:rPr>
                <w:rFonts w:hint="eastAsia" w:ascii="仿宋" w:hAnsi="仿宋" w:eastAsia="仿宋" w:cs="仿宋"/>
                <w:bCs/>
                <w:color w:val="auto"/>
                <w:sz w:val="24"/>
                <w:szCs w:val="24"/>
                <w:highlight w:val="none"/>
              </w:rPr>
              <w:t>；备份投标文件签收人员联系电话：</w:t>
            </w:r>
            <w:r>
              <w:rPr>
                <w:rFonts w:hint="eastAsia" w:ascii="仿宋" w:hAnsi="仿宋" w:eastAsia="仿宋" w:cs="仿宋"/>
                <w:bCs/>
                <w:color w:val="auto"/>
                <w:sz w:val="24"/>
                <w:szCs w:val="24"/>
                <w:highlight w:val="none"/>
                <w:u w:val="single"/>
              </w:rPr>
              <w:t>王达，13705815521</w:t>
            </w:r>
            <w:r>
              <w:rPr>
                <w:rFonts w:hint="eastAsia" w:ascii="仿宋" w:hAnsi="仿宋" w:eastAsia="仿宋" w:cs="仿宋"/>
                <w:bCs/>
                <w:color w:val="auto"/>
                <w:sz w:val="24"/>
                <w:szCs w:val="24"/>
                <w:highlight w:val="none"/>
              </w:rPr>
              <w:t>。</w:t>
            </w:r>
            <w:r>
              <w:rPr>
                <w:rFonts w:hint="eastAsia" w:ascii="仿宋" w:hAnsi="仿宋" w:eastAsia="仿宋" w:cs="仿宋"/>
                <w:b/>
                <w:color w:val="auto"/>
                <w:sz w:val="24"/>
                <w:szCs w:val="24"/>
                <w:highlight w:val="none"/>
              </w:rPr>
              <w:t>采购人、采购代理机构不强制或变相强制投标人提交备份投标文件。</w:t>
            </w:r>
          </w:p>
        </w:tc>
      </w:tr>
      <w:tr w14:paraId="321FB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restart"/>
            <w:tcBorders>
              <w:top w:val="single" w:color="000000" w:sz="8" w:space="0"/>
              <w:left w:val="single" w:color="000000" w:sz="8" w:space="0"/>
              <w:bottom w:val="single" w:color="000000" w:sz="8" w:space="0"/>
              <w:right w:val="single" w:color="000000" w:sz="2" w:space="0"/>
            </w:tcBorders>
            <w:vAlign w:val="center"/>
          </w:tcPr>
          <w:p w14:paraId="3F8B27FE">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vMerge w:val="restart"/>
            <w:tcBorders>
              <w:top w:val="single" w:color="000000" w:sz="8" w:space="0"/>
              <w:left w:val="single" w:color="000000" w:sz="2" w:space="0"/>
              <w:bottom w:val="single" w:color="000000" w:sz="8" w:space="0"/>
              <w:right w:val="single" w:color="000000" w:sz="8" w:space="0"/>
            </w:tcBorders>
            <w:vAlign w:val="center"/>
          </w:tcPr>
          <w:p w14:paraId="2E769917">
            <w:pPr>
              <w:snapToGrid w:val="0"/>
              <w:spacing w:line="360" w:lineRule="auto"/>
              <w:ind w:firstLine="482"/>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7349E4A">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72AFCE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top w:val="single" w:color="000000" w:sz="8" w:space="0"/>
              <w:left w:val="single" w:color="000000" w:sz="8" w:space="0"/>
              <w:bottom w:val="single" w:color="000000" w:sz="8" w:space="0"/>
              <w:right w:val="single" w:color="000000" w:sz="2" w:space="0"/>
            </w:tcBorders>
            <w:vAlign w:val="center"/>
          </w:tcPr>
          <w:p w14:paraId="6298C91A">
            <w:pPr>
              <w:snapToGrid w:val="0"/>
              <w:spacing w:line="360" w:lineRule="auto"/>
              <w:jc w:val="center"/>
              <w:rPr>
                <w:rFonts w:hint="eastAsia" w:ascii="仿宋" w:hAnsi="仿宋" w:eastAsia="仿宋" w:cs="仿宋"/>
                <w:color w:val="auto"/>
                <w:sz w:val="24"/>
                <w:highlight w:val="none"/>
              </w:rPr>
            </w:pPr>
          </w:p>
        </w:tc>
        <w:tc>
          <w:tcPr>
            <w:tcW w:w="1843" w:type="dxa"/>
            <w:vMerge w:val="continue"/>
            <w:tcBorders>
              <w:top w:val="single" w:color="000000" w:sz="8" w:space="0"/>
              <w:left w:val="single" w:color="000000" w:sz="2" w:space="0"/>
              <w:bottom w:val="single" w:color="000000" w:sz="8" w:space="0"/>
              <w:right w:val="single" w:color="000000" w:sz="8" w:space="0"/>
            </w:tcBorders>
            <w:vAlign w:val="center"/>
          </w:tcPr>
          <w:p w14:paraId="5C7F8269">
            <w:pPr>
              <w:snapToGrid w:val="0"/>
              <w:spacing w:line="360" w:lineRule="auto"/>
              <w:ind w:firstLine="482"/>
              <w:jc w:val="both"/>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4FC3EC5">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color w:val="auto"/>
                <w:kern w:val="0"/>
                <w:sz w:val="24"/>
                <w:highlight w:val="none"/>
              </w:rPr>
              <w:t>☐</w:t>
            </w:r>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6D67C4FE">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6785AB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000000" w:sz="8" w:space="0"/>
              <w:left w:val="single" w:color="000000" w:sz="8" w:space="0"/>
              <w:bottom w:val="single" w:color="000000" w:sz="8" w:space="0"/>
              <w:right w:val="single" w:color="000000" w:sz="2" w:space="0"/>
            </w:tcBorders>
            <w:vAlign w:val="center"/>
          </w:tcPr>
          <w:p w14:paraId="61818C0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0A2F1E50">
            <w:pPr>
              <w:snapToGrid w:val="0"/>
              <w:spacing w:line="360" w:lineRule="auto"/>
              <w:ind w:firstLine="482"/>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书面投标文件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6D76B9FF">
            <w:pPr>
              <w:pStyle w:val="585"/>
              <w:snapToGrid w:val="0"/>
              <w:ind w:left="243" w:hanging="243" w:hangingChars="101"/>
              <w:jc w:val="left"/>
              <w:rPr>
                <w:rFonts w:hint="eastAsia" w:ascii="仿宋" w:hAnsi="仿宋" w:eastAsia="仿宋" w:cs="仿宋"/>
                <w:color w:val="auto"/>
                <w:kern w:val="0"/>
                <w:szCs w:val="24"/>
                <w:highlight w:val="none"/>
              </w:rPr>
            </w:pPr>
            <w:r>
              <w:rPr>
                <w:rFonts w:hint="eastAsia" w:ascii="仿宋" w:hAnsi="仿宋" w:eastAsia="仿宋" w:cs="仿宋"/>
                <w:b/>
                <w:bCs/>
                <w:snapToGrid w:val="0"/>
                <w:color w:val="auto"/>
                <w:kern w:val="28"/>
                <w:szCs w:val="24"/>
                <w:highlight w:val="none"/>
              </w:rPr>
              <w:t>中标单位需在领取中标通知书时，提供本项目纸质投标文件（资格文件”、“报价文件”和“商务技术文件”）四份（正本一份，副本三份）。</w:t>
            </w:r>
          </w:p>
        </w:tc>
      </w:tr>
      <w:tr w14:paraId="6799A7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000000" w:sz="8" w:space="0"/>
              <w:left w:val="single" w:color="000000" w:sz="8" w:space="0"/>
              <w:bottom w:val="single" w:color="000000" w:sz="8" w:space="0"/>
              <w:right w:val="single" w:color="000000" w:sz="2" w:space="0"/>
            </w:tcBorders>
            <w:vAlign w:val="center"/>
          </w:tcPr>
          <w:p w14:paraId="1CB9A63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3404A6BC">
            <w:pPr>
              <w:snapToGrid w:val="0"/>
              <w:spacing w:line="360" w:lineRule="auto"/>
              <w:ind w:firstLine="482"/>
              <w:jc w:val="both"/>
              <w:rPr>
                <w:rFonts w:hint="eastAsia" w:ascii="仿宋" w:hAnsi="仿宋" w:eastAsia="仿宋" w:cs="仿宋"/>
                <w:b/>
                <w:bCs/>
                <w:snapToGrid w:val="0"/>
                <w:color w:val="auto"/>
                <w:kern w:val="28"/>
                <w:sz w:val="24"/>
                <w:highlight w:val="none"/>
              </w:rPr>
            </w:pPr>
            <w:r>
              <w:rPr>
                <w:rFonts w:hint="eastAsia" w:ascii="仿宋" w:hAnsi="仿宋" w:eastAsia="仿宋" w:cs="仿宋"/>
                <w:b/>
                <w:bCs/>
                <w:snapToGrid w:val="0"/>
                <w:color w:val="auto"/>
                <w:kern w:val="28"/>
                <w:sz w:val="24"/>
                <w:highlight w:val="none"/>
              </w:rPr>
              <w:t>评标委员会推荐中标候选人的数量</w:t>
            </w:r>
          </w:p>
        </w:tc>
        <w:tc>
          <w:tcPr>
            <w:tcW w:w="6095" w:type="dxa"/>
            <w:tcBorders>
              <w:top w:val="single" w:color="000000" w:sz="8" w:space="0"/>
              <w:left w:val="single" w:color="000000" w:sz="2" w:space="0"/>
              <w:bottom w:val="single" w:color="000000" w:sz="8" w:space="0"/>
              <w:right w:val="single" w:color="000000" w:sz="8" w:space="0"/>
            </w:tcBorders>
            <w:vAlign w:val="center"/>
          </w:tcPr>
          <w:p w14:paraId="46589009">
            <w:pPr>
              <w:spacing w:line="360" w:lineRule="auto"/>
              <w:ind w:firstLine="482"/>
              <w:rPr>
                <w:rFonts w:hint="eastAsia" w:ascii="仿宋" w:hAnsi="仿宋" w:eastAsia="仿宋" w:cs="仿宋"/>
                <w:b/>
                <w:bCs/>
                <w:snapToGrid w:val="0"/>
                <w:color w:val="auto"/>
                <w:kern w:val="28"/>
                <w:sz w:val="24"/>
                <w:highlight w:val="none"/>
              </w:rPr>
            </w:pPr>
            <w:r>
              <w:rPr>
                <w:rFonts w:hint="eastAsia" w:ascii="仿宋" w:hAnsi="仿宋" w:eastAsia="仿宋" w:cs="仿宋"/>
                <w:b/>
                <w:bCs/>
                <w:snapToGrid w:val="0"/>
                <w:color w:val="auto"/>
                <w:kern w:val="28"/>
                <w:sz w:val="24"/>
                <w:highlight w:val="none"/>
              </w:rPr>
              <w:t xml:space="preserve">1个；排名第一的中标候选人放弃中标、因不可抗力不能履行合同、不按照招标文件要求提交履约保证金担保，或者被查实存在影响中标结果的违法行为等情形，不符合中标条件的，招标人将重新招标。 </w:t>
            </w:r>
          </w:p>
        </w:tc>
      </w:tr>
      <w:tr w14:paraId="7E0E27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000000" w:sz="8" w:space="0"/>
              <w:left w:val="single" w:color="000000" w:sz="8" w:space="0"/>
              <w:bottom w:val="single" w:color="000000" w:sz="8" w:space="0"/>
              <w:right w:val="single" w:color="000000" w:sz="2" w:space="0"/>
            </w:tcBorders>
            <w:vAlign w:val="center"/>
          </w:tcPr>
          <w:p w14:paraId="002063AF">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3B90ABA6">
            <w:pPr>
              <w:spacing w:line="360" w:lineRule="auto"/>
              <w:ind w:firstLine="482"/>
              <w:rPr>
                <w:rFonts w:hint="eastAsia" w:ascii="仿宋" w:hAnsi="仿宋" w:eastAsia="仿宋" w:cs="仿宋"/>
                <w:b/>
                <w:bCs/>
                <w:snapToGrid w:val="0"/>
                <w:color w:val="auto"/>
                <w:kern w:val="28"/>
                <w:sz w:val="24"/>
                <w:highlight w:val="none"/>
              </w:rPr>
            </w:pPr>
            <w:r>
              <w:rPr>
                <w:rFonts w:hint="eastAsia" w:ascii="仿宋" w:hAnsi="仿宋" w:eastAsia="仿宋" w:cs="仿宋"/>
                <w:b/>
                <w:bCs/>
                <w:snapToGrid w:val="0"/>
                <w:color w:val="auto"/>
                <w:kern w:val="28"/>
                <w:sz w:val="24"/>
                <w:highlight w:val="none"/>
                <w:lang w:val="en-US" w:eastAsia="zh-CN"/>
              </w:rPr>
              <w:t>其他要求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E9FDD4A">
            <w:pPr>
              <w:spacing w:line="360" w:lineRule="auto"/>
              <w:ind w:firstLine="482"/>
              <w:rPr>
                <w:rFonts w:hint="eastAsia" w:ascii="仿宋" w:hAnsi="仿宋" w:eastAsia="仿宋" w:cs="仿宋"/>
                <w:b/>
                <w:bCs/>
                <w:snapToGrid w:val="0"/>
                <w:color w:val="auto"/>
                <w:kern w:val="28"/>
                <w:sz w:val="24"/>
                <w:highlight w:val="none"/>
              </w:rPr>
            </w:pPr>
            <w:r>
              <w:rPr>
                <w:rFonts w:hint="eastAsia" w:ascii="仿宋" w:hAnsi="仿宋" w:eastAsia="仿宋" w:cs="仿宋"/>
                <w:b/>
                <w:bCs/>
                <w:snapToGrid w:val="0"/>
                <w:color w:val="auto"/>
                <w:kern w:val="28"/>
                <w:sz w:val="24"/>
                <w:highlight w:val="none"/>
                <w:lang w:val="en-US" w:eastAsia="zh-CN"/>
              </w:rPr>
              <w:t>中标后提供承诺书和纸质版投标文件一式三份（正本一份红章版，副本二份，可为正本复印件），承诺书详见附件。</w:t>
            </w:r>
          </w:p>
        </w:tc>
      </w:tr>
      <w:tr w14:paraId="31BBA7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left w:val="single" w:color="000000" w:sz="8" w:space="0"/>
              <w:bottom w:val="single" w:color="auto" w:sz="4" w:space="0"/>
              <w:right w:val="single" w:color="000000" w:sz="2" w:space="0"/>
            </w:tcBorders>
            <w:vAlign w:val="center"/>
          </w:tcPr>
          <w:p w14:paraId="47949460">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w:t>
            </w:r>
          </w:p>
        </w:tc>
        <w:tc>
          <w:tcPr>
            <w:tcW w:w="7938" w:type="dxa"/>
            <w:gridSpan w:val="2"/>
            <w:tcBorders>
              <w:left w:val="single" w:color="000000" w:sz="2" w:space="0"/>
              <w:bottom w:val="single" w:color="000000" w:sz="8" w:space="0"/>
              <w:right w:val="single" w:color="000000" w:sz="8" w:space="0"/>
            </w:tcBorders>
            <w:vAlign w:val="center"/>
          </w:tcPr>
          <w:p w14:paraId="7EDEEF6A">
            <w:pPr>
              <w:pStyle w:val="156"/>
              <w:snapToGrid w:val="0"/>
              <w:spacing w:line="360" w:lineRule="exact"/>
              <w:ind w:firstLine="0" w:firstLineChars="0"/>
              <w:jc w:val="both"/>
              <w:rPr>
                <w:rFonts w:hint="eastAsia" w:ascii="仿宋" w:hAnsi="仿宋" w:eastAsia="仿宋" w:cs="仿宋"/>
                <w:color w:val="auto"/>
                <w:szCs w:val="24"/>
                <w:highlight w:val="none"/>
              </w:rPr>
            </w:pPr>
            <w:r>
              <w:rPr>
                <w:rFonts w:hint="eastAsia" w:ascii="仿宋" w:hAnsi="仿宋" w:eastAsia="仿宋" w:cs="仿宋"/>
                <w:b/>
                <w:bCs/>
                <w:color w:val="auto"/>
                <w:szCs w:val="24"/>
                <w:highlight w:val="none"/>
              </w:rPr>
              <w:t>招标服务费：本项目的招标代理费用由中标单位支付，代理费用付款按招标代理服务收费管理暂行办法-计价格[2002]1980号文件服务类收费标准计算，中标人在领取中标通知书前需向招标代理机构支付招标代理服务费，费用包含在总报价中，不单独列项报价。</w:t>
            </w:r>
          </w:p>
          <w:p w14:paraId="7FC14530">
            <w:pPr>
              <w:spacing w:line="360" w:lineRule="auto"/>
              <w:ind w:firstLine="482"/>
              <w:jc w:val="both"/>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中标服务费的交纳方式：以转帐或支票的形式支付，</w:t>
            </w:r>
          </w:p>
          <w:p w14:paraId="10B5DECD">
            <w:pPr>
              <w:spacing w:line="360" w:lineRule="auto"/>
              <w:ind w:firstLine="482"/>
              <w:jc w:val="both"/>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开户行名称：北京银行股份有限公司杭州临平支行；</w:t>
            </w:r>
          </w:p>
          <w:p w14:paraId="24561010">
            <w:pPr>
              <w:spacing w:line="360" w:lineRule="auto"/>
              <w:ind w:firstLine="482"/>
              <w:jc w:val="both"/>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帐号：20000055414700076213369；</w:t>
            </w:r>
          </w:p>
          <w:p w14:paraId="56525121">
            <w:pPr>
              <w:spacing w:line="360" w:lineRule="auto"/>
              <w:ind w:firstLine="482"/>
              <w:jc w:val="both"/>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收款单位：海标工程管理有限公司仓前分公司。</w:t>
            </w:r>
          </w:p>
        </w:tc>
      </w:tr>
    </w:tbl>
    <w:p w14:paraId="3E32DD53">
      <w:pPr>
        <w:snapToGrid w:val="0"/>
        <w:spacing w:line="360" w:lineRule="auto"/>
        <w:ind w:firstLine="482"/>
        <w:jc w:val="center"/>
        <w:rPr>
          <w:rFonts w:hint="eastAsia" w:ascii="仿宋" w:hAnsi="仿宋" w:eastAsia="仿宋" w:cs="仿宋"/>
          <w:b/>
          <w:color w:val="auto"/>
          <w:sz w:val="24"/>
          <w:highlight w:val="none"/>
        </w:rPr>
      </w:pPr>
    </w:p>
    <w:bookmarkEnd w:id="10"/>
    <w:p w14:paraId="02AA784E">
      <w:pPr>
        <w:adjustRightInd/>
        <w:spacing w:line="360" w:lineRule="auto"/>
        <w:ind w:firstLine="643"/>
        <w:jc w:val="center"/>
        <w:outlineLvl w:val="1"/>
        <w:rPr>
          <w:rFonts w:hint="eastAsia" w:ascii="仿宋" w:hAnsi="仿宋" w:eastAsia="仿宋" w:cs="仿宋"/>
          <w:b/>
          <w:color w:val="auto"/>
          <w:sz w:val="32"/>
          <w:szCs w:val="32"/>
          <w:highlight w:val="none"/>
        </w:rPr>
      </w:pPr>
      <w:bookmarkStart w:id="11" w:name="_Toc164416483"/>
      <w:bookmarkStart w:id="12" w:name="第三部分"/>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一、总则</w:t>
      </w:r>
    </w:p>
    <w:p w14:paraId="781976F9">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1920C854">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424B3203">
      <w:pPr>
        <w:adjustRightInd/>
        <w:spacing w:line="360" w:lineRule="auto"/>
        <w:ind w:firstLine="482"/>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0FF8BAD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771F73C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0FC65EB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74D00C3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5F31793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1559F5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7EA4BDE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2141025358"/>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系指适用本项目的要求，“</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 系指不适用本项目的要求。</w:t>
      </w:r>
    </w:p>
    <w:p w14:paraId="5C0AE4C7">
      <w:pPr>
        <w:spacing w:line="360" w:lineRule="auto"/>
        <w:ind w:firstLine="241" w:firstLineChars="100"/>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采购项目需要落实的政府采购政策</w:t>
      </w:r>
    </w:p>
    <w:p w14:paraId="2C7A1176">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5681CA04">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04456BBF">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87FA21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3CBFDA7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48D190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3F4DB8F">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0011941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DF0A48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36059CE0">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1CD2C5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4BE969B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7048D1F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74D10EC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7A7197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CC092E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5FBE4FC1">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4DB1E2C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19E8688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8803A0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3.4.3 采购人应当贯彻落实知识产权保护相关法律法规，应当采购使用正版软件。</w:t>
      </w:r>
    </w:p>
    <w:p w14:paraId="0F19E3E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58B225C6">
      <w:pPr>
        <w:spacing w:line="360" w:lineRule="auto"/>
        <w:ind w:firstLine="240" w:firstLineChars="100"/>
        <w:outlineLvl w:val="1"/>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询问、质疑、投诉、补偿救济</w:t>
      </w:r>
    </w:p>
    <w:p w14:paraId="6BA11609">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9C197B7">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4AF47091">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24BECE9">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58A1D54E">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4.3</w:t>
      </w:r>
      <w:r>
        <w:rPr>
          <w:rFonts w:hint="eastAsia" w:ascii="仿宋" w:hAnsi="仿宋" w:eastAsia="仿宋" w:cs="仿宋"/>
          <w:color w:val="auto"/>
          <w:sz w:val="24"/>
          <w:szCs w:val="24"/>
          <w:highlight w:val="none"/>
        </w:rPr>
        <w:t>.1提出质疑的供应商应当是参与所质疑项目采购活动的供应商。潜在供应商已依法获取其可质疑的招标文件的，可以对该文件提出质疑。</w:t>
      </w:r>
    </w:p>
    <w:p w14:paraId="77392F34">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4.3</w:t>
      </w:r>
      <w:r>
        <w:rPr>
          <w:rFonts w:hint="eastAsia" w:ascii="仿宋" w:hAnsi="仿宋" w:eastAsia="仿宋" w:cs="仿宋"/>
          <w:color w:val="auto"/>
          <w:sz w:val="24"/>
          <w:szCs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FEBEC9A">
      <w:pPr>
        <w:pStyle w:val="5"/>
        <w:spacing w:line="360" w:lineRule="auto"/>
        <w:ind w:firstLine="480" w:firstLineChars="20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4.3.2.1对招标文件提出质疑的，质疑期限为供应商获得招标文件之日或者招标文件公告期限届满之日起计算。</w:t>
      </w:r>
    </w:p>
    <w:p w14:paraId="371DD350">
      <w:pPr>
        <w:pStyle w:val="35"/>
        <w:spacing w:line="360" w:lineRule="auto"/>
        <w:ind w:left="479" w:leftChars="2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4.3.2.2对采购过程提出质疑的，质疑期限为各采购程序环节结束之日起计算。4.3.2.3对采购结果提出质疑的，质疑期限自采购结果公告期限届满之日起计算。</w:t>
      </w:r>
    </w:p>
    <w:p w14:paraId="10C75AA8">
      <w:pPr>
        <w:pStyle w:val="35"/>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w:t>
      </w:r>
      <w:r>
        <w:rPr>
          <w:rFonts w:hint="eastAsia" w:ascii="仿宋" w:hAnsi="仿宋" w:eastAsia="仿宋" w:cs="仿宋"/>
          <w:color w:val="auto"/>
          <w:sz w:val="24"/>
          <w:szCs w:val="24"/>
          <w:highlight w:val="none"/>
        </w:rPr>
        <w:t>供应商提出质疑应当提交质疑函和必要的证明材料。质疑函应当包括下列内容：</w:t>
      </w:r>
    </w:p>
    <w:p w14:paraId="6F74091C">
      <w:pPr>
        <w:pStyle w:val="35"/>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4.3.3.1供应商的姓名或者名称、地址、邮编、联系人及联系电话；</w:t>
      </w:r>
    </w:p>
    <w:p w14:paraId="6552541E">
      <w:pPr>
        <w:pStyle w:val="35"/>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4.3.3.2质疑项目的名称、编号；</w:t>
      </w:r>
    </w:p>
    <w:p w14:paraId="10A22208">
      <w:pPr>
        <w:pStyle w:val="35"/>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4.3.3.3具体、明确的质疑事项和与质疑事项相关的请求；</w:t>
      </w:r>
    </w:p>
    <w:p w14:paraId="757A2A39">
      <w:pPr>
        <w:pStyle w:val="35"/>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4.3.3.4事实依据；</w:t>
      </w:r>
    </w:p>
    <w:p w14:paraId="1CD0F507">
      <w:pPr>
        <w:pStyle w:val="35"/>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4.3.3.5必要的法律依据；</w:t>
      </w:r>
    </w:p>
    <w:p w14:paraId="3A570BFB">
      <w:pPr>
        <w:pStyle w:val="35"/>
        <w:spacing w:line="360" w:lineRule="auto"/>
        <w:ind w:firstLine="960" w:firstLineChars="4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4.3.3.6提出质疑的日期。</w:t>
      </w:r>
    </w:p>
    <w:p w14:paraId="42421C42">
      <w:pPr>
        <w:pStyle w:val="737"/>
        <w:shd w:val="clear" w:color="auto" w:fill="FFFFFF"/>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D432DCD">
      <w:pPr>
        <w:pStyle w:val="737"/>
        <w:shd w:val="clear" w:color="auto" w:fill="FFFFFF"/>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7BB6DF7C">
      <w:pPr>
        <w:pStyle w:val="737"/>
        <w:shd w:val="clear" w:color="auto" w:fill="FFFFFF"/>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6F34CD66">
      <w:pPr>
        <w:pStyle w:val="737"/>
        <w:shd w:val="clear" w:color="auto" w:fill="FFFFFF"/>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7B9C1BC">
      <w:pPr>
        <w:pStyle w:val="737"/>
        <w:shd w:val="clear" w:color="auto" w:fill="FFFFFF"/>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3F51D3F0">
      <w:pPr>
        <w:pStyle w:val="737"/>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38475431">
      <w:pPr>
        <w:pStyle w:val="737"/>
        <w:shd w:val="clear" w:color="auto" w:fill="FFFFFF"/>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274F818D">
      <w:pPr>
        <w:pStyle w:val="737"/>
        <w:shd w:val="clear" w:color="auto" w:fill="FFFFFF"/>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7E7E2BA7">
      <w:pPr>
        <w:pStyle w:val="737"/>
        <w:shd w:val="clear" w:color="auto" w:fill="FFFFFF"/>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47E2FC43">
      <w:pPr>
        <w:pStyle w:val="737"/>
        <w:shd w:val="clear" w:color="auto" w:fill="FFFFFF"/>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35BBB3F7">
      <w:pPr>
        <w:pStyle w:val="737"/>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0BFA8B8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 补偿救济</w:t>
      </w:r>
    </w:p>
    <w:p w14:paraId="72990965">
      <w:pPr>
        <w:pStyle w:val="737"/>
        <w:shd w:val="clear" w:color="auto" w:fill="FFFFFF"/>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采购人（行政机关）因政策变化、规划调整而不履行政府采购合同的，供应商可依据《杭州市涉企补偿救济实施办法（试行）》向采购人（行政机关）提起补偿申请。</w:t>
      </w:r>
    </w:p>
    <w:p w14:paraId="03496E95">
      <w:pPr>
        <w:pStyle w:val="737"/>
        <w:shd w:val="clear" w:color="auto" w:fill="FFFFFF"/>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2B7B69CD">
      <w:pPr>
        <w:adjustRightInd/>
        <w:spacing w:line="360" w:lineRule="auto"/>
        <w:ind w:firstLine="643"/>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二、招标文件的构成、澄清、修改</w:t>
      </w:r>
    </w:p>
    <w:p w14:paraId="4A3FE38E">
      <w:pPr>
        <w:pStyle w:val="35"/>
        <w:spacing w:line="360" w:lineRule="auto"/>
        <w:ind w:firstLine="482"/>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1D3829D3">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7D45B3EF">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2FCF7265">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1167BA55">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4CF1942A">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69462C44">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4B7C6187">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5.1.6应提交的有关格式范例。</w:t>
      </w:r>
    </w:p>
    <w:p w14:paraId="364D7DB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6E8307DB">
      <w:pPr>
        <w:pStyle w:val="35"/>
        <w:spacing w:line="360" w:lineRule="auto"/>
        <w:ind w:firstLine="482"/>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0C29E25A">
      <w:pPr>
        <w:pStyle w:val="156"/>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6.1已获取招标文件的潜在投标人，若有问题需要澄清，应于投标截止时间前，以书面形式向采购代理机构提出。</w:t>
      </w:r>
    </w:p>
    <w:p w14:paraId="6E556B68">
      <w:pPr>
        <w:pStyle w:val="156"/>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FBCC8F1">
      <w:pPr>
        <w:pStyle w:val="23"/>
        <w:rPr>
          <w:rFonts w:hint="eastAsia"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 xml:space="preserve">    </w:t>
      </w:r>
    </w:p>
    <w:p w14:paraId="4C2CD090">
      <w:pPr>
        <w:adjustRightInd/>
        <w:spacing w:line="360" w:lineRule="auto"/>
        <w:ind w:firstLine="643"/>
        <w:rPr>
          <w:rFonts w:hint="eastAsia" w:ascii="仿宋" w:hAnsi="仿宋" w:eastAsia="仿宋" w:cs="仿宋"/>
          <w:b/>
          <w:color w:val="auto"/>
          <w:sz w:val="32"/>
          <w:szCs w:val="32"/>
          <w:highlight w:val="none"/>
        </w:rPr>
      </w:pPr>
    </w:p>
    <w:p w14:paraId="239BB31F">
      <w:pPr>
        <w:adjustRightInd/>
        <w:spacing w:line="360" w:lineRule="auto"/>
        <w:ind w:firstLine="643"/>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三、投标</w:t>
      </w:r>
    </w:p>
    <w:p w14:paraId="5D4C401E">
      <w:pPr>
        <w:pStyle w:val="35"/>
        <w:spacing w:line="360" w:lineRule="auto"/>
        <w:ind w:firstLine="482"/>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5832C277">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4B83360D">
      <w:pPr>
        <w:pStyle w:val="35"/>
        <w:spacing w:line="360" w:lineRule="auto"/>
        <w:ind w:firstLine="482"/>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74994A31">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531B5DF4">
      <w:pPr>
        <w:pStyle w:val="35"/>
        <w:spacing w:line="360" w:lineRule="auto"/>
        <w:ind w:firstLine="482"/>
        <w:outlineLvl w:val="1"/>
        <w:rPr>
          <w:rFonts w:hint="eastAsia" w:ascii="仿宋" w:hAnsi="仿宋" w:eastAsia="仿宋" w:cs="仿宋"/>
          <w:b/>
          <w:color w:val="auto"/>
          <w:sz w:val="24"/>
          <w:szCs w:val="24"/>
          <w:highlight w:val="none"/>
        </w:rPr>
      </w:pPr>
      <w:r>
        <w:rPr>
          <w:rFonts w:hint="eastAsia" w:ascii="仿宋" w:hAnsi="仿宋" w:eastAsia="仿宋" w:cs="仿宋"/>
          <w:b/>
          <w:color w:val="auto"/>
          <w:kern w:val="28"/>
          <w:sz w:val="24"/>
          <w:szCs w:val="24"/>
          <w:highlight w:val="none"/>
        </w:rPr>
        <w:t>9.投标保证金</w:t>
      </w:r>
    </w:p>
    <w:p w14:paraId="1896E2D9">
      <w:pPr>
        <w:pStyle w:val="5"/>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本项目不需缴纳投标保证金。</w:t>
      </w:r>
    </w:p>
    <w:p w14:paraId="58B7F20A">
      <w:pPr>
        <w:pStyle w:val="35"/>
        <w:spacing w:line="360" w:lineRule="auto"/>
        <w:ind w:firstLine="482"/>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1F83FE07">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2FAC723C">
      <w:pPr>
        <w:pStyle w:val="35"/>
        <w:spacing w:line="360" w:lineRule="auto"/>
        <w:ind w:firstLine="482"/>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57663E9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78B685C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703AFAA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highlight w:val="none"/>
        </w:rPr>
        <w:t>联合协议（如果有)；</w:t>
      </w:r>
    </w:p>
    <w:p w14:paraId="06AE226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w:t>
      </w:r>
      <w:r>
        <w:rPr>
          <w:rFonts w:hint="eastAsia" w:ascii="仿宋" w:hAnsi="仿宋" w:eastAsia="仿宋" w:cs="仿宋"/>
          <w:b/>
          <w:bCs/>
          <w:color w:val="auto"/>
          <w:sz w:val="24"/>
          <w:highlight w:val="none"/>
        </w:rPr>
        <w:t>购政策需满足</w:t>
      </w:r>
      <w:r>
        <w:rPr>
          <w:rFonts w:hint="eastAsia" w:ascii="仿宋" w:hAnsi="仿宋" w:eastAsia="仿宋" w:cs="仿宋"/>
          <w:color w:val="auto"/>
          <w:sz w:val="24"/>
          <w:highlight w:val="none"/>
        </w:rPr>
        <w:t>的资格要求</w:t>
      </w:r>
      <w:r>
        <w:rPr>
          <w:rFonts w:hint="eastAsia" w:ascii="仿宋" w:hAnsi="仿宋" w:eastAsia="仿宋" w:cs="仿宋"/>
          <w:snapToGrid w:val="0"/>
          <w:color w:val="auto"/>
          <w:kern w:val="28"/>
          <w:sz w:val="24"/>
          <w:highlight w:val="none"/>
        </w:rPr>
        <w:t>（如果有)</w:t>
      </w:r>
      <w:r>
        <w:rPr>
          <w:rFonts w:hint="eastAsia" w:ascii="仿宋" w:hAnsi="仿宋" w:eastAsia="仿宋" w:cs="仿宋"/>
          <w:color w:val="auto"/>
          <w:sz w:val="24"/>
          <w:highlight w:val="none"/>
        </w:rPr>
        <w:t>；</w:t>
      </w:r>
    </w:p>
    <w:p w14:paraId="732E0837">
      <w:pPr>
        <w:snapToGrid w:val="0"/>
        <w:spacing w:line="360" w:lineRule="auto"/>
        <w:ind w:firstLine="960" w:firstLineChars="400"/>
        <w:rPr>
          <w:rFonts w:hint="eastAsia" w:ascii="仿宋" w:hAnsi="仿宋" w:eastAsia="仿宋" w:cs="仿宋"/>
          <w:b/>
          <w:bCs/>
          <w:snapToGrid w:val="0"/>
          <w:color w:val="auto"/>
          <w:kern w:val="28"/>
          <w:sz w:val="24"/>
          <w:highlight w:val="none"/>
        </w:rPr>
      </w:pPr>
      <w:r>
        <w:rPr>
          <w:rFonts w:hint="eastAsia" w:ascii="仿宋" w:hAnsi="仿宋" w:eastAsia="仿宋" w:cs="仿宋"/>
          <w:color w:val="auto"/>
          <w:sz w:val="24"/>
          <w:highlight w:val="none"/>
        </w:rPr>
        <w:t>11.1.4</w:t>
      </w:r>
      <w:r>
        <w:rPr>
          <w:rFonts w:hint="eastAsia" w:ascii="仿宋" w:hAnsi="仿宋" w:eastAsia="仿宋" w:cs="仿宋"/>
          <w:b/>
          <w:bCs/>
          <w:color w:val="auto"/>
          <w:sz w:val="24"/>
          <w:highlight w:val="none"/>
        </w:rPr>
        <w:t>本项目的特定资格要求</w:t>
      </w:r>
      <w:r>
        <w:rPr>
          <w:rFonts w:hint="eastAsia" w:ascii="仿宋" w:hAnsi="仿宋" w:eastAsia="仿宋" w:cs="仿宋"/>
          <w:b/>
          <w:bCs/>
          <w:snapToGrid w:val="0"/>
          <w:color w:val="auto"/>
          <w:kern w:val="28"/>
          <w:sz w:val="24"/>
          <w:highlight w:val="none"/>
        </w:rPr>
        <w:t>：根据司法通［2020］72号、浙财行[2018]32规定：承接政府购买人民调解服务的主体原则上应为依法登记成立，并经司法行政部门备案的具有从事纠纷调处条件的人民调解协会以及品牌人民调解工作室等社会组织，依法登记成立的社会组织是根据《民办非企业单位登记管理暂行条例》第二条、第三条规定。提供符合上述资格要求的证明材料。</w:t>
      </w:r>
    </w:p>
    <w:p w14:paraId="5ED71D97">
      <w:pPr>
        <w:pStyle w:val="2"/>
        <w:ind w:left="664" w:leftChars="316" w:firstLine="228" w:firstLineChars="95"/>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11.1.5</w:t>
      </w:r>
      <w:r>
        <w:rPr>
          <w:rFonts w:hint="eastAsia" w:ascii="仿宋" w:hAnsi="仿宋" w:eastAsia="仿宋" w:cs="仿宋"/>
          <w:b/>
          <w:bCs/>
          <w:color w:val="auto"/>
          <w:kern w:val="2"/>
          <w:sz w:val="24"/>
          <w:szCs w:val="24"/>
          <w:highlight w:val="none"/>
          <w:lang w:val="en-US" w:eastAsia="zh-CN" w:bidi="ar-SA"/>
        </w:rPr>
        <w:t>提供法人或者其他组织机构的营业执照（扫描件或复印件加盖公章）或事业法人登记证书或其他工商等登记证明材料。</w:t>
      </w:r>
    </w:p>
    <w:p w14:paraId="49F9CC04">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66F6566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7640C85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58C5CDA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highlight w:val="none"/>
        </w:rPr>
        <w:t>（如果有)</w:t>
      </w:r>
      <w:r>
        <w:rPr>
          <w:rFonts w:hint="eastAsia" w:ascii="仿宋" w:hAnsi="仿宋" w:eastAsia="仿宋" w:cs="仿宋"/>
          <w:color w:val="auto"/>
          <w:sz w:val="24"/>
          <w:highlight w:val="none"/>
        </w:rPr>
        <w:t>；</w:t>
      </w:r>
    </w:p>
    <w:p w14:paraId="3919FE7D">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30CC0E0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3A48C51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6E2DA28D">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3E34BBCE">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1C72FC5A">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57CD723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274F110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 报价情况说明；</w:t>
      </w:r>
    </w:p>
    <w:p w14:paraId="1B2397C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11.3.3中小企业声明函。</w:t>
      </w:r>
      <w:r>
        <w:rPr>
          <w:rFonts w:hint="eastAsia" w:ascii="仿宋" w:hAnsi="仿宋" w:eastAsia="仿宋" w:cs="仿宋"/>
          <w:snapToGrid w:val="0"/>
          <w:color w:val="auto"/>
          <w:kern w:val="28"/>
          <w:sz w:val="24"/>
          <w:highlight w:val="none"/>
        </w:rPr>
        <w:t>（如果有)</w:t>
      </w:r>
    </w:p>
    <w:p w14:paraId="5BC8FAE7">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77CA7BB0">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480C159E">
      <w:pPr>
        <w:pStyle w:val="82"/>
        <w:ind w:firstLine="723" w:firstLineChars="300"/>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投标人应对投标文件中材料的真实性、合法性负责。</w:t>
      </w:r>
    </w:p>
    <w:p w14:paraId="21BE611C">
      <w:pPr>
        <w:pStyle w:val="156"/>
        <w:snapToGrid w:val="0"/>
        <w:spacing w:before="0"/>
        <w:ind w:firstLine="0" w:firstLineChars="0"/>
        <w:outlineLvl w:val="1"/>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6ED8E602">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346054E">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6A6A5BB">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97C6F9F">
      <w:pPr>
        <w:snapToGrid w:val="0"/>
        <w:spacing w:line="360" w:lineRule="auto"/>
        <w:ind w:firstLine="482"/>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02B98BC4">
      <w:pPr>
        <w:pStyle w:val="156"/>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13.1投标文件按照招标文件第六部分格式要求进行签署、盖章。</w:t>
      </w:r>
      <w:r>
        <w:rPr>
          <w:rFonts w:hint="eastAsia" w:ascii="仿宋" w:hAnsi="仿宋" w:eastAsia="仿宋" w:cs="仿宋"/>
          <w:b/>
          <w:color w:val="auto"/>
          <w:szCs w:val="24"/>
          <w:highlight w:val="none"/>
        </w:rPr>
        <w:t>▲投标人的投标文件未按照招标文件要求签署、盖章的，其投标无效</w:t>
      </w:r>
      <w:r>
        <w:rPr>
          <w:rFonts w:hint="eastAsia" w:ascii="仿宋" w:hAnsi="仿宋" w:eastAsia="仿宋" w:cs="仿宋"/>
          <w:color w:val="auto"/>
          <w:szCs w:val="24"/>
          <w:highlight w:val="none"/>
        </w:rPr>
        <w:t>。</w:t>
      </w:r>
    </w:p>
    <w:p w14:paraId="46B2B611">
      <w:pPr>
        <w:pStyle w:val="156"/>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13.2为确保网上操作合法、有效和安全，投标人应当在投标截止时间前完成在“政府采购云平台”的身份认证，确保在电子投标过程中能够对相关数据电文进行加密和使用电子签名。</w:t>
      </w:r>
    </w:p>
    <w:p w14:paraId="3DADF8B2">
      <w:pPr>
        <w:pStyle w:val="156"/>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13.3招标文件对投标文件签署、盖章的要求适用于电子签名。</w:t>
      </w:r>
    </w:p>
    <w:p w14:paraId="0F347870">
      <w:pPr>
        <w:pStyle w:val="156"/>
        <w:spacing w:before="0"/>
        <w:ind w:firstLine="0" w:firstLineChars="0"/>
        <w:outlineLvl w:val="1"/>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7B654855">
      <w:pPr>
        <w:pStyle w:val="156"/>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5EC6A0F">
      <w:pPr>
        <w:pStyle w:val="15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7D5F6FB">
      <w:pPr>
        <w:pStyle w:val="15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B055A5A">
      <w:pPr>
        <w:pStyle w:val="35"/>
        <w:spacing w:line="360" w:lineRule="auto"/>
        <w:ind w:firstLine="482"/>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4D4E74F8">
      <w:pPr>
        <w:pStyle w:val="35"/>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15.1投标人在电子交易平台传输递交投标文件后，还可以在投标截止时间前半小时内以快递方式或直接递交备份投标文件1份至X，</w:t>
      </w:r>
      <w:r>
        <w:rPr>
          <w:rFonts w:hint="eastAsia" w:ascii="仿宋" w:hAnsi="仿宋" w:eastAsia="仿宋" w:cs="仿宋"/>
          <w:b/>
          <w:color w:val="auto"/>
          <w:sz w:val="24"/>
          <w:szCs w:val="24"/>
          <w:highlight w:val="none"/>
        </w:rPr>
        <w:t>但采购人、采购代理机构不强制或变相强制投标人提交备份投标文件。</w:t>
      </w:r>
    </w:p>
    <w:p w14:paraId="205970AB">
      <w:pPr>
        <w:pStyle w:val="35"/>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szCs w:val="24"/>
          <w:highlight w:val="none"/>
        </w:rPr>
        <w:t>不符合上述制作、存储、密封规定的备份投标文件将被视为无效或者被拒绝接收。</w:t>
      </w:r>
    </w:p>
    <w:p w14:paraId="72F81F5B">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03E4F4D7">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551EC56A">
      <w:pPr>
        <w:pStyle w:val="35"/>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70051B77">
      <w:pPr>
        <w:pStyle w:val="156"/>
        <w:spacing w:before="0"/>
        <w:ind w:firstLine="0" w:firstLineChars="0"/>
        <w:outlineLvl w:val="1"/>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545851F3">
      <w:pPr>
        <w:pStyle w:val="26"/>
        <w:spacing w:line="360" w:lineRule="auto"/>
        <w:ind w:firstLine="360" w:firstLineChars="150"/>
        <w:rPr>
          <w:rFonts w:hint="eastAsia" w:ascii="仿宋" w:hAnsi="仿宋" w:eastAsia="仿宋" w:cs="仿宋"/>
          <w:color w:val="auto"/>
          <w:highlight w:val="none"/>
        </w:rPr>
      </w:pPr>
      <w:r>
        <w:rPr>
          <w:rFonts w:hint="eastAsia" w:ascii="仿宋" w:hAnsi="仿宋" w:eastAsia="仿宋" w:cs="仿宋"/>
          <w:color w:val="auto"/>
          <w:highlight w:val="none"/>
        </w:rPr>
        <w:t>有招标文件第四部分4.2规定的情形之一的，投标无效：</w:t>
      </w:r>
    </w:p>
    <w:p w14:paraId="4575F0C4">
      <w:pPr>
        <w:pStyle w:val="156"/>
        <w:spacing w:before="0"/>
        <w:ind w:firstLine="0" w:firstLineChars="0"/>
        <w:outlineLvl w:val="1"/>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434CC385">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17.1投标有效期为从提交投标文件的截止之日起90天。▲</w:t>
      </w:r>
      <w:r>
        <w:rPr>
          <w:rFonts w:hint="eastAsia" w:ascii="仿宋" w:hAnsi="仿宋" w:eastAsia="仿宋" w:cs="仿宋"/>
          <w:b/>
          <w:color w:val="auto"/>
          <w:sz w:val="24"/>
          <w:highlight w:val="none"/>
        </w:rPr>
        <w:t>投标人的投标文件中承诺的投标有效期少于招标文件中载明的投标有效期的，投标无效。</w:t>
      </w:r>
    </w:p>
    <w:p w14:paraId="2881E258">
      <w:pPr>
        <w:pStyle w:val="15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17.2投标文件合格投递后，自投标截止日期起，在投标有效期内有效。</w:t>
      </w:r>
    </w:p>
    <w:p w14:paraId="3EEE10E0">
      <w:pPr>
        <w:pStyle w:val="15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CD3A7F2">
      <w:pPr>
        <w:pStyle w:val="156"/>
        <w:spacing w:before="0"/>
        <w:ind w:firstLine="482"/>
        <w:rPr>
          <w:rFonts w:hint="eastAsia" w:ascii="仿宋" w:hAnsi="仿宋" w:eastAsia="仿宋" w:cs="仿宋"/>
          <w:b/>
          <w:color w:val="auto"/>
          <w:szCs w:val="24"/>
          <w:highlight w:val="none"/>
        </w:rPr>
      </w:pPr>
    </w:p>
    <w:p w14:paraId="6FF200E0">
      <w:pPr>
        <w:pStyle w:val="156"/>
        <w:spacing w:before="0"/>
        <w:ind w:firstLine="0" w:firstLineChars="0"/>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四、开标、资格审查与信用信息查询</w:t>
      </w:r>
    </w:p>
    <w:p w14:paraId="10109FB1">
      <w:pPr>
        <w:pStyle w:val="696"/>
        <w:spacing w:before="0" w:line="360" w:lineRule="auto"/>
        <w:ind w:left="0" w:firstLine="241" w:firstLineChars="100"/>
        <w:contextualSpacing/>
        <w:outlineLvl w:val="1"/>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szCs w:val="24"/>
          <w:highlight w:val="none"/>
        </w:rPr>
        <w:t xml:space="preserve"> </w:t>
      </w:r>
    </w:p>
    <w:p w14:paraId="7255AB20">
      <w:pPr>
        <w:pStyle w:val="696"/>
        <w:spacing w:before="0" w:line="360" w:lineRule="auto"/>
        <w:ind w:left="0"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18.1采购代理机构按照招标文件规定的时间通过电子交易平台组织开标，所有投标人均应当准时在线参加。投标人不足3家的，不得开标。</w:t>
      </w:r>
    </w:p>
    <w:p w14:paraId="4EB17997">
      <w:pPr>
        <w:pStyle w:val="696"/>
        <w:spacing w:before="0" w:line="360" w:lineRule="auto"/>
        <w:ind w:left="0" w:firstLine="240" w:firstLineChars="1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3880777D">
      <w:pPr>
        <w:pStyle w:val="696"/>
        <w:spacing w:before="0" w:line="360" w:lineRule="auto"/>
        <w:ind w:left="0" w:firstLine="240" w:firstLineChars="100"/>
        <w:contextualSpacing/>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18.3</w:t>
      </w:r>
      <w:r>
        <w:rPr>
          <w:rFonts w:hint="eastAsia" w:ascii="仿宋" w:hAnsi="仿宋" w:eastAsia="仿宋" w:cs="仿宋"/>
          <w:b/>
          <w:color w:val="auto"/>
          <w:sz w:val="24"/>
          <w:szCs w:val="24"/>
          <w:highlight w:val="none"/>
        </w:rPr>
        <w:t>投标文件未按时解密，投标人提供了备份投标文件的，以备份投标文件作为依据，否则视为投标文件撤回。投标文件已按时解密的，备份投标文件自动失效。</w:t>
      </w:r>
    </w:p>
    <w:p w14:paraId="79ACA095">
      <w:pPr>
        <w:widowControl/>
        <w:spacing w:before="100" w:beforeAutospacing="1" w:after="240" w:line="360" w:lineRule="auto"/>
        <w:ind w:firstLine="482"/>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19、资格审查</w:t>
      </w:r>
    </w:p>
    <w:p w14:paraId="460A0B1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采购人或采购代理机构依据法律法规和招标文件的规定，对投标人的资格进行审查。</w:t>
      </w:r>
    </w:p>
    <w:p w14:paraId="17118909">
      <w:pPr>
        <w:pStyle w:val="156"/>
        <w:spacing w:before="0"/>
        <w:ind w:firstLine="48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szCs w:val="24"/>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szCs w:val="24"/>
          <w:highlight w:val="none"/>
        </w:rPr>
        <w:t>投标人不具备招标文件中规定的资格要求，其投标无效。</w:t>
      </w:r>
    </w:p>
    <w:p w14:paraId="7D94BD76">
      <w:pPr>
        <w:pStyle w:val="156"/>
        <w:spacing w:before="0"/>
        <w:ind w:firstLine="48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szCs w:val="24"/>
          <w:highlight w:val="none"/>
        </w:rPr>
        <w:t>3对未通过资格审查的投标人，采购人或采购代理机构告知其未通过的原因。</w:t>
      </w:r>
    </w:p>
    <w:p w14:paraId="1D4C84F1">
      <w:pPr>
        <w:pStyle w:val="156"/>
        <w:spacing w:before="0"/>
        <w:ind w:firstLine="48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szCs w:val="24"/>
          <w:highlight w:val="none"/>
        </w:rPr>
        <w:t>4合格投标人不足3家的，不再评标。</w:t>
      </w:r>
    </w:p>
    <w:p w14:paraId="4EACB6DD">
      <w:pPr>
        <w:pStyle w:val="156"/>
        <w:spacing w:before="0"/>
        <w:ind w:firstLine="0" w:firstLineChars="0"/>
        <w:outlineLvl w:val="1"/>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70C66CCE">
      <w:pPr>
        <w:pStyle w:val="156"/>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65CA5366">
      <w:pPr>
        <w:pStyle w:val="156"/>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407F6A3C">
      <w:pPr>
        <w:pStyle w:val="156"/>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E79DD55">
      <w:pPr>
        <w:pStyle w:val="156"/>
        <w:spacing w:before="0"/>
        <w:ind w:firstLine="48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szCs w:val="24"/>
          <w:highlight w:val="none"/>
        </w:rPr>
        <w:t>。</w:t>
      </w:r>
    </w:p>
    <w:p w14:paraId="5538A061">
      <w:pPr>
        <w:pStyle w:val="156"/>
        <w:spacing w:before="0"/>
        <w:ind w:firstLine="480"/>
        <w:rPr>
          <w:rFonts w:hint="eastAsia" w:ascii="仿宋" w:hAnsi="仿宋" w:eastAsia="仿宋" w:cs="仿宋"/>
          <w:color w:val="auto"/>
          <w:szCs w:val="24"/>
          <w:highlight w:val="none"/>
        </w:rPr>
      </w:pPr>
    </w:p>
    <w:p w14:paraId="2008E48C">
      <w:pPr>
        <w:snapToGrid w:val="0"/>
        <w:spacing w:line="360" w:lineRule="auto"/>
        <w:ind w:firstLine="643"/>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五、评标</w:t>
      </w:r>
    </w:p>
    <w:p w14:paraId="0624AA21">
      <w:pPr>
        <w:spacing w:line="360" w:lineRule="auto"/>
        <w:ind w:firstLine="482"/>
        <w:rPr>
          <w:rFonts w:hint="eastAsia" w:ascii="仿宋" w:hAnsi="仿宋" w:eastAsia="仿宋" w:cs="仿宋"/>
          <w:b/>
          <w:color w:val="auto"/>
          <w:sz w:val="32"/>
          <w:szCs w:val="32"/>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399EF67C">
      <w:pPr>
        <w:snapToGrid w:val="0"/>
        <w:spacing w:line="360" w:lineRule="auto"/>
        <w:ind w:firstLine="643"/>
        <w:jc w:val="center"/>
        <w:rPr>
          <w:rFonts w:hint="eastAsia" w:ascii="仿宋" w:hAnsi="仿宋" w:eastAsia="仿宋" w:cs="仿宋"/>
          <w:b/>
          <w:color w:val="auto"/>
          <w:sz w:val="32"/>
          <w:szCs w:val="32"/>
          <w:highlight w:val="none"/>
        </w:rPr>
      </w:pPr>
    </w:p>
    <w:p w14:paraId="3FE14A49">
      <w:pPr>
        <w:snapToGrid w:val="0"/>
        <w:spacing w:line="360" w:lineRule="auto"/>
        <w:ind w:firstLine="643"/>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六、定 标</w:t>
      </w:r>
    </w:p>
    <w:p w14:paraId="351D0287">
      <w:pPr>
        <w:pStyle w:val="26"/>
        <w:spacing w:line="360" w:lineRule="auto"/>
        <w:ind w:left="479" w:hanging="479" w:hangingChars="199"/>
        <w:outlineLvl w:val="1"/>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28B444BA">
      <w:pPr>
        <w:pStyle w:val="156"/>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7E679F5A">
      <w:pPr>
        <w:pStyle w:val="156"/>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07FB34D2">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1055EC74">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color w:val="auto"/>
          <w:sz w:val="24"/>
          <w:highlight w:val="none"/>
        </w:rPr>
        <w:t>资格审查情况、评审专家抽取规则、符合性审查情况、</w:t>
      </w:r>
      <w:bookmarkEnd w:id="14"/>
      <w:r>
        <w:rPr>
          <w:rFonts w:hint="eastAsia" w:ascii="仿宋" w:hAnsi="仿宋" w:eastAsia="仿宋" w:cs="仿宋"/>
          <w:color w:val="auto"/>
          <w:sz w:val="24"/>
          <w:highlight w:val="none"/>
        </w:rPr>
        <w:t>未中标情况说明、中标公告期限以及评审专家名单、评分汇总及明细。</w:t>
      </w:r>
    </w:p>
    <w:p w14:paraId="1B3FB075">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43EF9EA6">
      <w:pPr>
        <w:snapToGrid w:val="0"/>
        <w:spacing w:line="360" w:lineRule="auto"/>
        <w:ind w:left="120" w:leftChars="57" w:firstLine="360" w:firstLineChars="15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23.4 由于中标、成交供应商原因导致重新采购的，应当承担支付代理费和专家评审费等费用在内的赔偿责任。</w:t>
      </w:r>
    </w:p>
    <w:p w14:paraId="06927F14">
      <w:pPr>
        <w:snapToGrid w:val="0"/>
        <w:spacing w:line="360" w:lineRule="auto"/>
        <w:ind w:firstLine="643"/>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七、合同授予</w:t>
      </w:r>
    </w:p>
    <w:p w14:paraId="6929FB21">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5744B59C">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1E633510">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264A324">
      <w:pPr>
        <w:pStyle w:val="156"/>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A1015A1">
      <w:pPr>
        <w:pStyle w:val="156"/>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25.3如签订合同并生效后，供应商无故拒绝或延期，除按照合同条款处理外，列入不良行为记录一次，并给予通报。</w:t>
      </w:r>
    </w:p>
    <w:p w14:paraId="6C2FC184">
      <w:pPr>
        <w:pStyle w:val="156"/>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25.4中标供应商拒绝与采购人签订合同的，采购人可以按照评审报告推荐的中标或者成交候选人名单排序，确定下一候选人为中标供应商，也可以重新开展政府采购活动。</w:t>
      </w:r>
    </w:p>
    <w:p w14:paraId="0721F15C">
      <w:pPr>
        <w:pStyle w:val="156"/>
        <w:snapToGrid w:val="0"/>
        <w:spacing w:before="0" w:after="12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25.5采购合同由采购人与中标供应商根据招标文件、投标文件等内容通过政府采购电子交易平台在线签订，自动备案。</w:t>
      </w:r>
    </w:p>
    <w:p w14:paraId="7E4DBCE2">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17A8ABB5">
      <w:pPr>
        <w:tabs>
          <w:tab w:val="left" w:pos="0"/>
        </w:tabs>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132D233">
      <w:pPr>
        <w:keepNext/>
        <w:keepLines/>
        <w:tabs>
          <w:tab w:val="left" w:pos="432"/>
        </w:tabs>
        <w:adjustRightInd/>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47C98D9C">
      <w:pPr>
        <w:pStyle w:val="2"/>
        <w:ind w:left="431"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27.预付款</w:t>
      </w:r>
    </w:p>
    <w:p w14:paraId="049E13AF">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snapToGrid w:val="0"/>
          <w:color w:val="auto"/>
          <w:kern w:val="28"/>
          <w:sz w:val="24"/>
          <w:highlight w:val="none"/>
        </w:rPr>
        <w:t>95763</w:t>
      </w:r>
      <w:r>
        <w:rPr>
          <w:rFonts w:hint="eastAsia" w:ascii="仿宋" w:hAnsi="仿宋" w:eastAsia="仿宋" w:cs="仿宋"/>
          <w:color w:val="auto"/>
          <w:sz w:val="24"/>
          <w:highlight w:val="none"/>
        </w:rPr>
        <w:t>。</w:t>
      </w:r>
    </w:p>
    <w:p w14:paraId="74FF4981">
      <w:pPr>
        <w:snapToGrid w:val="0"/>
        <w:spacing w:line="360" w:lineRule="auto"/>
        <w:ind w:firstLine="643"/>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八、电子交易活动的中止</w:t>
      </w:r>
    </w:p>
    <w:p w14:paraId="3B3262BB">
      <w:pPr>
        <w:pStyle w:val="156"/>
        <w:snapToGrid w:val="0"/>
        <w:spacing w:before="0"/>
        <w:ind w:firstLine="0" w:firstLineChars="0"/>
        <w:outlineLvl w:val="1"/>
        <w:rPr>
          <w:rFonts w:hint="eastAsia" w:ascii="仿宋" w:hAnsi="仿宋" w:eastAsia="仿宋" w:cs="仿宋"/>
          <w:color w:val="auto"/>
          <w:szCs w:val="24"/>
          <w:highlight w:val="none"/>
        </w:rPr>
      </w:pPr>
      <w:r>
        <w:rPr>
          <w:rFonts w:hint="eastAsia" w:ascii="仿宋" w:hAnsi="仿宋" w:eastAsia="仿宋" w:cs="仿宋"/>
          <w:b/>
          <w:bCs/>
          <w:color w:val="auto"/>
          <w:szCs w:val="24"/>
          <w:highlight w:val="none"/>
        </w:rPr>
        <w:t>28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szCs w:val="24"/>
          <w:highlight w:val="none"/>
        </w:rPr>
        <w:t>采购过程中出现以下情形，导致电子交易平台无法正常运行，或者无法保证电子交易的公平、公正和安全时，采购代理机构可中止电子交易活动：</w:t>
      </w:r>
    </w:p>
    <w:p w14:paraId="2F173F95">
      <w:pPr>
        <w:pStyle w:val="156"/>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28.1电子交易平台发生故障而无法登录访问的； </w:t>
      </w:r>
    </w:p>
    <w:p w14:paraId="283307A5">
      <w:pPr>
        <w:pStyle w:val="156"/>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28.2电子交易平台应用或数据库出现错误，不能进行正常操作的；</w:t>
      </w:r>
    </w:p>
    <w:p w14:paraId="56208AF5">
      <w:pPr>
        <w:pStyle w:val="156"/>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28.3电子交易平台发现严重安全漏洞，有潜在泄密危险的；</w:t>
      </w:r>
    </w:p>
    <w:p w14:paraId="341797EE">
      <w:pPr>
        <w:pStyle w:val="156"/>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28.4病毒发作导致不能进行正常操作的； </w:t>
      </w:r>
    </w:p>
    <w:p w14:paraId="3B26AE99">
      <w:pPr>
        <w:pStyle w:val="156"/>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28.5其他无法保证电子交易的公平、公正和安全的情况。</w:t>
      </w:r>
    </w:p>
    <w:p w14:paraId="2BB60D4B">
      <w:pPr>
        <w:pStyle w:val="156"/>
        <w:snapToGrid w:val="0"/>
        <w:spacing w:before="0"/>
        <w:ind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AA9A518">
      <w:pPr>
        <w:snapToGrid w:val="0"/>
        <w:spacing w:line="360" w:lineRule="auto"/>
        <w:ind w:firstLine="643"/>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九、验收</w:t>
      </w:r>
    </w:p>
    <w:p w14:paraId="3F4BB75F">
      <w:pPr>
        <w:pStyle w:val="26"/>
        <w:spacing w:line="360" w:lineRule="auto"/>
        <w:ind w:firstLine="0" w:firstLineChars="0"/>
        <w:outlineLvl w:val="1"/>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4C18D3F0">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2214E57">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59E11CD9">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EE45126">
      <w:pPr>
        <w:tabs>
          <w:tab w:val="left" w:pos="0"/>
        </w:tabs>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2F37EC7C">
      <w:pPr>
        <w:tabs>
          <w:tab w:val="left" w:pos="0"/>
        </w:tabs>
        <w:spacing w:line="360" w:lineRule="auto"/>
        <w:ind w:firstLine="480"/>
        <w:rPr>
          <w:rFonts w:hint="eastAsia" w:ascii="仿宋" w:hAnsi="仿宋" w:eastAsia="仿宋" w:cs="仿宋"/>
          <w:color w:val="auto"/>
          <w:kern w:val="0"/>
          <w:sz w:val="24"/>
          <w:highlight w:val="none"/>
        </w:rPr>
      </w:pPr>
      <w:bookmarkStart w:id="15" w:name="_Hlt74714665"/>
      <w:bookmarkEnd w:id="15"/>
      <w:bookmarkStart w:id="16" w:name="_Hlt75236011"/>
      <w:bookmarkEnd w:id="16"/>
      <w:bookmarkStart w:id="17" w:name="_Hlt74729768"/>
      <w:bookmarkEnd w:id="17"/>
      <w:bookmarkStart w:id="18" w:name="_Hlt68072998"/>
      <w:bookmarkEnd w:id="18"/>
      <w:bookmarkStart w:id="19" w:name="_Hlt68073093"/>
      <w:bookmarkEnd w:id="19"/>
      <w:bookmarkStart w:id="20" w:name="_Hlt68403820"/>
      <w:bookmarkEnd w:id="20"/>
      <w:bookmarkStart w:id="21" w:name="_Hlt74707468"/>
      <w:bookmarkEnd w:id="21"/>
      <w:bookmarkStart w:id="22" w:name="_Hlt75236101"/>
      <w:bookmarkEnd w:id="22"/>
      <w:bookmarkStart w:id="23" w:name="_Hlt75236290"/>
      <w:bookmarkEnd w:id="23"/>
      <w:bookmarkStart w:id="24" w:name="_Hlt68057669"/>
      <w:bookmarkEnd w:id="24"/>
      <w:bookmarkStart w:id="25" w:name="_Hlt68072990"/>
      <w:bookmarkEnd w:id="25"/>
      <w:bookmarkStart w:id="26" w:name="_Hlt74730295"/>
      <w:bookmarkEnd w:id="26"/>
    </w:p>
    <w:p w14:paraId="44D1B359">
      <w:pPr>
        <w:pStyle w:val="82"/>
        <w:ind w:firstLine="480"/>
        <w:rPr>
          <w:rFonts w:hint="eastAsia" w:ascii="仿宋" w:hAnsi="仿宋" w:eastAsia="仿宋" w:cs="仿宋"/>
          <w:color w:val="auto"/>
          <w:sz w:val="24"/>
          <w:szCs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r>
        <w:rPr>
          <w:rFonts w:hint="eastAsia" w:ascii="仿宋" w:hAnsi="仿宋" w:eastAsia="仿宋" w:cs="仿宋"/>
          <w:color w:val="auto"/>
          <w:sz w:val="24"/>
          <w:szCs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14:paraId="1F0427F8">
      <w:pPr>
        <w:spacing w:line="360" w:lineRule="auto"/>
        <w:ind w:firstLine="643"/>
        <w:jc w:val="center"/>
        <w:outlineLvl w:val="0"/>
        <w:rPr>
          <w:rFonts w:hint="eastAsia" w:ascii="仿宋" w:hAnsi="仿宋" w:eastAsia="仿宋" w:cs="仿宋"/>
          <w:b/>
          <w:color w:val="auto"/>
          <w:sz w:val="32"/>
          <w:szCs w:val="32"/>
          <w:highlight w:val="none"/>
        </w:rPr>
      </w:pPr>
      <w:bookmarkStart w:id="27" w:name="第四部分"/>
      <w:r>
        <w:rPr>
          <w:rFonts w:hint="eastAsia" w:ascii="仿宋" w:hAnsi="仿宋" w:eastAsia="仿宋" w:cs="仿宋"/>
          <w:b/>
          <w:color w:val="auto"/>
          <w:sz w:val="32"/>
          <w:szCs w:val="32"/>
          <w:highlight w:val="none"/>
        </w:rPr>
        <w:t>第三部分   采购需求</w:t>
      </w:r>
    </w:p>
    <w:p w14:paraId="3B1ADCA9">
      <w:pPr>
        <w:numPr>
          <w:ilvl w:val="0"/>
          <w:numId w:val="1"/>
        </w:numPr>
        <w:adjustRightInd w:val="0"/>
        <w:spacing w:line="480" w:lineRule="auto"/>
        <w:ind w:firstLine="48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项目背景</w:t>
      </w:r>
    </w:p>
    <w:p w14:paraId="6FD1E859">
      <w:pPr>
        <w:pStyle w:val="974"/>
        <w:spacing w:line="360" w:lineRule="auto"/>
        <w:ind w:firstLine="480" w:firstLineChars="20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根据杭州市以及区委全面实施“抓源促治、强基固本”行动要求，从全国范围内引进更加优质的调解组织，提升调解组织参与该项目</w:t>
      </w:r>
      <w:r>
        <w:rPr>
          <w:rFonts w:hint="eastAsia" w:ascii="仿宋" w:hAnsi="仿宋" w:eastAsia="仿宋" w:cs="仿宋"/>
          <w:bCs/>
          <w:color w:val="auto"/>
          <w:szCs w:val="24"/>
          <w:highlight w:val="none"/>
          <w:lang w:val="en-US" w:eastAsia="zh-CN"/>
        </w:rPr>
        <w:t>的</w:t>
      </w:r>
      <w:r>
        <w:rPr>
          <w:rFonts w:hint="eastAsia" w:ascii="仿宋" w:hAnsi="仿宋" w:eastAsia="仿宋" w:cs="仿宋"/>
          <w:bCs/>
          <w:color w:val="auto"/>
          <w:szCs w:val="24"/>
          <w:highlight w:val="none"/>
        </w:rPr>
        <w:t>积极性，有针对性落实人民调解强基固本工作举措，有效发挥人民调解化解矛盾纠纷第一道防线作用。202</w:t>
      </w:r>
      <w:r>
        <w:rPr>
          <w:rFonts w:hint="eastAsia" w:ascii="仿宋" w:hAnsi="仿宋" w:eastAsia="仿宋" w:cs="仿宋"/>
          <w:bCs/>
          <w:color w:val="auto"/>
          <w:szCs w:val="24"/>
          <w:highlight w:val="none"/>
          <w:lang w:val="en-US" w:eastAsia="zh-CN"/>
        </w:rPr>
        <w:t>5</w:t>
      </w:r>
      <w:r>
        <w:rPr>
          <w:rFonts w:hint="eastAsia" w:ascii="仿宋" w:hAnsi="仿宋" w:eastAsia="仿宋" w:cs="仿宋"/>
          <w:bCs/>
          <w:color w:val="auto"/>
          <w:szCs w:val="24"/>
          <w:highlight w:val="none"/>
        </w:rPr>
        <w:t>年区级人民调解案件化解服务为余杭区人民调解委员会派驻余杭区矛调中心以及良渚、瓶窑、余杭分中心和交通事故处理中心等具体服务地区工作室提供人民调解服务及相关工作，具体服务地区根据采购人实际工作情况进行补充或者调整</w:t>
      </w:r>
      <w:r>
        <w:rPr>
          <w:rFonts w:hint="eastAsia" w:ascii="仿宋" w:hAnsi="仿宋" w:eastAsia="仿宋" w:cs="仿宋"/>
          <w:bCs/>
          <w:color w:val="auto"/>
          <w:szCs w:val="24"/>
          <w:highlight w:val="none"/>
          <w:lang w:eastAsia="zh-CN"/>
        </w:rPr>
        <w:t>，调解</w:t>
      </w:r>
      <w:r>
        <w:rPr>
          <w:rFonts w:hint="eastAsia" w:ascii="仿宋" w:hAnsi="仿宋" w:eastAsia="仿宋" w:cs="仿宋"/>
          <w:bCs/>
          <w:color w:val="auto"/>
          <w:szCs w:val="24"/>
          <w:highlight w:val="none"/>
        </w:rPr>
        <w:t>当事人自愿申请和有关单位委托委派移送的适合调解的矛盾纠纷。</w:t>
      </w:r>
    </w:p>
    <w:p w14:paraId="6698939A">
      <w:pPr>
        <w:numPr>
          <w:ilvl w:val="0"/>
          <w:numId w:val="0"/>
        </w:numPr>
        <w:adjustRightInd w:val="0"/>
        <w:spacing w:line="360" w:lineRule="auto"/>
        <w:ind w:left="480" w:firstLine="0"/>
        <w:rPr>
          <w:rFonts w:hint="eastAsia" w:ascii="仿宋" w:hAnsi="仿宋" w:eastAsia="仿宋" w:cs="仿宋"/>
          <w:b/>
          <w:bCs/>
          <w:color w:val="auto"/>
          <w:sz w:val="24"/>
          <w:szCs w:val="24"/>
          <w:highlight w:val="none"/>
          <w:lang w:val="en-US"/>
        </w:rPr>
      </w:pPr>
      <w:r>
        <w:rPr>
          <w:rFonts w:hint="eastAsia" w:ascii="仿宋" w:hAnsi="仿宋" w:eastAsia="仿宋" w:cs="仿宋"/>
          <w:b/>
          <w:bCs/>
          <w:color w:val="auto"/>
          <w:sz w:val="24"/>
          <w:szCs w:val="24"/>
          <w:highlight w:val="none"/>
          <w:lang w:val="en-US" w:eastAsia="zh-CN"/>
        </w:rPr>
        <w:t>采购</w:t>
      </w:r>
      <w:r>
        <w:rPr>
          <w:rFonts w:hint="eastAsia" w:ascii="仿宋" w:hAnsi="仿宋" w:eastAsia="仿宋" w:cs="仿宋"/>
          <w:b/>
          <w:bCs/>
          <w:color w:val="auto"/>
          <w:sz w:val="24"/>
          <w:szCs w:val="24"/>
          <w:highlight w:val="none"/>
          <w:lang w:val="en-US"/>
        </w:rPr>
        <w:t>内容</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5364"/>
        <w:gridCol w:w="1674"/>
      </w:tblGrid>
      <w:tr w14:paraId="5C442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61" w:type="dxa"/>
            <w:tcBorders>
              <w:left w:val="single" w:color="auto" w:sz="4" w:space="0"/>
              <w:right w:val="single" w:color="auto" w:sz="4" w:space="0"/>
            </w:tcBorders>
            <w:noWrap w:val="0"/>
            <w:vAlign w:val="center"/>
          </w:tcPr>
          <w:p w14:paraId="5CE3C576">
            <w:pPr>
              <w:widowControl w:val="0"/>
              <w:jc w:val="center"/>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val="en-US" w:eastAsia="zh-CN"/>
              </w:rPr>
              <w:t>序号</w:t>
            </w:r>
          </w:p>
        </w:tc>
        <w:tc>
          <w:tcPr>
            <w:tcW w:w="5364" w:type="dxa"/>
            <w:tcBorders>
              <w:left w:val="single" w:color="auto" w:sz="4" w:space="0"/>
              <w:right w:val="single" w:color="auto" w:sz="4" w:space="0"/>
            </w:tcBorders>
            <w:noWrap w:val="0"/>
            <w:vAlign w:val="center"/>
          </w:tcPr>
          <w:p w14:paraId="2445DB0F">
            <w:pPr>
              <w:widowControl w:val="0"/>
              <w:jc w:val="center"/>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采购</w:t>
            </w:r>
            <w:r>
              <w:rPr>
                <w:rFonts w:hint="eastAsia" w:ascii="仿宋" w:hAnsi="仿宋" w:eastAsia="仿宋" w:cs="仿宋"/>
                <w:b/>
                <w:bCs/>
                <w:color w:val="auto"/>
                <w:highlight w:val="none"/>
              </w:rPr>
              <w:t>内容</w:t>
            </w:r>
          </w:p>
        </w:tc>
        <w:tc>
          <w:tcPr>
            <w:tcW w:w="1674" w:type="dxa"/>
            <w:tcBorders>
              <w:left w:val="single" w:color="auto" w:sz="4" w:space="0"/>
              <w:right w:val="single" w:color="auto" w:sz="4" w:space="0"/>
            </w:tcBorders>
            <w:noWrap w:val="0"/>
            <w:vAlign w:val="center"/>
          </w:tcPr>
          <w:p w14:paraId="0E82C37D">
            <w:pPr>
              <w:widowControl w:val="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预算金额</w:t>
            </w:r>
          </w:p>
        </w:tc>
      </w:tr>
      <w:tr w14:paraId="5CEBE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61" w:type="dxa"/>
            <w:tcBorders>
              <w:left w:val="single" w:color="auto" w:sz="4" w:space="0"/>
              <w:right w:val="single" w:color="auto" w:sz="4" w:space="0"/>
            </w:tcBorders>
            <w:noWrap w:val="0"/>
            <w:vAlign w:val="center"/>
          </w:tcPr>
          <w:p w14:paraId="1B99B61A">
            <w:pPr>
              <w:widowControl w:val="0"/>
              <w:jc w:val="center"/>
              <w:rPr>
                <w:rFonts w:hint="eastAsia" w:ascii="仿宋" w:hAnsi="仿宋" w:eastAsia="仿宋" w:cs="仿宋"/>
                <w:color w:val="auto"/>
                <w:highlight w:val="none"/>
                <w:lang w:val="en-US"/>
              </w:rPr>
            </w:pPr>
            <w:r>
              <w:rPr>
                <w:rFonts w:hint="eastAsia" w:ascii="仿宋" w:hAnsi="仿宋" w:eastAsia="仿宋" w:cs="仿宋"/>
                <w:color w:val="auto"/>
                <w:highlight w:val="none"/>
              </w:rPr>
              <w:t>一</w:t>
            </w:r>
          </w:p>
        </w:tc>
        <w:tc>
          <w:tcPr>
            <w:tcW w:w="5364" w:type="dxa"/>
            <w:tcBorders>
              <w:left w:val="single" w:color="auto" w:sz="4" w:space="0"/>
              <w:right w:val="single" w:color="auto" w:sz="4" w:space="0"/>
            </w:tcBorders>
            <w:noWrap w:val="0"/>
            <w:vAlign w:val="center"/>
          </w:tcPr>
          <w:p w14:paraId="05EC2DE2">
            <w:pPr>
              <w:pStyle w:val="156"/>
              <w:shd w:val="clear" w:color="auto" w:fill="FFFFFF"/>
              <w:spacing w:line="360" w:lineRule="auto"/>
              <w:ind w:firstLine="0" w:firstLineChars="0"/>
              <w:outlineLvl w:val="2"/>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bidi="ar-SA"/>
              </w:rPr>
              <w:t>区人民调解委员会派驻（区中心、瓶窑分中心、</w:t>
            </w:r>
            <w:r>
              <w:rPr>
                <w:rFonts w:hint="eastAsia" w:ascii="仿宋" w:hAnsi="仿宋" w:eastAsia="仿宋" w:cs="仿宋"/>
                <w:b/>
                <w:color w:val="auto"/>
                <w:kern w:val="0"/>
                <w:sz w:val="24"/>
                <w:szCs w:val="24"/>
                <w:highlight w:val="none"/>
                <w:lang w:eastAsia="zh-CN"/>
              </w:rPr>
              <w:t>良渚、余杭分中心、</w:t>
            </w:r>
            <w:r>
              <w:rPr>
                <w:rFonts w:hint="eastAsia" w:ascii="仿宋" w:hAnsi="仿宋" w:eastAsia="仿宋" w:cs="仿宋"/>
                <w:b/>
                <w:color w:val="auto"/>
                <w:kern w:val="0"/>
                <w:sz w:val="24"/>
                <w:szCs w:val="24"/>
                <w:highlight w:val="none"/>
                <w:lang w:val="en-US" w:eastAsia="zh-CN" w:bidi="ar-SA"/>
              </w:rPr>
              <w:t>交通事故分中心等）工作室</w:t>
            </w:r>
          </w:p>
        </w:tc>
        <w:tc>
          <w:tcPr>
            <w:tcW w:w="1674" w:type="dxa"/>
            <w:tcBorders>
              <w:left w:val="single" w:color="auto" w:sz="4" w:space="0"/>
              <w:right w:val="single" w:color="auto" w:sz="4" w:space="0"/>
            </w:tcBorders>
            <w:noWrap w:val="0"/>
            <w:vAlign w:val="center"/>
          </w:tcPr>
          <w:p w14:paraId="7067814E">
            <w:pPr>
              <w:widowControl w:val="0"/>
              <w:jc w:val="center"/>
              <w:rPr>
                <w:rFonts w:hint="eastAsia" w:ascii="仿宋" w:hAnsi="仿宋" w:eastAsia="仿宋" w:cs="仿宋"/>
                <w:color w:val="auto"/>
                <w:highlight w:val="none"/>
                <w:lang w:val="en-US"/>
              </w:rPr>
            </w:pPr>
            <w:r>
              <w:rPr>
                <w:rFonts w:hint="eastAsia" w:ascii="仿宋" w:hAnsi="仿宋" w:eastAsia="仿宋" w:cs="仿宋"/>
                <w:b/>
                <w:bCs/>
                <w:color w:val="auto"/>
                <w:highlight w:val="none"/>
                <w:lang w:val="en-US" w:eastAsia="zh-CN"/>
              </w:rPr>
              <w:t>288</w:t>
            </w:r>
            <w:r>
              <w:rPr>
                <w:rFonts w:hint="eastAsia" w:ascii="仿宋" w:hAnsi="仿宋" w:eastAsia="仿宋" w:cs="仿宋"/>
                <w:b/>
                <w:bCs/>
                <w:color w:val="auto"/>
                <w:highlight w:val="none"/>
                <w:lang w:val="en-US"/>
              </w:rPr>
              <w:t>万元</w:t>
            </w:r>
          </w:p>
        </w:tc>
      </w:tr>
    </w:tbl>
    <w:p w14:paraId="384ADDEE">
      <w:pPr>
        <w:pStyle w:val="2"/>
        <w:tabs>
          <w:tab w:val="left" w:pos="706"/>
          <w:tab w:val="clear" w:pos="432"/>
        </w:tabs>
        <w:ind w:left="0" w:firstLine="482"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二、采购金额/最高单价限价</w:t>
      </w:r>
    </w:p>
    <w:p w14:paraId="0B3C5D9E">
      <w:pPr>
        <w:snapToGrid w:val="0"/>
        <w:spacing w:line="312"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该项目一年采购预算</w:t>
      </w:r>
      <w:r>
        <w:rPr>
          <w:rFonts w:hint="eastAsia" w:ascii="仿宋" w:hAnsi="仿宋" w:eastAsia="仿宋" w:cs="仿宋"/>
          <w:color w:val="auto"/>
          <w:sz w:val="24"/>
          <w:highlight w:val="none"/>
          <w:lang w:val="en-US" w:eastAsia="zh-CN"/>
        </w:rPr>
        <w:t>288</w:t>
      </w:r>
      <w:r>
        <w:rPr>
          <w:rFonts w:hint="eastAsia" w:ascii="仿宋" w:hAnsi="仿宋" w:eastAsia="仿宋" w:cs="仿宋"/>
          <w:color w:val="auto"/>
          <w:sz w:val="24"/>
          <w:highlight w:val="none"/>
        </w:rPr>
        <w:t>万元，项目预算/限价：调解成功不形成卷宗仅有协议</w:t>
      </w:r>
      <w:r>
        <w:rPr>
          <w:rFonts w:hint="eastAsia" w:ascii="仿宋" w:hAnsi="仿宋" w:eastAsia="仿宋" w:cs="仿宋"/>
          <w:color w:val="auto"/>
          <w:sz w:val="24"/>
          <w:highlight w:val="none"/>
          <w:lang w:eastAsia="zh-CN"/>
        </w:rPr>
        <w:t>型不超过</w:t>
      </w:r>
      <w:r>
        <w:rPr>
          <w:rFonts w:hint="eastAsia" w:ascii="仿宋" w:hAnsi="仿宋" w:eastAsia="仿宋" w:cs="仿宋"/>
          <w:color w:val="auto"/>
          <w:sz w:val="24"/>
          <w:highlight w:val="none"/>
        </w:rPr>
        <w:t>300元/件</w:t>
      </w:r>
      <w:r>
        <w:rPr>
          <w:rFonts w:hint="eastAsia" w:ascii="仿宋" w:hAnsi="仿宋" w:eastAsia="仿宋" w:cs="仿宋"/>
          <w:color w:val="auto"/>
          <w:sz w:val="24"/>
          <w:highlight w:val="none"/>
          <w:lang w:eastAsia="zh-CN"/>
        </w:rPr>
        <w:t>；</w:t>
      </w:r>
      <w:r>
        <w:rPr>
          <w:rFonts w:hint="eastAsia" w:ascii="仿宋" w:hAnsi="仿宋" w:eastAsia="仿宋" w:cs="仿宋"/>
          <w:b w:val="0"/>
          <w:color w:val="auto"/>
          <w:sz w:val="24"/>
          <w:highlight w:val="none"/>
        </w:rPr>
        <w:t>调解成功并形成调解案卷</w:t>
      </w:r>
      <w:r>
        <w:rPr>
          <w:rFonts w:hint="eastAsia" w:ascii="仿宋" w:hAnsi="仿宋" w:eastAsia="仿宋" w:cs="仿宋"/>
          <w:color w:val="auto"/>
          <w:sz w:val="24"/>
          <w:highlight w:val="none"/>
        </w:rPr>
        <w:t>一般型不超过550元/件</w:t>
      </w:r>
      <w:r>
        <w:rPr>
          <w:rFonts w:hint="eastAsia" w:ascii="仿宋" w:hAnsi="仿宋" w:eastAsia="仿宋" w:cs="仿宋"/>
          <w:color w:val="auto"/>
          <w:sz w:val="24"/>
          <w:highlight w:val="none"/>
          <w:lang w:eastAsia="zh-CN"/>
        </w:rPr>
        <w:t>（一般型纠纷：</w:t>
      </w:r>
      <w:r>
        <w:rPr>
          <w:rFonts w:hint="eastAsia" w:ascii="仿宋" w:hAnsi="仿宋" w:eastAsia="仿宋" w:cs="仿宋"/>
          <w:color w:val="auto"/>
          <w:sz w:val="24"/>
          <w:highlight w:val="none"/>
        </w:rPr>
        <w:t>赔补偿</w:t>
      </w:r>
      <w:r>
        <w:rPr>
          <w:rFonts w:hint="eastAsia" w:ascii="仿宋" w:hAnsi="仿宋" w:eastAsia="仿宋" w:cs="仿宋"/>
          <w:color w:val="auto"/>
          <w:sz w:val="24"/>
          <w:highlight w:val="none"/>
          <w:lang w:eastAsia="zh-CN"/>
        </w:rPr>
        <w:t>低于</w:t>
      </w:r>
      <w:r>
        <w:rPr>
          <w:rFonts w:hint="eastAsia" w:ascii="仿宋" w:hAnsi="仿宋" w:eastAsia="仿宋" w:cs="仿宋"/>
          <w:color w:val="auto"/>
          <w:sz w:val="24"/>
          <w:highlight w:val="none"/>
        </w:rPr>
        <w:t>20万</w:t>
      </w:r>
      <w:r>
        <w:rPr>
          <w:rFonts w:hint="eastAsia" w:ascii="仿宋" w:hAnsi="仿宋" w:eastAsia="仿宋" w:cs="仿宋"/>
          <w:color w:val="auto"/>
          <w:sz w:val="24"/>
          <w:highlight w:val="none"/>
          <w:lang w:eastAsia="zh-CN"/>
        </w:rPr>
        <w:t>元</w:t>
      </w:r>
      <w:r>
        <w:rPr>
          <w:rFonts w:hint="eastAsia" w:ascii="仿宋" w:hAnsi="仿宋" w:eastAsia="仿宋" w:cs="仿宋"/>
          <w:color w:val="auto"/>
          <w:sz w:val="24"/>
          <w:highlight w:val="none"/>
        </w:rPr>
        <w:t>、涉案标的</w:t>
      </w:r>
      <w:r>
        <w:rPr>
          <w:rFonts w:hint="eastAsia" w:ascii="仿宋" w:hAnsi="仿宋" w:eastAsia="仿宋" w:cs="仿宋"/>
          <w:color w:val="auto"/>
          <w:sz w:val="24"/>
          <w:highlight w:val="none"/>
          <w:lang w:eastAsia="zh-CN"/>
        </w:rPr>
        <w:t>低于</w:t>
      </w:r>
      <w:r>
        <w:rPr>
          <w:rFonts w:hint="eastAsia" w:ascii="仿宋" w:hAnsi="仿宋" w:eastAsia="仿宋" w:cs="仿宋"/>
          <w:color w:val="auto"/>
          <w:sz w:val="24"/>
          <w:highlight w:val="none"/>
        </w:rPr>
        <w:t>100万</w:t>
      </w:r>
      <w:r>
        <w:rPr>
          <w:rFonts w:hint="eastAsia" w:ascii="仿宋" w:hAnsi="仿宋" w:eastAsia="仿宋" w:cs="仿宋"/>
          <w:color w:val="auto"/>
          <w:sz w:val="24"/>
          <w:highlight w:val="none"/>
          <w:lang w:eastAsia="zh-CN"/>
        </w:rPr>
        <w:t>元</w:t>
      </w:r>
      <w:r>
        <w:rPr>
          <w:rFonts w:hint="eastAsia" w:ascii="仿宋" w:hAnsi="仿宋" w:eastAsia="仿宋" w:cs="仿宋"/>
          <w:color w:val="auto"/>
          <w:sz w:val="24"/>
          <w:highlight w:val="none"/>
        </w:rPr>
        <w:t>等其他</w:t>
      </w:r>
      <w:r>
        <w:rPr>
          <w:rFonts w:hint="eastAsia" w:ascii="仿宋" w:hAnsi="仿宋" w:eastAsia="仿宋" w:cs="仿宋"/>
          <w:color w:val="auto"/>
          <w:sz w:val="24"/>
          <w:highlight w:val="none"/>
          <w:lang w:eastAsia="zh-CN"/>
        </w:rPr>
        <w:t>一般</w:t>
      </w:r>
      <w:r>
        <w:rPr>
          <w:rFonts w:hint="eastAsia" w:ascii="仿宋" w:hAnsi="仿宋" w:eastAsia="仿宋" w:cs="仿宋"/>
          <w:color w:val="auto"/>
          <w:sz w:val="24"/>
          <w:highlight w:val="none"/>
        </w:rPr>
        <w:t>纠纷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；调解成功并形成调解案卷疑难型不超过1500元/件（</w:t>
      </w:r>
      <w:r>
        <w:rPr>
          <w:rFonts w:hint="eastAsia" w:ascii="仿宋" w:hAnsi="仿宋" w:eastAsia="仿宋" w:cs="仿宋"/>
          <w:color w:val="auto"/>
          <w:sz w:val="24"/>
          <w:highlight w:val="none"/>
          <w:lang w:eastAsia="zh-CN"/>
        </w:rPr>
        <w:t>疑难型纠纷：</w:t>
      </w:r>
      <w:r>
        <w:rPr>
          <w:rFonts w:hint="eastAsia" w:ascii="仿宋" w:hAnsi="仿宋" w:eastAsia="仿宋" w:cs="仿宋"/>
          <w:color w:val="auto"/>
          <w:sz w:val="24"/>
          <w:highlight w:val="none"/>
        </w:rPr>
        <w:t>赔补偿20万</w:t>
      </w:r>
      <w:r>
        <w:rPr>
          <w:rFonts w:hint="eastAsia" w:ascii="仿宋" w:hAnsi="仿宋" w:eastAsia="仿宋" w:cs="仿宋"/>
          <w:color w:val="auto"/>
          <w:sz w:val="24"/>
          <w:highlight w:val="none"/>
          <w:lang w:eastAsia="zh-CN"/>
        </w:rPr>
        <w:t>元</w:t>
      </w:r>
      <w:r>
        <w:rPr>
          <w:rFonts w:hint="eastAsia" w:ascii="仿宋" w:hAnsi="仿宋" w:eastAsia="仿宋" w:cs="仿宋"/>
          <w:color w:val="auto"/>
          <w:sz w:val="24"/>
          <w:highlight w:val="none"/>
        </w:rPr>
        <w:t>以上、涉案标的100万</w:t>
      </w:r>
      <w:r>
        <w:rPr>
          <w:rFonts w:hint="eastAsia" w:ascii="仿宋" w:hAnsi="仿宋" w:eastAsia="仿宋" w:cs="仿宋"/>
          <w:color w:val="auto"/>
          <w:sz w:val="24"/>
          <w:highlight w:val="none"/>
          <w:lang w:eastAsia="zh-CN"/>
        </w:rPr>
        <w:t>元</w:t>
      </w:r>
      <w:r>
        <w:rPr>
          <w:rFonts w:hint="eastAsia" w:ascii="仿宋" w:hAnsi="仿宋" w:eastAsia="仿宋" w:cs="仿宋"/>
          <w:color w:val="auto"/>
          <w:sz w:val="24"/>
          <w:highlight w:val="none"/>
        </w:rPr>
        <w:t>及以上或5人至10人群体性纠纷等其他疑难纠纷）；</w:t>
      </w:r>
      <w:r>
        <w:rPr>
          <w:rFonts w:hint="eastAsia" w:ascii="仿宋" w:hAnsi="仿宋" w:eastAsia="仿宋" w:cs="仿宋"/>
          <w:b w:val="0"/>
          <w:color w:val="auto"/>
          <w:sz w:val="24"/>
          <w:highlight w:val="none"/>
        </w:rPr>
        <w:t>调解成功并形成调解案卷</w:t>
      </w:r>
      <w:r>
        <w:rPr>
          <w:rFonts w:hint="eastAsia" w:ascii="仿宋" w:hAnsi="仿宋" w:eastAsia="仿宋" w:cs="仿宋"/>
          <w:color w:val="auto"/>
          <w:sz w:val="24"/>
          <w:highlight w:val="none"/>
        </w:rPr>
        <w:t>重大型不超过3000元/件</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eastAsia="zh-CN"/>
        </w:rPr>
        <w:t>重大</w:t>
      </w:r>
      <w:r>
        <w:rPr>
          <w:rFonts w:hint="eastAsia" w:ascii="仿宋" w:hAnsi="仿宋" w:eastAsia="仿宋" w:cs="仿宋"/>
          <w:b w:val="0"/>
          <w:bCs w:val="0"/>
          <w:color w:val="auto"/>
          <w:sz w:val="24"/>
          <w:highlight w:val="none"/>
        </w:rPr>
        <w:t>型纠纷：亡人或涉案标的500万元及以上或10人及以上群体性及其他重大纠纷）；其他</w:t>
      </w:r>
      <w:r>
        <w:rPr>
          <w:rFonts w:hint="eastAsia" w:ascii="仿宋" w:hAnsi="仿宋" w:eastAsia="仿宋" w:cs="仿宋"/>
          <w:b w:val="0"/>
          <w:bCs w:val="0"/>
          <w:color w:val="auto"/>
          <w:sz w:val="24"/>
          <w:highlight w:val="none"/>
          <w:lang w:eastAsia="zh-CN"/>
        </w:rPr>
        <w:t>调解不成功</w:t>
      </w:r>
      <w:r>
        <w:rPr>
          <w:rFonts w:hint="eastAsia" w:ascii="仿宋" w:hAnsi="仿宋" w:eastAsia="仿宋" w:cs="仿宋"/>
          <w:b w:val="0"/>
          <w:bCs w:val="0"/>
          <w:color w:val="auto"/>
          <w:sz w:val="24"/>
          <w:highlight w:val="none"/>
        </w:rPr>
        <w:t>案件录入</w:t>
      </w:r>
      <w:r>
        <w:rPr>
          <w:rFonts w:hint="eastAsia" w:ascii="仿宋" w:hAnsi="仿宋" w:eastAsia="仿宋" w:cs="仿宋"/>
          <w:b w:val="0"/>
          <w:bCs w:val="0"/>
          <w:color w:val="auto"/>
          <w:sz w:val="24"/>
          <w:highlight w:val="none"/>
          <w:lang w:eastAsia="zh-CN"/>
        </w:rPr>
        <w:t>“浙里调解”</w:t>
      </w:r>
      <w:r>
        <w:rPr>
          <w:rFonts w:hint="eastAsia" w:ascii="仿宋" w:hAnsi="仿宋" w:eastAsia="仿宋" w:cs="仿宋"/>
          <w:b w:val="0"/>
          <w:bCs w:val="0"/>
          <w:color w:val="auto"/>
          <w:sz w:val="24"/>
          <w:highlight w:val="none"/>
        </w:rPr>
        <w:t>平台的不超过20元/件。</w:t>
      </w:r>
    </w:p>
    <w:p w14:paraId="41F77D41">
      <w:pPr>
        <w:pStyle w:val="2"/>
        <w:tabs>
          <w:tab w:val="left" w:pos="706"/>
          <w:tab w:val="clear" w:pos="432"/>
        </w:tabs>
        <w:ind w:left="0" w:firstLine="482"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三、服务目标</w:t>
      </w:r>
    </w:p>
    <w:p w14:paraId="7CA5C2FE">
      <w:pPr>
        <w:pStyle w:val="974"/>
        <w:spacing w:line="360" w:lineRule="auto"/>
        <w:ind w:firstLine="480" w:firstLineChars="20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依法依规开展矛盾纠纷调解工作，纳入人民调解范围的案件，无论调解是否成功，都需记录在案。调解成功的，案件按照要求完成归档工作；调解不成功的，详细记录有关情况并引导当事人通过其他合法途径解决纠纷。</w:t>
      </w:r>
    </w:p>
    <w:p w14:paraId="379BE862">
      <w:pPr>
        <w:pStyle w:val="974"/>
        <w:spacing w:line="360" w:lineRule="auto"/>
        <w:ind w:firstLine="470" w:firstLineChars="196"/>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根据采购单位纳入人民调解受理调解范围的案件，由中标单位依据约定服务类型和相关调解规定开展调解工作，调解成功数量约</w:t>
      </w:r>
      <w:r>
        <w:rPr>
          <w:rFonts w:hint="eastAsia" w:ascii="仿宋" w:hAnsi="仿宋" w:eastAsia="仿宋" w:cs="仿宋"/>
          <w:bCs/>
          <w:color w:val="auto"/>
          <w:szCs w:val="24"/>
          <w:highlight w:val="none"/>
          <w:lang w:val="en-US" w:eastAsia="zh-CN"/>
        </w:rPr>
        <w:t>4050</w:t>
      </w:r>
      <w:r>
        <w:rPr>
          <w:rFonts w:hint="eastAsia" w:ascii="仿宋" w:hAnsi="仿宋" w:eastAsia="仿宋" w:cs="仿宋"/>
          <w:bCs/>
          <w:color w:val="auto"/>
          <w:szCs w:val="24"/>
          <w:highlight w:val="none"/>
        </w:rPr>
        <w:t>件。</w:t>
      </w:r>
    </w:p>
    <w:p w14:paraId="527C75B4">
      <w:pPr>
        <w:pStyle w:val="974"/>
        <w:spacing w:line="360" w:lineRule="auto"/>
        <w:ind w:firstLine="480" w:firstLineChars="20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受理案件调解记录达到</w:t>
      </w:r>
      <w:r>
        <w:rPr>
          <w:rFonts w:hint="eastAsia" w:ascii="仿宋" w:hAnsi="仿宋" w:eastAsia="仿宋" w:cs="仿宋"/>
          <w:bCs/>
          <w:color w:val="auto"/>
          <w:szCs w:val="24"/>
          <w:highlight w:val="none"/>
          <w:lang w:val="en-US"/>
        </w:rPr>
        <w:t>100%</w:t>
      </w:r>
      <w:r>
        <w:rPr>
          <w:rFonts w:hint="eastAsia" w:ascii="仿宋" w:hAnsi="仿宋" w:eastAsia="仿宋" w:cs="仿宋"/>
          <w:bCs/>
          <w:color w:val="auto"/>
          <w:szCs w:val="24"/>
          <w:highlight w:val="none"/>
        </w:rPr>
        <w:t>、调解成功率不低于</w:t>
      </w:r>
      <w:r>
        <w:rPr>
          <w:rFonts w:hint="eastAsia" w:ascii="仿宋" w:hAnsi="仿宋" w:eastAsia="仿宋" w:cs="仿宋"/>
          <w:bCs/>
          <w:color w:val="auto"/>
          <w:szCs w:val="24"/>
          <w:highlight w:val="none"/>
          <w:lang w:val="en-US"/>
        </w:rPr>
        <w:t>50</w:t>
      </w:r>
      <w:r>
        <w:rPr>
          <w:rFonts w:hint="eastAsia" w:ascii="仿宋" w:hAnsi="仿宋" w:eastAsia="仿宋" w:cs="仿宋"/>
          <w:bCs/>
          <w:color w:val="auto"/>
          <w:szCs w:val="24"/>
          <w:highlight w:val="none"/>
        </w:rPr>
        <w:t>%、调解履行率不低于</w:t>
      </w:r>
      <w:r>
        <w:rPr>
          <w:rFonts w:hint="eastAsia" w:ascii="仿宋" w:hAnsi="仿宋" w:eastAsia="仿宋" w:cs="仿宋"/>
          <w:bCs/>
          <w:color w:val="auto"/>
          <w:szCs w:val="24"/>
          <w:highlight w:val="none"/>
          <w:lang w:val="en-US"/>
        </w:rPr>
        <w:t>50%</w:t>
      </w:r>
      <w:r>
        <w:rPr>
          <w:rFonts w:hint="eastAsia" w:ascii="仿宋" w:hAnsi="仿宋" w:eastAsia="仿宋" w:cs="仿宋"/>
          <w:bCs/>
          <w:color w:val="auto"/>
          <w:szCs w:val="24"/>
          <w:highlight w:val="none"/>
        </w:rPr>
        <w:t>、投诉率低于</w:t>
      </w:r>
      <w:r>
        <w:rPr>
          <w:rFonts w:hint="eastAsia" w:ascii="仿宋" w:hAnsi="仿宋" w:eastAsia="仿宋" w:cs="仿宋"/>
          <w:bCs/>
          <w:color w:val="auto"/>
          <w:szCs w:val="24"/>
          <w:highlight w:val="none"/>
          <w:lang w:val="en-US"/>
        </w:rPr>
        <w:t>2</w:t>
      </w:r>
      <w:r>
        <w:rPr>
          <w:rFonts w:hint="eastAsia" w:ascii="仿宋" w:hAnsi="仿宋" w:eastAsia="仿宋" w:cs="仿宋"/>
          <w:bCs/>
          <w:color w:val="auto"/>
          <w:szCs w:val="24"/>
          <w:highlight w:val="none"/>
        </w:rPr>
        <w:t>%。</w:t>
      </w:r>
    </w:p>
    <w:p w14:paraId="6105F7B1">
      <w:pPr>
        <w:pStyle w:val="2"/>
        <w:tabs>
          <w:tab w:val="left" w:pos="706"/>
          <w:tab w:val="clear" w:pos="432"/>
        </w:tabs>
        <w:ind w:left="420" w:leftChars="200" w:firstLine="0" w:firstLineChars="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zh-TW"/>
        </w:rPr>
        <w:t>四、合同履约期限</w:t>
      </w:r>
      <w:r>
        <w:rPr>
          <w:rFonts w:hint="eastAsia" w:ascii="仿宋" w:hAnsi="仿宋" w:eastAsia="仿宋" w:cs="仿宋"/>
          <w:color w:val="auto"/>
          <w:sz w:val="24"/>
          <w:szCs w:val="24"/>
          <w:highlight w:val="none"/>
          <w:lang w:val="en-US"/>
        </w:rPr>
        <w:t>：</w:t>
      </w:r>
    </w:p>
    <w:p w14:paraId="3CCDCC1F">
      <w:pPr>
        <w:pStyle w:val="2"/>
        <w:tabs>
          <w:tab w:val="left" w:pos="706"/>
          <w:tab w:val="clear" w:pos="432"/>
        </w:tabs>
        <w:ind w:left="420" w:leftChars="200" w:firstLine="482"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服务期一年即12个月，服务期满或预算金额已用完为止。</w:t>
      </w:r>
    </w:p>
    <w:p w14:paraId="3CD4EBB3">
      <w:pPr>
        <w:pStyle w:val="2"/>
        <w:tabs>
          <w:tab w:val="left" w:pos="706"/>
          <w:tab w:val="clear" w:pos="432"/>
        </w:tabs>
        <w:ind w:left="0" w:firstLine="482"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五、调解要求</w:t>
      </w:r>
    </w:p>
    <w:p w14:paraId="34B6E86B">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1、根据程序开展人民调解工作。调解过程、当事人信息不得公开；调查、调解记录条理清楚；调解协议书制作合法合理规范；无违反法律法规公序良俗条款。</w:t>
      </w:r>
    </w:p>
    <w:p w14:paraId="499F8911">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kern w:val="0"/>
          <w:sz w:val="24"/>
          <w:highlight w:val="none"/>
          <w:lang w:val="zh-CN"/>
        </w:rPr>
        <w:t>提供人民调解标准化服务。严格</w:t>
      </w:r>
      <w:r>
        <w:rPr>
          <w:rFonts w:hint="eastAsia" w:ascii="仿宋" w:hAnsi="仿宋" w:eastAsia="仿宋" w:cs="仿宋"/>
          <w:color w:val="auto"/>
          <w:sz w:val="24"/>
          <w:highlight w:val="none"/>
        </w:rPr>
        <w:t>按照人民调解法、人民调解工作规范等规定开展调解工作，应着统一制服、佩带工作证、热情礼貌接待当事人。</w:t>
      </w:r>
    </w:p>
    <w:p w14:paraId="70E8B4C4">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开展矛盾纠纷数据归集工作。在“浙里调解”平台完成所有矛盾纠纷采集、纠纷审核、登记受理、调解准备、调解实施、结案归档、案件评定、履行回访等工作，1个工作日完成纠纷采集，3个工作日内完成纠纷审核，1个月内做好结案归档，特殊情况经申请同意可延长1个月。</w:t>
      </w:r>
    </w:p>
    <w:p w14:paraId="1373C66E">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4、开展协调专家调处指导工作。充分发挥调解组织自身作用，协调有关行政部门、行业专业领域专家以及律师、法律服务工作者等社会力量参与重大矛盾纠纷调处化解工作。</w:t>
      </w:r>
    </w:p>
    <w:p w14:paraId="1B750C78">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5、开展类型化纠纷多调衔接工作。做好当事人与有关单位沟通、协调、衔接等工作，配合有关单位快速、有效、精准，实现纠纷的一窗办理一条龙服务。</w:t>
      </w:r>
    </w:p>
    <w:p w14:paraId="2B4AD2D1">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6、开展调解咨询和法治宣传工作。为矛盾纠纷当事人、企业等提供调解相关法律咨询服务，在调解工作中进行人民调解法和相关法律法规政策宣传。</w:t>
      </w:r>
    </w:p>
    <w:p w14:paraId="4C63D39F">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7、开展业务培训和辅助性工作。建立调解业务培训制度，加强队伍建设和业务能力建设，撰写典型案例、撰写工作总结、开展公益活动等辅助性服务。</w:t>
      </w:r>
    </w:p>
    <w:p w14:paraId="0FA3777D">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开展应急值班值守等相关工作。组织开展重要时间段值班工作；制定因调解不当引发纠纷升级或转化处置方案；制定重大纠纷“零报告”制度和应急处置预案，上报信息必须实事求是,不得瞒报、谎报和拖延不报</w:t>
      </w:r>
      <w:r>
        <w:rPr>
          <w:rFonts w:hint="eastAsia" w:ascii="仿宋" w:hAnsi="仿宋" w:eastAsia="仿宋" w:cs="仿宋"/>
          <w:color w:val="auto"/>
          <w:sz w:val="24"/>
          <w:highlight w:val="none"/>
          <w:lang w:eastAsia="zh-CN"/>
        </w:rPr>
        <w:t>。以及采购人交办的其他相关工作</w:t>
      </w:r>
      <w:r>
        <w:rPr>
          <w:rFonts w:hint="eastAsia" w:ascii="仿宋" w:hAnsi="仿宋" w:eastAsia="仿宋" w:cs="仿宋"/>
          <w:color w:val="auto"/>
          <w:sz w:val="24"/>
          <w:highlight w:val="none"/>
        </w:rPr>
        <w:t>。</w:t>
      </w:r>
    </w:p>
    <w:p w14:paraId="19B2C96B">
      <w:pPr>
        <w:pStyle w:val="2"/>
        <w:tabs>
          <w:tab w:val="left" w:pos="706"/>
          <w:tab w:val="clear" w:pos="432"/>
        </w:tabs>
        <w:ind w:left="0" w:firstLine="482"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六、调解人员要求</w:t>
      </w:r>
    </w:p>
    <w:p w14:paraId="36D82258">
      <w:pPr>
        <w:pStyle w:val="2"/>
        <w:tabs>
          <w:tab w:val="left" w:pos="706"/>
          <w:tab w:val="clear" w:pos="432"/>
        </w:tabs>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本项目拟派调解人员</w:t>
      </w:r>
      <w:r>
        <w:rPr>
          <w:rFonts w:hint="eastAsia" w:ascii="仿宋" w:hAnsi="仿宋" w:eastAsia="仿宋" w:cs="仿宋"/>
          <w:b w:val="0"/>
          <w:bCs w:val="0"/>
          <w:color w:val="auto"/>
          <w:sz w:val="24"/>
          <w:szCs w:val="24"/>
          <w:highlight w:val="none"/>
          <w:lang w:val="en-US" w:eastAsia="zh-CN"/>
        </w:rPr>
        <w:t>18</w:t>
      </w:r>
      <w:r>
        <w:rPr>
          <w:rFonts w:hint="eastAsia" w:ascii="仿宋" w:hAnsi="仿宋" w:eastAsia="仿宋" w:cs="仿宋"/>
          <w:b w:val="0"/>
          <w:bCs w:val="0"/>
          <w:color w:val="auto"/>
          <w:sz w:val="24"/>
          <w:szCs w:val="24"/>
          <w:highlight w:val="none"/>
          <w:lang w:val="en-US"/>
        </w:rPr>
        <w:t>名，从事人民调解工作的调解员，应满足以下条件：</w:t>
      </w:r>
    </w:p>
    <w:p w14:paraId="69F88DF9">
      <w:pPr>
        <w:numPr>
          <w:ilvl w:val="0"/>
          <w:numId w:val="2"/>
        </w:num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拥护中国共产党领导，遵守宪法和法律。</w:t>
      </w:r>
    </w:p>
    <w:p w14:paraId="1C1F3E51">
      <w:pPr>
        <w:numPr>
          <w:ilvl w:val="0"/>
          <w:numId w:val="2"/>
        </w:num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品行端正、公道正派、廉洁自律，有群众威信，热心人民调解工作。</w:t>
      </w:r>
    </w:p>
    <w:p w14:paraId="532BFBC5">
      <w:pPr>
        <w:numPr>
          <w:ilvl w:val="0"/>
          <w:numId w:val="2"/>
        </w:num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具有一定法律法规、政策和相关专业知识水平，熟悉本区情况，有调解社会矛盾纠纷的经验。</w:t>
      </w:r>
    </w:p>
    <w:p w14:paraId="5D30996C">
      <w:pPr>
        <w:numPr>
          <w:ilvl w:val="0"/>
          <w:numId w:val="2"/>
        </w:num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身体健康，年龄在22周岁以上，男性65周岁以下，女性60周岁以下，一般应具有法学本科或以上文化程度，对有调解经验人员，条件可适当放宽。</w:t>
      </w:r>
    </w:p>
    <w:p w14:paraId="097ACD0F">
      <w:pPr>
        <w:numPr>
          <w:ilvl w:val="0"/>
          <w:numId w:val="2"/>
        </w:num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个人征信情况良好，近五年内无不良记录。</w:t>
      </w:r>
    </w:p>
    <w:p w14:paraId="16654BC7">
      <w:pPr>
        <w:numPr>
          <w:ilvl w:val="0"/>
          <w:numId w:val="2"/>
        </w:num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未受过行政拘留和刑事处罚。</w:t>
      </w:r>
    </w:p>
    <w:p w14:paraId="4A1B7973">
      <w:pPr>
        <w:pStyle w:val="2"/>
        <w:tabs>
          <w:tab w:val="left" w:pos="706"/>
          <w:tab w:val="clear" w:pos="432"/>
        </w:tabs>
        <w:ind w:left="0" w:firstLine="482"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七、调解工作要求</w:t>
      </w:r>
    </w:p>
    <w:p w14:paraId="54B1DF22">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1、根据项目要求，自主开展人民调解员管理、招募、职业培训等工作。</w:t>
      </w:r>
    </w:p>
    <w:p w14:paraId="2837DA0C">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2、按照法律法规和相关规定，并结合实际，制定内部管理规章制度。</w:t>
      </w:r>
    </w:p>
    <w:p w14:paraId="18D9E629">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3、遵守社会组织管理法规和合同规定的要求，确保完成服务目标，并承担相应责任，自觉接受采购人的检查监督。</w:t>
      </w:r>
    </w:p>
    <w:p w14:paraId="24048B17">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4、在合同终止后向采购人移交全部提供使用的专用房屋、有关财产、管理档案及有关工作服务对象的所有资料。</w:t>
      </w:r>
    </w:p>
    <w:p w14:paraId="3D1F3A09">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5、接受采购人的监督、年度评估、重大事项的调查和纠纷处理。</w:t>
      </w:r>
    </w:p>
    <w:p w14:paraId="0310575D">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6、落实考评小组在考核评估中提出的问题和建议。</w:t>
      </w:r>
    </w:p>
    <w:p w14:paraId="0F2C8BB2">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7、应在约定的服务区域内开展服务，认真完成服务项目内容。若因实际需要而修正服务内容的，需与采购人协商，并获审核批准后方可实施。</w:t>
      </w:r>
    </w:p>
    <w:p w14:paraId="491F3694">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8、不得泄露在工作中获悉的涉及工作服务对象个人隐私、涉及国家秘密等的相关信息。</w:t>
      </w:r>
    </w:p>
    <w:p w14:paraId="650442FF">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9、加强自身建设，完善管理机制，提升专业化服务水平。</w:t>
      </w:r>
    </w:p>
    <w:p w14:paraId="718E3382">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10、政策规定中标人承担的其他责任。</w:t>
      </w:r>
    </w:p>
    <w:p w14:paraId="262022B8">
      <w:pPr>
        <w:pStyle w:val="2"/>
        <w:tabs>
          <w:tab w:val="left" w:pos="706"/>
          <w:tab w:val="clear" w:pos="432"/>
        </w:tabs>
        <w:ind w:left="0" w:firstLine="482"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zh-TW"/>
        </w:rPr>
        <w:t>八、</w:t>
      </w:r>
      <w:r>
        <w:rPr>
          <w:rFonts w:hint="eastAsia" w:ascii="仿宋" w:hAnsi="仿宋" w:eastAsia="仿宋" w:cs="仿宋"/>
          <w:color w:val="auto"/>
          <w:sz w:val="24"/>
          <w:szCs w:val="24"/>
          <w:highlight w:val="none"/>
          <w:lang w:val="zh-TW" w:eastAsia="zh-CN"/>
        </w:rPr>
        <w:t>后续</w:t>
      </w:r>
      <w:r>
        <w:rPr>
          <w:rFonts w:hint="eastAsia" w:ascii="仿宋" w:hAnsi="仿宋" w:eastAsia="仿宋" w:cs="仿宋"/>
          <w:color w:val="auto"/>
          <w:sz w:val="24"/>
          <w:szCs w:val="24"/>
          <w:highlight w:val="none"/>
          <w:lang w:val="en-US"/>
        </w:rPr>
        <w:t>服务</w:t>
      </w:r>
    </w:p>
    <w:p w14:paraId="52D56A7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提供项目服务专人专线，针对当事人提出的咨询、不满意或信访件，应当落实如下要求：</w:t>
      </w:r>
    </w:p>
    <w:p w14:paraId="010E9011">
      <w:pPr>
        <w:numPr>
          <w:ilvl w:val="0"/>
          <w:numId w:val="3"/>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对于来电件，应当在当事人提出诉求当日内进行初步沟通；</w:t>
      </w:r>
    </w:p>
    <w:p w14:paraId="6580FC8E">
      <w:pPr>
        <w:numPr>
          <w:ilvl w:val="0"/>
          <w:numId w:val="3"/>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对于咨询件，应当在3小时内进行有效答复；</w:t>
      </w:r>
    </w:p>
    <w:p w14:paraId="294109C4">
      <w:pPr>
        <w:numPr>
          <w:ilvl w:val="0"/>
          <w:numId w:val="3"/>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对于不满意件，应当结案第7天23:59:59秒前客观陈述并记录在案；</w:t>
      </w:r>
    </w:p>
    <w:p w14:paraId="521434A3">
      <w:pPr>
        <w:numPr>
          <w:ilvl w:val="0"/>
          <w:numId w:val="3"/>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对于信访件，应当在5个工作日内撰写书面材料，经区司法局审核后予以书面答复，如有必要的，应当上门做好答疑解释工作。</w:t>
      </w:r>
    </w:p>
    <w:p w14:paraId="546C6265">
      <w:pPr>
        <w:pStyle w:val="2"/>
        <w:tabs>
          <w:tab w:val="left" w:pos="706"/>
          <w:tab w:val="clear" w:pos="432"/>
        </w:tabs>
        <w:ind w:left="0" w:firstLine="482" w:firstLineChars="200"/>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lang w:val="zh-TW"/>
        </w:rPr>
        <w:t>九、其他要求</w:t>
      </w:r>
    </w:p>
    <w:p w14:paraId="5922D5F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1、服务单位必须将工作过程中发现的可能引起的重大群体性事件或重大纠纷的事件，及时向采购人报告，并积极提供方案协助采购人妥善解决。</w:t>
      </w:r>
    </w:p>
    <w:p w14:paraId="1EFEFFE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2、服务单位派出的专职工作人员要服从所驻单位的管理和指导，严格遵守所驻单位的工作时间，工作期间不得从事规定工作以外的任何事务。</w:t>
      </w:r>
    </w:p>
    <w:p w14:paraId="5B3C113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3、中标人需建立职工(含劳务工等各种类型用工)花名册等档案资料，与职工签订劳动合同或劳务合同，为其办理国家规定的相关保险，并按规定标准安排专业健康体检和配备劳动防护。</w:t>
      </w:r>
    </w:p>
    <w:p w14:paraId="692CF96C">
      <w:pPr>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color w:val="auto"/>
          <w:sz w:val="24"/>
          <w:highlight w:val="none"/>
        </w:rPr>
        <w:t>4、服务单</w:t>
      </w:r>
      <w:r>
        <w:rPr>
          <w:rFonts w:hint="eastAsia" w:ascii="仿宋" w:hAnsi="仿宋" w:eastAsia="仿宋" w:cs="仿宋"/>
          <w:b w:val="0"/>
          <w:bCs w:val="0"/>
          <w:color w:val="auto"/>
          <w:sz w:val="24"/>
          <w:highlight w:val="none"/>
        </w:rPr>
        <w:t>位依照本项目的招标范围和内容，中标人以包质量、包安全、包服务的方式实施项目总承包，需派出</w:t>
      </w:r>
      <w:r>
        <w:rPr>
          <w:rFonts w:hint="eastAsia" w:ascii="仿宋" w:hAnsi="仿宋" w:eastAsia="仿宋" w:cs="仿宋"/>
          <w:b w:val="0"/>
          <w:bCs w:val="0"/>
          <w:color w:val="auto"/>
          <w:sz w:val="24"/>
          <w:highlight w:val="none"/>
          <w:lang w:val="en-US" w:eastAsia="zh-CN"/>
        </w:rPr>
        <w:t>18</w:t>
      </w:r>
      <w:r>
        <w:rPr>
          <w:rFonts w:hint="eastAsia" w:ascii="仿宋" w:hAnsi="仿宋" w:eastAsia="仿宋" w:cs="仿宋"/>
          <w:b w:val="0"/>
          <w:bCs w:val="0"/>
          <w:color w:val="auto"/>
          <w:sz w:val="24"/>
          <w:highlight w:val="none"/>
        </w:rPr>
        <w:t>名具有调解工作经验的人员或具有法律专业的符合本项目要求的从业人员派至区矛调中心</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rPr>
        <w:t>良渚、瓶窑、余杭分中心和交通事故处理中心</w:t>
      </w:r>
      <w:r>
        <w:rPr>
          <w:rFonts w:hint="eastAsia" w:ascii="仿宋" w:hAnsi="仿宋" w:eastAsia="仿宋" w:cs="仿宋"/>
          <w:b w:val="0"/>
          <w:bCs w:val="0"/>
          <w:color w:val="auto"/>
          <w:sz w:val="24"/>
          <w:highlight w:val="none"/>
          <w:lang w:eastAsia="zh-CN"/>
        </w:rPr>
        <w:t>或</w:t>
      </w:r>
      <w:r>
        <w:rPr>
          <w:rFonts w:hint="eastAsia" w:ascii="仿宋" w:hAnsi="仿宋" w:eastAsia="仿宋" w:cs="仿宋"/>
          <w:b w:val="0"/>
          <w:bCs w:val="0"/>
          <w:color w:val="auto"/>
          <w:sz w:val="24"/>
          <w:highlight w:val="none"/>
        </w:rPr>
        <w:t>根据采购人实际工作情况进行补充或者调整</w:t>
      </w:r>
      <w:r>
        <w:rPr>
          <w:rFonts w:hint="eastAsia" w:ascii="仿宋" w:hAnsi="仿宋" w:eastAsia="仿宋" w:cs="仿宋"/>
          <w:b w:val="0"/>
          <w:bCs w:val="0"/>
          <w:color w:val="auto"/>
          <w:sz w:val="24"/>
          <w:highlight w:val="none"/>
          <w:lang w:eastAsia="zh-CN"/>
        </w:rPr>
        <w:t>等</w:t>
      </w:r>
      <w:r>
        <w:rPr>
          <w:rFonts w:hint="eastAsia" w:ascii="仿宋" w:hAnsi="仿宋" w:eastAsia="仿宋" w:cs="仿宋"/>
          <w:b w:val="0"/>
          <w:bCs w:val="0"/>
          <w:color w:val="auto"/>
          <w:sz w:val="24"/>
          <w:highlight w:val="none"/>
        </w:rPr>
        <w:t>地点进行调解服务。</w:t>
      </w:r>
    </w:p>
    <w:p w14:paraId="6457CD11">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5、在履行协议过程中不得将服务转包给第三方，应按协议约定完成任务目标。</w:t>
      </w:r>
    </w:p>
    <w:p w14:paraId="2D4C4838">
      <w:pPr>
        <w:pStyle w:val="2"/>
        <w:tabs>
          <w:tab w:val="left" w:pos="706"/>
          <w:tab w:val="clear" w:pos="432"/>
        </w:tabs>
        <w:ind w:left="0" w:firstLine="482"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十、报价要求</w:t>
      </w:r>
    </w:p>
    <w:p w14:paraId="541F57C9">
      <w:pPr>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1、本项目按综合单价进行报价，不得超过最高单价限价，综合单价包括薪资待遇、奖金福利配套、培训费等相关费用，以及政策性文件规定及合同包含的所有风险、责任等各项全部费用。</w:t>
      </w:r>
    </w:p>
    <w:p w14:paraId="5C7B4B9E">
      <w:pPr>
        <w:pStyle w:val="2"/>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 xml:space="preserve">   2、投标报价时须按下表进行填报：</w:t>
      </w:r>
    </w:p>
    <w:tbl>
      <w:tblPr>
        <w:tblStyle w:val="64"/>
        <w:tblW w:w="0" w:type="auto"/>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1001"/>
        <w:gridCol w:w="4512"/>
        <w:gridCol w:w="2802"/>
      </w:tblGrid>
      <w:tr w14:paraId="020E6F4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1001" w:type="dxa"/>
            <w:tcBorders>
              <w:top w:val="single" w:color="auto" w:sz="8" w:space="0"/>
              <w:left w:val="single" w:color="auto" w:sz="8" w:space="0"/>
              <w:bottom w:val="single" w:color="auto" w:sz="2" w:space="0"/>
              <w:right w:val="single" w:color="auto" w:sz="2" w:space="0"/>
            </w:tcBorders>
            <w:noWrap w:val="0"/>
            <w:vAlign w:val="center"/>
          </w:tcPr>
          <w:p w14:paraId="19311AA0">
            <w:pPr>
              <w:snapToGrid w:val="0"/>
              <w:spacing w:line="360" w:lineRule="auto"/>
              <w:jc w:val="center"/>
              <w:rPr>
                <w:rFonts w:hint="eastAsia" w:ascii="仿宋" w:hAnsi="仿宋" w:eastAsia="仿宋" w:cs="仿宋"/>
                <w:b/>
                <w:bCs/>
                <w:color w:val="auto"/>
                <w:sz w:val="24"/>
                <w:szCs w:val="21"/>
                <w:highlight w:val="none"/>
              </w:rPr>
            </w:pPr>
            <w:r>
              <w:rPr>
                <w:rFonts w:hint="eastAsia" w:ascii="仿宋" w:hAnsi="仿宋" w:eastAsia="仿宋" w:cs="仿宋"/>
                <w:b/>
                <w:bCs/>
                <w:color w:val="auto"/>
                <w:sz w:val="24"/>
                <w:szCs w:val="21"/>
                <w:highlight w:val="none"/>
              </w:rPr>
              <w:t>序号</w:t>
            </w:r>
          </w:p>
        </w:tc>
        <w:tc>
          <w:tcPr>
            <w:tcW w:w="4512" w:type="dxa"/>
            <w:tcBorders>
              <w:top w:val="single" w:color="auto" w:sz="8" w:space="0"/>
              <w:left w:val="single" w:color="auto" w:sz="2" w:space="0"/>
              <w:bottom w:val="single" w:color="auto" w:sz="2" w:space="0"/>
              <w:right w:val="single" w:color="auto" w:sz="2" w:space="0"/>
            </w:tcBorders>
            <w:noWrap w:val="0"/>
            <w:vAlign w:val="center"/>
          </w:tcPr>
          <w:p w14:paraId="16A18A1C">
            <w:pPr>
              <w:snapToGrid w:val="0"/>
              <w:spacing w:line="360" w:lineRule="auto"/>
              <w:jc w:val="center"/>
              <w:rPr>
                <w:rFonts w:hint="eastAsia" w:ascii="仿宋" w:hAnsi="仿宋" w:eastAsia="仿宋" w:cs="仿宋"/>
                <w:b/>
                <w:bCs/>
                <w:color w:val="auto"/>
                <w:sz w:val="24"/>
                <w:szCs w:val="21"/>
                <w:highlight w:val="none"/>
              </w:rPr>
            </w:pPr>
            <w:r>
              <w:rPr>
                <w:rFonts w:hint="eastAsia" w:ascii="仿宋" w:hAnsi="仿宋" w:eastAsia="仿宋" w:cs="仿宋"/>
                <w:b/>
                <w:bCs/>
                <w:color w:val="auto"/>
                <w:sz w:val="24"/>
                <w:szCs w:val="21"/>
                <w:highlight w:val="none"/>
              </w:rPr>
              <w:t>服务内容</w:t>
            </w:r>
          </w:p>
        </w:tc>
        <w:tc>
          <w:tcPr>
            <w:tcW w:w="2802" w:type="dxa"/>
            <w:tcBorders>
              <w:top w:val="single" w:color="auto" w:sz="8" w:space="0"/>
              <w:left w:val="single" w:color="auto" w:sz="2" w:space="0"/>
              <w:bottom w:val="single" w:color="auto" w:sz="2" w:space="0"/>
              <w:right w:val="single" w:color="auto" w:sz="4" w:space="0"/>
            </w:tcBorders>
            <w:noWrap w:val="0"/>
            <w:vAlign w:val="center"/>
          </w:tcPr>
          <w:p w14:paraId="296B8ED0">
            <w:pPr>
              <w:snapToGrid w:val="0"/>
              <w:spacing w:line="360" w:lineRule="auto"/>
              <w:jc w:val="center"/>
              <w:rPr>
                <w:rFonts w:hint="eastAsia" w:ascii="仿宋" w:hAnsi="仿宋" w:eastAsia="仿宋" w:cs="仿宋"/>
                <w:b/>
                <w:bCs/>
                <w:color w:val="auto"/>
                <w:sz w:val="24"/>
                <w:szCs w:val="21"/>
                <w:highlight w:val="none"/>
              </w:rPr>
            </w:pPr>
            <w:r>
              <w:rPr>
                <w:rFonts w:hint="eastAsia" w:ascii="仿宋" w:hAnsi="仿宋" w:eastAsia="仿宋" w:cs="仿宋"/>
                <w:b/>
                <w:bCs/>
                <w:color w:val="auto"/>
                <w:sz w:val="24"/>
                <w:szCs w:val="21"/>
                <w:highlight w:val="none"/>
              </w:rPr>
              <w:t>投标综合单价（元/件）</w:t>
            </w:r>
          </w:p>
        </w:tc>
      </w:tr>
      <w:tr w14:paraId="2DE66D5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726" w:hRule="atLeast"/>
          <w:jc w:val="center"/>
        </w:trPr>
        <w:tc>
          <w:tcPr>
            <w:tcW w:w="1001" w:type="dxa"/>
            <w:tcBorders>
              <w:top w:val="single" w:color="auto" w:sz="2" w:space="0"/>
              <w:left w:val="single" w:color="auto" w:sz="8" w:space="0"/>
              <w:bottom w:val="single" w:color="auto" w:sz="4" w:space="0"/>
              <w:right w:val="single" w:color="auto" w:sz="2" w:space="0"/>
            </w:tcBorders>
            <w:noWrap w:val="0"/>
            <w:vAlign w:val="center"/>
          </w:tcPr>
          <w:p w14:paraId="1AF72CB1">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p>
        </w:tc>
        <w:tc>
          <w:tcPr>
            <w:tcW w:w="4512" w:type="dxa"/>
            <w:tcBorders>
              <w:top w:val="single" w:color="auto" w:sz="2" w:space="0"/>
              <w:left w:val="single" w:color="auto" w:sz="2" w:space="0"/>
              <w:bottom w:val="single" w:color="auto" w:sz="4" w:space="0"/>
              <w:right w:val="single" w:color="auto" w:sz="2" w:space="0"/>
            </w:tcBorders>
            <w:noWrap w:val="0"/>
            <w:vAlign w:val="center"/>
          </w:tcPr>
          <w:p w14:paraId="3F3C8328">
            <w:pPr>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调解成功不形成卷宗仅</w:t>
            </w:r>
            <w:r>
              <w:rPr>
                <w:rFonts w:hint="eastAsia" w:ascii="仿宋" w:hAnsi="仿宋" w:eastAsia="仿宋" w:cs="仿宋"/>
                <w:b/>
                <w:bCs w:val="0"/>
                <w:color w:val="auto"/>
                <w:sz w:val="24"/>
                <w:highlight w:val="none"/>
              </w:rPr>
              <w:t>有协议</w:t>
            </w:r>
            <w:r>
              <w:rPr>
                <w:rFonts w:hint="eastAsia" w:ascii="仿宋" w:hAnsi="仿宋" w:eastAsia="仿宋" w:cs="仿宋"/>
                <w:b/>
                <w:bCs w:val="0"/>
                <w:color w:val="auto"/>
                <w:sz w:val="24"/>
                <w:highlight w:val="none"/>
                <w:lang w:eastAsia="zh-CN"/>
              </w:rPr>
              <w:t>型</w:t>
            </w:r>
          </w:p>
        </w:tc>
        <w:tc>
          <w:tcPr>
            <w:tcW w:w="2802" w:type="dxa"/>
            <w:tcBorders>
              <w:top w:val="single" w:color="auto" w:sz="2" w:space="0"/>
              <w:left w:val="single" w:color="auto" w:sz="2" w:space="0"/>
              <w:bottom w:val="single" w:color="auto" w:sz="4" w:space="0"/>
              <w:right w:val="single" w:color="auto" w:sz="4" w:space="0"/>
            </w:tcBorders>
            <w:noWrap w:val="0"/>
            <w:vAlign w:val="center"/>
          </w:tcPr>
          <w:p w14:paraId="1CE492A1">
            <w:pPr>
              <w:jc w:val="center"/>
              <w:rPr>
                <w:rFonts w:hint="eastAsia" w:ascii="仿宋" w:hAnsi="仿宋" w:eastAsia="仿宋" w:cs="仿宋"/>
                <w:color w:val="auto"/>
                <w:sz w:val="24"/>
                <w:highlight w:val="none"/>
              </w:rPr>
            </w:pPr>
            <w:r>
              <w:rPr>
                <w:rFonts w:hint="eastAsia" w:ascii="仿宋" w:hAnsi="仿宋" w:eastAsia="仿宋" w:cs="仿宋"/>
                <w:b/>
                <w:bCs/>
                <w:color w:val="auto"/>
                <w:sz w:val="24"/>
                <w:szCs w:val="21"/>
                <w:highlight w:val="none"/>
                <w:u w:val="single"/>
              </w:rPr>
              <w:t xml:space="preserve">     </w:t>
            </w:r>
            <w:r>
              <w:rPr>
                <w:rFonts w:hint="eastAsia" w:ascii="仿宋" w:hAnsi="仿宋" w:eastAsia="仿宋" w:cs="仿宋"/>
                <w:b/>
                <w:bCs/>
                <w:color w:val="auto"/>
                <w:sz w:val="24"/>
                <w:szCs w:val="21"/>
                <w:highlight w:val="none"/>
              </w:rPr>
              <w:t>元/件</w:t>
            </w:r>
          </w:p>
        </w:tc>
      </w:tr>
      <w:tr w14:paraId="60E2F76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726" w:hRule="atLeast"/>
          <w:jc w:val="center"/>
        </w:trPr>
        <w:tc>
          <w:tcPr>
            <w:tcW w:w="1001" w:type="dxa"/>
            <w:tcBorders>
              <w:top w:val="single" w:color="auto" w:sz="2" w:space="0"/>
              <w:left w:val="single" w:color="auto" w:sz="8" w:space="0"/>
              <w:bottom w:val="single" w:color="auto" w:sz="4" w:space="0"/>
              <w:right w:val="single" w:color="auto" w:sz="2" w:space="0"/>
            </w:tcBorders>
            <w:noWrap w:val="0"/>
            <w:vAlign w:val="center"/>
          </w:tcPr>
          <w:p w14:paraId="692DEF30">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w:t>
            </w:r>
          </w:p>
        </w:tc>
        <w:tc>
          <w:tcPr>
            <w:tcW w:w="4512" w:type="dxa"/>
            <w:tcBorders>
              <w:top w:val="single" w:color="auto" w:sz="2" w:space="0"/>
              <w:left w:val="single" w:color="auto" w:sz="2" w:space="0"/>
              <w:bottom w:val="single" w:color="auto" w:sz="4" w:space="0"/>
              <w:right w:val="single" w:color="auto" w:sz="2" w:space="0"/>
            </w:tcBorders>
            <w:noWrap w:val="0"/>
            <w:vAlign w:val="center"/>
          </w:tcPr>
          <w:p w14:paraId="4872D4E4">
            <w:pPr>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调解成功并形成调解案卷</w:t>
            </w:r>
            <w:r>
              <w:rPr>
                <w:rFonts w:hint="eastAsia" w:ascii="仿宋" w:hAnsi="仿宋" w:eastAsia="仿宋" w:cs="仿宋"/>
                <w:b/>
                <w:bCs w:val="0"/>
                <w:color w:val="auto"/>
                <w:sz w:val="24"/>
                <w:highlight w:val="none"/>
              </w:rPr>
              <w:t>一般型</w:t>
            </w:r>
            <w:r>
              <w:rPr>
                <w:rFonts w:hint="eastAsia" w:ascii="仿宋" w:hAnsi="仿宋" w:eastAsia="仿宋" w:cs="仿宋"/>
                <w:b w:val="0"/>
                <w:bCs/>
                <w:color w:val="auto"/>
                <w:sz w:val="24"/>
                <w:highlight w:val="none"/>
                <w:lang w:eastAsia="zh-CN"/>
              </w:rPr>
              <w:t>（</w:t>
            </w:r>
            <w:r>
              <w:rPr>
                <w:rFonts w:hint="eastAsia" w:ascii="仿宋" w:hAnsi="仿宋" w:eastAsia="仿宋" w:cs="仿宋"/>
                <w:color w:val="auto"/>
                <w:sz w:val="24"/>
                <w:highlight w:val="none"/>
                <w:lang w:eastAsia="zh-CN"/>
              </w:rPr>
              <w:t>一般型纠纷：</w:t>
            </w:r>
            <w:r>
              <w:rPr>
                <w:rFonts w:hint="eastAsia" w:ascii="仿宋" w:hAnsi="仿宋" w:eastAsia="仿宋" w:cs="仿宋"/>
                <w:color w:val="auto"/>
                <w:sz w:val="24"/>
                <w:highlight w:val="none"/>
              </w:rPr>
              <w:t>赔补偿</w:t>
            </w:r>
            <w:r>
              <w:rPr>
                <w:rFonts w:hint="eastAsia" w:ascii="仿宋" w:hAnsi="仿宋" w:eastAsia="仿宋" w:cs="仿宋"/>
                <w:color w:val="auto"/>
                <w:sz w:val="24"/>
                <w:highlight w:val="none"/>
                <w:lang w:eastAsia="zh-CN"/>
              </w:rPr>
              <w:t>低于</w:t>
            </w:r>
            <w:r>
              <w:rPr>
                <w:rFonts w:hint="eastAsia" w:ascii="仿宋" w:hAnsi="仿宋" w:eastAsia="仿宋" w:cs="仿宋"/>
                <w:color w:val="auto"/>
                <w:sz w:val="24"/>
                <w:highlight w:val="none"/>
              </w:rPr>
              <w:t>20万</w:t>
            </w:r>
            <w:r>
              <w:rPr>
                <w:rFonts w:hint="eastAsia" w:ascii="仿宋" w:hAnsi="仿宋" w:eastAsia="仿宋" w:cs="仿宋"/>
                <w:color w:val="auto"/>
                <w:sz w:val="24"/>
                <w:highlight w:val="none"/>
                <w:lang w:eastAsia="zh-CN"/>
              </w:rPr>
              <w:t>元</w:t>
            </w:r>
            <w:r>
              <w:rPr>
                <w:rFonts w:hint="eastAsia" w:ascii="仿宋" w:hAnsi="仿宋" w:eastAsia="仿宋" w:cs="仿宋"/>
                <w:color w:val="auto"/>
                <w:sz w:val="24"/>
                <w:highlight w:val="none"/>
              </w:rPr>
              <w:t>、涉案标的</w:t>
            </w:r>
            <w:r>
              <w:rPr>
                <w:rFonts w:hint="eastAsia" w:ascii="仿宋" w:hAnsi="仿宋" w:eastAsia="仿宋" w:cs="仿宋"/>
                <w:color w:val="auto"/>
                <w:sz w:val="24"/>
                <w:highlight w:val="none"/>
                <w:lang w:eastAsia="zh-CN"/>
              </w:rPr>
              <w:t>低于</w:t>
            </w:r>
            <w:r>
              <w:rPr>
                <w:rFonts w:hint="eastAsia" w:ascii="仿宋" w:hAnsi="仿宋" w:eastAsia="仿宋" w:cs="仿宋"/>
                <w:color w:val="auto"/>
                <w:sz w:val="24"/>
                <w:highlight w:val="none"/>
              </w:rPr>
              <w:t>100万</w:t>
            </w:r>
            <w:r>
              <w:rPr>
                <w:rFonts w:hint="eastAsia" w:ascii="仿宋" w:hAnsi="仿宋" w:eastAsia="仿宋" w:cs="仿宋"/>
                <w:color w:val="auto"/>
                <w:sz w:val="24"/>
                <w:highlight w:val="none"/>
                <w:lang w:eastAsia="zh-CN"/>
              </w:rPr>
              <w:t>元</w:t>
            </w:r>
            <w:r>
              <w:rPr>
                <w:rFonts w:hint="eastAsia" w:ascii="仿宋" w:hAnsi="仿宋" w:eastAsia="仿宋" w:cs="仿宋"/>
                <w:color w:val="auto"/>
                <w:sz w:val="24"/>
                <w:highlight w:val="none"/>
              </w:rPr>
              <w:t>等其他</w:t>
            </w:r>
            <w:r>
              <w:rPr>
                <w:rFonts w:hint="eastAsia" w:ascii="仿宋" w:hAnsi="仿宋" w:eastAsia="仿宋" w:cs="仿宋"/>
                <w:color w:val="auto"/>
                <w:sz w:val="24"/>
                <w:highlight w:val="none"/>
                <w:lang w:eastAsia="zh-CN"/>
              </w:rPr>
              <w:t>一般</w:t>
            </w:r>
            <w:r>
              <w:rPr>
                <w:rFonts w:hint="eastAsia" w:ascii="仿宋" w:hAnsi="仿宋" w:eastAsia="仿宋" w:cs="仿宋"/>
                <w:color w:val="auto"/>
                <w:sz w:val="24"/>
                <w:highlight w:val="none"/>
              </w:rPr>
              <w:t>纠纷</w:t>
            </w:r>
            <w:r>
              <w:rPr>
                <w:rFonts w:hint="eastAsia" w:ascii="仿宋" w:hAnsi="仿宋" w:eastAsia="仿宋" w:cs="仿宋"/>
                <w:color w:val="auto"/>
                <w:sz w:val="24"/>
                <w:highlight w:val="none"/>
                <w:lang w:eastAsia="zh-CN"/>
              </w:rPr>
              <w:t>）</w:t>
            </w:r>
          </w:p>
        </w:tc>
        <w:tc>
          <w:tcPr>
            <w:tcW w:w="2802" w:type="dxa"/>
            <w:tcBorders>
              <w:top w:val="single" w:color="auto" w:sz="2" w:space="0"/>
              <w:left w:val="single" w:color="auto" w:sz="2" w:space="0"/>
              <w:bottom w:val="single" w:color="auto" w:sz="4" w:space="0"/>
              <w:right w:val="single" w:color="auto" w:sz="4" w:space="0"/>
            </w:tcBorders>
            <w:noWrap w:val="0"/>
            <w:vAlign w:val="center"/>
          </w:tcPr>
          <w:p w14:paraId="3A92D825">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szCs w:val="21"/>
                <w:highlight w:val="none"/>
                <w:u w:val="single"/>
              </w:rPr>
              <w:t xml:space="preserve">     </w:t>
            </w:r>
            <w:r>
              <w:rPr>
                <w:rFonts w:hint="eastAsia" w:ascii="仿宋" w:hAnsi="仿宋" w:eastAsia="仿宋" w:cs="仿宋"/>
                <w:b/>
                <w:bCs/>
                <w:color w:val="auto"/>
                <w:sz w:val="24"/>
                <w:szCs w:val="21"/>
                <w:highlight w:val="none"/>
              </w:rPr>
              <w:t>元/件</w:t>
            </w:r>
          </w:p>
        </w:tc>
      </w:tr>
      <w:tr w14:paraId="65E0555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1001" w:type="dxa"/>
            <w:tcBorders>
              <w:top w:val="single" w:color="auto" w:sz="4" w:space="0"/>
              <w:left w:val="single" w:color="auto" w:sz="8" w:space="0"/>
              <w:right w:val="single" w:color="auto" w:sz="2" w:space="0"/>
            </w:tcBorders>
            <w:noWrap w:val="0"/>
            <w:vAlign w:val="center"/>
          </w:tcPr>
          <w:p w14:paraId="791AD19D">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w:t>
            </w:r>
          </w:p>
        </w:tc>
        <w:tc>
          <w:tcPr>
            <w:tcW w:w="4512" w:type="dxa"/>
            <w:tcBorders>
              <w:top w:val="single" w:color="auto" w:sz="4" w:space="0"/>
              <w:left w:val="single" w:color="auto" w:sz="2" w:space="0"/>
              <w:bottom w:val="single" w:color="auto" w:sz="4" w:space="0"/>
              <w:right w:val="single" w:color="auto" w:sz="2" w:space="0"/>
            </w:tcBorders>
            <w:noWrap w:val="0"/>
            <w:vAlign w:val="center"/>
          </w:tcPr>
          <w:p w14:paraId="7CD502EB">
            <w:pPr>
              <w:snapToGrid w:val="0"/>
              <w:spacing w:line="312" w:lineRule="auto"/>
              <w:rPr>
                <w:rFonts w:hint="eastAsia" w:ascii="仿宋" w:hAnsi="仿宋" w:eastAsia="仿宋" w:cs="仿宋"/>
                <w:color w:val="auto"/>
                <w:sz w:val="24"/>
                <w:highlight w:val="none"/>
              </w:rPr>
            </w:pPr>
            <w:r>
              <w:rPr>
                <w:rFonts w:hint="eastAsia" w:ascii="仿宋" w:hAnsi="仿宋" w:eastAsia="仿宋" w:cs="仿宋"/>
                <w:b w:val="0"/>
                <w:bCs/>
                <w:color w:val="auto"/>
                <w:sz w:val="24"/>
                <w:highlight w:val="none"/>
              </w:rPr>
              <w:t>调解成功并形成调解案卷</w:t>
            </w:r>
            <w:r>
              <w:rPr>
                <w:rFonts w:hint="eastAsia" w:ascii="仿宋" w:hAnsi="仿宋" w:eastAsia="仿宋" w:cs="仿宋"/>
                <w:b/>
                <w:bCs w:val="0"/>
                <w:color w:val="auto"/>
                <w:sz w:val="24"/>
                <w:highlight w:val="none"/>
              </w:rPr>
              <w:t>疑难型</w:t>
            </w:r>
            <w:r>
              <w:rPr>
                <w:rFonts w:hint="eastAsia" w:ascii="仿宋" w:hAnsi="仿宋" w:eastAsia="仿宋" w:cs="仿宋"/>
                <w:b w:val="0"/>
                <w:bCs/>
                <w:color w:val="auto"/>
                <w:sz w:val="24"/>
                <w:highlight w:val="none"/>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疑难型纠纷：</w:t>
            </w:r>
            <w:r>
              <w:rPr>
                <w:rFonts w:hint="eastAsia" w:ascii="仿宋" w:hAnsi="仿宋" w:eastAsia="仿宋" w:cs="仿宋"/>
                <w:color w:val="auto"/>
                <w:sz w:val="24"/>
                <w:highlight w:val="none"/>
              </w:rPr>
              <w:t>赔补偿20万</w:t>
            </w:r>
            <w:r>
              <w:rPr>
                <w:rFonts w:hint="eastAsia" w:ascii="仿宋" w:hAnsi="仿宋" w:eastAsia="仿宋" w:cs="仿宋"/>
                <w:color w:val="auto"/>
                <w:sz w:val="24"/>
                <w:highlight w:val="none"/>
                <w:lang w:eastAsia="zh-CN"/>
              </w:rPr>
              <w:t>元</w:t>
            </w:r>
            <w:r>
              <w:rPr>
                <w:rFonts w:hint="eastAsia" w:ascii="仿宋" w:hAnsi="仿宋" w:eastAsia="仿宋" w:cs="仿宋"/>
                <w:color w:val="auto"/>
                <w:sz w:val="24"/>
                <w:highlight w:val="none"/>
              </w:rPr>
              <w:t>以上、涉案标的100万</w:t>
            </w:r>
            <w:r>
              <w:rPr>
                <w:rFonts w:hint="eastAsia" w:ascii="仿宋" w:hAnsi="仿宋" w:eastAsia="仿宋" w:cs="仿宋"/>
                <w:color w:val="auto"/>
                <w:sz w:val="24"/>
                <w:highlight w:val="none"/>
                <w:lang w:eastAsia="zh-CN"/>
              </w:rPr>
              <w:t>元</w:t>
            </w:r>
            <w:r>
              <w:rPr>
                <w:rFonts w:hint="eastAsia" w:ascii="仿宋" w:hAnsi="仿宋" w:eastAsia="仿宋" w:cs="仿宋"/>
                <w:color w:val="auto"/>
                <w:sz w:val="24"/>
                <w:highlight w:val="none"/>
              </w:rPr>
              <w:t>及以上或5人至10人群体性纠纷等其他疑难纠纷）；</w:t>
            </w:r>
          </w:p>
          <w:p w14:paraId="2A36EE67">
            <w:pPr>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w:t>
            </w:r>
          </w:p>
        </w:tc>
        <w:tc>
          <w:tcPr>
            <w:tcW w:w="2802" w:type="dxa"/>
            <w:tcBorders>
              <w:top w:val="single" w:color="auto" w:sz="4" w:space="0"/>
              <w:left w:val="single" w:color="auto" w:sz="2" w:space="0"/>
              <w:bottom w:val="single" w:color="auto" w:sz="4" w:space="0"/>
              <w:right w:val="single" w:color="auto" w:sz="4" w:space="0"/>
            </w:tcBorders>
            <w:noWrap w:val="0"/>
            <w:vAlign w:val="center"/>
          </w:tcPr>
          <w:p w14:paraId="1F342A5D">
            <w:pPr>
              <w:jc w:val="center"/>
              <w:rPr>
                <w:rFonts w:hint="eastAsia" w:ascii="仿宋" w:hAnsi="仿宋" w:eastAsia="仿宋" w:cs="仿宋"/>
                <w:color w:val="auto"/>
                <w:sz w:val="24"/>
                <w:highlight w:val="none"/>
              </w:rPr>
            </w:pPr>
            <w:r>
              <w:rPr>
                <w:rFonts w:hint="eastAsia" w:ascii="仿宋" w:hAnsi="仿宋" w:eastAsia="仿宋" w:cs="仿宋"/>
                <w:b/>
                <w:bCs/>
                <w:color w:val="auto"/>
                <w:sz w:val="24"/>
                <w:szCs w:val="21"/>
                <w:highlight w:val="none"/>
                <w:u w:val="single"/>
              </w:rPr>
              <w:t xml:space="preserve">     </w:t>
            </w:r>
            <w:r>
              <w:rPr>
                <w:rFonts w:hint="eastAsia" w:ascii="仿宋" w:hAnsi="仿宋" w:eastAsia="仿宋" w:cs="仿宋"/>
                <w:b/>
                <w:bCs/>
                <w:color w:val="auto"/>
                <w:sz w:val="24"/>
                <w:szCs w:val="21"/>
                <w:highlight w:val="none"/>
              </w:rPr>
              <w:t>元/件</w:t>
            </w:r>
          </w:p>
        </w:tc>
      </w:tr>
      <w:tr w14:paraId="0BF0524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875" w:hRule="atLeast"/>
          <w:jc w:val="center"/>
        </w:trPr>
        <w:tc>
          <w:tcPr>
            <w:tcW w:w="1001" w:type="dxa"/>
            <w:tcBorders>
              <w:top w:val="single" w:color="auto" w:sz="4" w:space="0"/>
              <w:left w:val="single" w:color="auto" w:sz="8" w:space="0"/>
              <w:right w:val="single" w:color="auto" w:sz="2" w:space="0"/>
            </w:tcBorders>
            <w:noWrap w:val="0"/>
            <w:vAlign w:val="center"/>
          </w:tcPr>
          <w:p w14:paraId="3E971315">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w:t>
            </w:r>
          </w:p>
        </w:tc>
        <w:tc>
          <w:tcPr>
            <w:tcW w:w="4512" w:type="dxa"/>
            <w:tcBorders>
              <w:top w:val="single" w:color="auto" w:sz="4" w:space="0"/>
              <w:left w:val="single" w:color="auto" w:sz="2" w:space="0"/>
              <w:bottom w:val="single" w:color="auto" w:sz="4" w:space="0"/>
              <w:right w:val="single" w:color="auto" w:sz="2" w:space="0"/>
            </w:tcBorders>
            <w:noWrap w:val="0"/>
            <w:vAlign w:val="center"/>
          </w:tcPr>
          <w:p w14:paraId="6A75198E">
            <w:pPr>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调解成功并形成调解案卷</w:t>
            </w:r>
            <w:r>
              <w:rPr>
                <w:rFonts w:hint="eastAsia" w:ascii="仿宋" w:hAnsi="仿宋" w:eastAsia="仿宋" w:cs="仿宋"/>
                <w:b/>
                <w:bCs w:val="0"/>
                <w:color w:val="auto"/>
                <w:sz w:val="24"/>
                <w:highlight w:val="none"/>
              </w:rPr>
              <w:t>重大型</w:t>
            </w:r>
            <w:r>
              <w:rPr>
                <w:rFonts w:hint="eastAsia" w:ascii="仿宋" w:hAnsi="仿宋" w:eastAsia="仿宋" w:cs="仿宋"/>
                <w:b w:val="0"/>
                <w:bCs/>
                <w:color w:val="auto"/>
                <w:sz w:val="24"/>
                <w:highlight w:val="none"/>
              </w:rPr>
              <w:t>（</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eastAsia="zh-CN"/>
              </w:rPr>
              <w:t>重大</w:t>
            </w:r>
            <w:r>
              <w:rPr>
                <w:rFonts w:hint="eastAsia" w:ascii="仿宋" w:hAnsi="仿宋" w:eastAsia="仿宋" w:cs="仿宋"/>
                <w:b w:val="0"/>
                <w:bCs w:val="0"/>
                <w:color w:val="auto"/>
                <w:sz w:val="24"/>
                <w:highlight w:val="none"/>
              </w:rPr>
              <w:t>型纠纷：亡人或涉案标的500万元及以上或10人及以上群体性及其他重大纠纷）</w:t>
            </w:r>
          </w:p>
        </w:tc>
        <w:tc>
          <w:tcPr>
            <w:tcW w:w="2802" w:type="dxa"/>
            <w:tcBorders>
              <w:top w:val="single" w:color="auto" w:sz="4" w:space="0"/>
              <w:left w:val="single" w:color="auto" w:sz="2" w:space="0"/>
              <w:bottom w:val="single" w:color="auto" w:sz="4" w:space="0"/>
              <w:right w:val="single" w:color="auto" w:sz="4" w:space="0"/>
            </w:tcBorders>
            <w:noWrap w:val="0"/>
            <w:vAlign w:val="center"/>
          </w:tcPr>
          <w:p w14:paraId="334D1033">
            <w:pPr>
              <w:jc w:val="center"/>
              <w:rPr>
                <w:rFonts w:hint="eastAsia" w:ascii="仿宋" w:hAnsi="仿宋" w:eastAsia="仿宋" w:cs="仿宋"/>
                <w:b/>
                <w:bCs/>
                <w:color w:val="auto"/>
                <w:sz w:val="24"/>
                <w:szCs w:val="21"/>
                <w:highlight w:val="none"/>
                <w:u w:val="single"/>
              </w:rPr>
            </w:pPr>
            <w:r>
              <w:rPr>
                <w:rFonts w:hint="eastAsia" w:ascii="仿宋" w:hAnsi="仿宋" w:eastAsia="仿宋" w:cs="仿宋"/>
                <w:b/>
                <w:bCs/>
                <w:color w:val="auto"/>
                <w:sz w:val="24"/>
                <w:szCs w:val="21"/>
                <w:highlight w:val="none"/>
                <w:u w:val="single"/>
              </w:rPr>
              <w:t xml:space="preserve">    </w:t>
            </w:r>
            <w:r>
              <w:rPr>
                <w:rFonts w:hint="eastAsia" w:ascii="仿宋" w:hAnsi="仿宋" w:eastAsia="仿宋" w:cs="仿宋"/>
                <w:b/>
                <w:bCs/>
                <w:color w:val="auto"/>
                <w:sz w:val="24"/>
                <w:szCs w:val="21"/>
                <w:highlight w:val="none"/>
              </w:rPr>
              <w:t>元/件</w:t>
            </w:r>
          </w:p>
        </w:tc>
      </w:tr>
      <w:tr w14:paraId="3692426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890" w:hRule="atLeast"/>
          <w:jc w:val="center"/>
        </w:trPr>
        <w:tc>
          <w:tcPr>
            <w:tcW w:w="1001" w:type="dxa"/>
            <w:tcBorders>
              <w:top w:val="single" w:color="auto" w:sz="4" w:space="0"/>
              <w:left w:val="single" w:color="auto" w:sz="8" w:space="0"/>
              <w:right w:val="single" w:color="auto" w:sz="2" w:space="0"/>
            </w:tcBorders>
            <w:noWrap w:val="0"/>
            <w:vAlign w:val="center"/>
          </w:tcPr>
          <w:p w14:paraId="3A2900A0">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w:t>
            </w:r>
          </w:p>
        </w:tc>
        <w:tc>
          <w:tcPr>
            <w:tcW w:w="4512" w:type="dxa"/>
            <w:tcBorders>
              <w:top w:val="single" w:color="auto" w:sz="4" w:space="0"/>
              <w:left w:val="single" w:color="auto" w:sz="2" w:space="0"/>
              <w:bottom w:val="single" w:color="auto" w:sz="4" w:space="0"/>
              <w:right w:val="single" w:color="auto" w:sz="2" w:space="0"/>
            </w:tcBorders>
            <w:noWrap w:val="0"/>
            <w:vAlign w:val="center"/>
          </w:tcPr>
          <w:p w14:paraId="60A07BB3">
            <w:pPr>
              <w:snapToGrid w:val="0"/>
              <w:spacing w:line="312" w:lineRule="auto"/>
              <w:jc w:val="left"/>
              <w:rPr>
                <w:rFonts w:hint="eastAsia" w:ascii="仿宋" w:hAnsi="仿宋" w:eastAsia="仿宋" w:cs="仿宋"/>
                <w:b w:val="0"/>
                <w:bCs/>
                <w:color w:val="auto"/>
                <w:sz w:val="24"/>
                <w:highlight w:val="none"/>
              </w:rPr>
            </w:pPr>
            <w:r>
              <w:rPr>
                <w:rFonts w:hint="eastAsia" w:ascii="仿宋" w:hAnsi="仿宋" w:eastAsia="仿宋" w:cs="仿宋"/>
                <w:b w:val="0"/>
                <w:bCs w:val="0"/>
                <w:color w:val="auto"/>
                <w:sz w:val="24"/>
                <w:highlight w:val="none"/>
              </w:rPr>
              <w:t>其他</w:t>
            </w:r>
            <w:r>
              <w:rPr>
                <w:rFonts w:hint="eastAsia" w:ascii="仿宋" w:hAnsi="仿宋" w:eastAsia="仿宋" w:cs="仿宋"/>
                <w:b w:val="0"/>
                <w:bCs w:val="0"/>
                <w:color w:val="auto"/>
                <w:sz w:val="24"/>
                <w:highlight w:val="none"/>
                <w:lang w:eastAsia="zh-CN"/>
              </w:rPr>
              <w:t>调解不成功</w:t>
            </w:r>
            <w:r>
              <w:rPr>
                <w:rFonts w:hint="eastAsia" w:ascii="仿宋" w:hAnsi="仿宋" w:eastAsia="仿宋" w:cs="仿宋"/>
                <w:b w:val="0"/>
                <w:bCs w:val="0"/>
                <w:color w:val="auto"/>
                <w:sz w:val="24"/>
                <w:highlight w:val="none"/>
              </w:rPr>
              <w:t>案件录入</w:t>
            </w:r>
            <w:r>
              <w:rPr>
                <w:rFonts w:hint="eastAsia" w:ascii="仿宋" w:hAnsi="仿宋" w:eastAsia="仿宋" w:cs="仿宋"/>
                <w:b w:val="0"/>
                <w:bCs w:val="0"/>
                <w:color w:val="auto"/>
                <w:sz w:val="24"/>
                <w:highlight w:val="none"/>
                <w:lang w:eastAsia="zh-CN"/>
              </w:rPr>
              <w:t>“浙里调解”</w:t>
            </w:r>
            <w:r>
              <w:rPr>
                <w:rFonts w:hint="eastAsia" w:ascii="仿宋" w:hAnsi="仿宋" w:eastAsia="仿宋" w:cs="仿宋"/>
                <w:b w:val="0"/>
                <w:bCs w:val="0"/>
                <w:color w:val="auto"/>
                <w:sz w:val="24"/>
                <w:highlight w:val="none"/>
              </w:rPr>
              <w:t>平台的不超过20元/件。</w:t>
            </w:r>
          </w:p>
        </w:tc>
        <w:tc>
          <w:tcPr>
            <w:tcW w:w="2802" w:type="dxa"/>
            <w:tcBorders>
              <w:top w:val="single" w:color="auto" w:sz="4" w:space="0"/>
              <w:left w:val="single" w:color="auto" w:sz="2" w:space="0"/>
              <w:bottom w:val="single" w:color="auto" w:sz="4" w:space="0"/>
              <w:right w:val="single" w:color="auto" w:sz="4" w:space="0"/>
            </w:tcBorders>
            <w:noWrap w:val="0"/>
            <w:vAlign w:val="center"/>
          </w:tcPr>
          <w:p w14:paraId="0CD6E2FA">
            <w:pPr>
              <w:jc w:val="center"/>
              <w:rPr>
                <w:rFonts w:hint="eastAsia" w:ascii="仿宋" w:hAnsi="仿宋" w:eastAsia="仿宋" w:cs="仿宋"/>
                <w:b/>
                <w:bCs/>
                <w:color w:val="auto"/>
                <w:sz w:val="24"/>
                <w:szCs w:val="21"/>
                <w:highlight w:val="none"/>
                <w:u w:val="single"/>
              </w:rPr>
            </w:pPr>
            <w:r>
              <w:rPr>
                <w:rFonts w:hint="eastAsia" w:ascii="仿宋" w:hAnsi="仿宋" w:eastAsia="仿宋" w:cs="仿宋"/>
                <w:b/>
                <w:bCs/>
                <w:color w:val="auto"/>
                <w:sz w:val="24"/>
                <w:szCs w:val="21"/>
                <w:highlight w:val="none"/>
                <w:u w:val="single"/>
              </w:rPr>
              <w:t xml:space="preserve">    </w:t>
            </w:r>
            <w:r>
              <w:rPr>
                <w:rFonts w:hint="eastAsia" w:ascii="仿宋" w:hAnsi="仿宋" w:eastAsia="仿宋" w:cs="仿宋"/>
                <w:b/>
                <w:bCs/>
                <w:color w:val="auto"/>
                <w:sz w:val="24"/>
                <w:szCs w:val="21"/>
                <w:highlight w:val="none"/>
              </w:rPr>
              <w:t>元/件</w:t>
            </w:r>
          </w:p>
        </w:tc>
      </w:tr>
    </w:tbl>
    <w:p w14:paraId="4B5E50FC">
      <w:pPr>
        <w:snapToGrid w:val="0"/>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注：调解成功并形成调解案卷一般型不超过550元/件（一般型纠纷：赔补偿低于20万元、涉案标的低于100万元等其他一般纠纷）；调解成功并形成调解案卷疑难型不超过1500元/件（疑难型纠纷：赔补偿20万元以上、涉案标的100万元及以上或5人至10人群体性纠纷等其他疑难纠纷）；调解成功并形成调解案卷重大型不超过3000元/件（重大型纠纷：亡人或涉案标的500万元及以上或10人及以上群体性及其他重大纠纷）；其他调解不成功案件录入“浙里调解”平台的不超过20元/件。</w:t>
      </w:r>
    </w:p>
    <w:p w14:paraId="6686CBD3">
      <w:pPr>
        <w:pStyle w:val="2"/>
        <w:tabs>
          <w:tab w:val="left" w:pos="706"/>
          <w:tab w:val="clear" w:pos="432"/>
        </w:tabs>
        <w:ind w:left="0" w:firstLine="482"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十一、结算原则和支付方式</w:t>
      </w:r>
    </w:p>
    <w:p w14:paraId="387E10A5">
      <w:pPr>
        <w:pStyle w:val="974"/>
        <w:spacing w:line="360" w:lineRule="auto"/>
        <w:ind w:firstLine="472" w:firstLineChars="196"/>
        <w:rPr>
          <w:rFonts w:hint="eastAsia" w:ascii="仿宋" w:hAnsi="仿宋" w:eastAsia="仿宋" w:cs="仿宋"/>
          <w:bCs/>
          <w:color w:val="auto"/>
          <w:szCs w:val="24"/>
          <w:highlight w:val="none"/>
          <w:lang w:val="en-US"/>
        </w:rPr>
      </w:pPr>
      <w:r>
        <w:rPr>
          <w:rFonts w:hint="eastAsia" w:ascii="仿宋" w:hAnsi="仿宋" w:eastAsia="仿宋" w:cs="仿宋"/>
          <w:b/>
          <w:color w:val="auto"/>
          <w:szCs w:val="24"/>
          <w:highlight w:val="none"/>
          <w:lang w:val="en-US"/>
        </w:rPr>
        <w:t>1、结算原则：</w:t>
      </w:r>
      <w:r>
        <w:rPr>
          <w:rFonts w:hint="eastAsia" w:ascii="仿宋" w:hAnsi="仿宋" w:eastAsia="仿宋" w:cs="仿宋"/>
          <w:bCs/>
          <w:color w:val="auto"/>
          <w:szCs w:val="24"/>
          <w:highlight w:val="none"/>
          <w:lang w:val="en-US"/>
        </w:rPr>
        <w:t>根据本项目中标单位的中标单价结算，采购人不会因政策性调价、人工成本、材料、设备使用年限增长引起的维修成本增加和效能衰减等因素(不可抗力除外)的变动而进行调整。中标人因自身原因造成返工的工作量，采购人将不予计量和支付。</w:t>
      </w:r>
    </w:p>
    <w:p w14:paraId="5C4D8EF3">
      <w:pPr>
        <w:adjustRightInd/>
        <w:spacing w:line="360" w:lineRule="auto"/>
        <w:ind w:firstLine="482" w:firstLineChars="200"/>
        <w:jc w:val="left"/>
        <w:outlineLvl w:val="1"/>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最终按调解成功的件数结算，</w:t>
      </w:r>
      <w:r>
        <w:rPr>
          <w:rFonts w:hint="eastAsia" w:ascii="仿宋" w:hAnsi="仿宋" w:eastAsia="仿宋" w:cs="仿宋"/>
          <w:b/>
          <w:bCs w:val="0"/>
          <w:color w:val="auto"/>
          <w:sz w:val="24"/>
          <w:highlight w:val="none"/>
        </w:rPr>
        <w:t>即结算价=中标综合单价（不同类型调解投标单价）×实际调解成功件数。</w:t>
      </w:r>
    </w:p>
    <w:p w14:paraId="7A181276">
      <w:pPr>
        <w:pStyle w:val="974"/>
        <w:spacing w:line="360" w:lineRule="auto"/>
        <w:ind w:firstLine="482" w:firstLineChars="200"/>
        <w:rPr>
          <w:rFonts w:hint="eastAsia" w:ascii="仿宋" w:hAnsi="仿宋" w:eastAsia="仿宋" w:cs="仿宋"/>
          <w:bCs/>
          <w:color w:val="auto"/>
          <w:szCs w:val="24"/>
          <w:highlight w:val="none"/>
          <w:lang w:val="en-US"/>
        </w:rPr>
      </w:pPr>
      <w:r>
        <w:rPr>
          <w:rFonts w:hint="eastAsia" w:ascii="仿宋" w:hAnsi="仿宋" w:eastAsia="仿宋" w:cs="仿宋"/>
          <w:b/>
          <w:color w:val="auto"/>
          <w:szCs w:val="24"/>
          <w:highlight w:val="none"/>
          <w:lang w:val="en-US"/>
        </w:rPr>
        <w:t>2、支付方式：</w:t>
      </w:r>
      <w:r>
        <w:rPr>
          <w:rFonts w:hint="eastAsia" w:ascii="仿宋" w:hAnsi="仿宋" w:eastAsia="仿宋" w:cs="仿宋"/>
          <w:bCs/>
          <w:color w:val="auto"/>
          <w:szCs w:val="24"/>
          <w:highlight w:val="none"/>
          <w:lang w:val="en-US"/>
        </w:rPr>
        <w:t>本项目合同金额采用分期付款方式，在采购人和中标人合同签订后，且财政资金到位后，按下款要求支付相应的合同款项。分期付款的时间进度要求和支付比例具体如下：</w:t>
      </w:r>
    </w:p>
    <w:p w14:paraId="7EE64B17">
      <w:pPr>
        <w:pStyle w:val="974"/>
        <w:spacing w:line="360" w:lineRule="auto"/>
        <w:ind w:firstLine="480" w:firstLineChars="200"/>
        <w:rPr>
          <w:rFonts w:hint="eastAsia" w:ascii="仿宋" w:hAnsi="仿宋" w:eastAsia="仿宋" w:cs="仿宋"/>
          <w:bCs/>
          <w:color w:val="auto"/>
          <w:szCs w:val="24"/>
          <w:highlight w:val="none"/>
          <w:lang w:val="en-US"/>
        </w:rPr>
      </w:pPr>
      <w:r>
        <w:rPr>
          <w:rFonts w:hint="eastAsia" w:ascii="仿宋" w:hAnsi="仿宋" w:eastAsia="仿宋" w:cs="仿宋"/>
          <w:bCs/>
          <w:color w:val="auto"/>
          <w:szCs w:val="24"/>
          <w:highlight w:val="none"/>
          <w:lang w:val="en-US"/>
        </w:rPr>
        <w:t>(1)签订合同后，预付合同金额的50%；支付前须项目启动且实施人员到位并已按采购需求进行调解工作；</w:t>
      </w:r>
    </w:p>
    <w:p w14:paraId="0C25840A">
      <w:pPr>
        <w:pStyle w:val="974"/>
        <w:spacing w:line="360" w:lineRule="auto"/>
        <w:ind w:firstLine="480" w:firstLineChars="200"/>
        <w:rPr>
          <w:rFonts w:hint="eastAsia" w:ascii="仿宋" w:hAnsi="仿宋" w:eastAsia="仿宋" w:cs="仿宋"/>
          <w:bCs/>
          <w:color w:val="auto"/>
          <w:szCs w:val="24"/>
          <w:highlight w:val="none"/>
          <w:lang w:val="en-US"/>
        </w:rPr>
      </w:pPr>
      <w:r>
        <w:rPr>
          <w:rFonts w:hint="eastAsia" w:ascii="仿宋" w:hAnsi="仿宋" w:eastAsia="仿宋" w:cs="仿宋"/>
          <w:bCs/>
          <w:color w:val="auto"/>
          <w:szCs w:val="24"/>
          <w:highlight w:val="none"/>
          <w:lang w:val="en-US"/>
        </w:rPr>
        <w:t>(2)项目进行满6个月或数量已达半年度预计件数后进行中期考核评估，考核结果公布的10个工作日内支付合同金额的40%；</w:t>
      </w:r>
    </w:p>
    <w:p w14:paraId="3214357C">
      <w:pPr>
        <w:pStyle w:val="974"/>
        <w:spacing w:line="360" w:lineRule="auto"/>
        <w:ind w:firstLine="480" w:firstLineChars="200"/>
        <w:rPr>
          <w:rFonts w:hint="eastAsia" w:ascii="仿宋" w:hAnsi="仿宋" w:eastAsia="仿宋" w:cs="仿宋"/>
          <w:bCs/>
          <w:color w:val="auto"/>
          <w:szCs w:val="24"/>
          <w:highlight w:val="none"/>
          <w:lang w:val="en-US"/>
        </w:rPr>
      </w:pPr>
      <w:r>
        <w:rPr>
          <w:rFonts w:hint="eastAsia" w:ascii="仿宋" w:hAnsi="仿宋" w:eastAsia="仿宋" w:cs="仿宋"/>
          <w:bCs/>
          <w:color w:val="auto"/>
          <w:szCs w:val="24"/>
          <w:highlight w:val="none"/>
          <w:lang w:val="en-US"/>
        </w:rPr>
        <w:t>(3)项目预计数量已完成或预算资金已完成则进入履约服务考核评估验收，验收完成后，结合中期和验收结果支付剩余合同价款。</w:t>
      </w:r>
    </w:p>
    <w:p w14:paraId="14F1BA37">
      <w:pPr>
        <w:pStyle w:val="2"/>
        <w:tabs>
          <w:tab w:val="left" w:pos="706"/>
          <w:tab w:val="clear" w:pos="432"/>
        </w:tabs>
        <w:ind w:left="0" w:firstLine="482"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十二、采购人认为必须说明的其他内容</w:t>
      </w:r>
    </w:p>
    <w:p w14:paraId="7AD5AA20">
      <w:pPr>
        <w:spacing w:line="360" w:lineRule="auto"/>
        <w:ind w:firstLine="482" w:firstLineChars="20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1、考核评估内容中标后由采购单位提供。</w:t>
      </w:r>
    </w:p>
    <w:p w14:paraId="13F0524A">
      <w:pPr>
        <w:spacing w:line="360" w:lineRule="auto"/>
        <w:ind w:firstLine="480" w:firstLineChars="200"/>
        <w:jc w:val="left"/>
        <w:outlineLvl w:val="1"/>
        <w:rPr>
          <w:rFonts w:hint="eastAsia" w:ascii="仿宋" w:hAnsi="仿宋" w:eastAsia="仿宋" w:cs="仿宋"/>
          <w:b/>
          <w:bCs/>
          <w:color w:val="auto"/>
          <w:sz w:val="24"/>
          <w:highlight w:val="none"/>
        </w:rPr>
      </w:pPr>
      <w:r>
        <w:rPr>
          <w:rFonts w:hint="eastAsia" w:ascii="仿宋" w:hAnsi="仿宋" w:eastAsia="仿宋" w:cs="仿宋"/>
          <w:bCs/>
          <w:color w:val="auto"/>
          <w:sz w:val="24"/>
          <w:highlight w:val="none"/>
        </w:rPr>
        <w:t>2、受托方应尽职尽责为采购人提供服务，按时、按质、按量完成采购人委托业务。</w:t>
      </w:r>
    </w:p>
    <w:p w14:paraId="670A0E9F">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3、本采购需求未明示的相关需求及服务，按采购人要求执行。</w:t>
      </w:r>
    </w:p>
    <w:p w14:paraId="514A4CE3">
      <w:pPr>
        <w:snapToGrid w:val="0"/>
        <w:spacing w:line="360" w:lineRule="auto"/>
        <w:rPr>
          <w:rFonts w:hint="eastAsia" w:ascii="仿宋" w:hAnsi="仿宋" w:eastAsia="仿宋" w:cs="仿宋"/>
          <w:color w:val="auto"/>
          <w:sz w:val="24"/>
          <w:szCs w:val="22"/>
          <w:highlight w:val="none"/>
        </w:rPr>
      </w:pPr>
    </w:p>
    <w:p w14:paraId="2E53C731">
      <w:pPr>
        <w:spacing w:line="360" w:lineRule="auto"/>
        <w:ind w:firstLine="883"/>
        <w:jc w:val="left"/>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br w:type="page"/>
      </w:r>
    </w:p>
    <w:p w14:paraId="2C82BA86">
      <w:pPr>
        <w:spacing w:line="360" w:lineRule="auto"/>
        <w:ind w:left="-420" w:leftChars="-200" w:firstLine="883"/>
        <w:jc w:val="center"/>
        <w:outlineLvl w:val="0"/>
        <w:rPr>
          <w:rFonts w:hint="eastAsia" w:ascii="仿宋" w:hAnsi="仿宋" w:eastAsia="仿宋" w:cs="仿宋"/>
          <w:b/>
          <w:color w:val="auto"/>
          <w:sz w:val="24"/>
          <w:highlight w:val="none"/>
        </w:rPr>
      </w:pPr>
      <w:r>
        <w:rPr>
          <w:rFonts w:hint="eastAsia" w:ascii="仿宋" w:hAnsi="仿宋" w:eastAsia="仿宋" w:cs="仿宋"/>
          <w:b/>
          <w:color w:val="auto"/>
          <w:sz w:val="44"/>
          <w:szCs w:val="44"/>
          <w:highlight w:val="none"/>
        </w:rPr>
        <w:t xml:space="preserve">第四部分   </w:t>
      </w:r>
      <w:bookmarkStart w:id="28" w:name="_Toc184312110"/>
      <w:bookmarkEnd w:id="28"/>
      <w:bookmarkStart w:id="29" w:name="_Toc184313255"/>
      <w:bookmarkEnd w:id="29"/>
      <w:bookmarkStart w:id="30" w:name="_Toc184314424"/>
      <w:bookmarkEnd w:id="30"/>
      <w:bookmarkStart w:id="31" w:name="_Toc184310305"/>
      <w:bookmarkEnd w:id="31"/>
      <w:bookmarkStart w:id="32" w:name="_Toc184308046"/>
      <w:bookmarkEnd w:id="32"/>
      <w:bookmarkStart w:id="33" w:name="_Toc184310302"/>
      <w:bookmarkEnd w:id="33"/>
      <w:bookmarkStart w:id="34" w:name="_Toc184312113"/>
      <w:bookmarkEnd w:id="34"/>
      <w:bookmarkStart w:id="35" w:name="_Toc184313309"/>
      <w:bookmarkEnd w:id="35"/>
      <w:bookmarkStart w:id="36" w:name="_Toc184308087"/>
      <w:bookmarkEnd w:id="36"/>
      <w:bookmarkStart w:id="37" w:name="_Toc184312097"/>
      <w:bookmarkEnd w:id="37"/>
      <w:bookmarkStart w:id="38" w:name="_Toc184310295"/>
      <w:bookmarkEnd w:id="38"/>
      <w:bookmarkStart w:id="39" w:name="_Toc184310279"/>
      <w:bookmarkEnd w:id="39"/>
      <w:bookmarkStart w:id="40" w:name="_Toc184308098"/>
      <w:bookmarkEnd w:id="40"/>
      <w:bookmarkStart w:id="41" w:name="_Toc184308061"/>
      <w:bookmarkEnd w:id="41"/>
      <w:bookmarkStart w:id="42" w:name="_Toc184312092"/>
      <w:bookmarkEnd w:id="42"/>
      <w:bookmarkStart w:id="43" w:name="_Toc184313263"/>
      <w:bookmarkEnd w:id="43"/>
      <w:bookmarkStart w:id="44" w:name="_Toc184310335"/>
      <w:bookmarkEnd w:id="44"/>
      <w:bookmarkStart w:id="45" w:name="_Toc184310339"/>
      <w:bookmarkEnd w:id="45"/>
      <w:bookmarkStart w:id="46" w:name="_Toc184314425"/>
      <w:bookmarkEnd w:id="46"/>
      <w:bookmarkStart w:id="47" w:name="_Toc184312102"/>
      <w:bookmarkEnd w:id="47"/>
      <w:bookmarkStart w:id="48" w:name="_Toc184313280"/>
      <w:bookmarkEnd w:id="48"/>
      <w:bookmarkStart w:id="49" w:name="_Toc184312136"/>
      <w:bookmarkEnd w:id="49"/>
      <w:bookmarkStart w:id="50" w:name="_Toc184310294"/>
      <w:bookmarkEnd w:id="50"/>
      <w:bookmarkStart w:id="51" w:name="_Toc184314455"/>
      <w:bookmarkEnd w:id="51"/>
      <w:bookmarkStart w:id="52" w:name="_Toc184312103"/>
      <w:bookmarkEnd w:id="52"/>
      <w:bookmarkStart w:id="53" w:name="_Toc184314426"/>
      <w:bookmarkEnd w:id="53"/>
      <w:bookmarkStart w:id="54" w:name="_Toc184308080"/>
      <w:bookmarkEnd w:id="54"/>
      <w:bookmarkStart w:id="55" w:name="_Toc184312079"/>
      <w:bookmarkEnd w:id="55"/>
      <w:bookmarkStart w:id="56" w:name="_Toc184310281"/>
      <w:bookmarkEnd w:id="56"/>
      <w:bookmarkStart w:id="57" w:name="_Toc184313253"/>
      <w:bookmarkEnd w:id="57"/>
      <w:bookmarkStart w:id="58" w:name="_Toc184308083"/>
      <w:bookmarkEnd w:id="58"/>
      <w:bookmarkStart w:id="59" w:name="_Toc184314475"/>
      <w:bookmarkEnd w:id="59"/>
      <w:bookmarkStart w:id="60" w:name="_Toc184310296"/>
      <w:bookmarkEnd w:id="60"/>
      <w:bookmarkStart w:id="61" w:name="_Toc184310308"/>
      <w:bookmarkEnd w:id="61"/>
      <w:bookmarkStart w:id="62" w:name="_Toc184314474"/>
      <w:bookmarkEnd w:id="62"/>
      <w:bookmarkStart w:id="63" w:name="_Toc184308096"/>
      <w:bookmarkEnd w:id="63"/>
      <w:bookmarkStart w:id="64" w:name="_Toc184308069"/>
      <w:bookmarkEnd w:id="64"/>
      <w:bookmarkStart w:id="65" w:name="_Toc184314413"/>
      <w:bookmarkEnd w:id="65"/>
      <w:bookmarkStart w:id="66" w:name="_Toc184308097"/>
      <w:bookmarkEnd w:id="66"/>
      <w:bookmarkStart w:id="67" w:name="_Toc184314432"/>
      <w:bookmarkEnd w:id="67"/>
      <w:bookmarkStart w:id="68" w:name="_Toc184310329"/>
      <w:bookmarkEnd w:id="68"/>
      <w:bookmarkStart w:id="69" w:name="_Toc184310320"/>
      <w:bookmarkEnd w:id="69"/>
      <w:bookmarkStart w:id="70" w:name="_Toc184308088"/>
      <w:bookmarkEnd w:id="70"/>
      <w:bookmarkStart w:id="71" w:name="_Toc184308059"/>
      <w:bookmarkEnd w:id="71"/>
      <w:bookmarkStart w:id="72" w:name="_Toc184313238"/>
      <w:bookmarkEnd w:id="72"/>
      <w:bookmarkStart w:id="73" w:name="_Toc184310298"/>
      <w:bookmarkEnd w:id="73"/>
      <w:bookmarkStart w:id="74" w:name="_Toc184308047"/>
      <w:bookmarkEnd w:id="74"/>
      <w:bookmarkStart w:id="75" w:name="_Toc184312096"/>
      <w:bookmarkEnd w:id="75"/>
      <w:bookmarkStart w:id="76" w:name="_Toc184313248"/>
      <w:bookmarkEnd w:id="76"/>
      <w:bookmarkStart w:id="77" w:name="_Toc184310326"/>
      <w:bookmarkEnd w:id="77"/>
      <w:bookmarkStart w:id="78" w:name="_Toc184312093"/>
      <w:bookmarkEnd w:id="78"/>
      <w:bookmarkStart w:id="79" w:name="_Toc184314439"/>
      <w:bookmarkEnd w:id="79"/>
      <w:bookmarkStart w:id="80" w:name="_Toc184308050"/>
      <w:bookmarkEnd w:id="80"/>
      <w:bookmarkStart w:id="81" w:name="_Toc184314411"/>
      <w:bookmarkEnd w:id="81"/>
      <w:bookmarkStart w:id="82" w:name="_Toc184314414"/>
      <w:bookmarkEnd w:id="82"/>
      <w:bookmarkStart w:id="83" w:name="_Toc184310340"/>
      <w:bookmarkEnd w:id="83"/>
      <w:bookmarkStart w:id="84" w:name="_Toc184310285"/>
      <w:bookmarkEnd w:id="84"/>
      <w:bookmarkStart w:id="85" w:name="_Toc184308085"/>
      <w:bookmarkEnd w:id="85"/>
      <w:bookmarkStart w:id="86" w:name="_Toc184313272"/>
      <w:bookmarkEnd w:id="86"/>
      <w:bookmarkStart w:id="87" w:name="_Toc184313239"/>
      <w:bookmarkEnd w:id="87"/>
      <w:bookmarkStart w:id="88" w:name="_Toc184310290"/>
      <w:bookmarkEnd w:id="88"/>
      <w:bookmarkStart w:id="89" w:name="_Toc184314449"/>
      <w:bookmarkEnd w:id="89"/>
      <w:bookmarkStart w:id="90" w:name="_Toc184314473"/>
      <w:bookmarkEnd w:id="90"/>
      <w:bookmarkStart w:id="91" w:name="_Toc184308051"/>
      <w:bookmarkEnd w:id="91"/>
      <w:bookmarkStart w:id="92" w:name="_Toc184312068"/>
      <w:bookmarkEnd w:id="92"/>
      <w:bookmarkStart w:id="93" w:name="_Toc184313290"/>
      <w:bookmarkEnd w:id="93"/>
      <w:bookmarkStart w:id="94" w:name="_Toc184312091"/>
      <w:bookmarkEnd w:id="94"/>
      <w:bookmarkStart w:id="95" w:name="_Toc184313298"/>
      <w:bookmarkEnd w:id="95"/>
      <w:bookmarkStart w:id="96" w:name="_Toc184314461"/>
      <w:bookmarkEnd w:id="96"/>
      <w:bookmarkStart w:id="97" w:name="_Toc184310274"/>
      <w:bookmarkEnd w:id="97"/>
      <w:bookmarkStart w:id="98" w:name="_Toc184312127"/>
      <w:bookmarkEnd w:id="98"/>
      <w:bookmarkStart w:id="99" w:name="_Toc184314478"/>
      <w:bookmarkEnd w:id="99"/>
      <w:bookmarkStart w:id="100" w:name="_Toc184314463"/>
      <w:bookmarkEnd w:id="100"/>
      <w:bookmarkStart w:id="101" w:name="_Toc184313247"/>
      <w:bookmarkEnd w:id="101"/>
      <w:bookmarkStart w:id="102" w:name="_Toc184313270"/>
      <w:bookmarkEnd w:id="102"/>
      <w:bookmarkStart w:id="103" w:name="_Toc184314445"/>
      <w:bookmarkEnd w:id="103"/>
      <w:bookmarkStart w:id="104" w:name="_Toc184310328"/>
      <w:bookmarkEnd w:id="104"/>
      <w:bookmarkStart w:id="105" w:name="_Toc184314440"/>
      <w:bookmarkEnd w:id="105"/>
      <w:bookmarkStart w:id="106" w:name="_Toc184314441"/>
      <w:bookmarkEnd w:id="106"/>
      <w:bookmarkStart w:id="107" w:name="_Toc184310289"/>
      <w:bookmarkEnd w:id="107"/>
      <w:bookmarkStart w:id="108" w:name="_Toc184312128"/>
      <w:bookmarkEnd w:id="108"/>
      <w:bookmarkStart w:id="109" w:name="_Toc184313261"/>
      <w:bookmarkEnd w:id="109"/>
      <w:bookmarkStart w:id="110" w:name="_Toc184308063"/>
      <w:bookmarkEnd w:id="110"/>
      <w:bookmarkStart w:id="111" w:name="_Toc184313273"/>
      <w:bookmarkEnd w:id="111"/>
      <w:bookmarkStart w:id="112" w:name="_Toc184312077"/>
      <w:bookmarkEnd w:id="112"/>
      <w:bookmarkStart w:id="113" w:name="_Toc184308068"/>
      <w:bookmarkEnd w:id="113"/>
      <w:bookmarkStart w:id="114" w:name="_Toc184314421"/>
      <w:bookmarkEnd w:id="114"/>
      <w:bookmarkStart w:id="115" w:name="_Toc184308067"/>
      <w:bookmarkEnd w:id="115"/>
      <w:bookmarkStart w:id="116" w:name="_Toc184312107"/>
      <w:bookmarkEnd w:id="116"/>
      <w:bookmarkStart w:id="117" w:name="_Toc184312125"/>
      <w:bookmarkEnd w:id="117"/>
      <w:bookmarkStart w:id="118" w:name="_Toc184308065"/>
      <w:bookmarkEnd w:id="118"/>
      <w:bookmarkStart w:id="119" w:name="_Toc184312133"/>
      <w:bookmarkEnd w:id="119"/>
      <w:bookmarkStart w:id="120" w:name="_Toc184310333"/>
      <w:bookmarkEnd w:id="120"/>
      <w:bookmarkStart w:id="121" w:name="_Toc184312117"/>
      <w:bookmarkEnd w:id="121"/>
      <w:bookmarkStart w:id="122" w:name="_Toc184308106"/>
      <w:bookmarkEnd w:id="122"/>
      <w:bookmarkStart w:id="123" w:name="_Toc184308071"/>
      <w:bookmarkEnd w:id="123"/>
      <w:bookmarkStart w:id="124" w:name="_Toc184308073"/>
      <w:bookmarkEnd w:id="124"/>
      <w:bookmarkStart w:id="125" w:name="_Toc184312124"/>
      <w:bookmarkEnd w:id="125"/>
      <w:bookmarkStart w:id="126" w:name="_Toc184310306"/>
      <w:bookmarkEnd w:id="126"/>
      <w:bookmarkStart w:id="127" w:name="_Toc184312078"/>
      <w:bookmarkEnd w:id="127"/>
      <w:bookmarkStart w:id="128" w:name="_Toc184308058"/>
      <w:bookmarkEnd w:id="128"/>
      <w:bookmarkStart w:id="129" w:name="_Toc184310277"/>
      <w:bookmarkEnd w:id="129"/>
      <w:bookmarkStart w:id="130" w:name="_Toc184308107"/>
      <w:bookmarkEnd w:id="130"/>
      <w:bookmarkStart w:id="131" w:name="_Toc184314453"/>
      <w:bookmarkEnd w:id="131"/>
      <w:bookmarkStart w:id="132" w:name="_Toc184313245"/>
      <w:bookmarkEnd w:id="132"/>
      <w:bookmarkStart w:id="133" w:name="_Toc184313289"/>
      <w:bookmarkEnd w:id="133"/>
      <w:bookmarkStart w:id="134" w:name="_Toc184308092"/>
      <w:bookmarkEnd w:id="134"/>
      <w:bookmarkStart w:id="135" w:name="_Toc184314458"/>
      <w:bookmarkEnd w:id="135"/>
      <w:bookmarkStart w:id="136" w:name="_Toc184314477"/>
      <w:bookmarkEnd w:id="136"/>
      <w:bookmarkStart w:id="137" w:name="_Toc184308079"/>
      <w:bookmarkEnd w:id="137"/>
      <w:bookmarkStart w:id="138" w:name="_Toc184312132"/>
      <w:bookmarkEnd w:id="138"/>
      <w:bookmarkStart w:id="139" w:name="_Toc184310338"/>
      <w:bookmarkEnd w:id="139"/>
      <w:bookmarkStart w:id="140" w:name="_Toc184310292"/>
      <w:bookmarkEnd w:id="140"/>
      <w:bookmarkStart w:id="141" w:name="_Toc184308053"/>
      <w:bookmarkEnd w:id="141"/>
      <w:bookmarkStart w:id="142" w:name="_Toc184314459"/>
      <w:bookmarkEnd w:id="142"/>
      <w:bookmarkStart w:id="143" w:name="_Toc184313304"/>
      <w:bookmarkEnd w:id="143"/>
      <w:bookmarkStart w:id="144" w:name="_Toc184314452"/>
      <w:bookmarkEnd w:id="144"/>
      <w:bookmarkStart w:id="145" w:name="_Toc184308104"/>
      <w:bookmarkEnd w:id="145"/>
      <w:bookmarkStart w:id="146" w:name="_Toc184313251"/>
      <w:bookmarkEnd w:id="146"/>
      <w:bookmarkStart w:id="147" w:name="_Toc184314467"/>
      <w:bookmarkEnd w:id="147"/>
      <w:bookmarkStart w:id="148" w:name="_Toc184314431"/>
      <w:bookmarkEnd w:id="148"/>
      <w:bookmarkStart w:id="149" w:name="_Toc184313275"/>
      <w:bookmarkEnd w:id="149"/>
      <w:bookmarkStart w:id="150" w:name="_Toc184313279"/>
      <w:bookmarkEnd w:id="150"/>
      <w:bookmarkStart w:id="151" w:name="_Toc184314447"/>
      <w:bookmarkEnd w:id="151"/>
      <w:bookmarkStart w:id="152" w:name="_Toc184314470"/>
      <w:bookmarkEnd w:id="152"/>
      <w:bookmarkStart w:id="153" w:name="_Toc184313276"/>
      <w:bookmarkEnd w:id="153"/>
      <w:bookmarkStart w:id="154" w:name="_Toc184314476"/>
      <w:bookmarkEnd w:id="154"/>
      <w:bookmarkStart w:id="155" w:name="_Toc184313300"/>
      <w:bookmarkEnd w:id="155"/>
      <w:bookmarkStart w:id="156" w:name="_Toc184312138"/>
      <w:bookmarkEnd w:id="156"/>
      <w:bookmarkStart w:id="157" w:name="_Toc184313288"/>
      <w:bookmarkEnd w:id="157"/>
      <w:bookmarkStart w:id="158" w:name="_Toc184312139"/>
      <w:bookmarkEnd w:id="158"/>
      <w:bookmarkStart w:id="159" w:name="_Toc184308044"/>
      <w:bookmarkEnd w:id="159"/>
      <w:bookmarkStart w:id="160" w:name="_Toc184313284"/>
      <w:bookmarkEnd w:id="160"/>
      <w:bookmarkStart w:id="161" w:name="_Toc184313301"/>
      <w:bookmarkEnd w:id="161"/>
      <w:bookmarkStart w:id="162" w:name="_Toc184310293"/>
      <w:bookmarkEnd w:id="162"/>
      <w:bookmarkStart w:id="163" w:name="_Toc184313242"/>
      <w:bookmarkEnd w:id="163"/>
      <w:bookmarkStart w:id="164" w:name="_Toc184312114"/>
      <w:bookmarkEnd w:id="164"/>
      <w:bookmarkStart w:id="165" w:name="_Toc184308082"/>
      <w:bookmarkEnd w:id="165"/>
      <w:bookmarkStart w:id="166" w:name="_Toc184310307"/>
      <w:bookmarkEnd w:id="166"/>
      <w:bookmarkStart w:id="167" w:name="_Toc184308072"/>
      <w:bookmarkEnd w:id="167"/>
      <w:bookmarkStart w:id="168" w:name="_Toc184310334"/>
      <w:bookmarkEnd w:id="168"/>
      <w:bookmarkStart w:id="169" w:name="_Toc184312084"/>
      <w:bookmarkEnd w:id="169"/>
      <w:bookmarkStart w:id="170" w:name="_Toc184310311"/>
      <w:bookmarkEnd w:id="170"/>
      <w:bookmarkStart w:id="171" w:name="_Toc184308055"/>
      <w:bookmarkEnd w:id="171"/>
      <w:bookmarkStart w:id="172" w:name="_Toc184310319"/>
      <w:bookmarkEnd w:id="172"/>
      <w:bookmarkStart w:id="173" w:name="_Toc184308094"/>
      <w:bookmarkEnd w:id="173"/>
      <w:bookmarkStart w:id="174" w:name="_Toc184312099"/>
      <w:bookmarkEnd w:id="174"/>
      <w:bookmarkStart w:id="175" w:name="_Toc184314451"/>
      <w:bookmarkEnd w:id="175"/>
      <w:bookmarkStart w:id="176" w:name="_Toc184314443"/>
      <w:bookmarkEnd w:id="176"/>
      <w:bookmarkStart w:id="177" w:name="_Toc184308048"/>
      <w:bookmarkEnd w:id="177"/>
      <w:bookmarkStart w:id="178" w:name="_Toc184312073"/>
      <w:bookmarkEnd w:id="178"/>
      <w:bookmarkStart w:id="179" w:name="_Toc184314437"/>
      <w:bookmarkEnd w:id="179"/>
      <w:bookmarkStart w:id="180" w:name="_Toc184308074"/>
      <w:bookmarkEnd w:id="180"/>
      <w:bookmarkStart w:id="181" w:name="_Toc184312134"/>
      <w:bookmarkEnd w:id="181"/>
      <w:bookmarkStart w:id="182" w:name="_Toc184308045"/>
      <w:bookmarkEnd w:id="182"/>
      <w:bookmarkStart w:id="183" w:name="_Toc184308103"/>
      <w:bookmarkEnd w:id="183"/>
      <w:bookmarkStart w:id="184" w:name="_Toc184308095"/>
      <w:bookmarkEnd w:id="184"/>
      <w:bookmarkStart w:id="185" w:name="_Toc184313308"/>
      <w:bookmarkEnd w:id="185"/>
      <w:bookmarkStart w:id="186" w:name="_Toc184313249"/>
      <w:bookmarkEnd w:id="186"/>
      <w:bookmarkStart w:id="187" w:name="_Toc184313283"/>
      <w:bookmarkEnd w:id="187"/>
      <w:bookmarkStart w:id="188" w:name="_Toc184313310"/>
      <w:bookmarkEnd w:id="188"/>
      <w:bookmarkStart w:id="189" w:name="_Toc184312137"/>
      <w:bookmarkEnd w:id="189"/>
      <w:bookmarkStart w:id="190" w:name="_Toc184308039"/>
      <w:bookmarkEnd w:id="190"/>
      <w:bookmarkStart w:id="191" w:name="_Toc184312094"/>
      <w:bookmarkEnd w:id="191"/>
      <w:bookmarkStart w:id="192" w:name="_Toc184313278"/>
      <w:bookmarkEnd w:id="192"/>
      <w:bookmarkStart w:id="193" w:name="_Toc184312105"/>
      <w:bookmarkEnd w:id="193"/>
      <w:bookmarkStart w:id="194" w:name="_Toc184308070"/>
      <w:bookmarkEnd w:id="194"/>
      <w:bookmarkStart w:id="195" w:name="_Toc184313269"/>
      <w:bookmarkEnd w:id="195"/>
      <w:bookmarkStart w:id="196" w:name="_Toc184312069"/>
      <w:bookmarkEnd w:id="196"/>
      <w:bookmarkStart w:id="197" w:name="_Toc184308043"/>
      <w:bookmarkEnd w:id="197"/>
      <w:bookmarkStart w:id="198" w:name="_Toc184312075"/>
      <w:bookmarkEnd w:id="198"/>
      <w:bookmarkStart w:id="199" w:name="_Toc184308091"/>
      <w:bookmarkEnd w:id="199"/>
      <w:bookmarkStart w:id="200" w:name="_Toc184314482"/>
      <w:bookmarkEnd w:id="200"/>
      <w:bookmarkStart w:id="201" w:name="_Toc184314412"/>
      <w:bookmarkEnd w:id="201"/>
      <w:bookmarkStart w:id="202" w:name="_Toc184308102"/>
      <w:bookmarkEnd w:id="202"/>
      <w:bookmarkStart w:id="203" w:name="_Toc184312104"/>
      <w:bookmarkEnd w:id="203"/>
      <w:bookmarkStart w:id="204" w:name="_Toc184313259"/>
      <w:bookmarkEnd w:id="204"/>
      <w:bookmarkStart w:id="205" w:name="_Toc184310301"/>
      <w:bookmarkEnd w:id="205"/>
      <w:bookmarkStart w:id="206" w:name="_Toc184310343"/>
      <w:bookmarkEnd w:id="206"/>
      <w:bookmarkStart w:id="207" w:name="_Toc184314462"/>
      <w:bookmarkEnd w:id="207"/>
      <w:bookmarkStart w:id="208" w:name="_Toc184310337"/>
      <w:bookmarkEnd w:id="208"/>
      <w:bookmarkStart w:id="209" w:name="_Toc184313241"/>
      <w:bookmarkEnd w:id="209"/>
      <w:bookmarkStart w:id="210" w:name="_Toc184310321"/>
      <w:bookmarkEnd w:id="210"/>
      <w:bookmarkStart w:id="211" w:name="_Toc184313258"/>
      <w:bookmarkEnd w:id="211"/>
      <w:bookmarkStart w:id="212" w:name="_Toc184313302"/>
      <w:bookmarkEnd w:id="212"/>
      <w:bookmarkStart w:id="213" w:name="_Toc184314450"/>
      <w:bookmarkEnd w:id="213"/>
      <w:bookmarkStart w:id="214" w:name="_Toc184313292"/>
      <w:bookmarkEnd w:id="214"/>
      <w:bookmarkStart w:id="215" w:name="_Toc184312109"/>
      <w:bookmarkEnd w:id="215"/>
      <w:bookmarkStart w:id="216" w:name="_Toc184313243"/>
      <w:bookmarkEnd w:id="216"/>
      <w:bookmarkStart w:id="217" w:name="_Toc184310312"/>
      <w:bookmarkEnd w:id="217"/>
      <w:bookmarkStart w:id="218" w:name="_Toc184313256"/>
      <w:bookmarkEnd w:id="218"/>
      <w:bookmarkStart w:id="219" w:name="_Toc184312126"/>
      <w:bookmarkEnd w:id="219"/>
      <w:bookmarkStart w:id="220" w:name="_Toc184314417"/>
      <w:bookmarkEnd w:id="220"/>
      <w:bookmarkStart w:id="221" w:name="_Toc184314428"/>
      <w:bookmarkEnd w:id="221"/>
      <w:bookmarkStart w:id="222" w:name="_Toc184314410"/>
      <w:bookmarkEnd w:id="222"/>
      <w:bookmarkStart w:id="223" w:name="_Toc184313277"/>
      <w:bookmarkEnd w:id="223"/>
      <w:bookmarkStart w:id="224" w:name="_Toc184314416"/>
      <w:bookmarkEnd w:id="224"/>
      <w:bookmarkStart w:id="225" w:name="_Toc184314430"/>
      <w:bookmarkEnd w:id="225"/>
      <w:bookmarkStart w:id="226" w:name="_Toc184313296"/>
      <w:bookmarkEnd w:id="226"/>
      <w:bookmarkStart w:id="227" w:name="_Toc184310330"/>
      <w:bookmarkEnd w:id="227"/>
      <w:bookmarkStart w:id="228" w:name="_Toc184314429"/>
      <w:bookmarkEnd w:id="228"/>
      <w:bookmarkStart w:id="229" w:name="_Toc184310297"/>
      <w:bookmarkEnd w:id="229"/>
      <w:bookmarkStart w:id="230" w:name="_Toc184313295"/>
      <w:bookmarkEnd w:id="230"/>
      <w:bookmarkStart w:id="231" w:name="_Toc184313265"/>
      <w:bookmarkEnd w:id="231"/>
      <w:bookmarkStart w:id="232" w:name="_Toc184308078"/>
      <w:bookmarkEnd w:id="232"/>
      <w:bookmarkStart w:id="233" w:name="_Toc184308081"/>
      <w:bookmarkEnd w:id="233"/>
      <w:bookmarkStart w:id="234" w:name="_Toc184312076"/>
      <w:bookmarkEnd w:id="234"/>
      <w:bookmarkStart w:id="235" w:name="_Toc184310272"/>
      <w:bookmarkEnd w:id="235"/>
      <w:bookmarkStart w:id="236" w:name="_Toc184310283"/>
      <w:bookmarkEnd w:id="236"/>
      <w:bookmarkStart w:id="237" w:name="_Toc184310280"/>
      <w:bookmarkEnd w:id="237"/>
      <w:bookmarkStart w:id="238" w:name="_Toc184313262"/>
      <w:bookmarkEnd w:id="238"/>
      <w:bookmarkStart w:id="239" w:name="_Toc184314418"/>
      <w:bookmarkEnd w:id="239"/>
      <w:bookmarkStart w:id="240" w:name="_Toc184308052"/>
      <w:bookmarkEnd w:id="240"/>
      <w:bookmarkStart w:id="241" w:name="_Toc184308100"/>
      <w:bookmarkEnd w:id="241"/>
      <w:bookmarkStart w:id="242" w:name="_Toc184314481"/>
      <w:bookmarkEnd w:id="242"/>
      <w:bookmarkStart w:id="243" w:name="_Toc184313303"/>
      <w:bookmarkEnd w:id="243"/>
      <w:bookmarkStart w:id="244" w:name="_Toc184313286"/>
      <w:bookmarkEnd w:id="244"/>
      <w:bookmarkStart w:id="245" w:name="_Toc184313264"/>
      <w:bookmarkEnd w:id="245"/>
      <w:bookmarkStart w:id="246" w:name="_Toc184313246"/>
      <w:bookmarkEnd w:id="246"/>
      <w:bookmarkStart w:id="247" w:name="_Toc184312082"/>
      <w:bookmarkEnd w:id="247"/>
      <w:bookmarkStart w:id="248" w:name="_Toc184312121"/>
      <w:bookmarkEnd w:id="248"/>
      <w:bookmarkStart w:id="249" w:name="_Toc184310341"/>
      <w:bookmarkEnd w:id="249"/>
      <w:bookmarkStart w:id="250" w:name="_Toc184314435"/>
      <w:bookmarkEnd w:id="250"/>
      <w:bookmarkStart w:id="251" w:name="_Toc184314436"/>
      <w:bookmarkEnd w:id="251"/>
      <w:bookmarkStart w:id="252" w:name="_Toc184310318"/>
      <w:bookmarkEnd w:id="252"/>
      <w:bookmarkStart w:id="253" w:name="_Toc184312095"/>
      <w:bookmarkEnd w:id="253"/>
      <w:bookmarkStart w:id="254" w:name="_Toc184312122"/>
      <w:bookmarkEnd w:id="254"/>
      <w:bookmarkStart w:id="255" w:name="_Toc184310315"/>
      <w:bookmarkEnd w:id="255"/>
      <w:bookmarkStart w:id="256" w:name="_Toc184314472"/>
      <w:bookmarkEnd w:id="256"/>
      <w:bookmarkStart w:id="257" w:name="_Toc184314460"/>
      <w:bookmarkEnd w:id="257"/>
      <w:bookmarkStart w:id="258" w:name="_Toc184308108"/>
      <w:bookmarkEnd w:id="258"/>
      <w:bookmarkStart w:id="259" w:name="_Toc184312131"/>
      <w:bookmarkEnd w:id="259"/>
      <w:bookmarkStart w:id="260" w:name="_Toc184310275"/>
      <w:bookmarkEnd w:id="260"/>
      <w:bookmarkStart w:id="261" w:name="_Toc184314442"/>
      <w:bookmarkEnd w:id="261"/>
      <w:bookmarkStart w:id="262" w:name="_Toc184313252"/>
      <w:bookmarkEnd w:id="262"/>
      <w:bookmarkStart w:id="263" w:name="_Toc184313250"/>
      <w:bookmarkEnd w:id="263"/>
      <w:bookmarkStart w:id="264" w:name="_Toc184308049"/>
      <w:bookmarkEnd w:id="264"/>
      <w:bookmarkStart w:id="265" w:name="_Toc184308062"/>
      <w:bookmarkEnd w:id="265"/>
      <w:bookmarkStart w:id="266" w:name="_Toc184310303"/>
      <w:bookmarkEnd w:id="266"/>
      <w:bookmarkStart w:id="267" w:name="_Toc184314419"/>
      <w:bookmarkEnd w:id="267"/>
      <w:bookmarkStart w:id="268" w:name="_Toc184312086"/>
      <w:bookmarkEnd w:id="268"/>
      <w:bookmarkStart w:id="269" w:name="_Toc184314456"/>
      <w:bookmarkEnd w:id="269"/>
      <w:bookmarkStart w:id="270" w:name="_Toc184310310"/>
      <w:bookmarkEnd w:id="270"/>
      <w:bookmarkStart w:id="271" w:name="_Toc184313281"/>
      <w:bookmarkEnd w:id="271"/>
      <w:bookmarkStart w:id="272" w:name="_Toc184310276"/>
      <w:bookmarkEnd w:id="272"/>
      <w:bookmarkStart w:id="273" w:name="_Toc184312130"/>
      <w:bookmarkEnd w:id="273"/>
      <w:bookmarkStart w:id="274" w:name="_Toc184313293"/>
      <w:bookmarkEnd w:id="274"/>
      <w:bookmarkStart w:id="275" w:name="_Toc184310287"/>
      <w:bookmarkEnd w:id="275"/>
      <w:bookmarkStart w:id="276" w:name="_Toc184312090"/>
      <w:bookmarkEnd w:id="276"/>
      <w:bookmarkStart w:id="277" w:name="_Toc184310284"/>
      <w:bookmarkEnd w:id="277"/>
      <w:bookmarkStart w:id="278" w:name="_Toc184314446"/>
      <w:bookmarkEnd w:id="278"/>
      <w:bookmarkStart w:id="279" w:name="_Toc184312081"/>
      <w:bookmarkEnd w:id="279"/>
      <w:bookmarkStart w:id="280" w:name="_Toc184313271"/>
      <w:bookmarkEnd w:id="280"/>
      <w:bookmarkStart w:id="281" w:name="_Toc184312074"/>
      <w:bookmarkEnd w:id="281"/>
      <w:bookmarkStart w:id="282" w:name="_Toc184310309"/>
      <w:bookmarkEnd w:id="282"/>
      <w:bookmarkStart w:id="283" w:name="_Toc184310331"/>
      <w:bookmarkEnd w:id="283"/>
      <w:bookmarkStart w:id="284" w:name="_Toc184313267"/>
      <w:bookmarkEnd w:id="284"/>
      <w:bookmarkStart w:id="285" w:name="_Toc184308099"/>
      <w:bookmarkEnd w:id="285"/>
      <w:bookmarkStart w:id="286" w:name="_Toc184312098"/>
      <w:bookmarkEnd w:id="286"/>
      <w:bookmarkStart w:id="287" w:name="_Toc184312115"/>
      <w:bookmarkEnd w:id="287"/>
      <w:bookmarkStart w:id="288" w:name="_Toc184314444"/>
      <w:bookmarkEnd w:id="288"/>
      <w:bookmarkStart w:id="289" w:name="_Toc184313274"/>
      <w:bookmarkEnd w:id="289"/>
      <w:bookmarkStart w:id="290" w:name="_Toc184312135"/>
      <w:bookmarkEnd w:id="290"/>
      <w:bookmarkStart w:id="291" w:name="_Toc184308060"/>
      <w:bookmarkEnd w:id="291"/>
      <w:bookmarkStart w:id="292" w:name="_Toc184314448"/>
      <w:bookmarkEnd w:id="292"/>
      <w:bookmarkStart w:id="293" w:name="_Toc184314469"/>
      <w:bookmarkEnd w:id="293"/>
      <w:bookmarkStart w:id="294" w:name="_Toc184308101"/>
      <w:bookmarkEnd w:id="294"/>
      <w:bookmarkStart w:id="295" w:name="_Toc184314479"/>
      <w:bookmarkEnd w:id="295"/>
      <w:bookmarkStart w:id="296" w:name="_Toc184314423"/>
      <w:bookmarkEnd w:id="296"/>
      <w:bookmarkStart w:id="297" w:name="_Toc184314465"/>
      <w:bookmarkEnd w:id="297"/>
      <w:bookmarkStart w:id="298" w:name="_Toc184308089"/>
      <w:bookmarkEnd w:id="298"/>
      <w:bookmarkStart w:id="299" w:name="_Toc184308076"/>
      <w:bookmarkEnd w:id="299"/>
      <w:bookmarkStart w:id="300" w:name="_Toc184313260"/>
      <w:bookmarkEnd w:id="300"/>
      <w:bookmarkStart w:id="301" w:name="_Toc184310300"/>
      <w:bookmarkEnd w:id="301"/>
      <w:bookmarkStart w:id="302" w:name="_Toc184310299"/>
      <w:bookmarkEnd w:id="302"/>
      <w:bookmarkStart w:id="303" w:name="_Toc184314457"/>
      <w:bookmarkEnd w:id="303"/>
      <w:bookmarkStart w:id="304" w:name="_Toc184312072"/>
      <w:bookmarkEnd w:id="304"/>
      <w:bookmarkStart w:id="305" w:name="_Toc184310273"/>
      <w:bookmarkEnd w:id="305"/>
      <w:bookmarkStart w:id="306" w:name="_Toc184308042"/>
      <w:bookmarkEnd w:id="306"/>
      <w:bookmarkStart w:id="307" w:name="_Toc184312067"/>
      <w:bookmarkEnd w:id="307"/>
      <w:bookmarkStart w:id="308" w:name="_Toc184312120"/>
      <w:bookmarkEnd w:id="308"/>
      <w:bookmarkStart w:id="309" w:name="_Toc184312119"/>
      <w:bookmarkEnd w:id="309"/>
      <w:bookmarkStart w:id="310" w:name="_Toc184312089"/>
      <w:bookmarkEnd w:id="310"/>
      <w:bookmarkStart w:id="311" w:name="_Toc184313291"/>
      <w:bookmarkEnd w:id="311"/>
      <w:bookmarkStart w:id="312" w:name="_Toc184310286"/>
      <w:bookmarkEnd w:id="312"/>
      <w:bookmarkStart w:id="313" w:name="_Toc184308064"/>
      <w:bookmarkEnd w:id="313"/>
      <w:bookmarkStart w:id="314" w:name="_Toc184313294"/>
      <w:bookmarkEnd w:id="314"/>
      <w:bookmarkStart w:id="315" w:name="_Toc184308038"/>
      <w:bookmarkEnd w:id="315"/>
      <w:bookmarkStart w:id="316" w:name="_Toc184314471"/>
      <w:bookmarkEnd w:id="316"/>
      <w:bookmarkStart w:id="317" w:name="_Toc184314438"/>
      <w:bookmarkEnd w:id="317"/>
      <w:bookmarkStart w:id="318" w:name="_Toc184308090"/>
      <w:bookmarkEnd w:id="318"/>
      <w:bookmarkStart w:id="319" w:name="_Toc184310316"/>
      <w:bookmarkEnd w:id="319"/>
      <w:bookmarkStart w:id="320" w:name="_Toc184308041"/>
      <w:bookmarkEnd w:id="320"/>
      <w:bookmarkStart w:id="321" w:name="_Toc184314466"/>
      <w:bookmarkEnd w:id="321"/>
      <w:bookmarkStart w:id="322" w:name="_Toc184308036"/>
      <w:bookmarkEnd w:id="322"/>
      <w:bookmarkStart w:id="323" w:name="_Toc184308086"/>
      <w:bookmarkEnd w:id="323"/>
      <w:bookmarkStart w:id="324" w:name="_Toc184308093"/>
      <w:bookmarkEnd w:id="324"/>
      <w:bookmarkStart w:id="325" w:name="_Toc184312087"/>
      <w:bookmarkEnd w:id="325"/>
      <w:bookmarkStart w:id="326" w:name="_Toc184312129"/>
      <w:bookmarkEnd w:id="326"/>
      <w:bookmarkStart w:id="327" w:name="_Toc184313305"/>
      <w:bookmarkEnd w:id="327"/>
      <w:bookmarkStart w:id="328" w:name="_Toc184310314"/>
      <w:bookmarkEnd w:id="328"/>
      <w:bookmarkStart w:id="329" w:name="_Toc184312101"/>
      <w:bookmarkEnd w:id="329"/>
      <w:bookmarkStart w:id="330" w:name="_Toc184314427"/>
      <w:bookmarkEnd w:id="330"/>
      <w:bookmarkStart w:id="331" w:name="_Toc184314415"/>
      <w:bookmarkEnd w:id="331"/>
      <w:bookmarkStart w:id="332" w:name="_Toc184308105"/>
      <w:bookmarkEnd w:id="332"/>
      <w:bookmarkStart w:id="333" w:name="_Toc184313306"/>
      <w:bookmarkEnd w:id="333"/>
      <w:bookmarkStart w:id="334" w:name="_Toc184312123"/>
      <w:bookmarkEnd w:id="334"/>
      <w:bookmarkStart w:id="335" w:name="_Toc184313285"/>
      <w:bookmarkEnd w:id="335"/>
      <w:bookmarkStart w:id="336" w:name="_Toc184310278"/>
      <w:bookmarkEnd w:id="336"/>
      <w:bookmarkStart w:id="337" w:name="_Toc184310344"/>
      <w:bookmarkEnd w:id="337"/>
      <w:bookmarkStart w:id="338" w:name="_Toc184308057"/>
      <w:bookmarkEnd w:id="338"/>
      <w:bookmarkStart w:id="339" w:name="_Toc184313282"/>
      <w:bookmarkEnd w:id="339"/>
      <w:bookmarkStart w:id="340" w:name="_Toc184314468"/>
      <w:bookmarkEnd w:id="340"/>
      <w:bookmarkStart w:id="341" w:name="_Toc184313254"/>
      <w:bookmarkEnd w:id="341"/>
      <w:bookmarkStart w:id="342" w:name="_Toc184313307"/>
      <w:bookmarkEnd w:id="342"/>
      <w:bookmarkStart w:id="343" w:name="_Toc184313266"/>
      <w:bookmarkEnd w:id="343"/>
      <w:bookmarkStart w:id="344" w:name="_Toc184310282"/>
      <w:bookmarkEnd w:id="344"/>
      <w:bookmarkStart w:id="345" w:name="_Toc184312080"/>
      <w:bookmarkEnd w:id="345"/>
      <w:bookmarkStart w:id="346" w:name="_Toc184310313"/>
      <w:bookmarkEnd w:id="346"/>
      <w:bookmarkStart w:id="347" w:name="_Toc184313297"/>
      <w:bookmarkEnd w:id="347"/>
      <w:bookmarkStart w:id="348" w:name="_Toc184310323"/>
      <w:bookmarkEnd w:id="348"/>
      <w:bookmarkStart w:id="349" w:name="_Toc184308075"/>
      <w:bookmarkEnd w:id="349"/>
      <w:bookmarkStart w:id="350" w:name="_Toc184312071"/>
      <w:bookmarkEnd w:id="350"/>
      <w:bookmarkStart w:id="351" w:name="_Toc184314422"/>
      <w:bookmarkEnd w:id="351"/>
      <w:bookmarkStart w:id="352" w:name="_Toc184310288"/>
      <w:bookmarkEnd w:id="352"/>
      <w:bookmarkStart w:id="353" w:name="_Toc184312118"/>
      <w:bookmarkEnd w:id="353"/>
      <w:bookmarkStart w:id="354" w:name="_Toc184310332"/>
      <w:bookmarkEnd w:id="354"/>
      <w:bookmarkStart w:id="355" w:name="_Toc184314433"/>
      <w:bookmarkEnd w:id="355"/>
      <w:bookmarkStart w:id="356" w:name="_Toc184312111"/>
      <w:bookmarkEnd w:id="356"/>
      <w:bookmarkStart w:id="357" w:name="_Toc184314480"/>
      <w:bookmarkEnd w:id="357"/>
      <w:bookmarkStart w:id="358" w:name="_Toc184312116"/>
      <w:bookmarkEnd w:id="358"/>
      <w:bookmarkStart w:id="359" w:name="_Toc184310325"/>
      <w:bookmarkEnd w:id="359"/>
      <w:bookmarkStart w:id="360" w:name="_Toc184310304"/>
      <w:bookmarkEnd w:id="360"/>
      <w:bookmarkStart w:id="361" w:name="_Toc184312112"/>
      <w:bookmarkEnd w:id="361"/>
      <w:bookmarkStart w:id="362" w:name="_Toc184310336"/>
      <w:bookmarkEnd w:id="362"/>
      <w:bookmarkStart w:id="363" w:name="_Toc184312088"/>
      <w:bookmarkEnd w:id="363"/>
      <w:bookmarkStart w:id="364" w:name="_Toc184310322"/>
      <w:bookmarkEnd w:id="364"/>
      <w:bookmarkStart w:id="365" w:name="_Toc184313268"/>
      <w:bookmarkEnd w:id="365"/>
      <w:bookmarkStart w:id="366" w:name="_Toc184310327"/>
      <w:bookmarkEnd w:id="366"/>
      <w:bookmarkStart w:id="367" w:name="_Toc184312108"/>
      <w:bookmarkEnd w:id="367"/>
      <w:bookmarkStart w:id="368" w:name="_Toc184310317"/>
      <w:bookmarkEnd w:id="368"/>
      <w:bookmarkStart w:id="369" w:name="_Toc184312106"/>
      <w:bookmarkEnd w:id="369"/>
      <w:bookmarkStart w:id="370" w:name="_Toc184312083"/>
      <w:bookmarkEnd w:id="370"/>
      <w:bookmarkStart w:id="371" w:name="_Toc184308084"/>
      <w:bookmarkEnd w:id="371"/>
      <w:bookmarkStart w:id="372" w:name="_Toc184313257"/>
      <w:bookmarkEnd w:id="372"/>
      <w:bookmarkStart w:id="373" w:name="_Toc184313244"/>
      <w:bookmarkEnd w:id="373"/>
      <w:bookmarkStart w:id="374" w:name="_Toc184308037"/>
      <w:bookmarkEnd w:id="374"/>
      <w:bookmarkStart w:id="375" w:name="_Toc184310324"/>
      <w:bookmarkEnd w:id="375"/>
      <w:bookmarkStart w:id="376" w:name="_Toc184312100"/>
      <w:bookmarkEnd w:id="376"/>
      <w:bookmarkStart w:id="377" w:name="_Toc184314420"/>
      <w:bookmarkEnd w:id="377"/>
      <w:bookmarkStart w:id="378" w:name="_Toc184308056"/>
      <w:bookmarkEnd w:id="378"/>
      <w:bookmarkStart w:id="379" w:name="_Toc184313240"/>
      <w:bookmarkEnd w:id="379"/>
      <w:bookmarkStart w:id="380" w:name="_Toc184310342"/>
      <w:bookmarkEnd w:id="380"/>
      <w:bookmarkStart w:id="381" w:name="_Toc184312085"/>
      <w:bookmarkEnd w:id="381"/>
      <w:bookmarkStart w:id="382" w:name="_Toc184313287"/>
      <w:bookmarkEnd w:id="382"/>
      <w:bookmarkStart w:id="383" w:name="_Toc184313299"/>
      <w:bookmarkEnd w:id="383"/>
      <w:bookmarkStart w:id="384" w:name="_Toc184308054"/>
      <w:bookmarkEnd w:id="384"/>
      <w:bookmarkStart w:id="385" w:name="_Toc184312070"/>
      <w:bookmarkEnd w:id="385"/>
      <w:bookmarkStart w:id="386" w:name="_Toc184314464"/>
      <w:bookmarkEnd w:id="386"/>
      <w:bookmarkStart w:id="387" w:name="_Toc184314454"/>
      <w:bookmarkEnd w:id="387"/>
      <w:bookmarkStart w:id="388" w:name="_Toc184308040"/>
      <w:bookmarkEnd w:id="388"/>
      <w:bookmarkStart w:id="389" w:name="_Toc184310291"/>
      <w:bookmarkEnd w:id="389"/>
      <w:bookmarkStart w:id="390" w:name="_Toc184308077"/>
      <w:bookmarkEnd w:id="390"/>
      <w:bookmarkStart w:id="391" w:name="_Toc184308066"/>
      <w:bookmarkEnd w:id="391"/>
      <w:bookmarkStart w:id="392" w:name="_Toc184314434"/>
      <w:bookmarkEnd w:id="392"/>
      <w:r>
        <w:rPr>
          <w:rFonts w:hint="eastAsia" w:ascii="仿宋" w:hAnsi="仿宋" w:eastAsia="仿宋" w:cs="仿宋"/>
          <w:b/>
          <w:color w:val="auto"/>
          <w:sz w:val="44"/>
          <w:szCs w:val="44"/>
          <w:highlight w:val="none"/>
        </w:rPr>
        <w:t>评标办法</w:t>
      </w:r>
    </w:p>
    <w:p w14:paraId="253542A3">
      <w:pPr>
        <w:snapToGrid w:val="0"/>
        <w:spacing w:line="360" w:lineRule="auto"/>
        <w:ind w:firstLine="48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评标办法前附表</w:t>
      </w:r>
    </w:p>
    <w:tbl>
      <w:tblPr>
        <w:tblStyle w:val="64"/>
        <w:tblW w:w="102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5"/>
        <w:gridCol w:w="941"/>
        <w:gridCol w:w="5333"/>
        <w:gridCol w:w="712"/>
        <w:gridCol w:w="995"/>
        <w:gridCol w:w="1428"/>
      </w:tblGrid>
      <w:tr w14:paraId="5E693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825" w:type="dxa"/>
            <w:tcBorders>
              <w:top w:val="single" w:color="000000" w:sz="4" w:space="0"/>
              <w:left w:val="single" w:color="000000" w:sz="4" w:space="0"/>
              <w:right w:val="single" w:color="000000" w:sz="4" w:space="0"/>
            </w:tcBorders>
            <w:noWrap w:val="0"/>
            <w:vAlign w:val="center"/>
          </w:tcPr>
          <w:p w14:paraId="313AE2E8">
            <w:pPr>
              <w:pStyle w:val="55"/>
              <w:spacing w:line="288" w:lineRule="auto"/>
              <w:ind w:firstLine="0"/>
              <w:jc w:val="center"/>
              <w:rPr>
                <w:rFonts w:hint="eastAsia" w:ascii="仿宋" w:hAnsi="仿宋" w:eastAsia="仿宋" w:cs="仿宋"/>
                <w:b/>
                <w:bCs/>
                <w:color w:val="auto"/>
                <w:szCs w:val="24"/>
                <w:highlight w:val="none"/>
                <w:lang w:val="en-US" w:eastAsia="zh-CN"/>
              </w:rPr>
            </w:pPr>
            <w:r>
              <w:rPr>
                <w:rFonts w:hint="eastAsia" w:ascii="仿宋" w:hAnsi="仿宋" w:eastAsia="仿宋" w:cs="仿宋"/>
                <w:b/>
                <w:bCs/>
                <w:color w:val="auto"/>
                <w:szCs w:val="24"/>
                <w:highlight w:val="none"/>
                <w:lang w:val="en-US" w:eastAsia="zh-CN"/>
              </w:rPr>
              <w:t>序号</w:t>
            </w:r>
          </w:p>
        </w:tc>
        <w:tc>
          <w:tcPr>
            <w:tcW w:w="6274" w:type="dxa"/>
            <w:gridSpan w:val="2"/>
            <w:tcBorders>
              <w:top w:val="single" w:color="000000" w:sz="4" w:space="0"/>
              <w:left w:val="single" w:color="000000" w:sz="4" w:space="0"/>
              <w:right w:val="single" w:color="000000" w:sz="4" w:space="0"/>
            </w:tcBorders>
            <w:noWrap w:val="0"/>
            <w:vAlign w:val="center"/>
          </w:tcPr>
          <w:p w14:paraId="17A4CC80">
            <w:pPr>
              <w:pStyle w:val="55"/>
              <w:spacing w:line="288" w:lineRule="auto"/>
              <w:ind w:firstLine="0"/>
              <w:jc w:val="center"/>
              <w:rPr>
                <w:rFonts w:hint="eastAsia" w:ascii="仿宋" w:hAnsi="仿宋" w:eastAsia="仿宋" w:cs="仿宋"/>
                <w:b/>
                <w:bCs/>
                <w:color w:val="auto"/>
                <w:kern w:val="0"/>
                <w:szCs w:val="24"/>
                <w:highlight w:val="none"/>
              </w:rPr>
            </w:pPr>
            <w:r>
              <w:rPr>
                <w:rFonts w:hint="eastAsia" w:ascii="仿宋" w:hAnsi="仿宋" w:eastAsia="仿宋" w:cs="仿宋"/>
                <w:b/>
                <w:bCs/>
                <w:color w:val="auto"/>
                <w:szCs w:val="24"/>
                <w:highlight w:val="none"/>
              </w:rPr>
              <w:t>评分标准</w:t>
            </w:r>
          </w:p>
        </w:tc>
        <w:tc>
          <w:tcPr>
            <w:tcW w:w="712" w:type="dxa"/>
            <w:tcBorders>
              <w:top w:val="single" w:color="000000" w:sz="4" w:space="0"/>
              <w:left w:val="single" w:color="000000" w:sz="4" w:space="0"/>
              <w:right w:val="single" w:color="000000" w:sz="4" w:space="0"/>
            </w:tcBorders>
            <w:noWrap w:val="0"/>
            <w:vAlign w:val="center"/>
          </w:tcPr>
          <w:p w14:paraId="12FA38B8">
            <w:pPr>
              <w:pStyle w:val="156"/>
              <w:spacing w:before="0" w:line="288" w:lineRule="auto"/>
              <w:ind w:firstLine="0" w:firstLineChars="0"/>
              <w:jc w:val="center"/>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权重</w:t>
            </w:r>
          </w:p>
        </w:tc>
        <w:tc>
          <w:tcPr>
            <w:tcW w:w="995" w:type="dxa"/>
            <w:tcBorders>
              <w:top w:val="single" w:color="000000" w:sz="4" w:space="0"/>
              <w:left w:val="single" w:color="000000" w:sz="4" w:space="0"/>
              <w:right w:val="single" w:color="000000" w:sz="4" w:space="0"/>
            </w:tcBorders>
            <w:noWrap w:val="0"/>
            <w:vAlign w:val="center"/>
          </w:tcPr>
          <w:p w14:paraId="23524615">
            <w:pPr>
              <w:spacing w:line="288"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客观分/主观分</w:t>
            </w:r>
          </w:p>
        </w:tc>
        <w:tc>
          <w:tcPr>
            <w:tcW w:w="1428" w:type="dxa"/>
            <w:tcBorders>
              <w:top w:val="single" w:color="000000" w:sz="4" w:space="0"/>
              <w:left w:val="single" w:color="000000" w:sz="4" w:space="0"/>
              <w:right w:val="single" w:color="000000" w:sz="4" w:space="0"/>
            </w:tcBorders>
            <w:noWrap w:val="0"/>
            <w:vAlign w:val="center"/>
          </w:tcPr>
          <w:p w14:paraId="3D56F3C5">
            <w:pPr>
              <w:spacing w:line="288"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szCs w:val="24"/>
                <w:highlight w:val="none"/>
              </w:rPr>
              <w:t>投标文件中评标标准相应的商务技术资料目录*</w:t>
            </w:r>
          </w:p>
        </w:tc>
      </w:tr>
      <w:tr w14:paraId="1EBC6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825" w:type="dxa"/>
            <w:tcBorders>
              <w:top w:val="single" w:color="000000" w:sz="4" w:space="0"/>
              <w:left w:val="single" w:color="000000" w:sz="4" w:space="0"/>
              <w:right w:val="single" w:color="000000" w:sz="4" w:space="0"/>
            </w:tcBorders>
            <w:noWrap w:val="0"/>
            <w:vAlign w:val="center"/>
          </w:tcPr>
          <w:p w14:paraId="0471136F">
            <w:pPr>
              <w:pStyle w:val="55"/>
              <w:spacing w:line="288" w:lineRule="auto"/>
              <w:ind w:firstLine="0"/>
              <w:jc w:val="center"/>
              <w:rPr>
                <w:rFonts w:hint="eastAsia" w:ascii="仿宋" w:hAnsi="仿宋" w:eastAsia="仿宋" w:cs="仿宋"/>
                <w:b w:val="0"/>
                <w:bCs w:val="0"/>
                <w:color w:val="auto"/>
                <w:szCs w:val="24"/>
                <w:highlight w:val="none"/>
                <w:lang w:val="en-US" w:eastAsia="zh-CN"/>
              </w:rPr>
            </w:pPr>
            <w:r>
              <w:rPr>
                <w:rFonts w:hint="eastAsia" w:ascii="仿宋" w:hAnsi="仿宋" w:eastAsia="仿宋" w:cs="仿宋"/>
                <w:b w:val="0"/>
                <w:bCs w:val="0"/>
                <w:color w:val="auto"/>
                <w:szCs w:val="24"/>
                <w:highlight w:val="none"/>
                <w:lang w:val="en-US" w:eastAsia="zh-CN"/>
              </w:rPr>
              <w:t>1</w:t>
            </w:r>
          </w:p>
        </w:tc>
        <w:tc>
          <w:tcPr>
            <w:tcW w:w="941" w:type="dxa"/>
            <w:tcBorders>
              <w:top w:val="single" w:color="000000" w:sz="4" w:space="0"/>
              <w:left w:val="single" w:color="000000" w:sz="4" w:space="0"/>
              <w:right w:val="single" w:color="000000" w:sz="4" w:space="0"/>
            </w:tcBorders>
            <w:noWrap w:val="0"/>
            <w:vAlign w:val="center"/>
          </w:tcPr>
          <w:p w14:paraId="75266E3F">
            <w:pPr>
              <w:pStyle w:val="55"/>
              <w:spacing w:line="288" w:lineRule="auto"/>
              <w:ind w:firstLine="0"/>
              <w:jc w:val="center"/>
              <w:rPr>
                <w:rFonts w:hint="eastAsia" w:ascii="仿宋" w:hAnsi="仿宋" w:eastAsia="仿宋" w:cs="仿宋"/>
                <w:b w:val="0"/>
                <w:bCs w:val="0"/>
                <w:color w:val="auto"/>
                <w:szCs w:val="24"/>
                <w:highlight w:val="none"/>
              </w:rPr>
            </w:pPr>
            <w:r>
              <w:rPr>
                <w:rFonts w:hint="eastAsia" w:ascii="仿宋" w:hAnsi="仿宋" w:eastAsia="仿宋" w:cs="仿宋"/>
                <w:b w:val="0"/>
                <w:bCs w:val="0"/>
                <w:color w:val="auto"/>
                <w:szCs w:val="24"/>
                <w:highlight w:val="none"/>
              </w:rPr>
              <w:t>投标响应方案</w:t>
            </w:r>
          </w:p>
        </w:tc>
        <w:tc>
          <w:tcPr>
            <w:tcW w:w="5333" w:type="dxa"/>
            <w:tcBorders>
              <w:top w:val="single" w:color="000000" w:sz="4" w:space="0"/>
              <w:left w:val="single" w:color="000000" w:sz="4" w:space="0"/>
              <w:bottom w:val="single" w:color="000000" w:sz="4" w:space="0"/>
              <w:right w:val="single" w:color="000000" w:sz="4" w:space="0"/>
            </w:tcBorders>
            <w:noWrap w:val="0"/>
            <w:vAlign w:val="center"/>
          </w:tcPr>
          <w:p w14:paraId="6E2DDD20">
            <w:pPr>
              <w:keepNext w:val="0"/>
              <w:keepLines w:val="0"/>
              <w:pageBreakBefore w:val="0"/>
              <w:kinsoku/>
              <w:wordWrap/>
              <w:overflowPunct/>
              <w:topLinePunct w:val="0"/>
              <w:autoSpaceDE/>
              <w:autoSpaceDN/>
              <w:bidi w:val="0"/>
              <w:snapToGrid/>
              <w:spacing w:line="312" w:lineRule="auto"/>
              <w:textAlignment w:val="auto"/>
              <w:rPr>
                <w:rFonts w:hint="eastAsia" w:ascii="仿宋" w:hAnsi="仿宋" w:eastAsia="仿宋" w:cs="仿宋"/>
                <w:color w:val="auto"/>
                <w:highlight w:val="none"/>
              </w:rPr>
            </w:pPr>
            <w:r>
              <w:rPr>
                <w:rFonts w:hint="eastAsia" w:ascii="仿宋" w:hAnsi="仿宋" w:eastAsia="仿宋" w:cs="仿宋"/>
                <w:bCs/>
                <w:color w:val="auto"/>
                <w:sz w:val="24"/>
                <w:highlight w:val="none"/>
              </w:rPr>
              <w:t>根据总体服务方案，须满足招标采购要求，内容齐全，包括岗位服务内容、操作程序，操作规程、有完整的信息反馈，根据投标方案进行打分。</w:t>
            </w:r>
          </w:p>
          <w:p w14:paraId="4F6738D1">
            <w:pPr>
              <w:keepNext w:val="0"/>
              <w:keepLines w:val="0"/>
              <w:pageBreakBefore w:val="0"/>
              <w:kinsoku/>
              <w:wordWrap/>
              <w:overflowPunct/>
              <w:topLinePunct w:val="0"/>
              <w:autoSpaceDE/>
              <w:autoSpaceDN/>
              <w:bidi w:val="0"/>
              <w:snapToGrid/>
              <w:spacing w:line="312" w:lineRule="auto"/>
              <w:textAlignment w:val="auto"/>
              <w:rPr>
                <w:rFonts w:hint="eastAsia" w:ascii="仿宋" w:hAnsi="仿宋" w:eastAsia="仿宋" w:cs="仿宋"/>
                <w:color w:val="auto"/>
                <w:highlight w:val="none"/>
              </w:rPr>
            </w:pPr>
            <w:r>
              <w:rPr>
                <w:rFonts w:hint="eastAsia" w:ascii="仿宋" w:hAnsi="仿宋" w:eastAsia="仿宋" w:cs="仿宋"/>
                <w:bCs/>
                <w:color w:val="auto"/>
                <w:sz w:val="24"/>
                <w:highlight w:val="none"/>
              </w:rPr>
              <w:t>方案完整、合理性好、可行性高的得5分；</w:t>
            </w:r>
          </w:p>
          <w:p w14:paraId="074A8F58">
            <w:pPr>
              <w:keepNext w:val="0"/>
              <w:keepLines w:val="0"/>
              <w:pageBreakBefore w:val="0"/>
              <w:kinsoku/>
              <w:wordWrap/>
              <w:overflowPunct/>
              <w:topLinePunct w:val="0"/>
              <w:autoSpaceDE/>
              <w:autoSpaceDN/>
              <w:bidi w:val="0"/>
              <w:snapToGrid/>
              <w:spacing w:line="312" w:lineRule="auto"/>
              <w:textAlignment w:val="auto"/>
              <w:rPr>
                <w:rFonts w:hint="eastAsia" w:ascii="仿宋" w:hAnsi="仿宋" w:eastAsia="仿宋" w:cs="仿宋"/>
                <w:color w:val="auto"/>
                <w:highlight w:val="none"/>
              </w:rPr>
            </w:pPr>
            <w:r>
              <w:rPr>
                <w:rFonts w:hint="eastAsia" w:ascii="仿宋" w:hAnsi="仿宋" w:eastAsia="仿宋" w:cs="仿宋"/>
                <w:bCs/>
                <w:color w:val="auto"/>
                <w:sz w:val="24"/>
                <w:highlight w:val="none"/>
              </w:rPr>
              <w:t>方案较完整、合理性一般、可行性一般的得3分；</w:t>
            </w:r>
          </w:p>
          <w:p w14:paraId="540D3DAA">
            <w:pPr>
              <w:pStyle w:val="55"/>
              <w:keepNext w:val="0"/>
              <w:keepLines w:val="0"/>
              <w:pageBreakBefore w:val="0"/>
              <w:kinsoku/>
              <w:wordWrap/>
              <w:overflowPunct/>
              <w:topLinePunct w:val="0"/>
              <w:autoSpaceDE/>
              <w:autoSpaceDN/>
              <w:bidi w:val="0"/>
              <w:snapToGrid/>
              <w:spacing w:line="312" w:lineRule="auto"/>
              <w:ind w:firstLine="0"/>
              <w:jc w:val="left"/>
              <w:textAlignment w:val="auto"/>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方案欠缺、合理性较低的得1分；未提供方案不得分。</w:t>
            </w:r>
          </w:p>
        </w:tc>
        <w:tc>
          <w:tcPr>
            <w:tcW w:w="712" w:type="dxa"/>
            <w:tcBorders>
              <w:top w:val="single" w:color="000000" w:sz="4" w:space="0"/>
              <w:left w:val="single" w:color="000000" w:sz="4" w:space="0"/>
              <w:right w:val="single" w:color="000000" w:sz="4" w:space="0"/>
            </w:tcBorders>
            <w:noWrap w:val="0"/>
            <w:vAlign w:val="center"/>
          </w:tcPr>
          <w:p w14:paraId="2EF89044">
            <w:pPr>
              <w:pStyle w:val="156"/>
              <w:keepNext w:val="0"/>
              <w:keepLines w:val="0"/>
              <w:pageBreakBefore w:val="0"/>
              <w:kinsoku/>
              <w:wordWrap/>
              <w:overflowPunct/>
              <w:topLinePunct w:val="0"/>
              <w:autoSpaceDE/>
              <w:autoSpaceDN/>
              <w:bidi w:val="0"/>
              <w:snapToGrid/>
              <w:spacing w:before="0" w:line="312" w:lineRule="auto"/>
              <w:ind w:firstLine="0" w:firstLineChars="0"/>
              <w:jc w:val="center"/>
              <w:textAlignment w:val="auto"/>
              <w:rPr>
                <w:rFonts w:hint="eastAsia" w:ascii="仿宋" w:hAnsi="仿宋" w:eastAsia="仿宋" w:cs="仿宋"/>
                <w:b w:val="0"/>
                <w:color w:val="auto"/>
                <w:szCs w:val="24"/>
                <w:highlight w:val="none"/>
              </w:rPr>
            </w:pPr>
            <w:r>
              <w:rPr>
                <w:rFonts w:hint="eastAsia" w:ascii="仿宋" w:hAnsi="仿宋" w:eastAsia="仿宋" w:cs="仿宋"/>
                <w:b w:val="0"/>
                <w:color w:val="auto"/>
                <w:szCs w:val="24"/>
                <w:highlight w:val="none"/>
              </w:rPr>
              <w:t>5</w:t>
            </w:r>
          </w:p>
        </w:tc>
        <w:tc>
          <w:tcPr>
            <w:tcW w:w="995" w:type="dxa"/>
            <w:tcBorders>
              <w:top w:val="single" w:color="000000" w:sz="4" w:space="0"/>
              <w:left w:val="single" w:color="000000" w:sz="4" w:space="0"/>
              <w:right w:val="single" w:color="000000" w:sz="4" w:space="0"/>
            </w:tcBorders>
            <w:noWrap w:val="0"/>
            <w:vAlign w:val="center"/>
          </w:tcPr>
          <w:p w14:paraId="6FCF698E">
            <w:pPr>
              <w:spacing w:line="312"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1428" w:type="dxa"/>
            <w:tcBorders>
              <w:top w:val="single" w:color="000000" w:sz="4" w:space="0"/>
              <w:left w:val="single" w:color="000000" w:sz="4" w:space="0"/>
              <w:right w:val="single" w:color="000000" w:sz="4" w:space="0"/>
            </w:tcBorders>
            <w:noWrap w:val="0"/>
            <w:vAlign w:val="center"/>
          </w:tcPr>
          <w:p w14:paraId="4FF0896D">
            <w:pPr>
              <w:spacing w:line="312" w:lineRule="auto"/>
              <w:jc w:val="center"/>
              <w:rPr>
                <w:rFonts w:hint="eastAsia" w:ascii="仿宋" w:hAnsi="仿宋" w:eastAsia="仿宋" w:cs="仿宋"/>
                <w:color w:val="auto"/>
                <w:sz w:val="24"/>
                <w:highlight w:val="none"/>
              </w:rPr>
            </w:pPr>
          </w:p>
        </w:tc>
      </w:tr>
      <w:tr w14:paraId="4D049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5" w:hRule="atLeast"/>
          <w:jc w:val="center"/>
        </w:trPr>
        <w:tc>
          <w:tcPr>
            <w:tcW w:w="825" w:type="dxa"/>
            <w:tcBorders>
              <w:left w:val="single" w:color="000000" w:sz="4" w:space="0"/>
              <w:right w:val="single" w:color="000000" w:sz="4" w:space="0"/>
            </w:tcBorders>
            <w:noWrap w:val="0"/>
            <w:vAlign w:val="center"/>
          </w:tcPr>
          <w:p w14:paraId="67BD083F">
            <w:pPr>
              <w:pStyle w:val="156"/>
              <w:spacing w:before="0" w:line="288" w:lineRule="auto"/>
              <w:ind w:firstLine="0" w:firstLineChars="0"/>
              <w:jc w:val="center"/>
              <w:rPr>
                <w:rFonts w:hint="eastAsia" w:ascii="仿宋" w:hAnsi="仿宋" w:eastAsia="仿宋" w:cs="仿宋"/>
                <w:b w:val="0"/>
                <w:bCs w:val="0"/>
                <w:color w:val="auto"/>
                <w:szCs w:val="24"/>
                <w:highlight w:val="none"/>
                <w:lang w:val="en-US" w:eastAsia="zh-CN"/>
              </w:rPr>
            </w:pPr>
            <w:r>
              <w:rPr>
                <w:rFonts w:hint="eastAsia" w:ascii="仿宋" w:hAnsi="仿宋" w:eastAsia="仿宋" w:cs="仿宋"/>
                <w:b w:val="0"/>
                <w:bCs w:val="0"/>
                <w:color w:val="auto"/>
                <w:szCs w:val="24"/>
                <w:highlight w:val="none"/>
                <w:lang w:val="en-US" w:eastAsia="zh-CN"/>
              </w:rPr>
              <w:t>2</w:t>
            </w:r>
          </w:p>
        </w:tc>
        <w:tc>
          <w:tcPr>
            <w:tcW w:w="941" w:type="dxa"/>
            <w:tcBorders>
              <w:left w:val="single" w:color="000000" w:sz="4" w:space="0"/>
              <w:right w:val="single" w:color="000000" w:sz="4" w:space="0"/>
            </w:tcBorders>
            <w:noWrap w:val="0"/>
            <w:vAlign w:val="center"/>
          </w:tcPr>
          <w:p w14:paraId="1D6F4B26">
            <w:pPr>
              <w:pStyle w:val="156"/>
              <w:spacing w:before="0" w:line="288" w:lineRule="auto"/>
              <w:ind w:firstLine="0" w:firstLineChars="0"/>
              <w:jc w:val="center"/>
              <w:rPr>
                <w:rFonts w:hint="eastAsia" w:ascii="仿宋" w:hAnsi="仿宋" w:eastAsia="仿宋" w:cs="仿宋"/>
                <w:b w:val="0"/>
                <w:bCs w:val="0"/>
                <w:color w:val="auto"/>
                <w:szCs w:val="24"/>
                <w:highlight w:val="none"/>
              </w:rPr>
            </w:pPr>
            <w:r>
              <w:rPr>
                <w:rFonts w:hint="eastAsia" w:ascii="仿宋" w:hAnsi="仿宋" w:eastAsia="仿宋" w:cs="仿宋"/>
                <w:b w:val="0"/>
                <w:bCs w:val="0"/>
                <w:color w:val="auto"/>
                <w:szCs w:val="24"/>
                <w:highlight w:val="none"/>
              </w:rPr>
              <w:t>重点难点分析</w:t>
            </w:r>
          </w:p>
        </w:tc>
        <w:tc>
          <w:tcPr>
            <w:tcW w:w="5333" w:type="dxa"/>
            <w:tcBorders>
              <w:top w:val="single" w:color="000000" w:sz="4" w:space="0"/>
              <w:left w:val="single" w:color="000000" w:sz="4" w:space="0"/>
              <w:bottom w:val="single" w:color="000000" w:sz="4" w:space="0"/>
              <w:right w:val="single" w:color="000000" w:sz="4" w:space="0"/>
            </w:tcBorders>
            <w:noWrap w:val="0"/>
            <w:vAlign w:val="center"/>
          </w:tcPr>
          <w:p w14:paraId="0EFCF38E">
            <w:pPr>
              <w:keepNext w:val="0"/>
              <w:keepLines w:val="0"/>
              <w:pageBreakBefore w:val="0"/>
              <w:kinsoku/>
              <w:wordWrap/>
              <w:overflowPunct/>
              <w:topLinePunct w:val="0"/>
              <w:autoSpaceDE/>
              <w:autoSpaceDN/>
              <w:bidi w:val="0"/>
              <w:snapToGrid/>
              <w:spacing w:line="312" w:lineRule="auto"/>
              <w:textAlignment w:val="auto"/>
              <w:rPr>
                <w:rFonts w:hint="eastAsia" w:ascii="仿宋" w:hAnsi="仿宋" w:eastAsia="仿宋" w:cs="仿宋"/>
                <w:color w:val="auto"/>
                <w:highlight w:val="none"/>
              </w:rPr>
            </w:pPr>
            <w:r>
              <w:rPr>
                <w:rFonts w:hint="eastAsia" w:ascii="仿宋" w:hAnsi="仿宋" w:eastAsia="仿宋" w:cs="仿宋"/>
                <w:bCs/>
                <w:color w:val="auto"/>
                <w:sz w:val="24"/>
                <w:highlight w:val="none"/>
              </w:rPr>
              <w:t>根据区级人民调解案件化解服务项目工作中的重点难点分析情况进行打分；重难点分析全面详细、思路清晰的得5分，分析较全面、思路较清晰的得3分，无具体分析内容、思路不清晰的得1分；未提供方案不得分。</w:t>
            </w:r>
          </w:p>
        </w:tc>
        <w:tc>
          <w:tcPr>
            <w:tcW w:w="712" w:type="dxa"/>
            <w:tcBorders>
              <w:top w:val="single" w:color="000000" w:sz="4" w:space="0"/>
              <w:left w:val="single" w:color="000000" w:sz="4" w:space="0"/>
              <w:right w:val="single" w:color="000000" w:sz="4" w:space="0"/>
            </w:tcBorders>
            <w:noWrap w:val="0"/>
            <w:vAlign w:val="center"/>
          </w:tcPr>
          <w:p w14:paraId="3C822BDA">
            <w:pPr>
              <w:pStyle w:val="156"/>
              <w:keepNext w:val="0"/>
              <w:keepLines w:val="0"/>
              <w:pageBreakBefore w:val="0"/>
              <w:kinsoku/>
              <w:wordWrap/>
              <w:overflowPunct/>
              <w:topLinePunct w:val="0"/>
              <w:autoSpaceDE/>
              <w:autoSpaceDN/>
              <w:bidi w:val="0"/>
              <w:snapToGrid/>
              <w:spacing w:before="0" w:line="312" w:lineRule="auto"/>
              <w:ind w:firstLine="0" w:firstLineChars="0"/>
              <w:jc w:val="center"/>
              <w:textAlignment w:val="auto"/>
              <w:rPr>
                <w:rFonts w:hint="eastAsia" w:ascii="仿宋" w:hAnsi="仿宋" w:eastAsia="仿宋" w:cs="仿宋"/>
                <w:b w:val="0"/>
                <w:color w:val="auto"/>
                <w:szCs w:val="24"/>
                <w:highlight w:val="none"/>
              </w:rPr>
            </w:pPr>
            <w:r>
              <w:rPr>
                <w:rFonts w:hint="eastAsia" w:ascii="仿宋" w:hAnsi="仿宋" w:eastAsia="仿宋" w:cs="仿宋"/>
                <w:b w:val="0"/>
                <w:color w:val="auto"/>
                <w:szCs w:val="24"/>
                <w:highlight w:val="none"/>
              </w:rPr>
              <w:t>5</w:t>
            </w:r>
          </w:p>
        </w:tc>
        <w:tc>
          <w:tcPr>
            <w:tcW w:w="995" w:type="dxa"/>
            <w:tcBorders>
              <w:top w:val="single" w:color="000000" w:sz="4" w:space="0"/>
              <w:left w:val="single" w:color="000000" w:sz="4" w:space="0"/>
              <w:right w:val="single" w:color="000000" w:sz="4" w:space="0"/>
            </w:tcBorders>
            <w:noWrap w:val="0"/>
            <w:vAlign w:val="center"/>
          </w:tcPr>
          <w:p w14:paraId="68296D36">
            <w:pPr>
              <w:pStyle w:val="156"/>
              <w:spacing w:before="0" w:line="312" w:lineRule="auto"/>
              <w:ind w:firstLine="0" w:firstLineChars="0"/>
              <w:jc w:val="center"/>
              <w:rPr>
                <w:rFonts w:hint="eastAsia" w:ascii="仿宋" w:hAnsi="仿宋" w:eastAsia="仿宋" w:cs="仿宋"/>
                <w:b w:val="0"/>
                <w:color w:val="auto"/>
                <w:szCs w:val="24"/>
                <w:highlight w:val="none"/>
              </w:rPr>
            </w:pPr>
            <w:r>
              <w:rPr>
                <w:rFonts w:hint="eastAsia" w:ascii="仿宋" w:hAnsi="仿宋" w:eastAsia="仿宋" w:cs="仿宋"/>
                <w:b w:val="0"/>
                <w:color w:val="auto"/>
                <w:highlight w:val="none"/>
              </w:rPr>
              <w:t>主观分</w:t>
            </w:r>
          </w:p>
        </w:tc>
        <w:tc>
          <w:tcPr>
            <w:tcW w:w="1428" w:type="dxa"/>
            <w:tcBorders>
              <w:top w:val="single" w:color="000000" w:sz="4" w:space="0"/>
              <w:left w:val="single" w:color="000000" w:sz="4" w:space="0"/>
              <w:right w:val="single" w:color="000000" w:sz="4" w:space="0"/>
            </w:tcBorders>
            <w:noWrap w:val="0"/>
            <w:vAlign w:val="center"/>
          </w:tcPr>
          <w:p w14:paraId="61CC0E35">
            <w:pPr>
              <w:pStyle w:val="156"/>
              <w:spacing w:before="0" w:line="312" w:lineRule="auto"/>
              <w:ind w:firstLine="0" w:firstLineChars="0"/>
              <w:jc w:val="center"/>
              <w:rPr>
                <w:rFonts w:hint="eastAsia" w:ascii="仿宋" w:hAnsi="仿宋" w:eastAsia="仿宋" w:cs="仿宋"/>
                <w:b w:val="0"/>
                <w:color w:val="auto"/>
                <w:highlight w:val="none"/>
              </w:rPr>
            </w:pPr>
          </w:p>
        </w:tc>
      </w:tr>
      <w:tr w14:paraId="55643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jc w:val="center"/>
        </w:trPr>
        <w:tc>
          <w:tcPr>
            <w:tcW w:w="825" w:type="dxa"/>
            <w:vMerge w:val="restart"/>
            <w:tcBorders>
              <w:top w:val="single" w:color="000000" w:sz="4" w:space="0"/>
              <w:left w:val="single" w:color="000000" w:sz="4" w:space="0"/>
              <w:right w:val="single" w:color="000000" w:sz="4" w:space="0"/>
            </w:tcBorders>
            <w:noWrap w:val="0"/>
            <w:vAlign w:val="center"/>
          </w:tcPr>
          <w:p w14:paraId="48CB626D">
            <w:pPr>
              <w:pStyle w:val="156"/>
              <w:spacing w:before="0" w:line="288" w:lineRule="auto"/>
              <w:ind w:firstLine="0" w:firstLineChars="0"/>
              <w:jc w:val="center"/>
              <w:rPr>
                <w:rFonts w:hint="eastAsia" w:ascii="仿宋" w:hAnsi="仿宋" w:eastAsia="仿宋" w:cs="仿宋"/>
                <w:b w:val="0"/>
                <w:bCs w:val="0"/>
                <w:color w:val="auto"/>
                <w:szCs w:val="24"/>
                <w:highlight w:val="none"/>
                <w:lang w:val="en-US" w:eastAsia="zh-CN"/>
              </w:rPr>
            </w:pPr>
            <w:r>
              <w:rPr>
                <w:rFonts w:hint="eastAsia" w:ascii="仿宋" w:hAnsi="仿宋" w:eastAsia="仿宋" w:cs="仿宋"/>
                <w:b w:val="0"/>
                <w:bCs w:val="0"/>
                <w:color w:val="auto"/>
                <w:szCs w:val="24"/>
                <w:highlight w:val="none"/>
                <w:lang w:val="en-US" w:eastAsia="zh-CN"/>
              </w:rPr>
              <w:t>3</w:t>
            </w:r>
          </w:p>
        </w:tc>
        <w:tc>
          <w:tcPr>
            <w:tcW w:w="941" w:type="dxa"/>
            <w:vMerge w:val="restart"/>
            <w:tcBorders>
              <w:top w:val="single" w:color="000000" w:sz="4" w:space="0"/>
              <w:left w:val="single" w:color="000000" w:sz="4" w:space="0"/>
              <w:right w:val="single" w:color="000000" w:sz="4" w:space="0"/>
            </w:tcBorders>
            <w:noWrap w:val="0"/>
            <w:vAlign w:val="center"/>
          </w:tcPr>
          <w:p w14:paraId="078B8674">
            <w:pPr>
              <w:pStyle w:val="156"/>
              <w:spacing w:before="0" w:line="288" w:lineRule="auto"/>
              <w:ind w:firstLine="0" w:firstLineChars="0"/>
              <w:jc w:val="center"/>
              <w:rPr>
                <w:rFonts w:hint="eastAsia" w:ascii="仿宋" w:hAnsi="仿宋" w:eastAsia="仿宋" w:cs="仿宋"/>
                <w:b w:val="0"/>
                <w:bCs w:val="0"/>
                <w:color w:val="auto"/>
                <w:szCs w:val="24"/>
                <w:highlight w:val="none"/>
              </w:rPr>
            </w:pPr>
            <w:r>
              <w:rPr>
                <w:rFonts w:hint="eastAsia" w:ascii="仿宋" w:hAnsi="仿宋" w:eastAsia="仿宋" w:cs="仿宋"/>
                <w:b w:val="0"/>
                <w:bCs w:val="0"/>
                <w:color w:val="auto"/>
                <w:szCs w:val="24"/>
                <w:highlight w:val="none"/>
              </w:rPr>
              <w:t>内部管理</w:t>
            </w:r>
          </w:p>
        </w:tc>
        <w:tc>
          <w:tcPr>
            <w:tcW w:w="5333" w:type="dxa"/>
            <w:tcBorders>
              <w:top w:val="single" w:color="000000" w:sz="4" w:space="0"/>
              <w:left w:val="single" w:color="000000" w:sz="4" w:space="0"/>
              <w:bottom w:val="single" w:color="000000" w:sz="4" w:space="0"/>
              <w:right w:val="single" w:color="000000" w:sz="4" w:space="0"/>
            </w:tcBorders>
            <w:noWrap w:val="0"/>
            <w:vAlign w:val="center"/>
          </w:tcPr>
          <w:p w14:paraId="5D669947">
            <w:pPr>
              <w:keepNext w:val="0"/>
              <w:keepLines w:val="0"/>
              <w:pageBreakBefore w:val="0"/>
              <w:kinsoku/>
              <w:wordWrap/>
              <w:overflowPunct/>
              <w:topLinePunct w:val="0"/>
              <w:autoSpaceDE/>
              <w:autoSpaceDN/>
              <w:bidi w:val="0"/>
              <w:snapToGrid/>
              <w:spacing w:line="312" w:lineRule="auto"/>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（1）根据本项目制定体现标准化服务，针对本项目具有完善的调解管理制度、档案管理制度进行打分。</w:t>
            </w:r>
          </w:p>
          <w:p w14:paraId="49DE19AA">
            <w:pPr>
              <w:keepNext w:val="0"/>
              <w:keepLines w:val="0"/>
              <w:pageBreakBefore w:val="0"/>
              <w:kinsoku/>
              <w:wordWrap/>
              <w:overflowPunct/>
              <w:topLinePunct w:val="0"/>
              <w:autoSpaceDE/>
              <w:autoSpaceDN/>
              <w:bidi w:val="0"/>
              <w:snapToGrid/>
              <w:spacing w:line="312" w:lineRule="auto"/>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注：调解管理制度合理性好的得2分，合理性一般的得1分；</w:t>
            </w:r>
          </w:p>
          <w:p w14:paraId="63AC074C">
            <w:pPr>
              <w:keepNext w:val="0"/>
              <w:keepLines w:val="0"/>
              <w:pageBreakBefore w:val="0"/>
              <w:kinsoku/>
              <w:wordWrap/>
              <w:overflowPunct/>
              <w:topLinePunct w:val="0"/>
              <w:autoSpaceDE/>
              <w:autoSpaceDN/>
              <w:bidi w:val="0"/>
              <w:snapToGrid/>
              <w:spacing w:line="312" w:lineRule="auto"/>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档案管理制度合理性好的得2分，合理性一般的得1分；</w:t>
            </w:r>
          </w:p>
          <w:p w14:paraId="50BC658E">
            <w:pPr>
              <w:keepNext w:val="0"/>
              <w:keepLines w:val="0"/>
              <w:pageBreakBefore w:val="0"/>
              <w:kinsoku/>
              <w:wordWrap/>
              <w:overflowPunct/>
              <w:topLinePunct w:val="0"/>
              <w:autoSpaceDE/>
              <w:autoSpaceDN/>
              <w:bidi w:val="0"/>
              <w:snapToGrid/>
              <w:spacing w:line="312" w:lineRule="auto"/>
              <w:textAlignment w:val="auto"/>
              <w:rPr>
                <w:rFonts w:hint="eastAsia" w:ascii="仿宋" w:hAnsi="仿宋" w:eastAsia="仿宋" w:cs="仿宋"/>
                <w:color w:val="auto"/>
                <w:highlight w:val="none"/>
              </w:rPr>
            </w:pPr>
            <w:r>
              <w:rPr>
                <w:rFonts w:hint="eastAsia" w:ascii="仿宋" w:hAnsi="仿宋" w:eastAsia="仿宋" w:cs="仿宋"/>
                <w:bCs/>
                <w:color w:val="auto"/>
                <w:sz w:val="24"/>
                <w:highlight w:val="none"/>
              </w:rPr>
              <w:t>合理性较差或不合理的不得分。</w:t>
            </w:r>
          </w:p>
        </w:tc>
        <w:tc>
          <w:tcPr>
            <w:tcW w:w="712" w:type="dxa"/>
            <w:tcBorders>
              <w:top w:val="single" w:color="000000" w:sz="4" w:space="0"/>
              <w:left w:val="single" w:color="000000" w:sz="4" w:space="0"/>
              <w:right w:val="single" w:color="000000" w:sz="4" w:space="0"/>
            </w:tcBorders>
            <w:noWrap w:val="0"/>
            <w:vAlign w:val="center"/>
          </w:tcPr>
          <w:p w14:paraId="6804701B">
            <w:pPr>
              <w:pStyle w:val="156"/>
              <w:keepNext w:val="0"/>
              <w:keepLines w:val="0"/>
              <w:pageBreakBefore w:val="0"/>
              <w:kinsoku/>
              <w:wordWrap/>
              <w:overflowPunct/>
              <w:topLinePunct w:val="0"/>
              <w:autoSpaceDE/>
              <w:autoSpaceDN/>
              <w:bidi w:val="0"/>
              <w:snapToGrid/>
              <w:spacing w:before="0" w:line="312" w:lineRule="auto"/>
              <w:ind w:firstLine="0" w:firstLineChars="0"/>
              <w:jc w:val="center"/>
              <w:textAlignment w:val="auto"/>
              <w:rPr>
                <w:rFonts w:hint="eastAsia" w:ascii="仿宋" w:hAnsi="仿宋" w:eastAsia="仿宋" w:cs="仿宋"/>
                <w:b w:val="0"/>
                <w:color w:val="auto"/>
                <w:szCs w:val="24"/>
                <w:highlight w:val="none"/>
              </w:rPr>
            </w:pPr>
            <w:r>
              <w:rPr>
                <w:rFonts w:hint="eastAsia" w:ascii="仿宋" w:hAnsi="仿宋" w:eastAsia="仿宋" w:cs="仿宋"/>
                <w:b w:val="0"/>
                <w:color w:val="auto"/>
                <w:szCs w:val="24"/>
                <w:highlight w:val="none"/>
              </w:rPr>
              <w:t>4</w:t>
            </w:r>
          </w:p>
        </w:tc>
        <w:tc>
          <w:tcPr>
            <w:tcW w:w="995" w:type="dxa"/>
            <w:tcBorders>
              <w:top w:val="single" w:color="000000" w:sz="4" w:space="0"/>
              <w:left w:val="single" w:color="000000" w:sz="4" w:space="0"/>
              <w:right w:val="single" w:color="000000" w:sz="4" w:space="0"/>
            </w:tcBorders>
            <w:noWrap w:val="0"/>
            <w:vAlign w:val="center"/>
          </w:tcPr>
          <w:p w14:paraId="38012FFE">
            <w:pPr>
              <w:pStyle w:val="156"/>
              <w:spacing w:before="0" w:line="312" w:lineRule="auto"/>
              <w:ind w:firstLine="0" w:firstLineChars="0"/>
              <w:jc w:val="center"/>
              <w:rPr>
                <w:rFonts w:hint="eastAsia" w:ascii="仿宋" w:hAnsi="仿宋" w:eastAsia="仿宋" w:cs="仿宋"/>
                <w:b w:val="0"/>
                <w:color w:val="auto"/>
                <w:szCs w:val="24"/>
                <w:highlight w:val="none"/>
              </w:rPr>
            </w:pPr>
            <w:r>
              <w:rPr>
                <w:rFonts w:hint="eastAsia" w:ascii="仿宋" w:hAnsi="仿宋" w:eastAsia="仿宋" w:cs="仿宋"/>
                <w:b w:val="0"/>
                <w:color w:val="auto"/>
                <w:highlight w:val="none"/>
              </w:rPr>
              <w:t>主观分</w:t>
            </w:r>
          </w:p>
        </w:tc>
        <w:tc>
          <w:tcPr>
            <w:tcW w:w="1428" w:type="dxa"/>
            <w:tcBorders>
              <w:top w:val="single" w:color="000000" w:sz="4" w:space="0"/>
              <w:left w:val="single" w:color="000000" w:sz="4" w:space="0"/>
              <w:right w:val="single" w:color="000000" w:sz="4" w:space="0"/>
            </w:tcBorders>
            <w:noWrap w:val="0"/>
            <w:vAlign w:val="center"/>
          </w:tcPr>
          <w:p w14:paraId="7F8F8821">
            <w:pPr>
              <w:pStyle w:val="156"/>
              <w:spacing w:before="0" w:line="312" w:lineRule="auto"/>
              <w:ind w:firstLine="0" w:firstLineChars="0"/>
              <w:jc w:val="center"/>
              <w:rPr>
                <w:rFonts w:hint="eastAsia" w:ascii="仿宋" w:hAnsi="仿宋" w:eastAsia="仿宋" w:cs="仿宋"/>
                <w:b w:val="0"/>
                <w:color w:val="auto"/>
                <w:highlight w:val="none"/>
              </w:rPr>
            </w:pPr>
          </w:p>
        </w:tc>
      </w:tr>
      <w:tr w14:paraId="134CC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25" w:type="dxa"/>
            <w:vMerge w:val="continue"/>
            <w:tcBorders>
              <w:left w:val="single" w:color="000000" w:sz="4" w:space="0"/>
              <w:right w:val="single" w:color="000000" w:sz="4" w:space="0"/>
            </w:tcBorders>
            <w:noWrap w:val="0"/>
            <w:vAlign w:val="center"/>
          </w:tcPr>
          <w:p w14:paraId="67D3143B">
            <w:pPr>
              <w:pStyle w:val="156"/>
              <w:spacing w:before="0" w:line="288" w:lineRule="auto"/>
              <w:ind w:firstLine="0" w:firstLineChars="0"/>
              <w:jc w:val="center"/>
              <w:rPr>
                <w:rFonts w:hint="eastAsia" w:ascii="仿宋" w:hAnsi="仿宋" w:eastAsia="仿宋" w:cs="仿宋"/>
                <w:b w:val="0"/>
                <w:bCs w:val="0"/>
                <w:color w:val="auto"/>
                <w:szCs w:val="24"/>
                <w:highlight w:val="none"/>
              </w:rPr>
            </w:pPr>
          </w:p>
        </w:tc>
        <w:tc>
          <w:tcPr>
            <w:tcW w:w="941" w:type="dxa"/>
            <w:vMerge w:val="continue"/>
            <w:tcBorders>
              <w:left w:val="single" w:color="000000" w:sz="4" w:space="0"/>
              <w:right w:val="single" w:color="000000" w:sz="4" w:space="0"/>
            </w:tcBorders>
            <w:noWrap w:val="0"/>
            <w:vAlign w:val="center"/>
          </w:tcPr>
          <w:p w14:paraId="76547A44">
            <w:pPr>
              <w:pStyle w:val="156"/>
              <w:spacing w:before="0" w:line="288" w:lineRule="auto"/>
              <w:ind w:firstLine="0" w:firstLineChars="0"/>
              <w:jc w:val="center"/>
              <w:rPr>
                <w:rFonts w:hint="eastAsia" w:ascii="仿宋" w:hAnsi="仿宋" w:eastAsia="仿宋" w:cs="仿宋"/>
                <w:b w:val="0"/>
                <w:bCs w:val="0"/>
                <w:color w:val="auto"/>
                <w:szCs w:val="24"/>
                <w:highlight w:val="none"/>
              </w:rPr>
            </w:pPr>
          </w:p>
        </w:tc>
        <w:tc>
          <w:tcPr>
            <w:tcW w:w="5333" w:type="dxa"/>
            <w:tcBorders>
              <w:top w:val="single" w:color="000000" w:sz="4" w:space="0"/>
              <w:left w:val="single" w:color="000000" w:sz="4" w:space="0"/>
              <w:bottom w:val="single" w:color="000000" w:sz="4" w:space="0"/>
              <w:right w:val="single" w:color="000000" w:sz="4" w:space="0"/>
            </w:tcBorders>
            <w:noWrap w:val="0"/>
            <w:vAlign w:val="center"/>
          </w:tcPr>
          <w:p w14:paraId="3E47093B">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（2）针对本项目调解服务质量管理考核制定情况及内控管理制度</w:t>
            </w:r>
            <w:r>
              <w:rPr>
                <w:rFonts w:hint="eastAsia" w:ascii="仿宋" w:hAnsi="仿宋" w:eastAsia="仿宋" w:cs="仿宋"/>
                <w:bCs/>
                <w:color w:val="auto"/>
                <w:kern w:val="0"/>
                <w:sz w:val="24"/>
                <w:highlight w:val="none"/>
              </w:rPr>
              <w:t>，</w:t>
            </w:r>
            <w:r>
              <w:rPr>
                <w:rFonts w:hint="eastAsia" w:ascii="仿宋" w:hAnsi="仿宋" w:eastAsia="仿宋" w:cs="仿宋"/>
                <w:bCs/>
                <w:color w:val="auto"/>
                <w:sz w:val="24"/>
                <w:highlight w:val="none"/>
              </w:rPr>
              <w:t>由评审专家根据内容合理程度进行打分。</w:t>
            </w:r>
          </w:p>
          <w:p w14:paraId="5A44568E">
            <w:pPr>
              <w:keepNext w:val="0"/>
              <w:keepLines w:val="0"/>
              <w:pageBreakBefore w:val="0"/>
              <w:kinsoku/>
              <w:wordWrap/>
              <w:overflowPunct/>
              <w:topLinePunct w:val="0"/>
              <w:autoSpaceDE/>
              <w:autoSpaceDN/>
              <w:bidi w:val="0"/>
              <w:snapToGrid/>
              <w:spacing w:line="312" w:lineRule="auto"/>
              <w:textAlignment w:val="auto"/>
              <w:rPr>
                <w:rFonts w:hint="eastAsia" w:ascii="仿宋" w:hAnsi="仿宋" w:eastAsia="仿宋" w:cs="仿宋"/>
                <w:color w:val="auto"/>
                <w:highlight w:val="none"/>
              </w:rPr>
            </w:pPr>
            <w:r>
              <w:rPr>
                <w:rFonts w:hint="eastAsia" w:ascii="仿宋" w:hAnsi="仿宋" w:eastAsia="仿宋" w:cs="仿宋"/>
                <w:bCs/>
                <w:color w:val="auto"/>
                <w:sz w:val="24"/>
                <w:szCs w:val="20"/>
                <w:highlight w:val="none"/>
              </w:rPr>
              <w:t>注：</w:t>
            </w:r>
            <w:r>
              <w:rPr>
                <w:rFonts w:hint="eastAsia" w:ascii="仿宋" w:hAnsi="仿宋" w:eastAsia="仿宋" w:cs="仿宋"/>
                <w:bCs/>
                <w:color w:val="auto"/>
                <w:sz w:val="24"/>
                <w:highlight w:val="none"/>
              </w:rPr>
              <w:t>考核制定情况合理性好的得2分，合理性一般的得1分；</w:t>
            </w:r>
          </w:p>
          <w:p w14:paraId="1BB8648B">
            <w:pPr>
              <w:keepNext w:val="0"/>
              <w:keepLines w:val="0"/>
              <w:pageBreakBefore w:val="0"/>
              <w:kinsoku/>
              <w:wordWrap/>
              <w:overflowPunct/>
              <w:topLinePunct w:val="0"/>
              <w:autoSpaceDE/>
              <w:autoSpaceDN/>
              <w:bidi w:val="0"/>
              <w:snapToGrid/>
              <w:spacing w:line="312" w:lineRule="auto"/>
              <w:textAlignment w:val="auto"/>
              <w:rPr>
                <w:rFonts w:hint="eastAsia" w:ascii="仿宋" w:hAnsi="仿宋" w:eastAsia="仿宋" w:cs="仿宋"/>
                <w:color w:val="auto"/>
                <w:highlight w:val="none"/>
              </w:rPr>
            </w:pPr>
            <w:r>
              <w:rPr>
                <w:rFonts w:hint="eastAsia" w:ascii="仿宋" w:hAnsi="仿宋" w:eastAsia="仿宋" w:cs="仿宋"/>
                <w:bCs/>
                <w:color w:val="auto"/>
                <w:sz w:val="24"/>
                <w:highlight w:val="none"/>
              </w:rPr>
              <w:t>内控管理制度合理性好的得2分，合理性一般的得1分；</w:t>
            </w:r>
          </w:p>
          <w:p w14:paraId="6710B096">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合理性较差或不合理的不得分。</w:t>
            </w:r>
          </w:p>
        </w:tc>
        <w:tc>
          <w:tcPr>
            <w:tcW w:w="712" w:type="dxa"/>
            <w:tcBorders>
              <w:left w:val="single" w:color="000000" w:sz="4" w:space="0"/>
              <w:bottom w:val="single" w:color="000000" w:sz="4" w:space="0"/>
              <w:right w:val="single" w:color="000000" w:sz="4" w:space="0"/>
            </w:tcBorders>
            <w:noWrap w:val="0"/>
            <w:vAlign w:val="center"/>
          </w:tcPr>
          <w:p w14:paraId="73D1F994">
            <w:pPr>
              <w:pStyle w:val="156"/>
              <w:keepNext w:val="0"/>
              <w:keepLines w:val="0"/>
              <w:pageBreakBefore w:val="0"/>
              <w:kinsoku/>
              <w:wordWrap/>
              <w:overflowPunct/>
              <w:topLinePunct w:val="0"/>
              <w:autoSpaceDE/>
              <w:autoSpaceDN/>
              <w:bidi w:val="0"/>
              <w:snapToGrid/>
              <w:spacing w:before="0" w:line="312" w:lineRule="auto"/>
              <w:ind w:firstLine="0" w:firstLineChars="0"/>
              <w:jc w:val="center"/>
              <w:textAlignment w:val="auto"/>
              <w:rPr>
                <w:rFonts w:hint="eastAsia" w:ascii="仿宋" w:hAnsi="仿宋" w:eastAsia="仿宋" w:cs="仿宋"/>
                <w:b w:val="0"/>
                <w:color w:val="auto"/>
                <w:szCs w:val="24"/>
                <w:highlight w:val="none"/>
              </w:rPr>
            </w:pPr>
            <w:r>
              <w:rPr>
                <w:rFonts w:hint="eastAsia" w:ascii="仿宋" w:hAnsi="仿宋" w:eastAsia="仿宋" w:cs="仿宋"/>
                <w:b w:val="0"/>
                <w:color w:val="auto"/>
                <w:szCs w:val="24"/>
                <w:highlight w:val="none"/>
              </w:rPr>
              <w:t>4</w:t>
            </w:r>
          </w:p>
        </w:tc>
        <w:tc>
          <w:tcPr>
            <w:tcW w:w="995" w:type="dxa"/>
            <w:tcBorders>
              <w:left w:val="single" w:color="000000" w:sz="4" w:space="0"/>
              <w:bottom w:val="single" w:color="000000" w:sz="4" w:space="0"/>
              <w:right w:val="single" w:color="000000" w:sz="4" w:space="0"/>
            </w:tcBorders>
            <w:noWrap w:val="0"/>
            <w:vAlign w:val="center"/>
          </w:tcPr>
          <w:p w14:paraId="44BE1EB2">
            <w:pPr>
              <w:spacing w:line="312"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1428" w:type="dxa"/>
            <w:tcBorders>
              <w:left w:val="single" w:color="000000" w:sz="4" w:space="0"/>
              <w:bottom w:val="single" w:color="000000" w:sz="4" w:space="0"/>
              <w:right w:val="single" w:color="000000" w:sz="4" w:space="0"/>
            </w:tcBorders>
            <w:noWrap w:val="0"/>
            <w:vAlign w:val="center"/>
          </w:tcPr>
          <w:p w14:paraId="410250B3">
            <w:pPr>
              <w:spacing w:line="312" w:lineRule="auto"/>
              <w:jc w:val="center"/>
              <w:rPr>
                <w:rFonts w:hint="eastAsia" w:ascii="仿宋" w:hAnsi="仿宋" w:eastAsia="仿宋" w:cs="仿宋"/>
                <w:color w:val="auto"/>
                <w:sz w:val="24"/>
                <w:highlight w:val="none"/>
              </w:rPr>
            </w:pPr>
          </w:p>
        </w:tc>
      </w:tr>
      <w:tr w14:paraId="2394B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25" w:type="dxa"/>
            <w:vMerge w:val="continue"/>
            <w:tcBorders>
              <w:left w:val="single" w:color="000000" w:sz="4" w:space="0"/>
              <w:right w:val="single" w:color="000000" w:sz="4" w:space="0"/>
            </w:tcBorders>
            <w:noWrap w:val="0"/>
            <w:vAlign w:val="center"/>
          </w:tcPr>
          <w:p w14:paraId="58F31B2B">
            <w:pPr>
              <w:pStyle w:val="156"/>
              <w:spacing w:before="0" w:line="288" w:lineRule="auto"/>
              <w:ind w:firstLine="0" w:firstLineChars="0"/>
              <w:jc w:val="center"/>
              <w:rPr>
                <w:rFonts w:hint="eastAsia" w:ascii="仿宋" w:hAnsi="仿宋" w:eastAsia="仿宋" w:cs="仿宋"/>
                <w:b w:val="0"/>
                <w:bCs w:val="0"/>
                <w:color w:val="auto"/>
                <w:szCs w:val="24"/>
                <w:highlight w:val="none"/>
              </w:rPr>
            </w:pPr>
          </w:p>
        </w:tc>
        <w:tc>
          <w:tcPr>
            <w:tcW w:w="941" w:type="dxa"/>
            <w:vMerge w:val="continue"/>
            <w:tcBorders>
              <w:left w:val="single" w:color="000000" w:sz="4" w:space="0"/>
              <w:right w:val="single" w:color="000000" w:sz="4" w:space="0"/>
            </w:tcBorders>
            <w:noWrap w:val="0"/>
            <w:vAlign w:val="center"/>
          </w:tcPr>
          <w:p w14:paraId="7B63C44E">
            <w:pPr>
              <w:pStyle w:val="156"/>
              <w:spacing w:before="0" w:line="288" w:lineRule="auto"/>
              <w:ind w:firstLine="0" w:firstLineChars="0"/>
              <w:jc w:val="center"/>
              <w:rPr>
                <w:rFonts w:hint="eastAsia" w:ascii="仿宋" w:hAnsi="仿宋" w:eastAsia="仿宋" w:cs="仿宋"/>
                <w:b w:val="0"/>
                <w:bCs w:val="0"/>
                <w:color w:val="auto"/>
                <w:szCs w:val="24"/>
                <w:highlight w:val="none"/>
              </w:rPr>
            </w:pPr>
          </w:p>
        </w:tc>
        <w:tc>
          <w:tcPr>
            <w:tcW w:w="5333" w:type="dxa"/>
            <w:tcBorders>
              <w:top w:val="single" w:color="000000" w:sz="4" w:space="0"/>
              <w:left w:val="single" w:color="000000" w:sz="4" w:space="0"/>
              <w:bottom w:val="single" w:color="000000" w:sz="4" w:space="0"/>
              <w:right w:val="single" w:color="000000" w:sz="4" w:space="0"/>
            </w:tcBorders>
            <w:noWrap w:val="0"/>
            <w:vAlign w:val="center"/>
          </w:tcPr>
          <w:p w14:paraId="34948430">
            <w:pPr>
              <w:keepNext w:val="0"/>
              <w:keepLines w:val="0"/>
              <w:pageBreakBefore w:val="0"/>
              <w:kinsoku/>
              <w:wordWrap/>
              <w:overflowPunct/>
              <w:topLinePunct w:val="0"/>
              <w:autoSpaceDE/>
              <w:autoSpaceDN/>
              <w:bidi w:val="0"/>
              <w:snapToGrid/>
              <w:spacing w:line="312" w:lineRule="auto"/>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（3）根据本项目制定调解服务应急部分（含应急值守制度）的合理性和规范性，由评审专家根据内容进行打分。</w:t>
            </w:r>
          </w:p>
          <w:p w14:paraId="3F91838F">
            <w:pPr>
              <w:keepNext w:val="0"/>
              <w:keepLines w:val="0"/>
              <w:pageBreakBefore w:val="0"/>
              <w:kinsoku/>
              <w:wordWrap/>
              <w:overflowPunct/>
              <w:topLinePunct w:val="0"/>
              <w:autoSpaceDE/>
              <w:autoSpaceDN/>
              <w:bidi w:val="0"/>
              <w:snapToGrid/>
              <w:spacing w:line="312" w:lineRule="auto"/>
              <w:textAlignment w:val="auto"/>
              <w:rPr>
                <w:rFonts w:hint="eastAsia" w:ascii="仿宋" w:hAnsi="仿宋" w:eastAsia="仿宋" w:cs="仿宋"/>
                <w:color w:val="auto"/>
                <w:highlight w:val="none"/>
              </w:rPr>
            </w:pPr>
            <w:r>
              <w:rPr>
                <w:rFonts w:hint="eastAsia" w:ascii="仿宋" w:hAnsi="仿宋" w:eastAsia="仿宋" w:cs="仿宋"/>
                <w:bCs/>
                <w:color w:val="auto"/>
                <w:sz w:val="24"/>
                <w:szCs w:val="20"/>
                <w:highlight w:val="none"/>
              </w:rPr>
              <w:t>注：</w:t>
            </w:r>
            <w:r>
              <w:rPr>
                <w:rFonts w:hint="eastAsia" w:ascii="仿宋" w:hAnsi="仿宋" w:eastAsia="仿宋" w:cs="仿宋"/>
                <w:bCs/>
                <w:color w:val="auto"/>
                <w:sz w:val="24"/>
                <w:highlight w:val="none"/>
              </w:rPr>
              <w:t>合理性好的得2分，合理性一般的得1分；</w:t>
            </w:r>
          </w:p>
          <w:p w14:paraId="22F2095C">
            <w:pPr>
              <w:keepNext w:val="0"/>
              <w:keepLines w:val="0"/>
              <w:pageBreakBefore w:val="0"/>
              <w:kinsoku/>
              <w:wordWrap/>
              <w:overflowPunct/>
              <w:topLinePunct w:val="0"/>
              <w:autoSpaceDE/>
              <w:autoSpaceDN/>
              <w:bidi w:val="0"/>
              <w:snapToGrid/>
              <w:spacing w:line="312" w:lineRule="auto"/>
              <w:textAlignment w:val="auto"/>
              <w:rPr>
                <w:rFonts w:hint="eastAsia" w:ascii="仿宋" w:hAnsi="仿宋" w:eastAsia="仿宋" w:cs="仿宋"/>
                <w:color w:val="auto"/>
                <w:highlight w:val="none"/>
              </w:rPr>
            </w:pPr>
            <w:r>
              <w:rPr>
                <w:rFonts w:hint="eastAsia" w:ascii="仿宋" w:hAnsi="仿宋" w:eastAsia="仿宋" w:cs="仿宋"/>
                <w:bCs/>
                <w:color w:val="auto"/>
                <w:sz w:val="24"/>
                <w:highlight w:val="none"/>
              </w:rPr>
              <w:t>规范性好的得2分，规范性一般的得1分；</w:t>
            </w:r>
          </w:p>
          <w:p w14:paraId="717E299E">
            <w:pPr>
              <w:keepNext w:val="0"/>
              <w:keepLines w:val="0"/>
              <w:pageBreakBefore w:val="0"/>
              <w:kinsoku/>
              <w:wordWrap/>
              <w:overflowPunct/>
              <w:topLinePunct w:val="0"/>
              <w:autoSpaceDE/>
              <w:autoSpaceDN/>
              <w:bidi w:val="0"/>
              <w:snapToGrid/>
              <w:spacing w:line="312" w:lineRule="auto"/>
              <w:textAlignment w:val="auto"/>
              <w:rPr>
                <w:rFonts w:hint="eastAsia" w:ascii="仿宋" w:hAnsi="仿宋" w:eastAsia="仿宋" w:cs="仿宋"/>
                <w:bCs/>
                <w:color w:val="auto"/>
                <w:highlight w:val="none"/>
              </w:rPr>
            </w:pPr>
            <w:r>
              <w:rPr>
                <w:rFonts w:hint="eastAsia" w:ascii="仿宋" w:hAnsi="仿宋" w:eastAsia="仿宋" w:cs="仿宋"/>
                <w:bCs/>
                <w:color w:val="auto"/>
                <w:sz w:val="24"/>
                <w:highlight w:val="none"/>
              </w:rPr>
              <w:t>不合理或不规范的不得分。</w:t>
            </w:r>
          </w:p>
        </w:tc>
        <w:tc>
          <w:tcPr>
            <w:tcW w:w="712" w:type="dxa"/>
            <w:tcBorders>
              <w:left w:val="single" w:color="000000" w:sz="4" w:space="0"/>
              <w:bottom w:val="single" w:color="000000" w:sz="4" w:space="0"/>
              <w:right w:val="single" w:color="000000" w:sz="4" w:space="0"/>
            </w:tcBorders>
            <w:noWrap w:val="0"/>
            <w:vAlign w:val="center"/>
          </w:tcPr>
          <w:p w14:paraId="7D39CE32">
            <w:pPr>
              <w:pStyle w:val="156"/>
              <w:keepNext w:val="0"/>
              <w:keepLines w:val="0"/>
              <w:pageBreakBefore w:val="0"/>
              <w:kinsoku/>
              <w:wordWrap/>
              <w:overflowPunct/>
              <w:topLinePunct w:val="0"/>
              <w:autoSpaceDE/>
              <w:autoSpaceDN/>
              <w:bidi w:val="0"/>
              <w:snapToGrid/>
              <w:spacing w:before="0" w:line="312" w:lineRule="auto"/>
              <w:ind w:firstLine="0" w:firstLineChars="0"/>
              <w:jc w:val="center"/>
              <w:textAlignment w:val="auto"/>
              <w:rPr>
                <w:rFonts w:hint="eastAsia" w:ascii="仿宋" w:hAnsi="仿宋" w:eastAsia="仿宋" w:cs="仿宋"/>
                <w:b w:val="0"/>
                <w:color w:val="auto"/>
                <w:szCs w:val="24"/>
                <w:highlight w:val="none"/>
              </w:rPr>
            </w:pPr>
            <w:r>
              <w:rPr>
                <w:rFonts w:hint="eastAsia" w:ascii="仿宋" w:hAnsi="仿宋" w:eastAsia="仿宋" w:cs="仿宋"/>
                <w:b w:val="0"/>
                <w:color w:val="auto"/>
                <w:szCs w:val="24"/>
                <w:highlight w:val="none"/>
              </w:rPr>
              <w:t>4</w:t>
            </w:r>
          </w:p>
        </w:tc>
        <w:tc>
          <w:tcPr>
            <w:tcW w:w="995" w:type="dxa"/>
            <w:tcBorders>
              <w:left w:val="single" w:color="000000" w:sz="4" w:space="0"/>
              <w:bottom w:val="single" w:color="000000" w:sz="4" w:space="0"/>
              <w:right w:val="single" w:color="000000" w:sz="4" w:space="0"/>
            </w:tcBorders>
            <w:noWrap w:val="0"/>
            <w:vAlign w:val="center"/>
          </w:tcPr>
          <w:p w14:paraId="085DC394">
            <w:pPr>
              <w:spacing w:line="312"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1428" w:type="dxa"/>
            <w:tcBorders>
              <w:left w:val="single" w:color="000000" w:sz="4" w:space="0"/>
              <w:bottom w:val="single" w:color="000000" w:sz="4" w:space="0"/>
              <w:right w:val="single" w:color="000000" w:sz="4" w:space="0"/>
            </w:tcBorders>
            <w:noWrap w:val="0"/>
            <w:vAlign w:val="center"/>
          </w:tcPr>
          <w:p w14:paraId="6DB9B404">
            <w:pPr>
              <w:spacing w:line="312" w:lineRule="auto"/>
              <w:jc w:val="center"/>
              <w:rPr>
                <w:rFonts w:hint="eastAsia" w:ascii="仿宋" w:hAnsi="仿宋" w:eastAsia="仿宋" w:cs="仿宋"/>
                <w:color w:val="auto"/>
                <w:sz w:val="24"/>
                <w:highlight w:val="none"/>
              </w:rPr>
            </w:pPr>
          </w:p>
        </w:tc>
      </w:tr>
      <w:tr w14:paraId="13FDD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25" w:type="dxa"/>
            <w:vMerge w:val="restart"/>
            <w:tcBorders>
              <w:top w:val="single" w:color="000000" w:sz="4" w:space="0"/>
              <w:left w:val="single" w:color="000000" w:sz="4" w:space="0"/>
              <w:right w:val="single" w:color="000000" w:sz="4" w:space="0"/>
            </w:tcBorders>
            <w:noWrap w:val="0"/>
            <w:vAlign w:val="center"/>
          </w:tcPr>
          <w:p w14:paraId="0DA1F27A">
            <w:pPr>
              <w:pStyle w:val="156"/>
              <w:spacing w:before="0" w:line="288" w:lineRule="auto"/>
              <w:ind w:firstLine="0" w:firstLineChars="0"/>
              <w:jc w:val="center"/>
              <w:rPr>
                <w:rFonts w:hint="eastAsia" w:ascii="仿宋" w:hAnsi="仿宋" w:eastAsia="仿宋" w:cs="仿宋"/>
                <w:b w:val="0"/>
                <w:bCs w:val="0"/>
                <w:color w:val="auto"/>
                <w:szCs w:val="24"/>
                <w:highlight w:val="none"/>
                <w:lang w:val="en-US" w:eastAsia="zh-CN"/>
              </w:rPr>
            </w:pPr>
            <w:r>
              <w:rPr>
                <w:rFonts w:hint="eastAsia" w:ascii="仿宋" w:hAnsi="仿宋" w:eastAsia="仿宋" w:cs="仿宋"/>
                <w:b w:val="0"/>
                <w:bCs w:val="0"/>
                <w:color w:val="auto"/>
                <w:szCs w:val="24"/>
                <w:highlight w:val="none"/>
                <w:lang w:val="en-US" w:eastAsia="zh-CN"/>
              </w:rPr>
              <w:t>4</w:t>
            </w:r>
          </w:p>
        </w:tc>
        <w:tc>
          <w:tcPr>
            <w:tcW w:w="941" w:type="dxa"/>
            <w:vMerge w:val="restart"/>
            <w:tcBorders>
              <w:top w:val="single" w:color="000000" w:sz="4" w:space="0"/>
              <w:left w:val="single" w:color="000000" w:sz="4" w:space="0"/>
              <w:right w:val="single" w:color="000000" w:sz="4" w:space="0"/>
            </w:tcBorders>
            <w:noWrap w:val="0"/>
            <w:vAlign w:val="center"/>
          </w:tcPr>
          <w:p w14:paraId="52CF0763">
            <w:pPr>
              <w:pStyle w:val="156"/>
              <w:spacing w:before="0" w:line="288" w:lineRule="auto"/>
              <w:ind w:firstLine="0" w:firstLineChars="0"/>
              <w:jc w:val="center"/>
              <w:rPr>
                <w:rFonts w:hint="eastAsia" w:ascii="仿宋" w:hAnsi="仿宋" w:eastAsia="仿宋" w:cs="仿宋"/>
                <w:b w:val="0"/>
                <w:bCs w:val="0"/>
                <w:color w:val="auto"/>
                <w:szCs w:val="24"/>
                <w:highlight w:val="none"/>
              </w:rPr>
            </w:pPr>
            <w:r>
              <w:rPr>
                <w:rFonts w:hint="eastAsia" w:ascii="仿宋" w:hAnsi="仿宋" w:eastAsia="仿宋" w:cs="仿宋"/>
                <w:b w:val="0"/>
                <w:bCs w:val="0"/>
                <w:color w:val="auto"/>
                <w:szCs w:val="24"/>
                <w:highlight w:val="none"/>
              </w:rPr>
              <w:t>服务管理</w:t>
            </w:r>
          </w:p>
          <w:p w14:paraId="4A22299C">
            <w:pPr>
              <w:pStyle w:val="156"/>
              <w:spacing w:before="0" w:line="288" w:lineRule="auto"/>
              <w:ind w:firstLine="0" w:firstLineChars="0"/>
              <w:jc w:val="center"/>
              <w:rPr>
                <w:rFonts w:hint="eastAsia" w:ascii="仿宋" w:hAnsi="仿宋" w:eastAsia="仿宋" w:cs="仿宋"/>
                <w:b w:val="0"/>
                <w:bCs w:val="0"/>
                <w:color w:val="auto"/>
                <w:szCs w:val="24"/>
                <w:highlight w:val="none"/>
              </w:rPr>
            </w:pPr>
          </w:p>
        </w:tc>
        <w:tc>
          <w:tcPr>
            <w:tcW w:w="5333" w:type="dxa"/>
            <w:tcBorders>
              <w:top w:val="single" w:color="000000" w:sz="4" w:space="0"/>
              <w:left w:val="single" w:color="000000" w:sz="4" w:space="0"/>
              <w:bottom w:val="single" w:color="000000" w:sz="4" w:space="0"/>
              <w:right w:val="single" w:color="000000" w:sz="4" w:space="0"/>
            </w:tcBorders>
            <w:noWrap w:val="0"/>
            <w:vAlign w:val="center"/>
          </w:tcPr>
          <w:p w14:paraId="66A1E622">
            <w:pPr>
              <w:pStyle w:val="156"/>
              <w:keepNext w:val="0"/>
              <w:keepLines w:val="0"/>
              <w:pageBreakBefore w:val="0"/>
              <w:kinsoku/>
              <w:wordWrap/>
              <w:overflowPunct/>
              <w:topLinePunct w:val="0"/>
              <w:autoSpaceDE/>
              <w:autoSpaceDN/>
              <w:bidi w:val="0"/>
              <w:snapToGrid/>
              <w:spacing w:before="0" w:line="312" w:lineRule="auto"/>
              <w:ind w:firstLine="0" w:firstLineChars="0"/>
              <w:textAlignment w:val="auto"/>
              <w:rPr>
                <w:rFonts w:hint="eastAsia" w:ascii="仿宋" w:hAnsi="仿宋" w:eastAsia="仿宋" w:cs="仿宋"/>
                <w:b w:val="0"/>
                <w:bCs/>
                <w:color w:val="auto"/>
                <w:kern w:val="2"/>
                <w:szCs w:val="24"/>
                <w:highlight w:val="none"/>
              </w:rPr>
            </w:pPr>
            <w:r>
              <w:rPr>
                <w:rFonts w:hint="eastAsia" w:ascii="仿宋" w:hAnsi="仿宋" w:eastAsia="仿宋" w:cs="仿宋"/>
                <w:b w:val="0"/>
                <w:bCs/>
                <w:color w:val="auto"/>
                <w:kern w:val="2"/>
                <w:szCs w:val="24"/>
                <w:highlight w:val="none"/>
              </w:rPr>
              <w:t>（1）根据本项目调解服务要求，针对当事人提出的咨询、不满意或信访件，有完善的服务管理，提供相应服务标准、话术规范、质量保障；由评审专家根据内容合理程度进行打分。</w:t>
            </w:r>
          </w:p>
          <w:p w14:paraId="297CD982">
            <w:pPr>
              <w:pStyle w:val="156"/>
              <w:keepNext w:val="0"/>
              <w:keepLines w:val="0"/>
              <w:pageBreakBefore w:val="0"/>
              <w:kinsoku/>
              <w:wordWrap/>
              <w:overflowPunct/>
              <w:topLinePunct w:val="0"/>
              <w:autoSpaceDE/>
              <w:autoSpaceDN/>
              <w:bidi w:val="0"/>
              <w:snapToGrid/>
              <w:spacing w:before="0" w:line="312" w:lineRule="auto"/>
              <w:ind w:firstLine="0" w:firstLineChars="0"/>
              <w:textAlignment w:val="auto"/>
              <w:rPr>
                <w:rFonts w:hint="eastAsia" w:ascii="仿宋" w:hAnsi="仿宋" w:eastAsia="仿宋" w:cs="仿宋"/>
                <w:b w:val="0"/>
                <w:bCs/>
                <w:color w:val="auto"/>
                <w:kern w:val="2"/>
                <w:szCs w:val="24"/>
                <w:highlight w:val="none"/>
              </w:rPr>
            </w:pPr>
            <w:r>
              <w:rPr>
                <w:rFonts w:hint="eastAsia" w:ascii="仿宋" w:hAnsi="仿宋" w:eastAsia="仿宋" w:cs="仿宋"/>
                <w:b w:val="0"/>
                <w:bCs/>
                <w:color w:val="auto"/>
                <w:kern w:val="2"/>
                <w:szCs w:val="24"/>
                <w:highlight w:val="none"/>
              </w:rPr>
              <w:t>注：</w:t>
            </w:r>
            <w:r>
              <w:rPr>
                <w:rFonts w:hint="eastAsia" w:ascii="仿宋" w:hAnsi="仿宋" w:eastAsia="仿宋" w:cs="仿宋"/>
                <w:b w:val="0"/>
                <w:bCs/>
                <w:color w:val="auto"/>
                <w:szCs w:val="24"/>
                <w:highlight w:val="none"/>
              </w:rPr>
              <w:t>合理性好的得5分；合理性一般的得3分；</w:t>
            </w:r>
            <w:r>
              <w:rPr>
                <w:rFonts w:hint="eastAsia" w:ascii="仿宋" w:hAnsi="仿宋" w:eastAsia="仿宋" w:cs="仿宋"/>
                <w:b w:val="0"/>
                <w:bCs/>
                <w:color w:val="auto"/>
                <w:kern w:val="2"/>
                <w:szCs w:val="24"/>
                <w:highlight w:val="none"/>
              </w:rPr>
              <w:t>合理性较低的得1分；其他不得分。</w:t>
            </w:r>
          </w:p>
        </w:tc>
        <w:tc>
          <w:tcPr>
            <w:tcW w:w="712" w:type="dxa"/>
            <w:tcBorders>
              <w:top w:val="single" w:color="000000" w:sz="4" w:space="0"/>
              <w:left w:val="single" w:color="000000" w:sz="4" w:space="0"/>
              <w:right w:val="single" w:color="000000" w:sz="4" w:space="0"/>
            </w:tcBorders>
            <w:noWrap w:val="0"/>
            <w:vAlign w:val="center"/>
          </w:tcPr>
          <w:p w14:paraId="2018C36D">
            <w:pPr>
              <w:pStyle w:val="156"/>
              <w:keepNext w:val="0"/>
              <w:keepLines w:val="0"/>
              <w:pageBreakBefore w:val="0"/>
              <w:kinsoku/>
              <w:wordWrap/>
              <w:overflowPunct/>
              <w:topLinePunct w:val="0"/>
              <w:autoSpaceDE/>
              <w:autoSpaceDN/>
              <w:bidi w:val="0"/>
              <w:snapToGrid/>
              <w:spacing w:before="0" w:line="312" w:lineRule="auto"/>
              <w:ind w:firstLine="0" w:firstLineChars="0"/>
              <w:jc w:val="center"/>
              <w:textAlignment w:val="auto"/>
              <w:rPr>
                <w:rFonts w:hint="eastAsia" w:ascii="仿宋" w:hAnsi="仿宋" w:eastAsia="仿宋" w:cs="仿宋"/>
                <w:b w:val="0"/>
                <w:color w:val="auto"/>
                <w:szCs w:val="24"/>
                <w:highlight w:val="none"/>
              </w:rPr>
            </w:pPr>
            <w:r>
              <w:rPr>
                <w:rFonts w:hint="eastAsia" w:ascii="仿宋" w:hAnsi="仿宋" w:eastAsia="仿宋" w:cs="仿宋"/>
                <w:b w:val="0"/>
                <w:color w:val="auto"/>
                <w:szCs w:val="24"/>
                <w:highlight w:val="none"/>
              </w:rPr>
              <w:t>5</w:t>
            </w:r>
          </w:p>
        </w:tc>
        <w:tc>
          <w:tcPr>
            <w:tcW w:w="995" w:type="dxa"/>
            <w:tcBorders>
              <w:top w:val="single" w:color="000000" w:sz="4" w:space="0"/>
              <w:left w:val="single" w:color="000000" w:sz="4" w:space="0"/>
              <w:right w:val="single" w:color="000000" w:sz="4" w:space="0"/>
            </w:tcBorders>
            <w:noWrap w:val="0"/>
            <w:vAlign w:val="center"/>
          </w:tcPr>
          <w:p w14:paraId="43340822">
            <w:pPr>
              <w:spacing w:line="312"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1428" w:type="dxa"/>
            <w:tcBorders>
              <w:top w:val="single" w:color="000000" w:sz="4" w:space="0"/>
              <w:left w:val="single" w:color="000000" w:sz="4" w:space="0"/>
              <w:right w:val="single" w:color="000000" w:sz="4" w:space="0"/>
            </w:tcBorders>
            <w:noWrap w:val="0"/>
            <w:vAlign w:val="center"/>
          </w:tcPr>
          <w:p w14:paraId="1626F8F9">
            <w:pPr>
              <w:spacing w:line="312" w:lineRule="auto"/>
              <w:jc w:val="center"/>
              <w:rPr>
                <w:rFonts w:hint="eastAsia" w:ascii="仿宋" w:hAnsi="仿宋" w:eastAsia="仿宋" w:cs="仿宋"/>
                <w:color w:val="auto"/>
                <w:sz w:val="24"/>
                <w:highlight w:val="none"/>
              </w:rPr>
            </w:pPr>
          </w:p>
        </w:tc>
      </w:tr>
      <w:tr w14:paraId="0F29E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25" w:type="dxa"/>
            <w:vMerge w:val="continue"/>
            <w:tcBorders>
              <w:left w:val="single" w:color="000000" w:sz="4" w:space="0"/>
              <w:right w:val="single" w:color="000000" w:sz="4" w:space="0"/>
            </w:tcBorders>
            <w:noWrap w:val="0"/>
            <w:vAlign w:val="center"/>
          </w:tcPr>
          <w:p w14:paraId="6045D10C">
            <w:pPr>
              <w:pStyle w:val="156"/>
              <w:spacing w:before="0" w:line="288" w:lineRule="auto"/>
              <w:ind w:firstLine="0" w:firstLineChars="0"/>
              <w:jc w:val="center"/>
              <w:rPr>
                <w:rFonts w:hint="eastAsia" w:ascii="仿宋" w:hAnsi="仿宋" w:eastAsia="仿宋" w:cs="仿宋"/>
                <w:b w:val="0"/>
                <w:bCs w:val="0"/>
                <w:color w:val="auto"/>
                <w:szCs w:val="24"/>
                <w:highlight w:val="none"/>
              </w:rPr>
            </w:pPr>
          </w:p>
        </w:tc>
        <w:tc>
          <w:tcPr>
            <w:tcW w:w="941" w:type="dxa"/>
            <w:vMerge w:val="continue"/>
            <w:tcBorders>
              <w:left w:val="single" w:color="000000" w:sz="4" w:space="0"/>
              <w:right w:val="single" w:color="000000" w:sz="4" w:space="0"/>
            </w:tcBorders>
            <w:noWrap w:val="0"/>
            <w:vAlign w:val="center"/>
          </w:tcPr>
          <w:p w14:paraId="6288A46D">
            <w:pPr>
              <w:pStyle w:val="156"/>
              <w:spacing w:before="0" w:line="288" w:lineRule="auto"/>
              <w:ind w:firstLine="0" w:firstLineChars="0"/>
              <w:jc w:val="center"/>
              <w:rPr>
                <w:rFonts w:hint="eastAsia" w:ascii="仿宋" w:hAnsi="仿宋" w:eastAsia="仿宋" w:cs="仿宋"/>
                <w:b w:val="0"/>
                <w:bCs w:val="0"/>
                <w:color w:val="auto"/>
                <w:szCs w:val="24"/>
                <w:highlight w:val="none"/>
              </w:rPr>
            </w:pPr>
          </w:p>
        </w:tc>
        <w:tc>
          <w:tcPr>
            <w:tcW w:w="5333" w:type="dxa"/>
            <w:tcBorders>
              <w:top w:val="single" w:color="000000" w:sz="4" w:space="0"/>
              <w:left w:val="single" w:color="000000" w:sz="4" w:space="0"/>
              <w:bottom w:val="single" w:color="000000" w:sz="4" w:space="0"/>
              <w:right w:val="single" w:color="000000" w:sz="4" w:space="0"/>
            </w:tcBorders>
            <w:noWrap w:val="0"/>
            <w:vAlign w:val="center"/>
          </w:tcPr>
          <w:p w14:paraId="640499D6">
            <w:pPr>
              <w:keepNext w:val="0"/>
              <w:keepLines w:val="0"/>
              <w:pageBreakBefore w:val="0"/>
              <w:kinsoku/>
              <w:wordWrap/>
              <w:overflowPunct/>
              <w:topLinePunct w:val="0"/>
              <w:autoSpaceDE/>
              <w:autoSpaceDN/>
              <w:bidi w:val="0"/>
              <w:snapToGrid/>
              <w:spacing w:line="312" w:lineRule="auto"/>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（2）根据服务响应承诺书及保障措施内容合理性进行打分，具有针对性、利于项目实施得3分；针对性较弱，满足项目实施需要得2分；内容较为简单、存在缺漏的得1分。</w:t>
            </w:r>
            <w:r>
              <w:rPr>
                <w:rFonts w:hint="eastAsia" w:ascii="仿宋" w:hAnsi="仿宋" w:eastAsia="仿宋" w:cs="仿宋"/>
                <w:bCs/>
                <w:color w:val="auto"/>
                <w:kern w:val="0"/>
                <w:sz w:val="24"/>
                <w:highlight w:val="none"/>
              </w:rPr>
              <w:t>未提供方案不得分。</w:t>
            </w:r>
          </w:p>
          <w:p w14:paraId="4873C33C">
            <w:pPr>
              <w:pStyle w:val="156"/>
              <w:keepNext w:val="0"/>
              <w:keepLines w:val="0"/>
              <w:pageBreakBefore w:val="0"/>
              <w:kinsoku/>
              <w:wordWrap/>
              <w:overflowPunct/>
              <w:topLinePunct w:val="0"/>
              <w:autoSpaceDE/>
              <w:autoSpaceDN/>
              <w:bidi w:val="0"/>
              <w:snapToGrid/>
              <w:spacing w:before="0" w:line="312" w:lineRule="auto"/>
              <w:ind w:firstLine="0" w:firstLineChars="0"/>
              <w:textAlignment w:val="auto"/>
              <w:rPr>
                <w:rFonts w:hint="eastAsia" w:ascii="仿宋" w:hAnsi="仿宋" w:eastAsia="仿宋" w:cs="仿宋"/>
                <w:b w:val="0"/>
                <w:bCs/>
                <w:color w:val="auto"/>
                <w:szCs w:val="24"/>
                <w:highlight w:val="none"/>
              </w:rPr>
            </w:pPr>
            <w:r>
              <w:rPr>
                <w:rFonts w:hint="eastAsia" w:ascii="仿宋" w:hAnsi="仿宋" w:eastAsia="仿宋" w:cs="仿宋"/>
                <w:b/>
                <w:bCs w:val="0"/>
                <w:color w:val="auto"/>
                <w:szCs w:val="24"/>
                <w:highlight w:val="none"/>
              </w:rPr>
              <w:t>注：投标响应单位需提供服务响应承诺书，内容结合采购需求进行草拟。不提供承诺书或承诺书服务响应与采购文件需求不符合的本项不得分。</w:t>
            </w:r>
          </w:p>
        </w:tc>
        <w:tc>
          <w:tcPr>
            <w:tcW w:w="712" w:type="dxa"/>
            <w:tcBorders>
              <w:top w:val="single" w:color="000000" w:sz="4" w:space="0"/>
              <w:left w:val="single" w:color="000000" w:sz="4" w:space="0"/>
              <w:right w:val="single" w:color="000000" w:sz="4" w:space="0"/>
            </w:tcBorders>
            <w:noWrap w:val="0"/>
            <w:vAlign w:val="center"/>
          </w:tcPr>
          <w:p w14:paraId="07A29DE5">
            <w:pPr>
              <w:pStyle w:val="156"/>
              <w:keepNext w:val="0"/>
              <w:keepLines w:val="0"/>
              <w:pageBreakBefore w:val="0"/>
              <w:kinsoku/>
              <w:wordWrap/>
              <w:overflowPunct/>
              <w:topLinePunct w:val="0"/>
              <w:autoSpaceDE/>
              <w:autoSpaceDN/>
              <w:bidi w:val="0"/>
              <w:snapToGrid/>
              <w:spacing w:before="0" w:line="312" w:lineRule="auto"/>
              <w:ind w:firstLine="0" w:firstLineChars="0"/>
              <w:jc w:val="center"/>
              <w:textAlignment w:val="auto"/>
              <w:rPr>
                <w:rFonts w:hint="eastAsia" w:ascii="仿宋" w:hAnsi="仿宋" w:eastAsia="仿宋" w:cs="仿宋"/>
                <w:b w:val="0"/>
                <w:color w:val="auto"/>
                <w:szCs w:val="24"/>
                <w:highlight w:val="none"/>
              </w:rPr>
            </w:pPr>
            <w:r>
              <w:rPr>
                <w:rFonts w:hint="eastAsia" w:ascii="仿宋" w:hAnsi="仿宋" w:eastAsia="仿宋" w:cs="仿宋"/>
                <w:b w:val="0"/>
                <w:color w:val="auto"/>
                <w:szCs w:val="24"/>
                <w:highlight w:val="none"/>
              </w:rPr>
              <w:t>3</w:t>
            </w:r>
          </w:p>
        </w:tc>
        <w:tc>
          <w:tcPr>
            <w:tcW w:w="995" w:type="dxa"/>
            <w:tcBorders>
              <w:top w:val="single" w:color="000000" w:sz="4" w:space="0"/>
              <w:left w:val="single" w:color="000000" w:sz="4" w:space="0"/>
              <w:right w:val="single" w:color="000000" w:sz="4" w:space="0"/>
            </w:tcBorders>
            <w:noWrap w:val="0"/>
            <w:vAlign w:val="center"/>
          </w:tcPr>
          <w:p w14:paraId="08803241">
            <w:pPr>
              <w:pStyle w:val="156"/>
              <w:spacing w:before="0" w:line="312" w:lineRule="auto"/>
              <w:ind w:firstLine="0" w:firstLineChars="0"/>
              <w:jc w:val="center"/>
              <w:rPr>
                <w:rFonts w:hint="eastAsia" w:ascii="仿宋" w:hAnsi="仿宋" w:eastAsia="仿宋" w:cs="仿宋"/>
                <w:b w:val="0"/>
                <w:color w:val="auto"/>
                <w:szCs w:val="24"/>
                <w:highlight w:val="none"/>
              </w:rPr>
            </w:pPr>
            <w:r>
              <w:rPr>
                <w:rFonts w:hint="eastAsia" w:ascii="仿宋" w:hAnsi="仿宋" w:eastAsia="仿宋" w:cs="仿宋"/>
                <w:b w:val="0"/>
                <w:color w:val="auto"/>
                <w:highlight w:val="none"/>
              </w:rPr>
              <w:t>主观分</w:t>
            </w:r>
          </w:p>
        </w:tc>
        <w:tc>
          <w:tcPr>
            <w:tcW w:w="1428" w:type="dxa"/>
            <w:tcBorders>
              <w:top w:val="single" w:color="000000" w:sz="4" w:space="0"/>
              <w:left w:val="single" w:color="000000" w:sz="4" w:space="0"/>
              <w:right w:val="single" w:color="000000" w:sz="4" w:space="0"/>
            </w:tcBorders>
            <w:noWrap w:val="0"/>
            <w:vAlign w:val="center"/>
          </w:tcPr>
          <w:p w14:paraId="173E2672">
            <w:pPr>
              <w:pStyle w:val="156"/>
              <w:spacing w:before="0" w:line="312" w:lineRule="auto"/>
              <w:ind w:firstLine="0" w:firstLineChars="0"/>
              <w:jc w:val="center"/>
              <w:rPr>
                <w:rFonts w:hint="eastAsia" w:ascii="仿宋" w:hAnsi="仿宋" w:eastAsia="仿宋" w:cs="仿宋"/>
                <w:b w:val="0"/>
                <w:color w:val="auto"/>
                <w:highlight w:val="none"/>
              </w:rPr>
            </w:pPr>
          </w:p>
        </w:tc>
      </w:tr>
      <w:tr w14:paraId="0A8CA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5" w:hRule="atLeast"/>
          <w:jc w:val="center"/>
        </w:trPr>
        <w:tc>
          <w:tcPr>
            <w:tcW w:w="825" w:type="dxa"/>
            <w:vMerge w:val="restart"/>
            <w:tcBorders>
              <w:top w:val="single" w:color="000000" w:sz="4" w:space="0"/>
              <w:left w:val="single" w:color="000000" w:sz="4" w:space="0"/>
              <w:right w:val="single" w:color="000000" w:sz="4" w:space="0"/>
            </w:tcBorders>
            <w:noWrap w:val="0"/>
            <w:vAlign w:val="center"/>
          </w:tcPr>
          <w:p w14:paraId="0F166169">
            <w:pPr>
              <w:pStyle w:val="156"/>
              <w:spacing w:before="0" w:line="288" w:lineRule="auto"/>
              <w:ind w:firstLine="0" w:firstLineChars="0"/>
              <w:jc w:val="center"/>
              <w:rPr>
                <w:rFonts w:hint="eastAsia" w:ascii="仿宋" w:hAnsi="仿宋" w:eastAsia="仿宋" w:cs="仿宋"/>
                <w:b w:val="0"/>
                <w:bCs w:val="0"/>
                <w:color w:val="auto"/>
                <w:szCs w:val="24"/>
                <w:highlight w:val="none"/>
                <w:lang w:val="en-US" w:eastAsia="zh-CN"/>
              </w:rPr>
            </w:pPr>
            <w:r>
              <w:rPr>
                <w:rFonts w:hint="eastAsia" w:ascii="仿宋" w:hAnsi="仿宋" w:eastAsia="仿宋" w:cs="仿宋"/>
                <w:b w:val="0"/>
                <w:bCs w:val="0"/>
                <w:color w:val="auto"/>
                <w:szCs w:val="24"/>
                <w:highlight w:val="none"/>
                <w:lang w:val="en-US" w:eastAsia="zh-CN"/>
              </w:rPr>
              <w:t>5</w:t>
            </w:r>
          </w:p>
        </w:tc>
        <w:tc>
          <w:tcPr>
            <w:tcW w:w="941" w:type="dxa"/>
            <w:vMerge w:val="restart"/>
            <w:tcBorders>
              <w:top w:val="single" w:color="000000" w:sz="4" w:space="0"/>
              <w:left w:val="single" w:color="000000" w:sz="4" w:space="0"/>
              <w:right w:val="single" w:color="000000" w:sz="4" w:space="0"/>
            </w:tcBorders>
            <w:noWrap w:val="0"/>
            <w:vAlign w:val="center"/>
          </w:tcPr>
          <w:p w14:paraId="5315BE85">
            <w:pPr>
              <w:pStyle w:val="156"/>
              <w:spacing w:before="0" w:line="288" w:lineRule="auto"/>
              <w:ind w:firstLine="0" w:firstLineChars="0"/>
              <w:jc w:val="center"/>
              <w:rPr>
                <w:rFonts w:hint="eastAsia" w:ascii="仿宋" w:hAnsi="仿宋" w:eastAsia="仿宋" w:cs="仿宋"/>
                <w:b w:val="0"/>
                <w:bCs w:val="0"/>
                <w:color w:val="auto"/>
                <w:szCs w:val="24"/>
                <w:highlight w:val="none"/>
              </w:rPr>
            </w:pPr>
            <w:r>
              <w:rPr>
                <w:rFonts w:hint="eastAsia" w:ascii="仿宋" w:hAnsi="仿宋" w:eastAsia="仿宋" w:cs="仿宋"/>
                <w:b w:val="0"/>
                <w:bCs w:val="0"/>
                <w:color w:val="auto"/>
                <w:szCs w:val="24"/>
                <w:highlight w:val="none"/>
              </w:rPr>
              <w:t>拟派资源配置情况</w:t>
            </w:r>
          </w:p>
          <w:p w14:paraId="304A8F1B">
            <w:pPr>
              <w:pStyle w:val="156"/>
              <w:spacing w:before="0" w:line="288" w:lineRule="auto"/>
              <w:ind w:firstLine="0" w:firstLineChars="0"/>
              <w:jc w:val="center"/>
              <w:rPr>
                <w:rFonts w:hint="eastAsia" w:ascii="仿宋" w:hAnsi="仿宋" w:eastAsia="仿宋" w:cs="仿宋"/>
                <w:b w:val="0"/>
                <w:bCs w:val="0"/>
                <w:color w:val="auto"/>
                <w:szCs w:val="24"/>
                <w:highlight w:val="none"/>
              </w:rPr>
            </w:pPr>
          </w:p>
        </w:tc>
        <w:tc>
          <w:tcPr>
            <w:tcW w:w="5333" w:type="dxa"/>
            <w:tcBorders>
              <w:top w:val="single" w:color="000000" w:sz="4" w:space="0"/>
              <w:left w:val="single" w:color="000000" w:sz="4" w:space="0"/>
              <w:bottom w:val="single" w:color="000000" w:sz="4" w:space="0"/>
              <w:right w:val="single" w:color="000000" w:sz="4" w:space="0"/>
            </w:tcBorders>
            <w:noWrap w:val="0"/>
            <w:vAlign w:val="center"/>
          </w:tcPr>
          <w:p w14:paraId="27837955">
            <w:pPr>
              <w:pStyle w:val="156"/>
              <w:keepNext w:val="0"/>
              <w:keepLines w:val="0"/>
              <w:pageBreakBefore w:val="0"/>
              <w:kinsoku/>
              <w:wordWrap/>
              <w:overflowPunct/>
              <w:topLinePunct w:val="0"/>
              <w:autoSpaceDE/>
              <w:autoSpaceDN/>
              <w:bidi w:val="0"/>
              <w:snapToGrid/>
              <w:spacing w:before="0" w:line="312" w:lineRule="auto"/>
              <w:ind w:firstLine="0" w:firstLineChars="0"/>
              <w:textAlignment w:val="auto"/>
              <w:rPr>
                <w:rFonts w:hint="eastAsia" w:ascii="仿宋" w:hAnsi="仿宋" w:eastAsia="仿宋" w:cs="仿宋"/>
                <w:b w:val="0"/>
                <w:bCs/>
                <w:color w:val="auto"/>
                <w:kern w:val="2"/>
                <w:szCs w:val="24"/>
                <w:highlight w:val="none"/>
              </w:rPr>
            </w:pPr>
            <w:r>
              <w:rPr>
                <w:rFonts w:hint="eastAsia" w:ascii="仿宋" w:hAnsi="仿宋" w:eastAsia="仿宋" w:cs="仿宋"/>
                <w:b w:val="0"/>
                <w:bCs/>
                <w:color w:val="auto"/>
                <w:kern w:val="2"/>
                <w:szCs w:val="24"/>
                <w:highlight w:val="none"/>
              </w:rPr>
              <w:t>（1）针对本项目合理配置团队人员，根据配备力量（1分）、选聘程序（1分）、任职条件（1分）、队伍管理（1分）、培训体系（1分）和待遇保障（1分）进行打分，由评审专家根据内容合理程度进行打分。</w:t>
            </w:r>
          </w:p>
          <w:p w14:paraId="4C713597">
            <w:pPr>
              <w:pStyle w:val="156"/>
              <w:keepNext w:val="0"/>
              <w:keepLines w:val="0"/>
              <w:pageBreakBefore w:val="0"/>
              <w:kinsoku/>
              <w:wordWrap/>
              <w:overflowPunct/>
              <w:topLinePunct w:val="0"/>
              <w:autoSpaceDE/>
              <w:autoSpaceDN/>
              <w:bidi w:val="0"/>
              <w:snapToGrid/>
              <w:spacing w:before="0" w:line="312" w:lineRule="auto"/>
              <w:ind w:firstLine="0" w:firstLineChars="0"/>
              <w:textAlignment w:val="auto"/>
              <w:rPr>
                <w:rFonts w:hint="eastAsia" w:ascii="仿宋" w:hAnsi="仿宋" w:eastAsia="仿宋" w:cs="仿宋"/>
                <w:b w:val="0"/>
                <w:bCs/>
                <w:color w:val="auto"/>
                <w:kern w:val="2"/>
                <w:szCs w:val="24"/>
                <w:highlight w:val="none"/>
              </w:rPr>
            </w:pPr>
            <w:r>
              <w:rPr>
                <w:rFonts w:hint="eastAsia" w:ascii="仿宋" w:hAnsi="仿宋" w:eastAsia="仿宋" w:cs="仿宋"/>
                <w:b w:val="0"/>
                <w:bCs/>
                <w:color w:val="auto"/>
                <w:kern w:val="2"/>
                <w:szCs w:val="24"/>
                <w:highlight w:val="none"/>
              </w:rPr>
              <w:t>注：各分项内容合理性好的得1分；合理性一般的得0.5分；合理性较差或不合理的不得分。</w:t>
            </w:r>
          </w:p>
        </w:tc>
        <w:tc>
          <w:tcPr>
            <w:tcW w:w="712" w:type="dxa"/>
            <w:tcBorders>
              <w:top w:val="single" w:color="000000" w:sz="4" w:space="0"/>
              <w:left w:val="single" w:color="000000" w:sz="4" w:space="0"/>
              <w:right w:val="single" w:color="000000" w:sz="4" w:space="0"/>
            </w:tcBorders>
            <w:noWrap w:val="0"/>
            <w:vAlign w:val="center"/>
          </w:tcPr>
          <w:p w14:paraId="541E5E44">
            <w:pPr>
              <w:pStyle w:val="156"/>
              <w:keepNext w:val="0"/>
              <w:keepLines w:val="0"/>
              <w:pageBreakBefore w:val="0"/>
              <w:kinsoku/>
              <w:wordWrap/>
              <w:overflowPunct/>
              <w:topLinePunct w:val="0"/>
              <w:autoSpaceDE/>
              <w:autoSpaceDN/>
              <w:bidi w:val="0"/>
              <w:snapToGrid/>
              <w:spacing w:before="0" w:line="312" w:lineRule="auto"/>
              <w:ind w:firstLine="0" w:firstLineChars="0"/>
              <w:jc w:val="center"/>
              <w:textAlignment w:val="auto"/>
              <w:rPr>
                <w:rFonts w:hint="eastAsia" w:ascii="仿宋" w:hAnsi="仿宋" w:eastAsia="仿宋" w:cs="仿宋"/>
                <w:b w:val="0"/>
                <w:color w:val="auto"/>
                <w:szCs w:val="24"/>
                <w:highlight w:val="none"/>
              </w:rPr>
            </w:pPr>
            <w:r>
              <w:rPr>
                <w:rFonts w:hint="eastAsia" w:ascii="仿宋" w:hAnsi="仿宋" w:eastAsia="仿宋" w:cs="仿宋"/>
                <w:b w:val="0"/>
                <w:color w:val="auto"/>
                <w:szCs w:val="24"/>
                <w:highlight w:val="none"/>
              </w:rPr>
              <w:t>6</w:t>
            </w:r>
          </w:p>
        </w:tc>
        <w:tc>
          <w:tcPr>
            <w:tcW w:w="995" w:type="dxa"/>
            <w:tcBorders>
              <w:top w:val="single" w:color="000000" w:sz="4" w:space="0"/>
              <w:left w:val="single" w:color="000000" w:sz="4" w:space="0"/>
              <w:right w:val="single" w:color="000000" w:sz="4" w:space="0"/>
            </w:tcBorders>
            <w:noWrap w:val="0"/>
            <w:vAlign w:val="center"/>
          </w:tcPr>
          <w:p w14:paraId="24B2D1DE">
            <w:pPr>
              <w:spacing w:line="312"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1428" w:type="dxa"/>
            <w:tcBorders>
              <w:top w:val="single" w:color="000000" w:sz="4" w:space="0"/>
              <w:left w:val="single" w:color="000000" w:sz="4" w:space="0"/>
              <w:right w:val="single" w:color="000000" w:sz="4" w:space="0"/>
            </w:tcBorders>
            <w:noWrap w:val="0"/>
            <w:vAlign w:val="center"/>
          </w:tcPr>
          <w:p w14:paraId="6A7C103E">
            <w:pPr>
              <w:spacing w:line="312" w:lineRule="auto"/>
              <w:jc w:val="center"/>
              <w:rPr>
                <w:rFonts w:hint="eastAsia" w:ascii="仿宋" w:hAnsi="仿宋" w:eastAsia="仿宋" w:cs="仿宋"/>
                <w:color w:val="auto"/>
                <w:sz w:val="24"/>
                <w:highlight w:val="none"/>
              </w:rPr>
            </w:pPr>
          </w:p>
        </w:tc>
      </w:tr>
      <w:tr w14:paraId="2D36E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 w:hRule="atLeast"/>
          <w:jc w:val="center"/>
        </w:trPr>
        <w:tc>
          <w:tcPr>
            <w:tcW w:w="825" w:type="dxa"/>
            <w:vMerge w:val="continue"/>
            <w:tcBorders>
              <w:left w:val="single" w:color="000000" w:sz="4" w:space="0"/>
              <w:right w:val="single" w:color="000000" w:sz="4" w:space="0"/>
            </w:tcBorders>
            <w:noWrap w:val="0"/>
            <w:vAlign w:val="center"/>
          </w:tcPr>
          <w:p w14:paraId="0CB0FEBF">
            <w:pPr>
              <w:pStyle w:val="156"/>
              <w:spacing w:before="0" w:line="288" w:lineRule="auto"/>
              <w:ind w:firstLine="0" w:firstLineChars="0"/>
              <w:jc w:val="center"/>
              <w:rPr>
                <w:rFonts w:hint="eastAsia" w:ascii="仿宋" w:hAnsi="仿宋" w:eastAsia="仿宋" w:cs="仿宋"/>
                <w:b w:val="0"/>
                <w:bCs w:val="0"/>
                <w:color w:val="auto"/>
                <w:szCs w:val="24"/>
                <w:highlight w:val="none"/>
              </w:rPr>
            </w:pPr>
          </w:p>
        </w:tc>
        <w:tc>
          <w:tcPr>
            <w:tcW w:w="941" w:type="dxa"/>
            <w:vMerge w:val="continue"/>
            <w:tcBorders>
              <w:left w:val="single" w:color="000000" w:sz="4" w:space="0"/>
              <w:right w:val="single" w:color="000000" w:sz="4" w:space="0"/>
            </w:tcBorders>
            <w:noWrap w:val="0"/>
            <w:vAlign w:val="center"/>
          </w:tcPr>
          <w:p w14:paraId="763360AA">
            <w:pPr>
              <w:pStyle w:val="156"/>
              <w:spacing w:before="0" w:line="288" w:lineRule="auto"/>
              <w:ind w:firstLine="0" w:firstLineChars="0"/>
              <w:jc w:val="center"/>
              <w:rPr>
                <w:rFonts w:hint="eastAsia" w:ascii="仿宋" w:hAnsi="仿宋" w:eastAsia="仿宋" w:cs="仿宋"/>
                <w:b w:val="0"/>
                <w:bCs w:val="0"/>
                <w:color w:val="auto"/>
                <w:szCs w:val="24"/>
                <w:highlight w:val="none"/>
              </w:rPr>
            </w:pPr>
          </w:p>
        </w:tc>
        <w:tc>
          <w:tcPr>
            <w:tcW w:w="5333" w:type="dxa"/>
            <w:tcBorders>
              <w:top w:val="single" w:color="000000" w:sz="4" w:space="0"/>
              <w:left w:val="single" w:color="000000" w:sz="4" w:space="0"/>
              <w:bottom w:val="single" w:color="000000" w:sz="4" w:space="0"/>
              <w:right w:val="single" w:color="000000" w:sz="4" w:space="0"/>
            </w:tcBorders>
            <w:noWrap w:val="0"/>
            <w:vAlign w:val="center"/>
          </w:tcPr>
          <w:p w14:paraId="721757FB">
            <w:pPr>
              <w:pStyle w:val="156"/>
              <w:keepNext w:val="0"/>
              <w:keepLines w:val="0"/>
              <w:pageBreakBefore w:val="0"/>
              <w:kinsoku/>
              <w:wordWrap/>
              <w:overflowPunct/>
              <w:topLinePunct w:val="0"/>
              <w:autoSpaceDE/>
              <w:autoSpaceDN/>
              <w:bidi w:val="0"/>
              <w:snapToGrid/>
              <w:spacing w:before="0" w:line="312" w:lineRule="auto"/>
              <w:ind w:firstLine="0" w:firstLineChars="0"/>
              <w:textAlignment w:val="auto"/>
              <w:rPr>
                <w:rFonts w:hint="eastAsia" w:ascii="仿宋" w:hAnsi="仿宋" w:eastAsia="仿宋" w:cs="仿宋"/>
                <w:b w:val="0"/>
                <w:bCs/>
                <w:color w:val="auto"/>
                <w:kern w:val="2"/>
                <w:szCs w:val="24"/>
                <w:highlight w:val="none"/>
              </w:rPr>
            </w:pPr>
            <w:r>
              <w:rPr>
                <w:rFonts w:hint="eastAsia" w:ascii="仿宋" w:hAnsi="仿宋" w:eastAsia="仿宋" w:cs="仿宋"/>
                <w:b w:val="0"/>
                <w:bCs/>
                <w:color w:val="auto"/>
                <w:kern w:val="2"/>
                <w:szCs w:val="24"/>
                <w:highlight w:val="none"/>
              </w:rPr>
              <w:t>（2）根据拟派人员数量、学历学位、调解从业资格、相关工作经验等情况进行打分：</w:t>
            </w:r>
          </w:p>
          <w:p w14:paraId="0F88EAAF">
            <w:pPr>
              <w:pStyle w:val="156"/>
              <w:keepNext w:val="0"/>
              <w:keepLines w:val="0"/>
              <w:pageBreakBefore w:val="0"/>
              <w:kinsoku/>
              <w:wordWrap/>
              <w:overflowPunct/>
              <w:topLinePunct w:val="0"/>
              <w:autoSpaceDE/>
              <w:autoSpaceDN/>
              <w:bidi w:val="0"/>
              <w:snapToGrid/>
              <w:spacing w:before="0" w:line="312" w:lineRule="auto"/>
              <w:ind w:firstLine="0" w:firstLineChars="0"/>
              <w:textAlignment w:val="auto"/>
              <w:rPr>
                <w:rFonts w:hint="eastAsia" w:ascii="仿宋" w:hAnsi="仿宋" w:eastAsia="仿宋" w:cs="仿宋"/>
                <w:b w:val="0"/>
                <w:bCs/>
                <w:color w:val="auto"/>
                <w:kern w:val="2"/>
                <w:szCs w:val="24"/>
                <w:highlight w:val="none"/>
              </w:rPr>
            </w:pPr>
            <w:r>
              <w:rPr>
                <w:rFonts w:hint="eastAsia" w:ascii="仿宋" w:hAnsi="仿宋" w:eastAsia="仿宋" w:cs="仿宋"/>
                <w:b w:val="0"/>
                <w:bCs/>
                <w:color w:val="auto"/>
                <w:kern w:val="2"/>
                <w:szCs w:val="24"/>
                <w:highlight w:val="none"/>
              </w:rPr>
              <w:t>2.1</w:t>
            </w:r>
            <w:r>
              <w:rPr>
                <w:rFonts w:hint="eastAsia" w:ascii="仿宋" w:hAnsi="仿宋" w:eastAsia="仿宋" w:cs="仿宋"/>
                <w:b w:val="0"/>
                <w:bCs/>
                <w:color w:val="auto"/>
                <w:kern w:val="2"/>
                <w:szCs w:val="24"/>
                <w:highlight w:val="none"/>
                <w:lang w:val="zh-TW"/>
              </w:rPr>
              <w:t>拟派</w:t>
            </w:r>
            <w:r>
              <w:rPr>
                <w:rFonts w:hint="eastAsia" w:ascii="仿宋" w:hAnsi="仿宋" w:eastAsia="仿宋" w:cs="仿宋"/>
                <w:b w:val="0"/>
                <w:bCs/>
                <w:color w:val="auto"/>
                <w:kern w:val="2"/>
                <w:szCs w:val="24"/>
                <w:highlight w:val="none"/>
                <w:lang w:val="zh-TW" w:eastAsia="zh-TW"/>
              </w:rPr>
              <w:t>人员</w:t>
            </w:r>
            <w:r>
              <w:rPr>
                <w:rFonts w:hint="eastAsia" w:ascii="仿宋" w:hAnsi="仿宋" w:eastAsia="仿宋" w:cs="仿宋"/>
                <w:b w:val="0"/>
                <w:bCs/>
                <w:color w:val="auto"/>
                <w:kern w:val="2"/>
                <w:szCs w:val="24"/>
                <w:highlight w:val="none"/>
                <w:lang w:val="zh-TW"/>
              </w:rPr>
              <w:t>中提供法学</w:t>
            </w:r>
            <w:r>
              <w:rPr>
                <w:rFonts w:hint="eastAsia" w:ascii="仿宋" w:hAnsi="仿宋" w:eastAsia="仿宋" w:cs="仿宋"/>
                <w:b w:val="0"/>
                <w:bCs/>
                <w:color w:val="auto"/>
                <w:kern w:val="2"/>
                <w:szCs w:val="24"/>
                <w:highlight w:val="none"/>
                <w:lang w:val="zh-TW" w:eastAsia="zh-TW"/>
              </w:rPr>
              <w:t>本科</w:t>
            </w:r>
            <w:r>
              <w:rPr>
                <w:rFonts w:hint="eastAsia" w:ascii="仿宋" w:hAnsi="仿宋" w:eastAsia="仿宋" w:cs="仿宋"/>
                <w:b w:val="0"/>
                <w:bCs/>
                <w:color w:val="auto"/>
                <w:kern w:val="2"/>
                <w:szCs w:val="24"/>
                <w:highlight w:val="none"/>
                <w:lang w:val="zh-TW"/>
              </w:rPr>
              <w:t>或具有调解工作经验的</w:t>
            </w:r>
            <w:r>
              <w:rPr>
                <w:rFonts w:hint="eastAsia" w:ascii="仿宋" w:hAnsi="仿宋" w:eastAsia="仿宋" w:cs="仿宋"/>
                <w:b w:val="0"/>
                <w:bCs/>
                <w:color w:val="auto"/>
                <w:kern w:val="2"/>
                <w:szCs w:val="24"/>
                <w:highlight w:val="none"/>
                <w:lang w:val="zh-TW" w:eastAsia="zh-CN"/>
              </w:rPr>
              <w:t>每人</w:t>
            </w:r>
            <w:r>
              <w:rPr>
                <w:rFonts w:hint="eastAsia" w:ascii="仿宋" w:hAnsi="仿宋" w:eastAsia="仿宋" w:cs="仿宋"/>
                <w:b w:val="0"/>
                <w:bCs/>
                <w:color w:val="auto"/>
                <w:kern w:val="2"/>
                <w:szCs w:val="24"/>
                <w:highlight w:val="none"/>
                <w:lang w:val="zh-TW"/>
              </w:rPr>
              <w:t>得</w:t>
            </w:r>
            <w:r>
              <w:rPr>
                <w:rFonts w:hint="eastAsia" w:ascii="仿宋" w:hAnsi="仿宋" w:eastAsia="仿宋" w:cs="仿宋"/>
                <w:b w:val="0"/>
                <w:bCs/>
                <w:color w:val="auto"/>
                <w:kern w:val="2"/>
                <w:szCs w:val="24"/>
                <w:highlight w:val="none"/>
                <w:lang w:eastAsia="zh-CN"/>
              </w:rPr>
              <w:t>0</w:t>
            </w:r>
            <w:r>
              <w:rPr>
                <w:rFonts w:hint="eastAsia" w:ascii="仿宋" w:hAnsi="仿宋" w:eastAsia="仿宋" w:cs="仿宋"/>
                <w:b w:val="0"/>
                <w:bCs/>
                <w:color w:val="auto"/>
                <w:kern w:val="2"/>
                <w:szCs w:val="24"/>
                <w:highlight w:val="none"/>
                <w:lang w:val="en-US" w:eastAsia="zh-CN"/>
              </w:rPr>
              <w:t>.5</w:t>
            </w:r>
            <w:r>
              <w:rPr>
                <w:rFonts w:hint="eastAsia" w:ascii="仿宋" w:hAnsi="仿宋" w:eastAsia="仿宋" w:cs="仿宋"/>
                <w:b w:val="0"/>
                <w:bCs/>
                <w:color w:val="auto"/>
                <w:kern w:val="2"/>
                <w:szCs w:val="24"/>
                <w:highlight w:val="none"/>
              </w:rPr>
              <w:t>分</w:t>
            </w:r>
            <w:r>
              <w:rPr>
                <w:rFonts w:hint="eastAsia" w:ascii="仿宋" w:hAnsi="仿宋" w:eastAsia="仿宋" w:cs="仿宋"/>
                <w:b w:val="0"/>
                <w:bCs/>
                <w:color w:val="auto"/>
                <w:kern w:val="2"/>
                <w:szCs w:val="24"/>
                <w:highlight w:val="none"/>
                <w:lang w:eastAsia="zh-CN"/>
              </w:rPr>
              <w:t>，</w:t>
            </w:r>
            <w:r>
              <w:rPr>
                <w:rFonts w:hint="eastAsia" w:ascii="仿宋" w:hAnsi="仿宋" w:eastAsia="仿宋" w:cs="仿宋"/>
                <w:b w:val="0"/>
                <w:bCs/>
                <w:color w:val="auto"/>
                <w:kern w:val="2"/>
                <w:szCs w:val="24"/>
                <w:highlight w:val="none"/>
              </w:rPr>
              <w:t>最多得</w:t>
            </w:r>
            <w:r>
              <w:rPr>
                <w:rFonts w:hint="eastAsia" w:ascii="仿宋" w:hAnsi="仿宋" w:eastAsia="仿宋" w:cs="仿宋"/>
                <w:b w:val="0"/>
                <w:bCs/>
                <w:color w:val="auto"/>
                <w:kern w:val="2"/>
                <w:szCs w:val="24"/>
                <w:highlight w:val="none"/>
                <w:lang w:val="en-US" w:eastAsia="zh-CN"/>
              </w:rPr>
              <w:t>6</w:t>
            </w:r>
            <w:r>
              <w:rPr>
                <w:rFonts w:hint="eastAsia" w:ascii="仿宋" w:hAnsi="仿宋" w:eastAsia="仿宋" w:cs="仿宋"/>
                <w:b w:val="0"/>
                <w:bCs/>
                <w:color w:val="auto"/>
                <w:kern w:val="2"/>
                <w:szCs w:val="24"/>
                <w:highlight w:val="none"/>
              </w:rPr>
              <w:t>分。</w:t>
            </w:r>
            <w:r>
              <w:rPr>
                <w:rFonts w:hint="eastAsia" w:ascii="仿宋" w:hAnsi="仿宋" w:eastAsia="仿宋" w:cs="仿宋"/>
                <w:b w:val="0"/>
                <w:bCs/>
                <w:color w:val="auto"/>
                <w:kern w:val="2"/>
                <w:szCs w:val="24"/>
                <w:highlight w:val="none"/>
                <w:lang w:val="zh-TW"/>
              </w:rPr>
              <w:t>须提供毕业证或调解经验的证明材料</w:t>
            </w:r>
            <w:r>
              <w:rPr>
                <w:rFonts w:hint="eastAsia" w:ascii="仿宋" w:hAnsi="仿宋" w:eastAsia="仿宋" w:cs="仿宋"/>
                <w:b/>
                <w:bCs w:val="0"/>
                <w:color w:val="auto"/>
                <w:kern w:val="2"/>
                <w:szCs w:val="24"/>
                <w:highlight w:val="none"/>
                <w:lang w:val="zh-TW"/>
              </w:rPr>
              <w:t>（调解证明材料可提供政府调解事项的证明材料或行业监管盖章的证明材料）</w:t>
            </w:r>
            <w:r>
              <w:rPr>
                <w:rFonts w:hint="eastAsia" w:ascii="仿宋" w:hAnsi="仿宋" w:eastAsia="仿宋" w:cs="仿宋"/>
                <w:b w:val="0"/>
                <w:bCs/>
                <w:color w:val="auto"/>
                <w:kern w:val="2"/>
                <w:szCs w:val="24"/>
                <w:highlight w:val="none"/>
              </w:rPr>
              <w:t>；</w:t>
            </w:r>
          </w:p>
          <w:p w14:paraId="007ACFC1">
            <w:pPr>
              <w:pStyle w:val="156"/>
              <w:keepNext w:val="0"/>
              <w:keepLines w:val="0"/>
              <w:pageBreakBefore w:val="0"/>
              <w:kinsoku/>
              <w:wordWrap/>
              <w:overflowPunct/>
              <w:topLinePunct w:val="0"/>
              <w:autoSpaceDE/>
              <w:autoSpaceDN/>
              <w:bidi w:val="0"/>
              <w:snapToGrid/>
              <w:spacing w:before="0" w:line="312" w:lineRule="auto"/>
              <w:ind w:firstLine="0" w:firstLineChars="0"/>
              <w:textAlignment w:val="auto"/>
              <w:rPr>
                <w:rFonts w:hint="eastAsia" w:ascii="仿宋" w:hAnsi="仿宋" w:eastAsia="仿宋" w:cs="仿宋"/>
                <w:b w:val="0"/>
                <w:bCs/>
                <w:color w:val="auto"/>
                <w:kern w:val="2"/>
                <w:szCs w:val="24"/>
                <w:highlight w:val="none"/>
              </w:rPr>
            </w:pPr>
            <w:r>
              <w:rPr>
                <w:rFonts w:hint="eastAsia" w:ascii="仿宋" w:hAnsi="仿宋" w:eastAsia="仿宋" w:cs="仿宋"/>
                <w:b w:val="0"/>
                <w:bCs/>
                <w:color w:val="auto"/>
                <w:kern w:val="2"/>
                <w:szCs w:val="24"/>
                <w:highlight w:val="none"/>
              </w:rPr>
              <w:t>2.2</w:t>
            </w:r>
            <w:r>
              <w:rPr>
                <w:rFonts w:hint="eastAsia" w:ascii="仿宋" w:hAnsi="仿宋" w:eastAsia="仿宋" w:cs="仿宋"/>
                <w:b w:val="0"/>
                <w:bCs/>
                <w:color w:val="auto"/>
                <w:kern w:val="2"/>
                <w:szCs w:val="24"/>
                <w:highlight w:val="none"/>
                <w:lang w:val="zh-TW"/>
              </w:rPr>
              <w:t>通过法律职业资格考试的每人得</w:t>
            </w:r>
            <w:r>
              <w:rPr>
                <w:rFonts w:hint="eastAsia" w:ascii="仿宋" w:hAnsi="仿宋" w:eastAsia="仿宋" w:cs="仿宋"/>
                <w:b w:val="0"/>
                <w:bCs/>
                <w:color w:val="auto"/>
                <w:kern w:val="2"/>
                <w:szCs w:val="24"/>
                <w:highlight w:val="none"/>
              </w:rPr>
              <w:t>1分，最多得4分。</w:t>
            </w:r>
          </w:p>
          <w:p w14:paraId="2D623DD6">
            <w:pPr>
              <w:pStyle w:val="156"/>
              <w:keepNext w:val="0"/>
              <w:keepLines w:val="0"/>
              <w:pageBreakBefore w:val="0"/>
              <w:kinsoku/>
              <w:wordWrap/>
              <w:overflowPunct/>
              <w:topLinePunct w:val="0"/>
              <w:autoSpaceDE/>
              <w:autoSpaceDN/>
              <w:bidi w:val="0"/>
              <w:snapToGrid/>
              <w:spacing w:before="0" w:line="312" w:lineRule="auto"/>
              <w:ind w:firstLine="0" w:firstLineChars="0"/>
              <w:textAlignment w:val="auto"/>
              <w:rPr>
                <w:rFonts w:hint="eastAsia" w:ascii="仿宋" w:hAnsi="仿宋" w:eastAsia="仿宋" w:cs="仿宋"/>
                <w:b w:val="0"/>
                <w:bCs/>
                <w:color w:val="auto"/>
                <w:kern w:val="2"/>
                <w:szCs w:val="24"/>
                <w:highlight w:val="none"/>
                <w:lang w:eastAsia="zh-CN"/>
              </w:rPr>
            </w:pPr>
            <w:r>
              <w:rPr>
                <w:rFonts w:hint="eastAsia" w:ascii="仿宋" w:hAnsi="仿宋" w:eastAsia="仿宋" w:cs="仿宋"/>
                <w:b w:val="0"/>
                <w:bCs/>
                <w:color w:val="auto"/>
                <w:kern w:val="2"/>
                <w:szCs w:val="24"/>
                <w:highlight w:val="none"/>
              </w:rPr>
              <w:t>上述人员累计</w:t>
            </w:r>
            <w:r>
              <w:rPr>
                <w:rFonts w:hint="eastAsia" w:ascii="仿宋" w:hAnsi="仿宋" w:eastAsia="仿宋" w:cs="仿宋"/>
                <w:b w:val="0"/>
                <w:bCs/>
                <w:color w:val="auto"/>
                <w:kern w:val="2"/>
                <w:szCs w:val="24"/>
                <w:highlight w:val="none"/>
                <w:lang w:val="zh-TW" w:eastAsia="zh-TW"/>
              </w:rPr>
              <w:t>最高</w:t>
            </w:r>
            <w:r>
              <w:rPr>
                <w:rFonts w:hint="eastAsia" w:ascii="仿宋" w:hAnsi="仿宋" w:eastAsia="仿宋" w:cs="仿宋"/>
                <w:b w:val="0"/>
                <w:bCs/>
                <w:color w:val="auto"/>
                <w:kern w:val="2"/>
                <w:szCs w:val="24"/>
                <w:highlight w:val="none"/>
                <w:lang w:val="zh-TW"/>
              </w:rPr>
              <w:t>得</w:t>
            </w:r>
            <w:r>
              <w:rPr>
                <w:rFonts w:hint="eastAsia" w:ascii="仿宋" w:hAnsi="仿宋" w:eastAsia="仿宋" w:cs="仿宋"/>
                <w:b w:val="0"/>
                <w:bCs/>
                <w:color w:val="auto"/>
                <w:kern w:val="2"/>
                <w:szCs w:val="24"/>
                <w:highlight w:val="none"/>
              </w:rPr>
              <w:t>10</w:t>
            </w:r>
            <w:r>
              <w:rPr>
                <w:rFonts w:hint="eastAsia" w:ascii="仿宋" w:hAnsi="仿宋" w:eastAsia="仿宋" w:cs="仿宋"/>
                <w:b w:val="0"/>
                <w:bCs/>
                <w:color w:val="auto"/>
                <w:kern w:val="2"/>
                <w:szCs w:val="24"/>
                <w:highlight w:val="none"/>
                <w:lang w:val="zh-TW" w:eastAsia="zh-TW"/>
              </w:rPr>
              <w:t>分</w:t>
            </w:r>
            <w:r>
              <w:rPr>
                <w:rFonts w:hint="eastAsia" w:ascii="仿宋" w:hAnsi="仿宋" w:eastAsia="仿宋" w:cs="仿宋"/>
                <w:b w:val="0"/>
                <w:bCs/>
                <w:color w:val="auto"/>
                <w:kern w:val="2"/>
                <w:szCs w:val="24"/>
                <w:highlight w:val="none"/>
                <w:lang w:val="zh-TW" w:eastAsia="zh-CN"/>
              </w:rPr>
              <w:t>，</w:t>
            </w:r>
            <w:r>
              <w:rPr>
                <w:rFonts w:hint="eastAsia" w:ascii="仿宋" w:hAnsi="仿宋" w:eastAsia="仿宋" w:cs="仿宋"/>
                <w:b w:val="0"/>
                <w:bCs/>
                <w:color w:val="auto"/>
                <w:kern w:val="2"/>
                <w:szCs w:val="24"/>
                <w:highlight w:val="none"/>
              </w:rPr>
              <w:t>需在该调解组织缴纳</w:t>
            </w:r>
            <w:r>
              <w:rPr>
                <w:rFonts w:hint="eastAsia" w:ascii="仿宋" w:hAnsi="仿宋" w:eastAsia="仿宋" w:cs="仿宋"/>
                <w:b w:val="0"/>
                <w:bCs/>
                <w:color w:val="auto"/>
                <w:kern w:val="2"/>
                <w:szCs w:val="24"/>
                <w:highlight w:val="none"/>
                <w:lang w:val="en-US" w:eastAsia="zh-CN"/>
              </w:rPr>
              <w:t>近三个月的</w:t>
            </w:r>
            <w:r>
              <w:rPr>
                <w:rFonts w:hint="eastAsia" w:ascii="仿宋" w:hAnsi="仿宋" w:eastAsia="仿宋" w:cs="仿宋"/>
                <w:b w:val="0"/>
                <w:bCs/>
                <w:color w:val="auto"/>
                <w:kern w:val="2"/>
                <w:szCs w:val="24"/>
                <w:highlight w:val="none"/>
              </w:rPr>
              <w:t>社保证明材料。</w:t>
            </w:r>
          </w:p>
        </w:tc>
        <w:tc>
          <w:tcPr>
            <w:tcW w:w="712" w:type="dxa"/>
            <w:tcBorders>
              <w:top w:val="single" w:color="000000" w:sz="4" w:space="0"/>
              <w:left w:val="single" w:color="000000" w:sz="4" w:space="0"/>
              <w:right w:val="single" w:color="000000" w:sz="4" w:space="0"/>
            </w:tcBorders>
            <w:noWrap w:val="0"/>
            <w:vAlign w:val="center"/>
          </w:tcPr>
          <w:p w14:paraId="0A5035CD">
            <w:pPr>
              <w:pStyle w:val="156"/>
              <w:keepNext w:val="0"/>
              <w:keepLines w:val="0"/>
              <w:pageBreakBefore w:val="0"/>
              <w:kinsoku/>
              <w:wordWrap/>
              <w:overflowPunct/>
              <w:topLinePunct w:val="0"/>
              <w:autoSpaceDE/>
              <w:autoSpaceDN/>
              <w:bidi w:val="0"/>
              <w:snapToGrid/>
              <w:spacing w:before="0" w:line="312" w:lineRule="auto"/>
              <w:ind w:firstLine="0" w:firstLineChars="0"/>
              <w:jc w:val="center"/>
              <w:textAlignment w:val="auto"/>
              <w:rPr>
                <w:rFonts w:hint="eastAsia" w:ascii="仿宋" w:hAnsi="仿宋" w:eastAsia="仿宋" w:cs="仿宋"/>
                <w:b w:val="0"/>
                <w:color w:val="auto"/>
                <w:kern w:val="2"/>
                <w:szCs w:val="24"/>
                <w:highlight w:val="none"/>
              </w:rPr>
            </w:pPr>
            <w:r>
              <w:rPr>
                <w:rFonts w:hint="eastAsia" w:ascii="仿宋" w:hAnsi="仿宋" w:eastAsia="仿宋" w:cs="仿宋"/>
                <w:b w:val="0"/>
                <w:color w:val="auto"/>
                <w:kern w:val="2"/>
                <w:szCs w:val="24"/>
                <w:highlight w:val="none"/>
              </w:rPr>
              <w:t>10</w:t>
            </w:r>
          </w:p>
        </w:tc>
        <w:tc>
          <w:tcPr>
            <w:tcW w:w="995" w:type="dxa"/>
            <w:tcBorders>
              <w:top w:val="single" w:color="000000" w:sz="4" w:space="0"/>
              <w:left w:val="single" w:color="000000" w:sz="4" w:space="0"/>
              <w:right w:val="single" w:color="000000" w:sz="4" w:space="0"/>
            </w:tcBorders>
            <w:noWrap w:val="0"/>
            <w:vAlign w:val="center"/>
          </w:tcPr>
          <w:p w14:paraId="0756BA2C">
            <w:pPr>
              <w:pStyle w:val="156"/>
              <w:spacing w:before="0" w:line="312" w:lineRule="auto"/>
              <w:ind w:firstLine="0" w:firstLineChars="0"/>
              <w:jc w:val="center"/>
              <w:rPr>
                <w:rFonts w:hint="eastAsia" w:ascii="仿宋" w:hAnsi="仿宋" w:eastAsia="仿宋" w:cs="仿宋"/>
                <w:b w:val="0"/>
                <w:color w:val="auto"/>
                <w:kern w:val="2"/>
                <w:szCs w:val="24"/>
                <w:highlight w:val="none"/>
              </w:rPr>
            </w:pPr>
            <w:r>
              <w:rPr>
                <w:rFonts w:hint="eastAsia" w:ascii="仿宋" w:hAnsi="仿宋" w:eastAsia="仿宋" w:cs="仿宋"/>
                <w:b w:val="0"/>
                <w:color w:val="auto"/>
                <w:kern w:val="2"/>
                <w:szCs w:val="24"/>
                <w:highlight w:val="none"/>
              </w:rPr>
              <w:t>客观分</w:t>
            </w:r>
          </w:p>
        </w:tc>
        <w:tc>
          <w:tcPr>
            <w:tcW w:w="1428" w:type="dxa"/>
            <w:tcBorders>
              <w:top w:val="single" w:color="000000" w:sz="4" w:space="0"/>
              <w:left w:val="single" w:color="000000" w:sz="4" w:space="0"/>
              <w:right w:val="single" w:color="000000" w:sz="4" w:space="0"/>
            </w:tcBorders>
            <w:noWrap w:val="0"/>
            <w:vAlign w:val="center"/>
          </w:tcPr>
          <w:p w14:paraId="7AF108CD">
            <w:pPr>
              <w:pStyle w:val="156"/>
              <w:spacing w:before="0" w:line="312" w:lineRule="auto"/>
              <w:ind w:firstLine="0" w:firstLineChars="0"/>
              <w:jc w:val="center"/>
              <w:rPr>
                <w:rFonts w:hint="eastAsia" w:ascii="仿宋" w:hAnsi="仿宋" w:eastAsia="仿宋" w:cs="仿宋"/>
                <w:b w:val="0"/>
                <w:color w:val="auto"/>
                <w:kern w:val="2"/>
                <w:szCs w:val="24"/>
                <w:highlight w:val="none"/>
              </w:rPr>
            </w:pPr>
          </w:p>
        </w:tc>
      </w:tr>
      <w:tr w14:paraId="23A7B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825" w:type="dxa"/>
            <w:vMerge w:val="continue"/>
            <w:tcBorders>
              <w:left w:val="single" w:color="000000" w:sz="4" w:space="0"/>
              <w:right w:val="single" w:color="000000" w:sz="4" w:space="0"/>
            </w:tcBorders>
            <w:noWrap w:val="0"/>
            <w:vAlign w:val="center"/>
          </w:tcPr>
          <w:p w14:paraId="163F98BF">
            <w:pPr>
              <w:pStyle w:val="156"/>
              <w:spacing w:before="0" w:line="288" w:lineRule="auto"/>
              <w:ind w:firstLine="0" w:firstLineChars="0"/>
              <w:jc w:val="center"/>
              <w:rPr>
                <w:rFonts w:hint="eastAsia" w:ascii="仿宋" w:hAnsi="仿宋" w:eastAsia="仿宋" w:cs="仿宋"/>
                <w:b w:val="0"/>
                <w:bCs w:val="0"/>
                <w:color w:val="auto"/>
                <w:szCs w:val="24"/>
                <w:highlight w:val="none"/>
              </w:rPr>
            </w:pPr>
          </w:p>
        </w:tc>
        <w:tc>
          <w:tcPr>
            <w:tcW w:w="941" w:type="dxa"/>
            <w:vMerge w:val="continue"/>
            <w:tcBorders>
              <w:left w:val="single" w:color="000000" w:sz="4" w:space="0"/>
              <w:right w:val="single" w:color="000000" w:sz="4" w:space="0"/>
            </w:tcBorders>
            <w:noWrap w:val="0"/>
            <w:vAlign w:val="center"/>
          </w:tcPr>
          <w:p w14:paraId="2AA57751">
            <w:pPr>
              <w:pStyle w:val="156"/>
              <w:spacing w:before="0" w:line="288" w:lineRule="auto"/>
              <w:ind w:firstLine="0" w:firstLineChars="0"/>
              <w:jc w:val="center"/>
              <w:rPr>
                <w:rFonts w:hint="eastAsia" w:ascii="仿宋" w:hAnsi="仿宋" w:eastAsia="仿宋" w:cs="仿宋"/>
                <w:b w:val="0"/>
                <w:bCs w:val="0"/>
                <w:color w:val="auto"/>
                <w:szCs w:val="24"/>
                <w:highlight w:val="none"/>
              </w:rPr>
            </w:pPr>
          </w:p>
        </w:tc>
        <w:tc>
          <w:tcPr>
            <w:tcW w:w="5333" w:type="dxa"/>
            <w:tcBorders>
              <w:top w:val="single" w:color="000000" w:sz="4" w:space="0"/>
              <w:left w:val="single" w:color="000000" w:sz="4" w:space="0"/>
              <w:bottom w:val="single" w:color="000000" w:sz="4" w:space="0"/>
              <w:right w:val="single" w:color="000000" w:sz="4" w:space="0"/>
            </w:tcBorders>
            <w:noWrap w:val="0"/>
            <w:vAlign w:val="center"/>
          </w:tcPr>
          <w:p w14:paraId="7618465D">
            <w:pPr>
              <w:pStyle w:val="156"/>
              <w:keepNext w:val="0"/>
              <w:keepLines w:val="0"/>
              <w:pageBreakBefore w:val="0"/>
              <w:kinsoku/>
              <w:wordWrap/>
              <w:overflowPunct/>
              <w:topLinePunct w:val="0"/>
              <w:autoSpaceDE/>
              <w:autoSpaceDN/>
              <w:bidi w:val="0"/>
              <w:snapToGrid/>
              <w:spacing w:before="0" w:line="312" w:lineRule="auto"/>
              <w:ind w:firstLine="0" w:firstLineChars="0"/>
              <w:textAlignment w:val="auto"/>
              <w:rPr>
                <w:rFonts w:hint="eastAsia" w:ascii="仿宋" w:hAnsi="仿宋" w:eastAsia="仿宋" w:cs="仿宋"/>
                <w:b w:val="0"/>
                <w:bCs/>
                <w:color w:val="auto"/>
                <w:kern w:val="2"/>
                <w:szCs w:val="24"/>
                <w:highlight w:val="none"/>
              </w:rPr>
            </w:pPr>
            <w:r>
              <w:rPr>
                <w:rFonts w:hint="eastAsia" w:ascii="仿宋" w:hAnsi="仿宋" w:eastAsia="仿宋" w:cs="仿宋"/>
                <w:b w:val="0"/>
                <w:bCs/>
                <w:color w:val="auto"/>
                <w:kern w:val="2"/>
                <w:szCs w:val="24"/>
                <w:highlight w:val="none"/>
              </w:rPr>
              <w:t>（3）工作经验：拟派人员中具有政府购买调解服务项目经验的，提供近年来服务合同复印件、调解卷宗文书或有关业主证明</w:t>
            </w:r>
            <w:r>
              <w:rPr>
                <w:rFonts w:hint="eastAsia" w:ascii="仿宋" w:hAnsi="仿宋" w:eastAsia="仿宋" w:cs="仿宋"/>
                <w:b/>
                <w:bCs w:val="0"/>
                <w:color w:val="auto"/>
                <w:kern w:val="2"/>
                <w:szCs w:val="24"/>
                <w:highlight w:val="none"/>
              </w:rPr>
              <w:t>（如合同未体现该人员，有关甲方单位证明必须明确该项目人员参与其中的证明材料并加盖公章）</w:t>
            </w:r>
            <w:r>
              <w:rPr>
                <w:rFonts w:hint="eastAsia" w:ascii="仿宋" w:hAnsi="仿宋" w:eastAsia="仿宋" w:cs="仿宋"/>
                <w:b w:val="0"/>
                <w:bCs/>
                <w:color w:val="auto"/>
                <w:kern w:val="2"/>
                <w:szCs w:val="24"/>
                <w:highlight w:val="none"/>
              </w:rPr>
              <w:t>每提供一个证明加2分，最多加8分。</w:t>
            </w:r>
          </w:p>
        </w:tc>
        <w:tc>
          <w:tcPr>
            <w:tcW w:w="712" w:type="dxa"/>
            <w:tcBorders>
              <w:top w:val="single" w:color="000000" w:sz="4" w:space="0"/>
              <w:left w:val="single" w:color="000000" w:sz="4" w:space="0"/>
              <w:right w:val="single" w:color="000000" w:sz="4" w:space="0"/>
            </w:tcBorders>
            <w:noWrap w:val="0"/>
            <w:vAlign w:val="center"/>
          </w:tcPr>
          <w:p w14:paraId="1B926097">
            <w:pPr>
              <w:pStyle w:val="156"/>
              <w:keepNext w:val="0"/>
              <w:keepLines w:val="0"/>
              <w:pageBreakBefore w:val="0"/>
              <w:kinsoku/>
              <w:wordWrap/>
              <w:overflowPunct/>
              <w:topLinePunct w:val="0"/>
              <w:autoSpaceDE/>
              <w:autoSpaceDN/>
              <w:bidi w:val="0"/>
              <w:snapToGrid/>
              <w:spacing w:before="0" w:line="312" w:lineRule="auto"/>
              <w:ind w:firstLine="0" w:firstLineChars="0"/>
              <w:jc w:val="center"/>
              <w:textAlignment w:val="auto"/>
              <w:rPr>
                <w:rFonts w:hint="eastAsia" w:ascii="仿宋" w:hAnsi="仿宋" w:eastAsia="仿宋" w:cs="仿宋"/>
                <w:b w:val="0"/>
                <w:color w:val="auto"/>
                <w:kern w:val="2"/>
                <w:szCs w:val="24"/>
                <w:highlight w:val="none"/>
              </w:rPr>
            </w:pPr>
            <w:r>
              <w:rPr>
                <w:rFonts w:hint="eastAsia" w:ascii="仿宋" w:hAnsi="仿宋" w:eastAsia="仿宋" w:cs="仿宋"/>
                <w:b w:val="0"/>
                <w:color w:val="auto"/>
                <w:kern w:val="2"/>
                <w:szCs w:val="24"/>
                <w:highlight w:val="none"/>
              </w:rPr>
              <w:t>8</w:t>
            </w:r>
          </w:p>
        </w:tc>
        <w:tc>
          <w:tcPr>
            <w:tcW w:w="995" w:type="dxa"/>
            <w:tcBorders>
              <w:top w:val="single" w:color="000000" w:sz="4" w:space="0"/>
              <w:left w:val="single" w:color="000000" w:sz="4" w:space="0"/>
              <w:right w:val="single" w:color="000000" w:sz="4" w:space="0"/>
            </w:tcBorders>
            <w:noWrap w:val="0"/>
            <w:vAlign w:val="center"/>
          </w:tcPr>
          <w:p w14:paraId="20796EB6">
            <w:pPr>
              <w:pStyle w:val="156"/>
              <w:spacing w:before="0" w:line="312" w:lineRule="auto"/>
              <w:ind w:firstLine="0" w:firstLineChars="0"/>
              <w:jc w:val="center"/>
              <w:rPr>
                <w:rFonts w:hint="eastAsia" w:ascii="仿宋" w:hAnsi="仿宋" w:eastAsia="仿宋" w:cs="仿宋"/>
                <w:b w:val="0"/>
                <w:color w:val="auto"/>
                <w:kern w:val="2"/>
                <w:szCs w:val="24"/>
                <w:highlight w:val="none"/>
              </w:rPr>
            </w:pPr>
            <w:r>
              <w:rPr>
                <w:rFonts w:hint="eastAsia" w:ascii="仿宋" w:hAnsi="仿宋" w:eastAsia="仿宋" w:cs="仿宋"/>
                <w:b w:val="0"/>
                <w:color w:val="auto"/>
                <w:kern w:val="2"/>
                <w:szCs w:val="24"/>
                <w:highlight w:val="none"/>
              </w:rPr>
              <w:t>客观分</w:t>
            </w:r>
          </w:p>
        </w:tc>
        <w:tc>
          <w:tcPr>
            <w:tcW w:w="1428" w:type="dxa"/>
            <w:tcBorders>
              <w:top w:val="single" w:color="000000" w:sz="4" w:space="0"/>
              <w:left w:val="single" w:color="000000" w:sz="4" w:space="0"/>
              <w:right w:val="single" w:color="000000" w:sz="4" w:space="0"/>
            </w:tcBorders>
            <w:noWrap w:val="0"/>
            <w:vAlign w:val="center"/>
          </w:tcPr>
          <w:p w14:paraId="47007C32">
            <w:pPr>
              <w:pStyle w:val="156"/>
              <w:spacing w:before="0" w:line="312" w:lineRule="auto"/>
              <w:ind w:firstLine="0" w:firstLineChars="0"/>
              <w:jc w:val="center"/>
              <w:rPr>
                <w:rFonts w:hint="eastAsia" w:ascii="仿宋" w:hAnsi="仿宋" w:eastAsia="仿宋" w:cs="仿宋"/>
                <w:b w:val="0"/>
                <w:color w:val="auto"/>
                <w:kern w:val="2"/>
                <w:szCs w:val="24"/>
                <w:highlight w:val="none"/>
              </w:rPr>
            </w:pPr>
          </w:p>
        </w:tc>
      </w:tr>
      <w:tr w14:paraId="35466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825" w:type="dxa"/>
            <w:vMerge w:val="continue"/>
            <w:tcBorders>
              <w:left w:val="single" w:color="000000" w:sz="4" w:space="0"/>
              <w:right w:val="single" w:color="000000" w:sz="4" w:space="0"/>
            </w:tcBorders>
            <w:noWrap w:val="0"/>
            <w:vAlign w:val="center"/>
          </w:tcPr>
          <w:p w14:paraId="096F2D06">
            <w:pPr>
              <w:pStyle w:val="156"/>
              <w:spacing w:before="0" w:line="288" w:lineRule="auto"/>
              <w:ind w:firstLine="0" w:firstLineChars="0"/>
              <w:jc w:val="center"/>
              <w:rPr>
                <w:rFonts w:hint="eastAsia" w:ascii="仿宋" w:hAnsi="仿宋" w:eastAsia="仿宋" w:cs="仿宋"/>
                <w:b w:val="0"/>
                <w:bCs w:val="0"/>
                <w:color w:val="auto"/>
                <w:szCs w:val="24"/>
                <w:highlight w:val="none"/>
              </w:rPr>
            </w:pPr>
          </w:p>
        </w:tc>
        <w:tc>
          <w:tcPr>
            <w:tcW w:w="941" w:type="dxa"/>
            <w:vMerge w:val="continue"/>
            <w:tcBorders>
              <w:left w:val="single" w:color="000000" w:sz="4" w:space="0"/>
              <w:right w:val="single" w:color="000000" w:sz="4" w:space="0"/>
            </w:tcBorders>
            <w:noWrap w:val="0"/>
            <w:vAlign w:val="center"/>
          </w:tcPr>
          <w:p w14:paraId="32D98E70">
            <w:pPr>
              <w:pStyle w:val="156"/>
              <w:spacing w:before="0" w:line="288" w:lineRule="auto"/>
              <w:ind w:firstLine="0" w:firstLineChars="0"/>
              <w:jc w:val="center"/>
              <w:rPr>
                <w:rFonts w:hint="eastAsia" w:ascii="仿宋" w:hAnsi="仿宋" w:eastAsia="仿宋" w:cs="仿宋"/>
                <w:b w:val="0"/>
                <w:bCs w:val="0"/>
                <w:color w:val="auto"/>
                <w:szCs w:val="24"/>
                <w:highlight w:val="none"/>
              </w:rPr>
            </w:pPr>
          </w:p>
        </w:tc>
        <w:tc>
          <w:tcPr>
            <w:tcW w:w="5333" w:type="dxa"/>
            <w:tcBorders>
              <w:top w:val="single" w:color="000000" w:sz="4" w:space="0"/>
              <w:left w:val="single" w:color="000000" w:sz="4" w:space="0"/>
              <w:bottom w:val="single" w:color="000000" w:sz="4" w:space="0"/>
              <w:right w:val="single" w:color="000000" w:sz="4" w:space="0"/>
            </w:tcBorders>
            <w:noWrap w:val="0"/>
            <w:vAlign w:val="top"/>
          </w:tcPr>
          <w:p w14:paraId="3350A26C">
            <w:pPr>
              <w:keepNext w:val="0"/>
              <w:keepLines w:val="0"/>
              <w:pageBreakBefore w:val="0"/>
              <w:kinsoku/>
              <w:wordWrap/>
              <w:overflowPunct/>
              <w:topLinePunct w:val="0"/>
              <w:autoSpaceDE/>
              <w:autoSpaceDN/>
              <w:bidi w:val="0"/>
              <w:snapToGrid/>
              <w:spacing w:line="312" w:lineRule="auto"/>
              <w:textAlignment w:val="auto"/>
              <w:rPr>
                <w:rFonts w:hint="eastAsia" w:ascii="仿宋" w:hAnsi="仿宋" w:eastAsia="仿宋" w:cs="仿宋"/>
                <w:bCs/>
                <w:color w:val="auto"/>
                <w:sz w:val="24"/>
                <w:highlight w:val="none"/>
              </w:rPr>
            </w:pPr>
            <w:r>
              <w:rPr>
                <w:rFonts w:hint="eastAsia" w:ascii="仿宋" w:hAnsi="仿宋" w:eastAsia="仿宋" w:cs="仿宋"/>
                <w:bCs/>
                <w:color w:val="auto"/>
                <w:kern w:val="0"/>
                <w:sz w:val="24"/>
                <w:highlight w:val="none"/>
              </w:rPr>
              <w:t>（4）投标单位调解人员获得过调解类区级荣誉的，每项加1分；获得市级荣誉的，每项加2分；获得省级荣誉的，每项加3分，以上</w:t>
            </w:r>
            <w:r>
              <w:rPr>
                <w:rFonts w:hint="eastAsia" w:ascii="仿宋" w:hAnsi="仿宋" w:eastAsia="仿宋" w:cs="仿宋"/>
                <w:bCs/>
                <w:color w:val="auto"/>
                <w:sz w:val="24"/>
                <w:highlight w:val="none"/>
              </w:rPr>
              <w:t>累加</w:t>
            </w:r>
            <w:r>
              <w:rPr>
                <w:rFonts w:hint="eastAsia" w:ascii="仿宋" w:hAnsi="仿宋" w:eastAsia="仿宋" w:cs="仿宋"/>
                <w:bCs/>
                <w:color w:val="auto"/>
                <w:kern w:val="0"/>
                <w:sz w:val="24"/>
                <w:highlight w:val="none"/>
              </w:rPr>
              <w:t>最高得4分。</w:t>
            </w:r>
            <w:r>
              <w:rPr>
                <w:rFonts w:hint="eastAsia" w:ascii="仿宋" w:hAnsi="仿宋" w:eastAsia="仿宋" w:cs="仿宋"/>
                <w:b/>
                <w:color w:val="auto"/>
                <w:kern w:val="0"/>
                <w:sz w:val="24"/>
                <w:highlight w:val="none"/>
              </w:rPr>
              <w:t>（提供荣誉证书或证明材料复印件并加盖公章，未提供不得分）</w:t>
            </w:r>
          </w:p>
        </w:tc>
        <w:tc>
          <w:tcPr>
            <w:tcW w:w="712" w:type="dxa"/>
            <w:tcBorders>
              <w:top w:val="single" w:color="000000" w:sz="4" w:space="0"/>
              <w:left w:val="single" w:color="000000" w:sz="4" w:space="0"/>
              <w:right w:val="single" w:color="000000" w:sz="4" w:space="0"/>
            </w:tcBorders>
            <w:noWrap w:val="0"/>
            <w:vAlign w:val="center"/>
          </w:tcPr>
          <w:p w14:paraId="7FCABED9">
            <w:pPr>
              <w:pStyle w:val="156"/>
              <w:keepNext w:val="0"/>
              <w:keepLines w:val="0"/>
              <w:pageBreakBefore w:val="0"/>
              <w:kinsoku/>
              <w:wordWrap/>
              <w:overflowPunct/>
              <w:topLinePunct w:val="0"/>
              <w:autoSpaceDE/>
              <w:autoSpaceDN/>
              <w:bidi w:val="0"/>
              <w:snapToGrid/>
              <w:spacing w:before="0" w:line="312" w:lineRule="auto"/>
              <w:ind w:firstLine="0" w:firstLineChars="0"/>
              <w:jc w:val="center"/>
              <w:textAlignment w:val="auto"/>
              <w:rPr>
                <w:rFonts w:hint="eastAsia" w:ascii="仿宋" w:hAnsi="仿宋" w:eastAsia="仿宋" w:cs="仿宋"/>
                <w:b w:val="0"/>
                <w:color w:val="auto"/>
                <w:kern w:val="2"/>
                <w:szCs w:val="24"/>
                <w:highlight w:val="none"/>
              </w:rPr>
            </w:pPr>
            <w:r>
              <w:rPr>
                <w:rFonts w:hint="eastAsia" w:ascii="仿宋" w:hAnsi="仿宋" w:eastAsia="仿宋" w:cs="仿宋"/>
                <w:b w:val="0"/>
                <w:color w:val="auto"/>
                <w:szCs w:val="24"/>
                <w:highlight w:val="none"/>
              </w:rPr>
              <w:t>4分</w:t>
            </w:r>
          </w:p>
        </w:tc>
        <w:tc>
          <w:tcPr>
            <w:tcW w:w="995" w:type="dxa"/>
            <w:tcBorders>
              <w:top w:val="single" w:color="000000" w:sz="4" w:space="0"/>
              <w:left w:val="single" w:color="000000" w:sz="4" w:space="0"/>
              <w:right w:val="single" w:color="000000" w:sz="4" w:space="0"/>
            </w:tcBorders>
            <w:noWrap w:val="0"/>
            <w:vAlign w:val="center"/>
          </w:tcPr>
          <w:p w14:paraId="33B65986">
            <w:pPr>
              <w:pStyle w:val="156"/>
              <w:spacing w:before="0" w:line="312" w:lineRule="auto"/>
              <w:ind w:firstLine="0" w:firstLineChars="0"/>
              <w:jc w:val="center"/>
              <w:rPr>
                <w:rFonts w:hint="eastAsia" w:ascii="仿宋" w:hAnsi="仿宋" w:eastAsia="仿宋" w:cs="仿宋"/>
                <w:b w:val="0"/>
                <w:color w:val="auto"/>
                <w:kern w:val="2"/>
                <w:szCs w:val="24"/>
                <w:highlight w:val="none"/>
                <w:lang w:val="en-US" w:eastAsia="zh-CN"/>
              </w:rPr>
            </w:pPr>
            <w:r>
              <w:rPr>
                <w:rFonts w:hint="eastAsia" w:ascii="仿宋" w:hAnsi="仿宋" w:eastAsia="仿宋" w:cs="仿宋"/>
                <w:b w:val="0"/>
                <w:color w:val="auto"/>
                <w:kern w:val="2"/>
                <w:szCs w:val="24"/>
                <w:highlight w:val="none"/>
                <w:lang w:val="en-US" w:eastAsia="zh-CN"/>
              </w:rPr>
              <w:t>客观分</w:t>
            </w:r>
          </w:p>
        </w:tc>
        <w:tc>
          <w:tcPr>
            <w:tcW w:w="1428" w:type="dxa"/>
            <w:tcBorders>
              <w:top w:val="single" w:color="000000" w:sz="4" w:space="0"/>
              <w:left w:val="single" w:color="000000" w:sz="4" w:space="0"/>
              <w:right w:val="single" w:color="000000" w:sz="4" w:space="0"/>
            </w:tcBorders>
            <w:noWrap w:val="0"/>
            <w:vAlign w:val="center"/>
          </w:tcPr>
          <w:p w14:paraId="1C450CF8">
            <w:pPr>
              <w:pStyle w:val="156"/>
              <w:spacing w:before="0" w:line="312" w:lineRule="auto"/>
              <w:ind w:firstLine="0" w:firstLineChars="0"/>
              <w:jc w:val="center"/>
              <w:rPr>
                <w:rFonts w:hint="eastAsia" w:ascii="仿宋" w:hAnsi="仿宋" w:eastAsia="仿宋" w:cs="仿宋"/>
                <w:b w:val="0"/>
                <w:color w:val="auto"/>
                <w:kern w:val="2"/>
                <w:szCs w:val="24"/>
                <w:highlight w:val="none"/>
              </w:rPr>
            </w:pPr>
          </w:p>
        </w:tc>
      </w:tr>
      <w:tr w14:paraId="11B51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825" w:type="dxa"/>
            <w:vMerge w:val="continue"/>
            <w:tcBorders>
              <w:left w:val="single" w:color="000000" w:sz="4" w:space="0"/>
              <w:right w:val="single" w:color="000000" w:sz="4" w:space="0"/>
            </w:tcBorders>
            <w:noWrap w:val="0"/>
            <w:vAlign w:val="center"/>
          </w:tcPr>
          <w:p w14:paraId="684C8C50">
            <w:pPr>
              <w:pStyle w:val="156"/>
              <w:spacing w:before="0" w:line="288" w:lineRule="auto"/>
              <w:ind w:firstLine="0" w:firstLineChars="0"/>
              <w:jc w:val="center"/>
              <w:rPr>
                <w:rFonts w:hint="eastAsia" w:ascii="仿宋" w:hAnsi="仿宋" w:eastAsia="仿宋" w:cs="仿宋"/>
                <w:b w:val="0"/>
                <w:bCs w:val="0"/>
                <w:color w:val="auto"/>
                <w:szCs w:val="24"/>
                <w:highlight w:val="none"/>
              </w:rPr>
            </w:pPr>
          </w:p>
        </w:tc>
        <w:tc>
          <w:tcPr>
            <w:tcW w:w="941" w:type="dxa"/>
            <w:vMerge w:val="continue"/>
            <w:tcBorders>
              <w:left w:val="single" w:color="000000" w:sz="4" w:space="0"/>
              <w:right w:val="single" w:color="000000" w:sz="4" w:space="0"/>
            </w:tcBorders>
            <w:noWrap w:val="0"/>
            <w:vAlign w:val="center"/>
          </w:tcPr>
          <w:p w14:paraId="6940A6D7">
            <w:pPr>
              <w:pStyle w:val="156"/>
              <w:spacing w:before="0" w:line="288" w:lineRule="auto"/>
              <w:ind w:firstLine="0" w:firstLineChars="0"/>
              <w:jc w:val="center"/>
              <w:rPr>
                <w:rFonts w:hint="eastAsia" w:ascii="仿宋" w:hAnsi="仿宋" w:eastAsia="仿宋" w:cs="仿宋"/>
                <w:b w:val="0"/>
                <w:bCs w:val="0"/>
                <w:color w:val="auto"/>
                <w:szCs w:val="24"/>
                <w:highlight w:val="none"/>
              </w:rPr>
            </w:pPr>
          </w:p>
        </w:tc>
        <w:tc>
          <w:tcPr>
            <w:tcW w:w="5333" w:type="dxa"/>
            <w:tcBorders>
              <w:top w:val="single" w:color="000000" w:sz="4" w:space="0"/>
              <w:left w:val="single" w:color="000000" w:sz="4" w:space="0"/>
              <w:bottom w:val="single" w:color="000000" w:sz="4" w:space="0"/>
              <w:right w:val="single" w:color="000000" w:sz="4" w:space="0"/>
            </w:tcBorders>
            <w:noWrap w:val="0"/>
            <w:vAlign w:val="center"/>
          </w:tcPr>
          <w:p w14:paraId="51CCAF60">
            <w:pPr>
              <w:keepNext w:val="0"/>
              <w:keepLines w:val="0"/>
              <w:pageBreakBefore w:val="0"/>
              <w:kinsoku/>
              <w:wordWrap/>
              <w:overflowPunct/>
              <w:topLinePunct w:val="0"/>
              <w:autoSpaceDE/>
              <w:autoSpaceDN/>
              <w:bidi w:val="0"/>
              <w:snapToGrid/>
              <w:spacing w:line="312" w:lineRule="auto"/>
              <w:textAlignment w:val="auto"/>
              <w:rPr>
                <w:rFonts w:hint="eastAsia" w:ascii="仿宋" w:hAnsi="仿宋" w:eastAsia="仿宋" w:cs="仿宋"/>
                <w:bCs/>
                <w:color w:val="auto"/>
                <w:kern w:val="0"/>
                <w:sz w:val="24"/>
                <w:highlight w:val="none"/>
                <w:lang w:val="zh-TW"/>
              </w:rPr>
            </w:pPr>
            <w:r>
              <w:rPr>
                <w:rFonts w:hint="eastAsia" w:ascii="仿宋" w:hAnsi="仿宋" w:eastAsia="仿宋" w:cs="仿宋"/>
                <w:bCs/>
                <w:color w:val="auto"/>
                <w:kern w:val="0"/>
                <w:sz w:val="24"/>
                <w:highlight w:val="none"/>
                <w:lang w:val="zh-TW"/>
              </w:rPr>
              <w:t>（</w:t>
            </w:r>
            <w:r>
              <w:rPr>
                <w:rFonts w:hint="eastAsia" w:ascii="仿宋" w:hAnsi="仿宋" w:eastAsia="仿宋" w:cs="仿宋"/>
                <w:bCs/>
                <w:color w:val="auto"/>
                <w:kern w:val="0"/>
                <w:sz w:val="24"/>
                <w:highlight w:val="none"/>
              </w:rPr>
              <w:t>5</w:t>
            </w:r>
            <w:r>
              <w:rPr>
                <w:rFonts w:hint="eastAsia" w:ascii="仿宋" w:hAnsi="仿宋" w:eastAsia="仿宋" w:cs="仿宋"/>
                <w:bCs/>
                <w:color w:val="auto"/>
                <w:kern w:val="0"/>
                <w:sz w:val="24"/>
                <w:highlight w:val="none"/>
                <w:lang w:val="zh-TW"/>
              </w:rPr>
              <w:t>）根据可供投标人调配的专业人才储备计划情况合理性和可行性，由评审专家根据内容合理程度进行打分。</w:t>
            </w:r>
          </w:p>
          <w:p w14:paraId="6AC69129">
            <w:pPr>
              <w:keepNext w:val="0"/>
              <w:keepLines w:val="0"/>
              <w:pageBreakBefore w:val="0"/>
              <w:kinsoku/>
              <w:wordWrap/>
              <w:overflowPunct/>
              <w:topLinePunct w:val="0"/>
              <w:autoSpaceDE/>
              <w:autoSpaceDN/>
              <w:bidi w:val="0"/>
              <w:snapToGrid/>
              <w:spacing w:line="312" w:lineRule="auto"/>
              <w:textAlignment w:val="auto"/>
              <w:rPr>
                <w:rFonts w:hint="eastAsia" w:ascii="仿宋" w:hAnsi="仿宋" w:eastAsia="仿宋" w:cs="仿宋"/>
                <w:color w:val="auto"/>
                <w:highlight w:val="none"/>
              </w:rPr>
            </w:pPr>
            <w:r>
              <w:rPr>
                <w:rFonts w:hint="eastAsia" w:ascii="仿宋" w:hAnsi="仿宋" w:eastAsia="仿宋" w:cs="仿宋"/>
                <w:bCs/>
                <w:color w:val="auto"/>
                <w:kern w:val="0"/>
                <w:sz w:val="24"/>
                <w:highlight w:val="none"/>
                <w:lang w:val="zh-TW"/>
              </w:rPr>
              <w:t>注：合理性好的得</w:t>
            </w:r>
            <w:r>
              <w:rPr>
                <w:rFonts w:hint="eastAsia" w:ascii="仿宋" w:hAnsi="仿宋" w:eastAsia="仿宋" w:cs="仿宋"/>
                <w:bCs/>
                <w:color w:val="auto"/>
                <w:kern w:val="0"/>
                <w:sz w:val="24"/>
                <w:highlight w:val="none"/>
              </w:rPr>
              <w:t>2</w:t>
            </w:r>
            <w:r>
              <w:rPr>
                <w:rFonts w:hint="eastAsia" w:ascii="仿宋" w:hAnsi="仿宋" w:eastAsia="仿宋" w:cs="仿宋"/>
                <w:bCs/>
                <w:color w:val="auto"/>
                <w:kern w:val="0"/>
                <w:sz w:val="24"/>
                <w:highlight w:val="none"/>
                <w:lang w:val="zh-TW"/>
              </w:rPr>
              <w:t>分，合理性一般的得1分；</w:t>
            </w:r>
          </w:p>
          <w:p w14:paraId="0ECC61CC">
            <w:pPr>
              <w:keepNext w:val="0"/>
              <w:keepLines w:val="0"/>
              <w:pageBreakBefore w:val="0"/>
              <w:kinsoku/>
              <w:wordWrap/>
              <w:overflowPunct/>
              <w:topLinePunct w:val="0"/>
              <w:autoSpaceDE/>
              <w:autoSpaceDN/>
              <w:bidi w:val="0"/>
              <w:snapToGrid/>
              <w:spacing w:line="312" w:lineRule="auto"/>
              <w:textAlignment w:val="auto"/>
              <w:rPr>
                <w:rFonts w:hint="eastAsia" w:ascii="仿宋" w:hAnsi="仿宋" w:eastAsia="仿宋" w:cs="仿宋"/>
                <w:color w:val="auto"/>
                <w:highlight w:val="none"/>
              </w:rPr>
            </w:pPr>
            <w:r>
              <w:rPr>
                <w:rFonts w:hint="eastAsia" w:ascii="仿宋" w:hAnsi="仿宋" w:eastAsia="仿宋" w:cs="仿宋"/>
                <w:bCs/>
                <w:color w:val="auto"/>
                <w:kern w:val="0"/>
                <w:sz w:val="24"/>
                <w:highlight w:val="none"/>
                <w:lang w:val="zh-TW"/>
              </w:rPr>
              <w:t>可行性好的得</w:t>
            </w:r>
            <w:r>
              <w:rPr>
                <w:rFonts w:hint="eastAsia" w:ascii="仿宋" w:hAnsi="仿宋" w:eastAsia="仿宋" w:cs="仿宋"/>
                <w:bCs/>
                <w:color w:val="auto"/>
                <w:kern w:val="0"/>
                <w:sz w:val="24"/>
                <w:highlight w:val="none"/>
              </w:rPr>
              <w:t>2</w:t>
            </w:r>
            <w:r>
              <w:rPr>
                <w:rFonts w:hint="eastAsia" w:ascii="仿宋" w:hAnsi="仿宋" w:eastAsia="仿宋" w:cs="仿宋"/>
                <w:bCs/>
                <w:color w:val="auto"/>
                <w:kern w:val="0"/>
                <w:sz w:val="24"/>
                <w:highlight w:val="none"/>
                <w:lang w:val="zh-TW"/>
              </w:rPr>
              <w:t>分，可行性一般的得1分；</w:t>
            </w:r>
          </w:p>
          <w:p w14:paraId="16D472CF">
            <w:pPr>
              <w:keepNext w:val="0"/>
              <w:keepLines w:val="0"/>
              <w:pageBreakBefore w:val="0"/>
              <w:kinsoku/>
              <w:wordWrap/>
              <w:overflowPunct/>
              <w:topLinePunct w:val="0"/>
              <w:autoSpaceDE/>
              <w:autoSpaceDN/>
              <w:bidi w:val="0"/>
              <w:snapToGrid/>
              <w:spacing w:line="312" w:lineRule="auto"/>
              <w:textAlignment w:val="auto"/>
              <w:rPr>
                <w:rFonts w:hint="eastAsia" w:ascii="仿宋" w:hAnsi="仿宋" w:eastAsia="仿宋" w:cs="仿宋"/>
                <w:bCs/>
                <w:color w:val="auto"/>
                <w:kern w:val="0"/>
                <w:sz w:val="24"/>
                <w:highlight w:val="none"/>
                <w:lang w:val="zh-TW"/>
              </w:rPr>
            </w:pPr>
            <w:r>
              <w:rPr>
                <w:rFonts w:hint="eastAsia" w:ascii="仿宋" w:hAnsi="仿宋" w:eastAsia="仿宋" w:cs="仿宋"/>
                <w:bCs/>
                <w:color w:val="auto"/>
                <w:kern w:val="0"/>
                <w:sz w:val="24"/>
                <w:highlight w:val="none"/>
                <w:lang w:val="zh-TW"/>
              </w:rPr>
              <w:t>未提供方案或证明材料的不得分。</w:t>
            </w:r>
          </w:p>
          <w:p w14:paraId="609A7969">
            <w:pPr>
              <w:keepNext w:val="0"/>
              <w:keepLines w:val="0"/>
              <w:pageBreakBefore w:val="0"/>
              <w:kinsoku/>
              <w:wordWrap/>
              <w:overflowPunct/>
              <w:topLinePunct w:val="0"/>
              <w:autoSpaceDE/>
              <w:autoSpaceDN/>
              <w:bidi w:val="0"/>
              <w:snapToGrid/>
              <w:spacing w:line="312" w:lineRule="auto"/>
              <w:textAlignment w:val="auto"/>
              <w:rPr>
                <w:rFonts w:hint="eastAsia" w:ascii="仿宋" w:hAnsi="仿宋" w:eastAsia="仿宋" w:cs="仿宋"/>
                <w:bCs/>
                <w:color w:val="auto"/>
                <w:kern w:val="0"/>
                <w:sz w:val="24"/>
                <w:highlight w:val="none"/>
                <w:lang w:val="zh-TW"/>
              </w:rPr>
            </w:pPr>
            <w:r>
              <w:rPr>
                <w:rFonts w:hint="eastAsia" w:ascii="仿宋" w:hAnsi="仿宋" w:eastAsia="仿宋" w:cs="仿宋"/>
                <w:bCs/>
                <w:color w:val="auto"/>
                <w:kern w:val="0"/>
                <w:sz w:val="24"/>
                <w:highlight w:val="none"/>
                <w:lang w:val="zh-TW"/>
              </w:rPr>
              <w:t>注：相关证明材料，可提供与院校合作协议或专业猎头合作协议或人才引进等证明材料。</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42599CFF">
            <w:pPr>
              <w:pStyle w:val="156"/>
              <w:keepNext w:val="0"/>
              <w:keepLines w:val="0"/>
              <w:pageBreakBefore w:val="0"/>
              <w:kinsoku/>
              <w:wordWrap/>
              <w:overflowPunct/>
              <w:topLinePunct w:val="0"/>
              <w:autoSpaceDE/>
              <w:autoSpaceDN/>
              <w:bidi w:val="0"/>
              <w:snapToGrid/>
              <w:spacing w:before="0" w:line="312" w:lineRule="auto"/>
              <w:ind w:firstLine="0" w:firstLineChars="0"/>
              <w:jc w:val="center"/>
              <w:textAlignment w:val="auto"/>
              <w:rPr>
                <w:rFonts w:hint="eastAsia" w:ascii="仿宋" w:hAnsi="仿宋" w:eastAsia="仿宋" w:cs="仿宋"/>
                <w:b w:val="0"/>
                <w:color w:val="auto"/>
                <w:szCs w:val="24"/>
                <w:highlight w:val="none"/>
              </w:rPr>
            </w:pPr>
            <w:r>
              <w:rPr>
                <w:rFonts w:hint="eastAsia" w:ascii="仿宋" w:hAnsi="仿宋" w:eastAsia="仿宋" w:cs="仿宋"/>
                <w:b w:val="0"/>
                <w:color w:val="auto"/>
                <w:szCs w:val="24"/>
                <w:highlight w:val="none"/>
              </w:rPr>
              <w:t>4</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5BB7C3A8">
            <w:pPr>
              <w:pStyle w:val="156"/>
              <w:spacing w:before="0" w:line="312" w:lineRule="auto"/>
              <w:ind w:firstLine="0" w:firstLineChars="0"/>
              <w:jc w:val="center"/>
              <w:rPr>
                <w:rFonts w:hint="eastAsia" w:ascii="仿宋" w:hAnsi="仿宋" w:eastAsia="仿宋" w:cs="仿宋"/>
                <w:b w:val="0"/>
                <w:color w:val="auto"/>
                <w:szCs w:val="24"/>
                <w:highlight w:val="none"/>
              </w:rPr>
            </w:pPr>
            <w:r>
              <w:rPr>
                <w:rFonts w:hint="eastAsia" w:ascii="仿宋" w:hAnsi="仿宋" w:eastAsia="仿宋" w:cs="仿宋"/>
                <w:b w:val="0"/>
                <w:color w:val="auto"/>
                <w:highlight w:val="none"/>
              </w:rPr>
              <w:t>主观分</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14:paraId="18105987">
            <w:pPr>
              <w:pStyle w:val="156"/>
              <w:spacing w:before="0" w:line="312" w:lineRule="auto"/>
              <w:ind w:firstLine="0" w:firstLineChars="0"/>
              <w:jc w:val="center"/>
              <w:rPr>
                <w:rFonts w:hint="eastAsia" w:ascii="仿宋" w:hAnsi="仿宋" w:eastAsia="仿宋" w:cs="仿宋"/>
                <w:b w:val="0"/>
                <w:color w:val="auto"/>
                <w:highlight w:val="none"/>
              </w:rPr>
            </w:pPr>
          </w:p>
        </w:tc>
      </w:tr>
      <w:tr w14:paraId="482D0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25" w:type="dxa"/>
            <w:vMerge w:val="continue"/>
            <w:tcBorders>
              <w:left w:val="single" w:color="000000" w:sz="4" w:space="0"/>
              <w:bottom w:val="single" w:color="000000" w:sz="4" w:space="0"/>
              <w:right w:val="single" w:color="000000" w:sz="4" w:space="0"/>
            </w:tcBorders>
            <w:noWrap w:val="0"/>
            <w:vAlign w:val="center"/>
          </w:tcPr>
          <w:p w14:paraId="69C5BEF4">
            <w:pPr>
              <w:pStyle w:val="156"/>
              <w:spacing w:before="0" w:line="288" w:lineRule="auto"/>
              <w:ind w:firstLine="0" w:firstLineChars="0"/>
              <w:jc w:val="center"/>
              <w:rPr>
                <w:rFonts w:hint="eastAsia" w:ascii="仿宋" w:hAnsi="仿宋" w:eastAsia="仿宋" w:cs="仿宋"/>
                <w:b w:val="0"/>
                <w:bCs w:val="0"/>
                <w:color w:val="auto"/>
                <w:szCs w:val="24"/>
                <w:highlight w:val="none"/>
              </w:rPr>
            </w:pPr>
          </w:p>
        </w:tc>
        <w:tc>
          <w:tcPr>
            <w:tcW w:w="941" w:type="dxa"/>
            <w:vMerge w:val="continue"/>
            <w:tcBorders>
              <w:left w:val="single" w:color="000000" w:sz="4" w:space="0"/>
              <w:bottom w:val="single" w:color="000000" w:sz="4" w:space="0"/>
              <w:right w:val="single" w:color="000000" w:sz="4" w:space="0"/>
            </w:tcBorders>
            <w:noWrap w:val="0"/>
            <w:vAlign w:val="center"/>
          </w:tcPr>
          <w:p w14:paraId="0C34026F">
            <w:pPr>
              <w:pStyle w:val="156"/>
              <w:spacing w:before="0" w:line="288" w:lineRule="auto"/>
              <w:ind w:firstLine="0" w:firstLineChars="0"/>
              <w:jc w:val="center"/>
              <w:rPr>
                <w:rFonts w:hint="eastAsia" w:ascii="仿宋" w:hAnsi="仿宋" w:eastAsia="仿宋" w:cs="仿宋"/>
                <w:b w:val="0"/>
                <w:bCs w:val="0"/>
                <w:color w:val="auto"/>
                <w:szCs w:val="24"/>
                <w:highlight w:val="none"/>
              </w:rPr>
            </w:pPr>
          </w:p>
        </w:tc>
        <w:tc>
          <w:tcPr>
            <w:tcW w:w="5333" w:type="dxa"/>
            <w:tcBorders>
              <w:top w:val="single" w:color="000000" w:sz="4" w:space="0"/>
              <w:left w:val="single" w:color="000000" w:sz="4" w:space="0"/>
              <w:bottom w:val="single" w:color="000000" w:sz="4" w:space="0"/>
              <w:right w:val="single" w:color="000000" w:sz="4" w:space="0"/>
            </w:tcBorders>
            <w:noWrap w:val="0"/>
            <w:vAlign w:val="center"/>
          </w:tcPr>
          <w:p w14:paraId="1CF23D47">
            <w:pPr>
              <w:keepNext w:val="0"/>
              <w:keepLines w:val="0"/>
              <w:pageBreakBefore w:val="0"/>
              <w:kinsoku/>
              <w:wordWrap/>
              <w:overflowPunct/>
              <w:topLinePunct w:val="0"/>
              <w:autoSpaceDE/>
              <w:autoSpaceDN/>
              <w:bidi w:val="0"/>
              <w:snapToGrid/>
              <w:spacing w:line="312" w:lineRule="auto"/>
              <w:textAlignment w:val="auto"/>
              <w:rPr>
                <w:rFonts w:hint="eastAsia" w:ascii="仿宋" w:hAnsi="仿宋" w:eastAsia="仿宋" w:cs="仿宋"/>
                <w:bCs/>
                <w:color w:val="auto"/>
                <w:kern w:val="0"/>
                <w:sz w:val="24"/>
                <w:highlight w:val="none"/>
                <w:lang w:val="zh-TW"/>
              </w:rPr>
            </w:pPr>
            <w:r>
              <w:rPr>
                <w:rFonts w:hint="eastAsia" w:ascii="仿宋" w:hAnsi="仿宋" w:eastAsia="仿宋" w:cs="仿宋"/>
                <w:bCs/>
                <w:color w:val="auto"/>
                <w:kern w:val="0"/>
                <w:sz w:val="24"/>
                <w:highlight w:val="none"/>
                <w:lang w:val="zh-TW"/>
              </w:rPr>
              <w:t>（</w:t>
            </w:r>
            <w:r>
              <w:rPr>
                <w:rFonts w:hint="eastAsia" w:ascii="仿宋" w:hAnsi="仿宋" w:eastAsia="仿宋" w:cs="仿宋"/>
                <w:bCs/>
                <w:color w:val="auto"/>
                <w:kern w:val="0"/>
                <w:sz w:val="24"/>
                <w:highlight w:val="none"/>
              </w:rPr>
              <w:t>6</w:t>
            </w:r>
            <w:r>
              <w:rPr>
                <w:rFonts w:hint="eastAsia" w:ascii="仿宋" w:hAnsi="仿宋" w:eastAsia="仿宋" w:cs="仿宋"/>
                <w:bCs/>
                <w:color w:val="auto"/>
                <w:kern w:val="0"/>
                <w:sz w:val="24"/>
                <w:highlight w:val="none"/>
                <w:lang w:val="zh-TW"/>
              </w:rPr>
              <w:t>）根据人员稳定保障措施、福利水平、岗位晋升由评审专家根据内容合理程度进行打分；</w:t>
            </w:r>
          </w:p>
          <w:p w14:paraId="363A1EBE">
            <w:pPr>
              <w:keepNext w:val="0"/>
              <w:keepLines w:val="0"/>
              <w:pageBreakBefore w:val="0"/>
              <w:kinsoku/>
              <w:wordWrap/>
              <w:overflowPunct/>
              <w:topLinePunct w:val="0"/>
              <w:autoSpaceDE/>
              <w:autoSpaceDN/>
              <w:bidi w:val="0"/>
              <w:snapToGrid/>
              <w:spacing w:line="312" w:lineRule="auto"/>
              <w:textAlignment w:val="auto"/>
              <w:rPr>
                <w:rFonts w:hint="eastAsia" w:ascii="仿宋" w:hAnsi="仿宋" w:eastAsia="仿宋" w:cs="仿宋"/>
                <w:bCs/>
                <w:color w:val="auto"/>
                <w:kern w:val="0"/>
                <w:sz w:val="24"/>
                <w:highlight w:val="none"/>
                <w:lang w:val="zh-TW"/>
              </w:rPr>
            </w:pPr>
            <w:r>
              <w:rPr>
                <w:rFonts w:hint="eastAsia" w:ascii="仿宋" w:hAnsi="仿宋" w:eastAsia="仿宋" w:cs="仿宋"/>
                <w:bCs/>
                <w:color w:val="auto"/>
                <w:kern w:val="0"/>
                <w:sz w:val="24"/>
                <w:highlight w:val="none"/>
                <w:lang w:val="zh-TW"/>
              </w:rPr>
              <w:t>注：合理性好的得</w:t>
            </w:r>
            <w:r>
              <w:rPr>
                <w:rFonts w:hint="eastAsia" w:ascii="仿宋" w:hAnsi="仿宋" w:eastAsia="仿宋" w:cs="仿宋"/>
                <w:bCs/>
                <w:color w:val="auto"/>
                <w:kern w:val="0"/>
                <w:sz w:val="24"/>
                <w:highlight w:val="none"/>
              </w:rPr>
              <w:t>3</w:t>
            </w:r>
            <w:r>
              <w:rPr>
                <w:rFonts w:hint="eastAsia" w:ascii="仿宋" w:hAnsi="仿宋" w:eastAsia="仿宋" w:cs="仿宋"/>
                <w:bCs/>
                <w:color w:val="auto"/>
                <w:kern w:val="0"/>
                <w:sz w:val="24"/>
                <w:highlight w:val="none"/>
                <w:lang w:val="zh-TW"/>
              </w:rPr>
              <w:t>分；合理性一般的得</w:t>
            </w:r>
            <w:r>
              <w:rPr>
                <w:rFonts w:hint="eastAsia" w:ascii="仿宋" w:hAnsi="仿宋" w:eastAsia="仿宋" w:cs="仿宋"/>
                <w:bCs/>
                <w:color w:val="auto"/>
                <w:kern w:val="0"/>
                <w:sz w:val="24"/>
                <w:highlight w:val="none"/>
              </w:rPr>
              <w:t>2</w:t>
            </w:r>
            <w:r>
              <w:rPr>
                <w:rFonts w:hint="eastAsia" w:ascii="仿宋" w:hAnsi="仿宋" w:eastAsia="仿宋" w:cs="仿宋"/>
                <w:bCs/>
                <w:color w:val="auto"/>
                <w:kern w:val="0"/>
                <w:sz w:val="24"/>
                <w:highlight w:val="none"/>
                <w:lang w:val="zh-TW"/>
              </w:rPr>
              <w:t>分；合理性较低的得1分；其他不得分。</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03D2FCAB">
            <w:pPr>
              <w:pStyle w:val="156"/>
              <w:keepNext w:val="0"/>
              <w:keepLines w:val="0"/>
              <w:pageBreakBefore w:val="0"/>
              <w:kinsoku/>
              <w:wordWrap/>
              <w:overflowPunct/>
              <w:topLinePunct w:val="0"/>
              <w:autoSpaceDE/>
              <w:autoSpaceDN/>
              <w:bidi w:val="0"/>
              <w:snapToGrid/>
              <w:spacing w:before="0" w:line="312" w:lineRule="auto"/>
              <w:ind w:firstLine="0" w:firstLineChars="0"/>
              <w:jc w:val="center"/>
              <w:textAlignment w:val="auto"/>
              <w:rPr>
                <w:rFonts w:hint="eastAsia" w:ascii="仿宋" w:hAnsi="仿宋" w:eastAsia="仿宋" w:cs="仿宋"/>
                <w:b w:val="0"/>
                <w:color w:val="auto"/>
                <w:szCs w:val="24"/>
                <w:highlight w:val="none"/>
              </w:rPr>
            </w:pPr>
          </w:p>
          <w:p w14:paraId="20B19D60">
            <w:pPr>
              <w:pStyle w:val="156"/>
              <w:keepNext w:val="0"/>
              <w:keepLines w:val="0"/>
              <w:pageBreakBefore w:val="0"/>
              <w:kinsoku/>
              <w:wordWrap/>
              <w:overflowPunct/>
              <w:topLinePunct w:val="0"/>
              <w:autoSpaceDE/>
              <w:autoSpaceDN/>
              <w:bidi w:val="0"/>
              <w:snapToGrid/>
              <w:spacing w:before="0" w:line="312" w:lineRule="auto"/>
              <w:ind w:firstLine="0" w:firstLineChars="0"/>
              <w:jc w:val="center"/>
              <w:textAlignment w:val="auto"/>
              <w:rPr>
                <w:rFonts w:hint="eastAsia" w:ascii="仿宋" w:hAnsi="仿宋" w:eastAsia="仿宋" w:cs="仿宋"/>
                <w:b w:val="0"/>
                <w:color w:val="auto"/>
                <w:szCs w:val="24"/>
                <w:highlight w:val="none"/>
              </w:rPr>
            </w:pPr>
            <w:r>
              <w:rPr>
                <w:rFonts w:hint="eastAsia" w:ascii="仿宋" w:hAnsi="仿宋" w:eastAsia="仿宋" w:cs="仿宋"/>
                <w:b w:val="0"/>
                <w:color w:val="auto"/>
                <w:szCs w:val="24"/>
                <w:highlight w:val="none"/>
              </w:rPr>
              <w:t>3</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0B8A51CD">
            <w:pPr>
              <w:pStyle w:val="156"/>
              <w:spacing w:before="0" w:line="312" w:lineRule="auto"/>
              <w:ind w:firstLine="0" w:firstLineChars="0"/>
              <w:jc w:val="center"/>
              <w:rPr>
                <w:rFonts w:hint="eastAsia" w:ascii="仿宋" w:hAnsi="仿宋" w:eastAsia="仿宋" w:cs="仿宋"/>
                <w:b w:val="0"/>
                <w:color w:val="auto"/>
                <w:szCs w:val="24"/>
                <w:highlight w:val="none"/>
              </w:rPr>
            </w:pPr>
            <w:r>
              <w:rPr>
                <w:rFonts w:hint="eastAsia" w:ascii="仿宋" w:hAnsi="仿宋" w:eastAsia="仿宋" w:cs="仿宋"/>
                <w:b w:val="0"/>
                <w:color w:val="auto"/>
                <w:highlight w:val="none"/>
              </w:rPr>
              <w:t>主观分</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14:paraId="2702D819">
            <w:pPr>
              <w:pStyle w:val="156"/>
              <w:spacing w:before="0" w:line="312" w:lineRule="auto"/>
              <w:ind w:firstLine="0" w:firstLineChars="0"/>
              <w:jc w:val="center"/>
              <w:rPr>
                <w:rFonts w:hint="eastAsia" w:ascii="仿宋" w:hAnsi="仿宋" w:eastAsia="仿宋" w:cs="仿宋"/>
                <w:b w:val="0"/>
                <w:color w:val="auto"/>
                <w:highlight w:val="none"/>
              </w:rPr>
            </w:pPr>
          </w:p>
        </w:tc>
      </w:tr>
      <w:tr w14:paraId="705C0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jc w:val="center"/>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6ED89DAE">
            <w:pPr>
              <w:pStyle w:val="156"/>
              <w:spacing w:before="0" w:line="288" w:lineRule="auto"/>
              <w:ind w:firstLine="0" w:firstLineChars="0"/>
              <w:jc w:val="center"/>
              <w:rPr>
                <w:rFonts w:hint="eastAsia" w:ascii="仿宋" w:hAnsi="仿宋" w:eastAsia="仿宋" w:cs="仿宋"/>
                <w:b w:val="0"/>
                <w:bCs w:val="0"/>
                <w:color w:val="auto"/>
                <w:szCs w:val="24"/>
                <w:highlight w:val="none"/>
                <w:lang w:val="en-US" w:eastAsia="zh-CN"/>
              </w:rPr>
            </w:pPr>
            <w:r>
              <w:rPr>
                <w:rFonts w:hint="eastAsia" w:ascii="仿宋" w:hAnsi="仿宋" w:eastAsia="仿宋" w:cs="仿宋"/>
                <w:b w:val="0"/>
                <w:bCs w:val="0"/>
                <w:color w:val="auto"/>
                <w:szCs w:val="24"/>
                <w:highlight w:val="none"/>
                <w:lang w:val="en-US" w:eastAsia="zh-CN"/>
              </w:rPr>
              <w:t>6</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27941863">
            <w:pPr>
              <w:pStyle w:val="156"/>
              <w:spacing w:before="0" w:line="288" w:lineRule="auto"/>
              <w:ind w:firstLine="0" w:firstLineChars="0"/>
              <w:jc w:val="center"/>
              <w:rPr>
                <w:rFonts w:hint="eastAsia" w:ascii="仿宋" w:hAnsi="仿宋" w:eastAsia="仿宋" w:cs="仿宋"/>
                <w:b w:val="0"/>
                <w:bCs w:val="0"/>
                <w:color w:val="auto"/>
                <w:szCs w:val="24"/>
                <w:highlight w:val="none"/>
              </w:rPr>
            </w:pPr>
            <w:r>
              <w:rPr>
                <w:rFonts w:hint="eastAsia" w:ascii="仿宋" w:hAnsi="仿宋" w:eastAsia="仿宋" w:cs="仿宋"/>
                <w:b w:val="0"/>
                <w:bCs w:val="0"/>
                <w:color w:val="auto"/>
                <w:szCs w:val="24"/>
                <w:highlight w:val="none"/>
              </w:rPr>
              <w:t>安全保密措施</w:t>
            </w:r>
          </w:p>
        </w:tc>
        <w:tc>
          <w:tcPr>
            <w:tcW w:w="5333" w:type="dxa"/>
            <w:tcBorders>
              <w:top w:val="single" w:color="000000" w:sz="4" w:space="0"/>
              <w:left w:val="single" w:color="000000" w:sz="4" w:space="0"/>
              <w:bottom w:val="single" w:color="000000" w:sz="4" w:space="0"/>
              <w:right w:val="single" w:color="000000" w:sz="4" w:space="0"/>
            </w:tcBorders>
            <w:noWrap w:val="0"/>
            <w:vAlign w:val="center"/>
          </w:tcPr>
          <w:p w14:paraId="5D2F3081">
            <w:pPr>
              <w:keepNext w:val="0"/>
              <w:keepLines w:val="0"/>
              <w:pageBreakBefore w:val="0"/>
              <w:kinsoku/>
              <w:wordWrap/>
              <w:overflowPunct/>
              <w:topLinePunct w:val="0"/>
              <w:autoSpaceDE/>
              <w:autoSpaceDN/>
              <w:bidi w:val="0"/>
              <w:snapToGrid/>
              <w:spacing w:line="312" w:lineRule="auto"/>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根据项目需求，提供完善有效的安全保密制度和措施进行打分。</w:t>
            </w:r>
          </w:p>
          <w:p w14:paraId="625517F2">
            <w:pPr>
              <w:keepNext w:val="0"/>
              <w:keepLines w:val="0"/>
              <w:pageBreakBefore w:val="0"/>
              <w:kinsoku/>
              <w:wordWrap/>
              <w:overflowPunct/>
              <w:topLinePunct w:val="0"/>
              <w:autoSpaceDE/>
              <w:autoSpaceDN/>
              <w:bidi w:val="0"/>
              <w:snapToGrid/>
              <w:spacing w:line="312" w:lineRule="auto"/>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措施</w:t>
            </w:r>
            <w:r>
              <w:rPr>
                <w:rFonts w:hint="eastAsia" w:ascii="仿宋" w:hAnsi="仿宋" w:eastAsia="仿宋" w:cs="仿宋"/>
                <w:bCs/>
                <w:color w:val="auto"/>
                <w:kern w:val="0"/>
                <w:sz w:val="24"/>
                <w:highlight w:val="none"/>
              </w:rPr>
              <w:t>内容全面的、</w:t>
            </w:r>
            <w:r>
              <w:rPr>
                <w:rFonts w:hint="eastAsia" w:ascii="仿宋" w:hAnsi="仿宋" w:eastAsia="仿宋" w:cs="仿宋"/>
                <w:bCs/>
                <w:color w:val="auto"/>
                <w:sz w:val="24"/>
                <w:highlight w:val="none"/>
              </w:rPr>
              <w:t>针对性强的</w:t>
            </w:r>
            <w:r>
              <w:rPr>
                <w:rFonts w:hint="eastAsia" w:ascii="仿宋" w:hAnsi="仿宋" w:eastAsia="仿宋" w:cs="仿宋"/>
                <w:bCs/>
                <w:color w:val="auto"/>
                <w:kern w:val="0"/>
                <w:sz w:val="24"/>
                <w:highlight w:val="none"/>
              </w:rPr>
              <w:t>得5分；</w:t>
            </w:r>
            <w:r>
              <w:rPr>
                <w:rFonts w:hint="eastAsia" w:ascii="仿宋" w:hAnsi="仿宋" w:eastAsia="仿宋" w:cs="仿宋"/>
                <w:bCs/>
                <w:color w:val="auto"/>
                <w:sz w:val="24"/>
                <w:highlight w:val="none"/>
              </w:rPr>
              <w:t>措施</w:t>
            </w:r>
            <w:r>
              <w:rPr>
                <w:rFonts w:hint="eastAsia" w:ascii="仿宋" w:hAnsi="仿宋" w:eastAsia="仿宋" w:cs="仿宋"/>
                <w:bCs/>
                <w:color w:val="auto"/>
                <w:kern w:val="0"/>
                <w:sz w:val="24"/>
                <w:highlight w:val="none"/>
              </w:rPr>
              <w:t>内容全面性一般、</w:t>
            </w:r>
            <w:r>
              <w:rPr>
                <w:rFonts w:hint="eastAsia" w:ascii="仿宋" w:hAnsi="仿宋" w:eastAsia="仿宋" w:cs="仿宋"/>
                <w:bCs/>
                <w:color w:val="auto"/>
                <w:sz w:val="24"/>
                <w:highlight w:val="none"/>
              </w:rPr>
              <w:t>针对性一般的</w:t>
            </w:r>
            <w:r>
              <w:rPr>
                <w:rFonts w:hint="eastAsia" w:ascii="仿宋" w:hAnsi="仿宋" w:eastAsia="仿宋" w:cs="仿宋"/>
                <w:bCs/>
                <w:color w:val="auto"/>
                <w:kern w:val="0"/>
                <w:sz w:val="24"/>
                <w:highlight w:val="none"/>
              </w:rPr>
              <w:t>得3分；</w:t>
            </w:r>
            <w:r>
              <w:rPr>
                <w:rFonts w:hint="eastAsia" w:ascii="仿宋" w:hAnsi="仿宋" w:eastAsia="仿宋" w:cs="仿宋"/>
                <w:bCs/>
                <w:color w:val="auto"/>
                <w:sz w:val="24"/>
                <w:highlight w:val="none"/>
              </w:rPr>
              <w:t>措施</w:t>
            </w:r>
            <w:r>
              <w:rPr>
                <w:rFonts w:hint="eastAsia" w:ascii="仿宋" w:hAnsi="仿宋" w:eastAsia="仿宋" w:cs="仿宋"/>
                <w:bCs/>
                <w:color w:val="auto"/>
                <w:kern w:val="0"/>
                <w:sz w:val="24"/>
                <w:highlight w:val="none"/>
              </w:rPr>
              <w:t>内容全面性不足、</w:t>
            </w:r>
            <w:r>
              <w:rPr>
                <w:rFonts w:hint="eastAsia" w:ascii="仿宋" w:hAnsi="仿宋" w:eastAsia="仿宋" w:cs="仿宋"/>
                <w:bCs/>
                <w:color w:val="auto"/>
                <w:sz w:val="24"/>
                <w:highlight w:val="none"/>
              </w:rPr>
              <w:t>针对性较低的</w:t>
            </w:r>
            <w:r>
              <w:rPr>
                <w:rFonts w:hint="eastAsia" w:ascii="仿宋" w:hAnsi="仿宋" w:eastAsia="仿宋" w:cs="仿宋"/>
                <w:bCs/>
                <w:color w:val="auto"/>
                <w:kern w:val="0"/>
                <w:sz w:val="24"/>
                <w:highlight w:val="none"/>
              </w:rPr>
              <w:t>得1分。未提供方案不得分。</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181D75E5">
            <w:pPr>
              <w:pStyle w:val="156"/>
              <w:keepNext w:val="0"/>
              <w:keepLines w:val="0"/>
              <w:pageBreakBefore w:val="0"/>
              <w:kinsoku/>
              <w:wordWrap/>
              <w:overflowPunct/>
              <w:topLinePunct w:val="0"/>
              <w:autoSpaceDE/>
              <w:autoSpaceDN/>
              <w:bidi w:val="0"/>
              <w:snapToGrid/>
              <w:spacing w:before="0" w:line="312" w:lineRule="auto"/>
              <w:ind w:firstLine="0" w:firstLineChars="0"/>
              <w:jc w:val="center"/>
              <w:textAlignment w:val="auto"/>
              <w:rPr>
                <w:rFonts w:hint="eastAsia" w:ascii="仿宋" w:hAnsi="仿宋" w:eastAsia="仿宋" w:cs="仿宋"/>
                <w:b w:val="0"/>
                <w:color w:val="auto"/>
                <w:szCs w:val="24"/>
                <w:highlight w:val="none"/>
              </w:rPr>
            </w:pPr>
            <w:r>
              <w:rPr>
                <w:rFonts w:hint="eastAsia" w:ascii="仿宋" w:hAnsi="仿宋" w:eastAsia="仿宋" w:cs="仿宋"/>
                <w:b w:val="0"/>
                <w:color w:val="auto"/>
                <w:szCs w:val="24"/>
                <w:highlight w:val="none"/>
              </w:rPr>
              <w:t>5</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03D35A12">
            <w:pPr>
              <w:pStyle w:val="156"/>
              <w:spacing w:before="0" w:line="312" w:lineRule="auto"/>
              <w:ind w:firstLine="0" w:firstLineChars="0"/>
              <w:jc w:val="center"/>
              <w:rPr>
                <w:rFonts w:hint="eastAsia" w:ascii="仿宋" w:hAnsi="仿宋" w:eastAsia="仿宋" w:cs="仿宋"/>
                <w:b w:val="0"/>
                <w:color w:val="auto"/>
                <w:szCs w:val="24"/>
                <w:highlight w:val="none"/>
              </w:rPr>
            </w:pPr>
            <w:r>
              <w:rPr>
                <w:rFonts w:hint="eastAsia" w:ascii="仿宋" w:hAnsi="仿宋" w:eastAsia="仿宋" w:cs="仿宋"/>
                <w:b w:val="0"/>
                <w:color w:val="auto"/>
                <w:highlight w:val="none"/>
              </w:rPr>
              <w:t>主观分</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14:paraId="4CD1F4A0">
            <w:pPr>
              <w:pStyle w:val="156"/>
              <w:spacing w:before="0" w:line="312" w:lineRule="auto"/>
              <w:ind w:firstLine="0" w:firstLineChars="0"/>
              <w:jc w:val="center"/>
              <w:rPr>
                <w:rFonts w:hint="eastAsia" w:ascii="仿宋" w:hAnsi="仿宋" w:eastAsia="仿宋" w:cs="仿宋"/>
                <w:b w:val="0"/>
                <w:color w:val="auto"/>
                <w:highlight w:val="none"/>
              </w:rPr>
            </w:pPr>
          </w:p>
        </w:tc>
      </w:tr>
      <w:tr w14:paraId="5E38F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6" w:hRule="atLeast"/>
          <w:jc w:val="center"/>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325ADC0E">
            <w:pPr>
              <w:pStyle w:val="156"/>
              <w:spacing w:before="0" w:line="288" w:lineRule="auto"/>
              <w:ind w:firstLine="0" w:firstLineChars="0"/>
              <w:jc w:val="center"/>
              <w:rPr>
                <w:rFonts w:hint="eastAsia" w:ascii="仿宋" w:hAnsi="仿宋" w:eastAsia="仿宋" w:cs="仿宋"/>
                <w:b w:val="0"/>
                <w:bCs w:val="0"/>
                <w:color w:val="auto"/>
                <w:szCs w:val="24"/>
                <w:highlight w:val="none"/>
                <w:lang w:val="en-US" w:eastAsia="zh-CN"/>
              </w:rPr>
            </w:pPr>
            <w:r>
              <w:rPr>
                <w:rFonts w:hint="eastAsia" w:ascii="仿宋" w:hAnsi="仿宋" w:eastAsia="仿宋" w:cs="仿宋"/>
                <w:b w:val="0"/>
                <w:bCs w:val="0"/>
                <w:color w:val="auto"/>
                <w:szCs w:val="24"/>
                <w:highlight w:val="none"/>
                <w:lang w:val="en-US" w:eastAsia="zh-CN"/>
              </w:rPr>
              <w:t>7</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5A6D17FF">
            <w:pPr>
              <w:pStyle w:val="156"/>
              <w:spacing w:before="0" w:line="288" w:lineRule="auto"/>
              <w:ind w:firstLine="0" w:firstLineChars="0"/>
              <w:jc w:val="center"/>
              <w:rPr>
                <w:rFonts w:hint="eastAsia" w:ascii="仿宋" w:hAnsi="仿宋" w:eastAsia="仿宋" w:cs="仿宋"/>
                <w:b w:val="0"/>
                <w:bCs w:val="0"/>
                <w:color w:val="auto"/>
                <w:szCs w:val="24"/>
                <w:highlight w:val="none"/>
              </w:rPr>
            </w:pPr>
            <w:r>
              <w:rPr>
                <w:rFonts w:hint="eastAsia" w:ascii="仿宋" w:hAnsi="仿宋" w:eastAsia="仿宋" w:cs="仿宋"/>
                <w:b w:val="0"/>
                <w:bCs w:val="0"/>
                <w:color w:val="auto"/>
                <w:szCs w:val="24"/>
                <w:highlight w:val="none"/>
              </w:rPr>
              <w:t>培训计划</w:t>
            </w:r>
          </w:p>
        </w:tc>
        <w:tc>
          <w:tcPr>
            <w:tcW w:w="5333" w:type="dxa"/>
            <w:tcBorders>
              <w:top w:val="single" w:color="000000" w:sz="4" w:space="0"/>
              <w:left w:val="single" w:color="000000" w:sz="4" w:space="0"/>
              <w:bottom w:val="single" w:color="000000" w:sz="4" w:space="0"/>
              <w:right w:val="single" w:color="000000" w:sz="4" w:space="0"/>
            </w:tcBorders>
            <w:noWrap w:val="0"/>
            <w:vAlign w:val="center"/>
          </w:tcPr>
          <w:p w14:paraId="29BBF5BE">
            <w:pPr>
              <w:keepNext w:val="0"/>
              <w:keepLines w:val="0"/>
              <w:pageBreakBefore w:val="0"/>
              <w:kinsoku/>
              <w:wordWrap/>
              <w:overflowPunct/>
              <w:topLinePunct w:val="0"/>
              <w:autoSpaceDE/>
              <w:autoSpaceDN/>
              <w:bidi w:val="0"/>
              <w:snapToGrid/>
              <w:spacing w:line="312" w:lineRule="auto"/>
              <w:textAlignment w:val="auto"/>
              <w:rPr>
                <w:rFonts w:hint="eastAsia" w:ascii="仿宋" w:hAnsi="仿宋" w:eastAsia="仿宋" w:cs="仿宋"/>
                <w:color w:val="auto"/>
                <w:highlight w:val="none"/>
              </w:rPr>
            </w:pPr>
            <w:r>
              <w:rPr>
                <w:rFonts w:hint="eastAsia" w:ascii="仿宋" w:hAnsi="仿宋" w:eastAsia="仿宋" w:cs="仿宋"/>
                <w:bCs/>
                <w:color w:val="auto"/>
                <w:kern w:val="0"/>
                <w:sz w:val="24"/>
                <w:highlight w:val="none"/>
                <w:lang w:val="zh-TW"/>
              </w:rPr>
              <w:t>根据项目需求，投标单位提供调解相关专业</w:t>
            </w:r>
            <w:r>
              <w:rPr>
                <w:rFonts w:hint="eastAsia" w:ascii="仿宋" w:hAnsi="仿宋" w:eastAsia="仿宋" w:cs="仿宋"/>
                <w:bCs/>
                <w:color w:val="auto"/>
                <w:kern w:val="0"/>
                <w:sz w:val="24"/>
                <w:highlight w:val="none"/>
                <w:lang w:val="zh-TW" w:eastAsia="zh-TW"/>
              </w:rPr>
              <w:t>培训计划</w:t>
            </w:r>
            <w:r>
              <w:rPr>
                <w:rFonts w:hint="eastAsia" w:ascii="仿宋" w:hAnsi="仿宋" w:eastAsia="仿宋" w:cs="仿宋"/>
                <w:bCs/>
                <w:color w:val="auto"/>
                <w:kern w:val="0"/>
                <w:sz w:val="24"/>
                <w:highlight w:val="none"/>
                <w:lang w:val="zh-TW"/>
              </w:rPr>
              <w:t>及培训内容大纲，根据内容进行打分。</w:t>
            </w:r>
          </w:p>
          <w:p w14:paraId="382EC846">
            <w:pPr>
              <w:keepNext w:val="0"/>
              <w:keepLines w:val="0"/>
              <w:pageBreakBefore w:val="0"/>
              <w:kinsoku/>
              <w:wordWrap/>
              <w:overflowPunct/>
              <w:topLinePunct w:val="0"/>
              <w:autoSpaceDE/>
              <w:autoSpaceDN/>
              <w:bidi w:val="0"/>
              <w:snapToGrid/>
              <w:spacing w:line="312" w:lineRule="auto"/>
              <w:textAlignment w:val="auto"/>
              <w:rPr>
                <w:rFonts w:hint="eastAsia" w:ascii="仿宋" w:hAnsi="仿宋" w:eastAsia="仿宋" w:cs="仿宋"/>
                <w:color w:val="auto"/>
                <w:highlight w:val="none"/>
              </w:rPr>
            </w:pPr>
            <w:r>
              <w:rPr>
                <w:rFonts w:hint="eastAsia" w:ascii="仿宋" w:hAnsi="仿宋" w:eastAsia="仿宋" w:cs="仿宋"/>
                <w:bCs/>
                <w:color w:val="auto"/>
                <w:kern w:val="0"/>
                <w:sz w:val="24"/>
                <w:highlight w:val="none"/>
              </w:rPr>
              <w:t>培训内容及计划周全完整、大纲详细的得5分；</w:t>
            </w:r>
          </w:p>
          <w:p w14:paraId="3928465E">
            <w:pPr>
              <w:keepNext w:val="0"/>
              <w:keepLines w:val="0"/>
              <w:pageBreakBefore w:val="0"/>
              <w:kinsoku/>
              <w:wordWrap/>
              <w:overflowPunct/>
              <w:topLinePunct w:val="0"/>
              <w:autoSpaceDE/>
              <w:autoSpaceDN/>
              <w:bidi w:val="0"/>
              <w:snapToGrid/>
              <w:spacing w:line="312" w:lineRule="auto"/>
              <w:textAlignment w:val="auto"/>
              <w:rPr>
                <w:rFonts w:hint="eastAsia" w:ascii="仿宋" w:hAnsi="仿宋" w:eastAsia="仿宋" w:cs="仿宋"/>
                <w:color w:val="auto"/>
                <w:highlight w:val="none"/>
              </w:rPr>
            </w:pPr>
            <w:r>
              <w:rPr>
                <w:rFonts w:hint="eastAsia" w:ascii="仿宋" w:hAnsi="仿宋" w:eastAsia="仿宋" w:cs="仿宋"/>
                <w:bCs/>
                <w:color w:val="auto"/>
                <w:kern w:val="0"/>
                <w:sz w:val="24"/>
                <w:highlight w:val="none"/>
              </w:rPr>
              <w:t>培训内容及计划较完整、大纲较详细的得3分；</w:t>
            </w:r>
          </w:p>
          <w:p w14:paraId="4C7814A2">
            <w:pPr>
              <w:keepNext w:val="0"/>
              <w:keepLines w:val="0"/>
              <w:pageBreakBefore w:val="0"/>
              <w:kinsoku/>
              <w:wordWrap/>
              <w:overflowPunct/>
              <w:topLinePunct w:val="0"/>
              <w:autoSpaceDE/>
              <w:autoSpaceDN/>
              <w:bidi w:val="0"/>
              <w:snapToGrid/>
              <w:spacing w:line="312" w:lineRule="auto"/>
              <w:textAlignment w:val="auto"/>
              <w:rPr>
                <w:rFonts w:hint="eastAsia" w:ascii="仿宋" w:hAnsi="仿宋" w:eastAsia="仿宋" w:cs="仿宋"/>
                <w:color w:val="auto"/>
                <w:highlight w:val="none"/>
              </w:rPr>
            </w:pPr>
            <w:r>
              <w:rPr>
                <w:rFonts w:hint="eastAsia" w:ascii="仿宋" w:hAnsi="仿宋" w:eastAsia="仿宋" w:cs="仿宋"/>
                <w:bCs/>
                <w:color w:val="auto"/>
                <w:kern w:val="0"/>
                <w:sz w:val="24"/>
                <w:highlight w:val="none"/>
              </w:rPr>
              <w:t>培训内容及计划内容较欠缺，不完善的得1分。</w:t>
            </w:r>
          </w:p>
          <w:p w14:paraId="3C0ECDB6">
            <w:pPr>
              <w:keepNext w:val="0"/>
              <w:keepLines w:val="0"/>
              <w:pageBreakBefore w:val="0"/>
              <w:kinsoku/>
              <w:wordWrap/>
              <w:overflowPunct/>
              <w:topLinePunct w:val="0"/>
              <w:autoSpaceDE/>
              <w:autoSpaceDN/>
              <w:bidi w:val="0"/>
              <w:snapToGrid/>
              <w:spacing w:line="312" w:lineRule="auto"/>
              <w:textAlignment w:val="auto"/>
              <w:rPr>
                <w:rFonts w:hint="eastAsia" w:ascii="仿宋" w:hAnsi="仿宋" w:eastAsia="仿宋" w:cs="仿宋"/>
                <w:bCs/>
                <w:color w:val="auto"/>
                <w:sz w:val="24"/>
                <w:highlight w:val="none"/>
              </w:rPr>
            </w:pPr>
            <w:r>
              <w:rPr>
                <w:rFonts w:hint="eastAsia" w:ascii="仿宋" w:hAnsi="仿宋" w:eastAsia="仿宋" w:cs="仿宋"/>
                <w:bCs/>
                <w:color w:val="auto"/>
                <w:kern w:val="0"/>
                <w:sz w:val="24"/>
                <w:highlight w:val="none"/>
              </w:rPr>
              <w:t>未提供方案不得分。</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4E3D7147">
            <w:pPr>
              <w:pStyle w:val="156"/>
              <w:keepNext w:val="0"/>
              <w:keepLines w:val="0"/>
              <w:pageBreakBefore w:val="0"/>
              <w:kinsoku/>
              <w:wordWrap/>
              <w:overflowPunct/>
              <w:topLinePunct w:val="0"/>
              <w:autoSpaceDE/>
              <w:autoSpaceDN/>
              <w:bidi w:val="0"/>
              <w:snapToGrid/>
              <w:spacing w:before="0" w:line="312" w:lineRule="auto"/>
              <w:ind w:firstLine="0" w:firstLineChars="0"/>
              <w:jc w:val="center"/>
              <w:textAlignment w:val="auto"/>
              <w:rPr>
                <w:rFonts w:hint="eastAsia" w:ascii="仿宋" w:hAnsi="仿宋" w:eastAsia="仿宋" w:cs="仿宋"/>
                <w:b w:val="0"/>
                <w:color w:val="auto"/>
                <w:szCs w:val="24"/>
                <w:highlight w:val="none"/>
              </w:rPr>
            </w:pPr>
            <w:r>
              <w:rPr>
                <w:rFonts w:hint="eastAsia" w:ascii="仿宋" w:hAnsi="仿宋" w:eastAsia="仿宋" w:cs="仿宋"/>
                <w:b w:val="0"/>
                <w:color w:val="auto"/>
                <w:szCs w:val="24"/>
                <w:highlight w:val="none"/>
              </w:rPr>
              <w:t>5</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4CBA9C49">
            <w:pPr>
              <w:pStyle w:val="156"/>
              <w:spacing w:before="0" w:line="312" w:lineRule="auto"/>
              <w:ind w:firstLine="0" w:firstLineChars="0"/>
              <w:jc w:val="center"/>
              <w:rPr>
                <w:rFonts w:hint="eastAsia" w:ascii="仿宋" w:hAnsi="仿宋" w:eastAsia="仿宋" w:cs="仿宋"/>
                <w:b w:val="0"/>
                <w:color w:val="auto"/>
                <w:szCs w:val="24"/>
                <w:highlight w:val="none"/>
              </w:rPr>
            </w:pPr>
            <w:r>
              <w:rPr>
                <w:rFonts w:hint="eastAsia" w:ascii="仿宋" w:hAnsi="仿宋" w:eastAsia="仿宋" w:cs="仿宋"/>
                <w:b w:val="0"/>
                <w:color w:val="auto"/>
                <w:highlight w:val="none"/>
              </w:rPr>
              <w:t>主观分</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14:paraId="591A0D04">
            <w:pPr>
              <w:pStyle w:val="156"/>
              <w:spacing w:before="0" w:line="312" w:lineRule="auto"/>
              <w:ind w:firstLine="0" w:firstLineChars="0"/>
              <w:jc w:val="center"/>
              <w:rPr>
                <w:rFonts w:hint="eastAsia" w:ascii="仿宋" w:hAnsi="仿宋" w:eastAsia="仿宋" w:cs="仿宋"/>
                <w:b w:val="0"/>
                <w:color w:val="auto"/>
                <w:highlight w:val="none"/>
              </w:rPr>
            </w:pPr>
          </w:p>
        </w:tc>
      </w:tr>
      <w:tr w14:paraId="6B164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2" w:hRule="atLeast"/>
          <w:jc w:val="center"/>
        </w:trPr>
        <w:tc>
          <w:tcPr>
            <w:tcW w:w="825" w:type="dxa"/>
            <w:tcBorders>
              <w:top w:val="single" w:color="000000" w:sz="4" w:space="0"/>
              <w:left w:val="single" w:color="000000" w:sz="4" w:space="0"/>
              <w:right w:val="single" w:color="000000" w:sz="4" w:space="0"/>
            </w:tcBorders>
            <w:noWrap w:val="0"/>
            <w:vAlign w:val="center"/>
          </w:tcPr>
          <w:p w14:paraId="5563D18B">
            <w:pPr>
              <w:pStyle w:val="156"/>
              <w:spacing w:before="0" w:line="288" w:lineRule="auto"/>
              <w:ind w:firstLine="0" w:firstLineChars="0"/>
              <w:jc w:val="center"/>
              <w:rPr>
                <w:rFonts w:hint="eastAsia" w:ascii="仿宋" w:hAnsi="仿宋" w:eastAsia="仿宋" w:cs="仿宋"/>
                <w:b w:val="0"/>
                <w:bCs w:val="0"/>
                <w:color w:val="auto"/>
                <w:szCs w:val="24"/>
                <w:highlight w:val="none"/>
                <w:lang w:val="en-US" w:eastAsia="zh-CN"/>
              </w:rPr>
            </w:pPr>
            <w:r>
              <w:rPr>
                <w:rFonts w:hint="eastAsia" w:ascii="仿宋" w:hAnsi="仿宋" w:eastAsia="仿宋" w:cs="仿宋"/>
                <w:b w:val="0"/>
                <w:bCs w:val="0"/>
                <w:color w:val="auto"/>
                <w:szCs w:val="24"/>
                <w:highlight w:val="none"/>
                <w:lang w:val="en-US" w:eastAsia="zh-CN"/>
              </w:rPr>
              <w:t>8</w:t>
            </w:r>
          </w:p>
        </w:tc>
        <w:tc>
          <w:tcPr>
            <w:tcW w:w="941" w:type="dxa"/>
            <w:tcBorders>
              <w:top w:val="single" w:color="000000" w:sz="4" w:space="0"/>
              <w:left w:val="single" w:color="000000" w:sz="4" w:space="0"/>
              <w:right w:val="single" w:color="000000" w:sz="4" w:space="0"/>
            </w:tcBorders>
            <w:noWrap w:val="0"/>
            <w:vAlign w:val="center"/>
          </w:tcPr>
          <w:p w14:paraId="44656F62">
            <w:pPr>
              <w:pStyle w:val="156"/>
              <w:spacing w:before="0" w:line="288" w:lineRule="auto"/>
              <w:ind w:firstLine="0" w:firstLineChars="0"/>
              <w:jc w:val="center"/>
              <w:rPr>
                <w:rFonts w:hint="eastAsia" w:ascii="仿宋" w:hAnsi="仿宋" w:eastAsia="仿宋" w:cs="仿宋"/>
                <w:b w:val="0"/>
                <w:bCs w:val="0"/>
                <w:color w:val="auto"/>
                <w:szCs w:val="24"/>
                <w:highlight w:val="none"/>
              </w:rPr>
            </w:pPr>
            <w:r>
              <w:rPr>
                <w:rFonts w:hint="eastAsia" w:ascii="仿宋" w:hAnsi="仿宋" w:eastAsia="仿宋" w:cs="仿宋"/>
                <w:b w:val="0"/>
                <w:bCs w:val="0"/>
                <w:color w:val="auto"/>
                <w:szCs w:val="24"/>
                <w:highlight w:val="none"/>
              </w:rPr>
              <w:t>售后服务</w:t>
            </w:r>
          </w:p>
        </w:tc>
        <w:tc>
          <w:tcPr>
            <w:tcW w:w="5333" w:type="dxa"/>
            <w:tcBorders>
              <w:top w:val="single" w:color="000000" w:sz="4" w:space="0"/>
              <w:left w:val="single" w:color="000000" w:sz="4" w:space="0"/>
              <w:bottom w:val="single" w:color="000000" w:sz="4" w:space="0"/>
              <w:right w:val="single" w:color="000000" w:sz="4" w:space="0"/>
            </w:tcBorders>
            <w:noWrap w:val="0"/>
            <w:vAlign w:val="center"/>
          </w:tcPr>
          <w:p w14:paraId="08F24A17">
            <w:pPr>
              <w:keepNext w:val="0"/>
              <w:keepLines w:val="0"/>
              <w:pageBreakBefore w:val="0"/>
              <w:kinsoku/>
              <w:wordWrap/>
              <w:overflowPunct/>
              <w:topLinePunct w:val="0"/>
              <w:autoSpaceDE/>
              <w:autoSpaceDN/>
              <w:bidi w:val="0"/>
              <w:snapToGrid/>
              <w:spacing w:line="312" w:lineRule="auto"/>
              <w:textAlignment w:val="auto"/>
              <w:rPr>
                <w:rFonts w:hint="eastAsia" w:ascii="仿宋" w:hAnsi="仿宋" w:eastAsia="仿宋" w:cs="仿宋"/>
                <w:color w:val="auto"/>
                <w:highlight w:val="none"/>
              </w:rPr>
            </w:pPr>
            <w:r>
              <w:rPr>
                <w:rFonts w:hint="eastAsia" w:ascii="仿宋" w:hAnsi="仿宋" w:eastAsia="仿宋" w:cs="仿宋"/>
                <w:bCs/>
                <w:color w:val="auto"/>
                <w:kern w:val="0"/>
                <w:sz w:val="24"/>
                <w:highlight w:val="none"/>
                <w:lang w:val="zh-TW"/>
              </w:rPr>
              <w:t>根据投标人提供的</w:t>
            </w:r>
            <w:r>
              <w:rPr>
                <w:rFonts w:hint="eastAsia" w:ascii="仿宋" w:hAnsi="仿宋" w:eastAsia="仿宋" w:cs="仿宋"/>
                <w:bCs/>
                <w:color w:val="auto"/>
                <w:kern w:val="0"/>
                <w:sz w:val="24"/>
                <w:highlight w:val="none"/>
              </w:rPr>
              <w:t>调解项目后续出现的问题如何解决与维护的</w:t>
            </w:r>
            <w:r>
              <w:rPr>
                <w:rFonts w:hint="eastAsia" w:ascii="仿宋" w:hAnsi="仿宋" w:eastAsia="仿宋" w:cs="仿宋"/>
                <w:bCs/>
                <w:color w:val="auto"/>
                <w:kern w:val="0"/>
                <w:sz w:val="24"/>
                <w:highlight w:val="none"/>
                <w:lang w:val="zh-TW"/>
              </w:rPr>
              <w:t>售后服务方案</w:t>
            </w:r>
            <w:r>
              <w:rPr>
                <w:rFonts w:hint="eastAsia" w:ascii="仿宋" w:hAnsi="仿宋" w:eastAsia="仿宋" w:cs="仿宋"/>
                <w:bCs/>
                <w:color w:val="auto"/>
                <w:kern w:val="0"/>
                <w:sz w:val="24"/>
                <w:highlight w:val="none"/>
              </w:rPr>
              <w:t>进行打分。</w:t>
            </w:r>
          </w:p>
          <w:p w14:paraId="40C728CB">
            <w:pPr>
              <w:keepNext w:val="0"/>
              <w:keepLines w:val="0"/>
              <w:pageBreakBefore w:val="0"/>
              <w:kinsoku/>
              <w:wordWrap/>
              <w:overflowPunct/>
              <w:topLinePunct w:val="0"/>
              <w:autoSpaceDE/>
              <w:autoSpaceDN/>
              <w:bidi w:val="0"/>
              <w:snapToGrid/>
              <w:spacing w:line="312" w:lineRule="auto"/>
              <w:textAlignment w:val="auto"/>
              <w:rPr>
                <w:rFonts w:hint="eastAsia" w:ascii="仿宋" w:hAnsi="仿宋" w:eastAsia="仿宋" w:cs="仿宋"/>
                <w:color w:val="auto"/>
                <w:highlight w:val="none"/>
              </w:rPr>
            </w:pPr>
            <w:r>
              <w:rPr>
                <w:rFonts w:hint="eastAsia" w:ascii="仿宋" w:hAnsi="仿宋" w:eastAsia="仿宋" w:cs="仿宋"/>
                <w:bCs/>
                <w:color w:val="auto"/>
                <w:sz w:val="24"/>
                <w:highlight w:val="none"/>
              </w:rPr>
              <w:t>内容规范、全面且具有针对性的得5分；</w:t>
            </w:r>
          </w:p>
          <w:p w14:paraId="48E5C2F4">
            <w:pPr>
              <w:keepNext w:val="0"/>
              <w:keepLines w:val="0"/>
              <w:pageBreakBefore w:val="0"/>
              <w:kinsoku/>
              <w:wordWrap/>
              <w:overflowPunct/>
              <w:topLinePunct w:val="0"/>
              <w:autoSpaceDE/>
              <w:autoSpaceDN/>
              <w:bidi w:val="0"/>
              <w:snapToGrid/>
              <w:spacing w:line="312" w:lineRule="auto"/>
              <w:textAlignment w:val="auto"/>
              <w:rPr>
                <w:rFonts w:hint="eastAsia" w:ascii="仿宋" w:hAnsi="仿宋" w:eastAsia="仿宋" w:cs="仿宋"/>
                <w:color w:val="auto"/>
                <w:highlight w:val="none"/>
              </w:rPr>
            </w:pPr>
            <w:r>
              <w:rPr>
                <w:rFonts w:hint="eastAsia" w:ascii="仿宋" w:hAnsi="仿宋" w:eastAsia="仿宋" w:cs="仿宋"/>
                <w:bCs/>
                <w:color w:val="auto"/>
                <w:sz w:val="24"/>
                <w:highlight w:val="none"/>
              </w:rPr>
              <w:t>内容基本规范、针对性稍弱的得3分；</w:t>
            </w:r>
          </w:p>
          <w:p w14:paraId="672DF463">
            <w:pPr>
              <w:keepNext w:val="0"/>
              <w:keepLines w:val="0"/>
              <w:pageBreakBefore w:val="0"/>
              <w:kinsoku/>
              <w:wordWrap/>
              <w:overflowPunct/>
              <w:topLinePunct w:val="0"/>
              <w:autoSpaceDE/>
              <w:autoSpaceDN/>
              <w:bidi w:val="0"/>
              <w:snapToGrid/>
              <w:spacing w:line="312" w:lineRule="auto"/>
              <w:textAlignment w:val="auto"/>
              <w:rPr>
                <w:rFonts w:hint="eastAsia" w:ascii="仿宋" w:hAnsi="仿宋" w:eastAsia="仿宋" w:cs="仿宋"/>
                <w:color w:val="auto"/>
                <w:highlight w:val="none"/>
              </w:rPr>
            </w:pPr>
            <w:r>
              <w:rPr>
                <w:rFonts w:hint="eastAsia" w:ascii="仿宋" w:hAnsi="仿宋" w:eastAsia="仿宋" w:cs="仿宋"/>
                <w:bCs/>
                <w:color w:val="auto"/>
                <w:sz w:val="24"/>
                <w:highlight w:val="none"/>
              </w:rPr>
              <w:t>内容较为简单、针对性较差的得1分。</w:t>
            </w:r>
          </w:p>
          <w:p w14:paraId="60DAB626">
            <w:pPr>
              <w:keepNext w:val="0"/>
              <w:keepLines w:val="0"/>
              <w:pageBreakBefore w:val="0"/>
              <w:kinsoku/>
              <w:wordWrap/>
              <w:overflowPunct/>
              <w:topLinePunct w:val="0"/>
              <w:autoSpaceDE/>
              <w:autoSpaceDN/>
              <w:bidi w:val="0"/>
              <w:snapToGrid/>
              <w:spacing w:line="312" w:lineRule="auto"/>
              <w:textAlignment w:val="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未提供方案不得分。</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43328E2D">
            <w:pPr>
              <w:pStyle w:val="156"/>
              <w:keepNext w:val="0"/>
              <w:keepLines w:val="0"/>
              <w:pageBreakBefore w:val="0"/>
              <w:kinsoku/>
              <w:wordWrap/>
              <w:overflowPunct/>
              <w:topLinePunct w:val="0"/>
              <w:autoSpaceDE/>
              <w:autoSpaceDN/>
              <w:bidi w:val="0"/>
              <w:snapToGrid/>
              <w:spacing w:before="0" w:line="312" w:lineRule="auto"/>
              <w:ind w:firstLine="0" w:firstLineChars="0"/>
              <w:jc w:val="center"/>
              <w:textAlignment w:val="auto"/>
              <w:rPr>
                <w:rFonts w:hint="eastAsia" w:ascii="仿宋" w:hAnsi="仿宋" w:eastAsia="仿宋" w:cs="仿宋"/>
                <w:b w:val="0"/>
                <w:color w:val="auto"/>
                <w:szCs w:val="24"/>
                <w:highlight w:val="none"/>
              </w:rPr>
            </w:pPr>
            <w:r>
              <w:rPr>
                <w:rFonts w:hint="eastAsia" w:ascii="仿宋" w:hAnsi="仿宋" w:eastAsia="仿宋" w:cs="仿宋"/>
                <w:b w:val="0"/>
                <w:color w:val="auto"/>
                <w:szCs w:val="24"/>
                <w:highlight w:val="none"/>
              </w:rPr>
              <w:t>5</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25806860">
            <w:pPr>
              <w:pStyle w:val="156"/>
              <w:spacing w:before="0" w:line="312" w:lineRule="auto"/>
              <w:ind w:firstLine="0" w:firstLineChars="0"/>
              <w:jc w:val="center"/>
              <w:rPr>
                <w:rFonts w:hint="eastAsia" w:ascii="仿宋" w:hAnsi="仿宋" w:eastAsia="仿宋" w:cs="仿宋"/>
                <w:b w:val="0"/>
                <w:color w:val="auto"/>
                <w:szCs w:val="24"/>
                <w:highlight w:val="none"/>
              </w:rPr>
            </w:pPr>
            <w:r>
              <w:rPr>
                <w:rFonts w:hint="eastAsia" w:ascii="仿宋" w:hAnsi="仿宋" w:eastAsia="仿宋" w:cs="仿宋"/>
                <w:b w:val="0"/>
                <w:color w:val="auto"/>
                <w:highlight w:val="none"/>
              </w:rPr>
              <w:t>主观分</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14:paraId="133EC051">
            <w:pPr>
              <w:pStyle w:val="156"/>
              <w:spacing w:before="0" w:line="312" w:lineRule="auto"/>
              <w:ind w:firstLine="0" w:firstLineChars="0"/>
              <w:jc w:val="center"/>
              <w:rPr>
                <w:rFonts w:hint="eastAsia" w:ascii="仿宋" w:hAnsi="仿宋" w:eastAsia="仿宋" w:cs="仿宋"/>
                <w:b w:val="0"/>
                <w:color w:val="auto"/>
                <w:highlight w:val="none"/>
              </w:rPr>
            </w:pPr>
          </w:p>
        </w:tc>
      </w:tr>
      <w:tr w14:paraId="75D4F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jc w:val="center"/>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7F5C4794">
            <w:pPr>
              <w:pStyle w:val="156"/>
              <w:spacing w:before="0" w:line="288" w:lineRule="auto"/>
              <w:ind w:firstLine="0" w:firstLineChars="0"/>
              <w:jc w:val="center"/>
              <w:rPr>
                <w:rFonts w:hint="eastAsia" w:ascii="仿宋" w:hAnsi="仿宋" w:eastAsia="仿宋" w:cs="仿宋"/>
                <w:b w:val="0"/>
                <w:bCs w:val="0"/>
                <w:color w:val="auto"/>
                <w:kern w:val="2"/>
                <w:szCs w:val="24"/>
                <w:highlight w:val="none"/>
                <w:lang w:val="en-US" w:eastAsia="zh-CN"/>
              </w:rPr>
            </w:pPr>
            <w:r>
              <w:rPr>
                <w:rFonts w:hint="eastAsia" w:ascii="仿宋" w:hAnsi="仿宋" w:eastAsia="仿宋" w:cs="仿宋"/>
                <w:b w:val="0"/>
                <w:bCs w:val="0"/>
                <w:color w:val="auto"/>
                <w:kern w:val="2"/>
                <w:szCs w:val="24"/>
                <w:highlight w:val="none"/>
                <w:lang w:val="en-US" w:eastAsia="zh-CN"/>
              </w:rPr>
              <w:t>9</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54949048">
            <w:pPr>
              <w:pStyle w:val="156"/>
              <w:spacing w:before="0" w:line="288" w:lineRule="auto"/>
              <w:ind w:firstLine="0" w:firstLineChars="0"/>
              <w:jc w:val="center"/>
              <w:rPr>
                <w:rFonts w:hint="eastAsia" w:ascii="仿宋" w:hAnsi="仿宋" w:eastAsia="仿宋" w:cs="仿宋"/>
                <w:b w:val="0"/>
                <w:bCs w:val="0"/>
                <w:color w:val="auto"/>
                <w:kern w:val="2"/>
                <w:szCs w:val="24"/>
                <w:highlight w:val="none"/>
              </w:rPr>
            </w:pPr>
            <w:r>
              <w:rPr>
                <w:rFonts w:hint="eastAsia" w:ascii="仿宋" w:hAnsi="仿宋" w:eastAsia="仿宋" w:cs="仿宋"/>
                <w:b w:val="0"/>
                <w:bCs w:val="0"/>
                <w:color w:val="auto"/>
                <w:kern w:val="2"/>
                <w:szCs w:val="24"/>
                <w:highlight w:val="none"/>
              </w:rPr>
              <w:t>法律风险防控建议及措施</w:t>
            </w:r>
          </w:p>
        </w:tc>
        <w:tc>
          <w:tcPr>
            <w:tcW w:w="5333" w:type="dxa"/>
            <w:tcBorders>
              <w:top w:val="single" w:color="000000" w:sz="4" w:space="0"/>
              <w:left w:val="single" w:color="000000" w:sz="4" w:space="0"/>
              <w:bottom w:val="single" w:color="000000" w:sz="4" w:space="0"/>
              <w:right w:val="single" w:color="000000" w:sz="4" w:space="0"/>
            </w:tcBorders>
            <w:noWrap w:val="0"/>
            <w:vAlign w:val="center"/>
          </w:tcPr>
          <w:p w14:paraId="40ADA539">
            <w:pPr>
              <w:pStyle w:val="26"/>
              <w:keepNext w:val="0"/>
              <w:keepLines w:val="0"/>
              <w:pageBreakBefore w:val="0"/>
              <w:kinsoku/>
              <w:wordWrap/>
              <w:overflowPunct/>
              <w:topLinePunct w:val="0"/>
              <w:autoSpaceDE/>
              <w:autoSpaceDN/>
              <w:bidi w:val="0"/>
              <w:snapToGrid/>
              <w:spacing w:line="312" w:lineRule="auto"/>
              <w:ind w:firstLine="0" w:firstLineChars="0"/>
              <w:jc w:val="left"/>
              <w:textAlignment w:val="auto"/>
              <w:rPr>
                <w:rFonts w:hint="eastAsia" w:ascii="仿宋" w:hAnsi="仿宋" w:eastAsia="仿宋" w:cs="仿宋"/>
                <w:bCs/>
                <w:color w:val="auto"/>
                <w:highlight w:val="none"/>
                <w:lang w:val="zh-TW"/>
              </w:rPr>
            </w:pPr>
            <w:r>
              <w:rPr>
                <w:rFonts w:hint="eastAsia" w:ascii="仿宋" w:hAnsi="仿宋" w:eastAsia="仿宋" w:cs="仿宋"/>
                <w:bCs/>
                <w:color w:val="auto"/>
                <w:highlight w:val="none"/>
              </w:rPr>
              <w:t>投标人</w:t>
            </w:r>
            <w:r>
              <w:rPr>
                <w:rFonts w:hint="eastAsia" w:ascii="仿宋" w:hAnsi="仿宋" w:eastAsia="仿宋" w:cs="仿宋"/>
                <w:bCs/>
                <w:color w:val="auto"/>
                <w:highlight w:val="none"/>
                <w:u w:val="none" w:color="000000"/>
              </w:rPr>
              <w:t>提出相关法律风险防控建议和措施。内容</w:t>
            </w:r>
            <w:r>
              <w:rPr>
                <w:rFonts w:hint="eastAsia" w:ascii="仿宋" w:hAnsi="仿宋" w:eastAsia="仿宋" w:cs="仿宋"/>
                <w:bCs/>
                <w:color w:val="auto"/>
                <w:highlight w:val="none"/>
              </w:rPr>
              <w:t>合理、规范，具有针对性得5分；内容基本合理、针对性较弱的得3分；内容较合理，针对性较差的得1分。</w:t>
            </w:r>
            <w:r>
              <w:rPr>
                <w:rFonts w:hint="eastAsia" w:ascii="仿宋" w:hAnsi="仿宋" w:eastAsia="仿宋" w:cs="仿宋"/>
                <w:bCs/>
                <w:color w:val="auto"/>
                <w:kern w:val="0"/>
                <w:highlight w:val="none"/>
              </w:rPr>
              <w:t>未提供方案不得分。</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13F5BEFB">
            <w:pPr>
              <w:pStyle w:val="156"/>
              <w:keepNext w:val="0"/>
              <w:keepLines w:val="0"/>
              <w:pageBreakBefore w:val="0"/>
              <w:kinsoku/>
              <w:wordWrap/>
              <w:overflowPunct/>
              <w:topLinePunct w:val="0"/>
              <w:autoSpaceDE/>
              <w:autoSpaceDN/>
              <w:bidi w:val="0"/>
              <w:snapToGrid/>
              <w:spacing w:before="0" w:line="312" w:lineRule="auto"/>
              <w:ind w:firstLine="0" w:firstLineChars="0"/>
              <w:jc w:val="center"/>
              <w:textAlignment w:val="auto"/>
              <w:rPr>
                <w:rFonts w:hint="eastAsia" w:ascii="仿宋" w:hAnsi="仿宋" w:eastAsia="仿宋" w:cs="仿宋"/>
                <w:b w:val="0"/>
                <w:color w:val="auto"/>
                <w:kern w:val="2"/>
                <w:szCs w:val="24"/>
                <w:highlight w:val="none"/>
              </w:rPr>
            </w:pPr>
            <w:r>
              <w:rPr>
                <w:rFonts w:hint="eastAsia" w:ascii="仿宋" w:hAnsi="仿宋" w:eastAsia="仿宋" w:cs="仿宋"/>
                <w:b w:val="0"/>
                <w:color w:val="auto"/>
                <w:szCs w:val="24"/>
                <w:highlight w:val="none"/>
              </w:rPr>
              <w:t>5</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50D26AED">
            <w:pPr>
              <w:pStyle w:val="156"/>
              <w:spacing w:before="0" w:line="312" w:lineRule="auto"/>
              <w:ind w:firstLine="0" w:firstLineChars="0"/>
              <w:jc w:val="center"/>
              <w:rPr>
                <w:rFonts w:hint="eastAsia" w:ascii="仿宋" w:hAnsi="仿宋" w:eastAsia="仿宋" w:cs="仿宋"/>
                <w:b w:val="0"/>
                <w:color w:val="auto"/>
                <w:szCs w:val="24"/>
                <w:highlight w:val="none"/>
              </w:rPr>
            </w:pPr>
            <w:r>
              <w:rPr>
                <w:rFonts w:hint="eastAsia" w:ascii="仿宋" w:hAnsi="仿宋" w:eastAsia="仿宋" w:cs="仿宋"/>
                <w:b w:val="0"/>
                <w:color w:val="auto"/>
                <w:highlight w:val="none"/>
              </w:rPr>
              <w:t>主观分</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14:paraId="500442E6">
            <w:pPr>
              <w:pStyle w:val="156"/>
              <w:spacing w:before="0" w:line="312" w:lineRule="auto"/>
              <w:ind w:firstLine="0" w:firstLineChars="0"/>
              <w:jc w:val="center"/>
              <w:rPr>
                <w:rFonts w:hint="eastAsia" w:ascii="仿宋" w:hAnsi="仿宋" w:eastAsia="仿宋" w:cs="仿宋"/>
                <w:b w:val="0"/>
                <w:color w:val="auto"/>
                <w:highlight w:val="none"/>
              </w:rPr>
            </w:pPr>
          </w:p>
        </w:tc>
      </w:tr>
      <w:tr w14:paraId="18058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 w:hRule="atLeast"/>
          <w:jc w:val="center"/>
        </w:trPr>
        <w:tc>
          <w:tcPr>
            <w:tcW w:w="825" w:type="dxa"/>
            <w:tcBorders>
              <w:top w:val="single" w:color="000000" w:sz="4" w:space="0"/>
              <w:left w:val="single" w:color="000000" w:sz="4" w:space="0"/>
              <w:bottom w:val="single" w:color="auto" w:sz="4" w:space="0"/>
              <w:right w:val="single" w:color="000000" w:sz="4" w:space="0"/>
            </w:tcBorders>
            <w:noWrap w:val="0"/>
            <w:vAlign w:val="center"/>
          </w:tcPr>
          <w:p w14:paraId="3EF364CD">
            <w:pPr>
              <w:pStyle w:val="156"/>
              <w:widowControl/>
              <w:spacing w:before="0" w:line="288" w:lineRule="auto"/>
              <w:ind w:firstLine="0" w:firstLineChars="0"/>
              <w:jc w:val="center"/>
              <w:rPr>
                <w:rFonts w:hint="eastAsia" w:ascii="仿宋" w:hAnsi="仿宋" w:eastAsia="仿宋" w:cs="仿宋"/>
                <w:b w:val="0"/>
                <w:bCs w:val="0"/>
                <w:color w:val="auto"/>
                <w:kern w:val="2"/>
                <w:szCs w:val="24"/>
                <w:highlight w:val="none"/>
                <w:lang w:val="en-US" w:eastAsia="zh-CN"/>
              </w:rPr>
            </w:pPr>
            <w:r>
              <w:rPr>
                <w:rFonts w:hint="eastAsia" w:ascii="仿宋" w:hAnsi="仿宋" w:eastAsia="仿宋" w:cs="仿宋"/>
                <w:b w:val="0"/>
                <w:bCs w:val="0"/>
                <w:color w:val="auto"/>
                <w:kern w:val="2"/>
                <w:szCs w:val="24"/>
                <w:highlight w:val="none"/>
                <w:lang w:val="en-US" w:eastAsia="zh-CN"/>
              </w:rPr>
              <w:t>10</w:t>
            </w:r>
          </w:p>
        </w:tc>
        <w:tc>
          <w:tcPr>
            <w:tcW w:w="941" w:type="dxa"/>
            <w:tcBorders>
              <w:top w:val="single" w:color="000000" w:sz="4" w:space="0"/>
              <w:left w:val="single" w:color="000000" w:sz="4" w:space="0"/>
              <w:bottom w:val="single" w:color="auto" w:sz="4" w:space="0"/>
              <w:right w:val="single" w:color="000000" w:sz="4" w:space="0"/>
            </w:tcBorders>
            <w:noWrap w:val="0"/>
            <w:vAlign w:val="center"/>
          </w:tcPr>
          <w:p w14:paraId="7F0BB812">
            <w:pPr>
              <w:pStyle w:val="156"/>
              <w:widowControl/>
              <w:spacing w:before="0" w:line="288" w:lineRule="auto"/>
              <w:ind w:firstLine="0" w:firstLineChars="0"/>
              <w:jc w:val="center"/>
              <w:rPr>
                <w:rFonts w:hint="eastAsia" w:ascii="仿宋" w:hAnsi="仿宋" w:eastAsia="仿宋" w:cs="仿宋"/>
                <w:b w:val="0"/>
                <w:bCs w:val="0"/>
                <w:color w:val="auto"/>
                <w:kern w:val="2"/>
                <w:szCs w:val="24"/>
                <w:highlight w:val="none"/>
              </w:rPr>
            </w:pPr>
            <w:r>
              <w:rPr>
                <w:rFonts w:hint="eastAsia" w:ascii="仿宋" w:hAnsi="仿宋" w:eastAsia="仿宋" w:cs="仿宋"/>
                <w:b w:val="0"/>
                <w:bCs w:val="0"/>
                <w:color w:val="auto"/>
                <w:kern w:val="2"/>
                <w:szCs w:val="24"/>
                <w:highlight w:val="none"/>
              </w:rPr>
              <w:t>综合能力</w:t>
            </w:r>
          </w:p>
        </w:tc>
        <w:tc>
          <w:tcPr>
            <w:tcW w:w="5333" w:type="dxa"/>
            <w:tcBorders>
              <w:top w:val="single" w:color="000000" w:sz="4" w:space="0"/>
              <w:left w:val="single" w:color="000000" w:sz="4" w:space="0"/>
              <w:bottom w:val="single" w:color="auto" w:sz="4" w:space="0"/>
              <w:right w:val="single" w:color="000000" w:sz="4" w:space="0"/>
            </w:tcBorders>
            <w:noWrap w:val="0"/>
            <w:vAlign w:val="top"/>
          </w:tcPr>
          <w:p w14:paraId="49C26F70">
            <w:pPr>
              <w:keepNext w:val="0"/>
              <w:keepLines w:val="0"/>
              <w:pageBreakBefore w:val="0"/>
              <w:kinsoku/>
              <w:wordWrap/>
              <w:overflowPunct/>
              <w:topLinePunct w:val="0"/>
              <w:autoSpaceDE/>
              <w:autoSpaceDN/>
              <w:bidi w:val="0"/>
              <w:snapToGrid/>
              <w:spacing w:line="312" w:lineRule="auto"/>
              <w:textAlignment w:val="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投标单位获得过调解类区级荣誉的，每项加1分；获得市级荣誉的，每项加2分；获得省级荣誉的，每项加3分，以上</w:t>
            </w:r>
            <w:r>
              <w:rPr>
                <w:rFonts w:hint="eastAsia" w:ascii="仿宋" w:hAnsi="仿宋" w:eastAsia="仿宋" w:cs="仿宋"/>
                <w:bCs/>
                <w:color w:val="auto"/>
                <w:sz w:val="24"/>
                <w:highlight w:val="none"/>
              </w:rPr>
              <w:t>累加</w:t>
            </w:r>
            <w:r>
              <w:rPr>
                <w:rFonts w:hint="eastAsia" w:ascii="仿宋" w:hAnsi="仿宋" w:eastAsia="仿宋" w:cs="仿宋"/>
                <w:bCs/>
                <w:color w:val="auto"/>
                <w:kern w:val="0"/>
                <w:sz w:val="24"/>
                <w:highlight w:val="none"/>
              </w:rPr>
              <w:t>最高得4分。</w:t>
            </w:r>
            <w:r>
              <w:rPr>
                <w:rFonts w:hint="eastAsia" w:ascii="仿宋" w:hAnsi="仿宋" w:eastAsia="仿宋" w:cs="仿宋"/>
                <w:b/>
                <w:color w:val="auto"/>
                <w:kern w:val="0"/>
                <w:sz w:val="24"/>
                <w:highlight w:val="none"/>
              </w:rPr>
              <w:t>（提供荣誉证书或证明材料复印件并加盖公章，未提供不得分）</w:t>
            </w:r>
          </w:p>
        </w:tc>
        <w:tc>
          <w:tcPr>
            <w:tcW w:w="712" w:type="dxa"/>
            <w:tcBorders>
              <w:top w:val="single" w:color="000000" w:sz="4" w:space="0"/>
              <w:left w:val="single" w:color="000000" w:sz="4" w:space="0"/>
              <w:right w:val="single" w:color="000000" w:sz="4" w:space="0"/>
            </w:tcBorders>
            <w:noWrap w:val="0"/>
            <w:vAlign w:val="center"/>
          </w:tcPr>
          <w:p w14:paraId="6CE344B0">
            <w:pPr>
              <w:pStyle w:val="156"/>
              <w:keepNext w:val="0"/>
              <w:keepLines w:val="0"/>
              <w:pageBreakBefore w:val="0"/>
              <w:kinsoku/>
              <w:wordWrap/>
              <w:overflowPunct/>
              <w:topLinePunct w:val="0"/>
              <w:autoSpaceDE/>
              <w:autoSpaceDN/>
              <w:bidi w:val="0"/>
              <w:snapToGrid/>
              <w:spacing w:before="0" w:line="312" w:lineRule="auto"/>
              <w:ind w:firstLine="0" w:firstLineChars="0"/>
              <w:jc w:val="center"/>
              <w:textAlignment w:val="auto"/>
              <w:rPr>
                <w:rFonts w:hint="eastAsia" w:ascii="仿宋" w:hAnsi="仿宋" w:eastAsia="仿宋" w:cs="仿宋"/>
                <w:b w:val="0"/>
                <w:color w:val="auto"/>
                <w:szCs w:val="24"/>
                <w:highlight w:val="none"/>
              </w:rPr>
            </w:pPr>
            <w:r>
              <w:rPr>
                <w:rFonts w:hint="eastAsia" w:ascii="仿宋" w:hAnsi="仿宋" w:eastAsia="仿宋" w:cs="仿宋"/>
                <w:b w:val="0"/>
                <w:color w:val="auto"/>
                <w:szCs w:val="24"/>
                <w:highlight w:val="none"/>
              </w:rPr>
              <w:t>4</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54038FDD">
            <w:pPr>
              <w:spacing w:line="312"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14:paraId="622AB0A4">
            <w:pPr>
              <w:spacing w:line="312" w:lineRule="auto"/>
              <w:jc w:val="center"/>
              <w:rPr>
                <w:rFonts w:hint="eastAsia" w:ascii="仿宋" w:hAnsi="仿宋" w:eastAsia="仿宋" w:cs="仿宋"/>
                <w:color w:val="auto"/>
                <w:sz w:val="24"/>
                <w:highlight w:val="none"/>
              </w:rPr>
            </w:pPr>
          </w:p>
        </w:tc>
      </w:tr>
      <w:tr w14:paraId="3D6EA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jc w:val="center"/>
        </w:trPr>
        <w:tc>
          <w:tcPr>
            <w:tcW w:w="825" w:type="dxa"/>
            <w:tcBorders>
              <w:top w:val="single" w:color="auto" w:sz="4" w:space="0"/>
              <w:left w:val="single" w:color="000000" w:sz="4" w:space="0"/>
              <w:bottom w:val="single" w:color="auto" w:sz="4" w:space="0"/>
              <w:right w:val="single" w:color="000000" w:sz="4" w:space="0"/>
            </w:tcBorders>
            <w:noWrap w:val="0"/>
            <w:vAlign w:val="center"/>
          </w:tcPr>
          <w:p w14:paraId="7F937D81">
            <w:pPr>
              <w:pStyle w:val="156"/>
              <w:widowControl/>
              <w:spacing w:before="0" w:line="288" w:lineRule="auto"/>
              <w:ind w:firstLine="0" w:firstLineChars="0"/>
              <w:jc w:val="center"/>
              <w:rPr>
                <w:rFonts w:hint="eastAsia" w:ascii="仿宋" w:hAnsi="仿宋" w:eastAsia="仿宋" w:cs="仿宋"/>
                <w:b w:val="0"/>
                <w:bCs w:val="0"/>
                <w:color w:val="auto"/>
                <w:kern w:val="2"/>
                <w:szCs w:val="24"/>
                <w:highlight w:val="none"/>
                <w:lang w:val="en-US" w:eastAsia="zh-CN"/>
              </w:rPr>
            </w:pPr>
            <w:r>
              <w:rPr>
                <w:rFonts w:hint="eastAsia" w:ascii="仿宋" w:hAnsi="仿宋" w:eastAsia="仿宋" w:cs="仿宋"/>
                <w:b w:val="0"/>
                <w:bCs w:val="0"/>
                <w:color w:val="auto"/>
                <w:kern w:val="2"/>
                <w:szCs w:val="24"/>
                <w:highlight w:val="none"/>
                <w:lang w:val="en-US" w:eastAsia="zh-CN"/>
              </w:rPr>
              <w:t>11</w:t>
            </w:r>
          </w:p>
        </w:tc>
        <w:tc>
          <w:tcPr>
            <w:tcW w:w="941" w:type="dxa"/>
            <w:tcBorders>
              <w:top w:val="single" w:color="auto" w:sz="4" w:space="0"/>
              <w:left w:val="single" w:color="000000" w:sz="4" w:space="0"/>
              <w:bottom w:val="single" w:color="auto" w:sz="4" w:space="0"/>
              <w:right w:val="single" w:color="000000" w:sz="4" w:space="0"/>
            </w:tcBorders>
            <w:noWrap w:val="0"/>
            <w:vAlign w:val="center"/>
          </w:tcPr>
          <w:p w14:paraId="75B40257">
            <w:pPr>
              <w:pStyle w:val="156"/>
              <w:widowControl/>
              <w:spacing w:before="0" w:line="288" w:lineRule="auto"/>
              <w:ind w:firstLine="0" w:firstLineChars="0"/>
              <w:jc w:val="center"/>
              <w:rPr>
                <w:rFonts w:hint="eastAsia" w:ascii="仿宋" w:hAnsi="仿宋" w:eastAsia="仿宋" w:cs="仿宋"/>
                <w:b w:val="0"/>
                <w:bCs w:val="0"/>
                <w:color w:val="auto"/>
                <w:kern w:val="2"/>
                <w:szCs w:val="24"/>
                <w:highlight w:val="none"/>
              </w:rPr>
            </w:pPr>
            <w:r>
              <w:rPr>
                <w:rFonts w:hint="eastAsia" w:ascii="仿宋" w:hAnsi="仿宋" w:eastAsia="仿宋" w:cs="仿宋"/>
                <w:b w:val="0"/>
                <w:bCs w:val="0"/>
                <w:color w:val="auto"/>
                <w:kern w:val="2"/>
                <w:szCs w:val="24"/>
                <w:highlight w:val="none"/>
              </w:rPr>
              <w:t>投标人调解业绩经验</w:t>
            </w:r>
          </w:p>
        </w:tc>
        <w:tc>
          <w:tcPr>
            <w:tcW w:w="5333" w:type="dxa"/>
            <w:tcBorders>
              <w:top w:val="single" w:color="auto" w:sz="4" w:space="0"/>
              <w:left w:val="single" w:color="000000" w:sz="4" w:space="0"/>
              <w:bottom w:val="single" w:color="auto" w:sz="4" w:space="0"/>
              <w:right w:val="single" w:color="000000" w:sz="4" w:space="0"/>
            </w:tcBorders>
            <w:noWrap w:val="0"/>
            <w:vAlign w:val="top"/>
          </w:tcPr>
          <w:p w14:paraId="021B4294">
            <w:pPr>
              <w:keepNext w:val="0"/>
              <w:keepLines w:val="0"/>
              <w:pageBreakBefore w:val="0"/>
              <w:kinsoku/>
              <w:wordWrap/>
              <w:overflowPunct/>
              <w:topLinePunct w:val="0"/>
              <w:autoSpaceDE/>
              <w:autoSpaceDN/>
              <w:bidi w:val="0"/>
              <w:snapToGrid/>
              <w:spacing w:line="312" w:lineRule="auto"/>
              <w:textAlignment w:val="auto"/>
              <w:rPr>
                <w:rFonts w:hint="eastAsia" w:ascii="仿宋" w:hAnsi="仿宋" w:eastAsia="仿宋" w:cs="仿宋"/>
                <w:bCs/>
                <w:color w:val="auto"/>
                <w:kern w:val="0"/>
                <w:sz w:val="24"/>
                <w:highlight w:val="none"/>
                <w:lang w:val="zh-TW"/>
              </w:rPr>
            </w:pPr>
            <w:r>
              <w:rPr>
                <w:rFonts w:hint="eastAsia" w:ascii="仿宋" w:hAnsi="仿宋" w:eastAsia="仿宋" w:cs="仿宋"/>
                <w:bCs/>
                <w:color w:val="auto"/>
                <w:kern w:val="0"/>
                <w:sz w:val="24"/>
                <w:highlight w:val="none"/>
              </w:rPr>
              <w:t>投标单位具有类似调解服务项目经验的得每个得0.5分，最高得1分。</w:t>
            </w:r>
            <w:r>
              <w:rPr>
                <w:rFonts w:hint="eastAsia" w:ascii="仿宋" w:hAnsi="仿宋" w:eastAsia="仿宋" w:cs="仿宋"/>
                <w:b/>
                <w:color w:val="auto"/>
                <w:kern w:val="0"/>
                <w:sz w:val="24"/>
                <w:highlight w:val="none"/>
              </w:rPr>
              <w:t>（提供类似业绩证明材料并加盖公章，未提供不得分）</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561637E1">
            <w:pPr>
              <w:pStyle w:val="156"/>
              <w:keepNext w:val="0"/>
              <w:keepLines w:val="0"/>
              <w:pageBreakBefore w:val="0"/>
              <w:kinsoku/>
              <w:wordWrap/>
              <w:overflowPunct/>
              <w:topLinePunct w:val="0"/>
              <w:autoSpaceDE/>
              <w:autoSpaceDN/>
              <w:bidi w:val="0"/>
              <w:snapToGrid/>
              <w:spacing w:before="0" w:line="312" w:lineRule="auto"/>
              <w:ind w:firstLine="0" w:firstLineChars="0"/>
              <w:jc w:val="center"/>
              <w:textAlignment w:val="auto"/>
              <w:rPr>
                <w:rFonts w:hint="eastAsia" w:ascii="仿宋" w:hAnsi="仿宋" w:eastAsia="仿宋" w:cs="仿宋"/>
                <w:b w:val="0"/>
                <w:color w:val="auto"/>
                <w:szCs w:val="24"/>
                <w:highlight w:val="none"/>
              </w:rPr>
            </w:pPr>
            <w:r>
              <w:rPr>
                <w:rFonts w:hint="eastAsia" w:ascii="仿宋" w:hAnsi="仿宋" w:eastAsia="仿宋" w:cs="仿宋"/>
                <w:b w:val="0"/>
                <w:color w:val="auto"/>
                <w:szCs w:val="24"/>
                <w:highlight w:val="none"/>
              </w:rPr>
              <w:t>1</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17B7CA5C">
            <w:pPr>
              <w:spacing w:line="312"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14:paraId="31FC6B56">
            <w:pPr>
              <w:spacing w:line="312" w:lineRule="auto"/>
              <w:jc w:val="center"/>
              <w:rPr>
                <w:rFonts w:hint="eastAsia" w:ascii="仿宋" w:hAnsi="仿宋" w:eastAsia="仿宋" w:cs="仿宋"/>
                <w:color w:val="auto"/>
                <w:sz w:val="24"/>
                <w:highlight w:val="none"/>
              </w:rPr>
            </w:pPr>
          </w:p>
        </w:tc>
      </w:tr>
      <w:tr w14:paraId="41F89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jc w:val="center"/>
        </w:trPr>
        <w:tc>
          <w:tcPr>
            <w:tcW w:w="825" w:type="dxa"/>
            <w:tcBorders>
              <w:top w:val="single" w:color="auto" w:sz="4" w:space="0"/>
              <w:left w:val="single" w:color="000000" w:sz="4" w:space="0"/>
              <w:right w:val="single" w:color="000000" w:sz="4" w:space="0"/>
            </w:tcBorders>
            <w:noWrap w:val="0"/>
            <w:vAlign w:val="center"/>
          </w:tcPr>
          <w:p w14:paraId="4149909E">
            <w:pPr>
              <w:pStyle w:val="156"/>
              <w:widowControl/>
              <w:spacing w:before="0" w:line="288" w:lineRule="auto"/>
              <w:ind w:firstLine="0" w:firstLineChars="0"/>
              <w:jc w:val="center"/>
              <w:rPr>
                <w:rFonts w:hint="eastAsia" w:ascii="仿宋" w:hAnsi="仿宋" w:eastAsia="仿宋" w:cs="仿宋"/>
                <w:b w:val="0"/>
                <w:bCs w:val="0"/>
                <w:color w:val="auto"/>
                <w:kern w:val="2"/>
                <w:szCs w:val="24"/>
                <w:highlight w:val="none"/>
                <w:lang w:val="en-US" w:eastAsia="zh-CN"/>
              </w:rPr>
            </w:pPr>
            <w:r>
              <w:rPr>
                <w:rFonts w:hint="eastAsia" w:ascii="仿宋" w:hAnsi="仿宋" w:eastAsia="仿宋" w:cs="仿宋"/>
                <w:b w:val="0"/>
                <w:bCs w:val="0"/>
                <w:color w:val="auto"/>
                <w:kern w:val="2"/>
                <w:szCs w:val="24"/>
                <w:highlight w:val="none"/>
                <w:lang w:val="en-US" w:eastAsia="zh-CN"/>
              </w:rPr>
              <w:t>12</w:t>
            </w:r>
          </w:p>
        </w:tc>
        <w:tc>
          <w:tcPr>
            <w:tcW w:w="6274" w:type="dxa"/>
            <w:gridSpan w:val="2"/>
            <w:tcBorders>
              <w:top w:val="single" w:color="auto" w:sz="4" w:space="0"/>
              <w:left w:val="single" w:color="000000" w:sz="4" w:space="0"/>
              <w:right w:val="single" w:color="000000" w:sz="4" w:space="0"/>
            </w:tcBorders>
            <w:noWrap w:val="0"/>
            <w:vAlign w:val="center"/>
          </w:tcPr>
          <w:p w14:paraId="14BE88E8">
            <w:pPr>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有效投标报价的最低价作为评标基准价，其最低报价为满分；按［投标报价得分=（评标基准折扣/投标人投标折扣）*权重］的计算公式计算。</w:t>
            </w:r>
          </w:p>
          <w:p w14:paraId="5680AD73">
            <w:pPr>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评标过程中，不得去掉报价中的最高报价和最低报价。</w:t>
            </w:r>
          </w:p>
          <w:p w14:paraId="740A2944">
            <w:pPr>
              <w:keepNext w:val="0"/>
              <w:keepLines w:val="0"/>
              <w:pageBreakBefore w:val="0"/>
              <w:kinsoku/>
              <w:wordWrap/>
              <w:overflowPunct/>
              <w:topLinePunct w:val="0"/>
              <w:autoSpaceDE/>
              <w:autoSpaceDN/>
              <w:bidi w:val="0"/>
              <w:snapToGrid/>
              <w:spacing w:line="312" w:lineRule="auto"/>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712" w:type="dxa"/>
            <w:tcBorders>
              <w:top w:val="single" w:color="000000" w:sz="4" w:space="0"/>
              <w:left w:val="single" w:color="000000" w:sz="4" w:space="0"/>
              <w:right w:val="single" w:color="000000" w:sz="4" w:space="0"/>
            </w:tcBorders>
            <w:noWrap w:val="0"/>
            <w:vAlign w:val="center"/>
          </w:tcPr>
          <w:p w14:paraId="0C8A3A2D">
            <w:pPr>
              <w:pStyle w:val="156"/>
              <w:keepNext w:val="0"/>
              <w:keepLines w:val="0"/>
              <w:pageBreakBefore w:val="0"/>
              <w:kinsoku/>
              <w:wordWrap/>
              <w:overflowPunct/>
              <w:topLinePunct w:val="0"/>
              <w:autoSpaceDE/>
              <w:autoSpaceDN/>
              <w:bidi w:val="0"/>
              <w:snapToGrid/>
              <w:spacing w:before="0" w:line="312" w:lineRule="auto"/>
              <w:ind w:firstLine="0" w:firstLineChars="0"/>
              <w:jc w:val="center"/>
              <w:textAlignment w:val="auto"/>
              <w:rPr>
                <w:rFonts w:hint="eastAsia" w:ascii="仿宋" w:hAnsi="仿宋" w:eastAsia="仿宋" w:cs="仿宋"/>
                <w:b w:val="0"/>
                <w:color w:val="auto"/>
                <w:szCs w:val="24"/>
                <w:highlight w:val="none"/>
                <w:lang w:val="en-US" w:eastAsia="zh-CN"/>
              </w:rPr>
            </w:pPr>
            <w:r>
              <w:rPr>
                <w:rFonts w:hint="eastAsia" w:ascii="仿宋" w:hAnsi="仿宋" w:eastAsia="仿宋" w:cs="仿宋"/>
                <w:b w:val="0"/>
                <w:color w:val="auto"/>
                <w:szCs w:val="24"/>
                <w:highlight w:val="none"/>
                <w:lang w:val="en-US" w:eastAsia="zh-CN"/>
              </w:rPr>
              <w:t>10</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76B4EB53">
            <w:pPr>
              <w:spacing w:line="312"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14:paraId="09CEF121">
            <w:pPr>
              <w:spacing w:line="312" w:lineRule="auto"/>
              <w:jc w:val="center"/>
              <w:rPr>
                <w:rFonts w:hint="eastAsia" w:ascii="仿宋" w:hAnsi="仿宋" w:eastAsia="仿宋" w:cs="仿宋"/>
                <w:color w:val="auto"/>
                <w:sz w:val="24"/>
                <w:highlight w:val="none"/>
              </w:rPr>
            </w:pPr>
          </w:p>
        </w:tc>
      </w:tr>
    </w:tbl>
    <w:p w14:paraId="7115A55C">
      <w:pPr>
        <w:spacing w:line="360" w:lineRule="auto"/>
        <w:rPr>
          <w:rFonts w:hint="eastAsia" w:ascii="仿宋" w:hAnsi="仿宋" w:eastAsia="仿宋" w:cs="仿宋"/>
          <w:color w:val="auto"/>
          <w:sz w:val="24"/>
          <w:highlight w:val="none"/>
        </w:rPr>
      </w:pPr>
    </w:p>
    <w:p w14:paraId="7529239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7646AB5A">
      <w:pPr>
        <w:snapToGrid w:val="0"/>
        <w:spacing w:line="360" w:lineRule="auto"/>
        <w:ind w:firstLine="482" w:firstLineChars="200"/>
        <w:jc w:val="left"/>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en-US" w:eastAsia="zh-CN"/>
        </w:rPr>
        <w:t>报价说明：</w:t>
      </w:r>
      <w:r>
        <w:rPr>
          <w:rFonts w:hint="eastAsia" w:ascii="仿宋" w:hAnsi="仿宋" w:eastAsia="仿宋" w:cs="仿宋"/>
          <w:b/>
          <w:bCs/>
          <w:color w:val="auto"/>
          <w:sz w:val="24"/>
          <w:highlight w:val="none"/>
          <w:lang w:val="zh-CN"/>
        </w:rPr>
        <w:t>各投标人的投标报价由</w:t>
      </w:r>
      <w:r>
        <w:rPr>
          <w:rFonts w:hint="eastAsia" w:ascii="仿宋" w:hAnsi="仿宋" w:eastAsia="仿宋" w:cs="仿宋"/>
          <w:b/>
          <w:bCs/>
          <w:color w:val="auto"/>
          <w:sz w:val="24"/>
          <w:highlight w:val="none"/>
        </w:rPr>
        <w:t>五部</w:t>
      </w:r>
      <w:r>
        <w:rPr>
          <w:rFonts w:hint="eastAsia" w:ascii="仿宋" w:hAnsi="仿宋" w:eastAsia="仿宋" w:cs="仿宋"/>
          <w:b/>
          <w:bCs/>
          <w:color w:val="auto"/>
          <w:sz w:val="24"/>
          <w:highlight w:val="none"/>
          <w:lang w:val="zh-CN"/>
        </w:rPr>
        <w:t>分组成，具体如下：</w:t>
      </w:r>
    </w:p>
    <w:p w14:paraId="3319F488">
      <w:pPr>
        <w:snapToGrid w:val="0"/>
        <w:spacing w:beforeLines="0" w:afterLines="0" w:line="360" w:lineRule="auto"/>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（1）调解成功不形成卷宗仅有协议</w:t>
      </w:r>
      <w:r>
        <w:rPr>
          <w:rFonts w:hint="eastAsia" w:ascii="仿宋" w:hAnsi="仿宋" w:eastAsia="仿宋" w:cs="仿宋"/>
          <w:b/>
          <w:bCs/>
          <w:color w:val="auto"/>
          <w:sz w:val="24"/>
          <w:highlight w:val="none"/>
          <w:lang w:eastAsia="zh-CN"/>
        </w:rPr>
        <w:t>型</w:t>
      </w:r>
      <w:r>
        <w:rPr>
          <w:rFonts w:hint="eastAsia" w:ascii="仿宋" w:hAnsi="仿宋" w:eastAsia="仿宋" w:cs="仿宋"/>
          <w:b/>
          <w:bCs/>
          <w:color w:val="auto"/>
          <w:sz w:val="24"/>
          <w:highlight w:val="none"/>
        </w:rPr>
        <w:t>（满分2分）</w:t>
      </w:r>
    </w:p>
    <w:p w14:paraId="467B21BA">
      <w:pPr>
        <w:spacing w:beforeLines="0" w:afterLines="0"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（2）调解成功并形成调解案卷一般型（一般型纠纷：赔补偿低于20万元、涉案标的低于100万元等其他一般纠纷）（满分2分）</w:t>
      </w:r>
    </w:p>
    <w:p w14:paraId="5429827E">
      <w:pPr>
        <w:spacing w:beforeLines="0" w:afterLines="0"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（3）调解成功并形成调解案卷疑难型（疑难型纠纷：赔补偿20万元以上、涉案标的100万元及以上或5人至10人群体性纠纷等其他疑难纠纷）（满分2分）</w:t>
      </w:r>
    </w:p>
    <w:p w14:paraId="11D2EB24">
      <w:pPr>
        <w:spacing w:beforeLines="0" w:afterLines="0"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（4）调解成功并形成调解案卷重大型（</w:t>
      </w:r>
      <w:r>
        <w:rPr>
          <w:rFonts w:hint="eastAsia" w:ascii="仿宋" w:hAnsi="仿宋" w:eastAsia="仿宋" w:cs="仿宋"/>
          <w:b/>
          <w:bCs/>
          <w:color w:val="auto"/>
          <w:sz w:val="24"/>
          <w:highlight w:val="none"/>
          <w:lang w:eastAsia="zh-CN"/>
        </w:rPr>
        <w:t>重大型纠纷：</w:t>
      </w:r>
      <w:r>
        <w:rPr>
          <w:rFonts w:hint="eastAsia" w:ascii="仿宋" w:hAnsi="仿宋" w:eastAsia="仿宋" w:cs="仿宋"/>
          <w:b/>
          <w:bCs/>
          <w:color w:val="auto"/>
          <w:sz w:val="24"/>
          <w:highlight w:val="none"/>
        </w:rPr>
        <w:t>亡人或涉案标的500万元及以上或10人及以上群体性及其他重大纠纷）（满分2分）</w:t>
      </w:r>
    </w:p>
    <w:p w14:paraId="7C83D353">
      <w:pPr>
        <w:spacing w:beforeLines="0" w:afterLines="0"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（5）其他调解不成功案件录入“浙里调解”平台（满分2分）</w:t>
      </w:r>
    </w:p>
    <w:p w14:paraId="13D591A8">
      <w:pPr>
        <w:snapToGrid/>
        <w:spacing w:beforeLines="0" w:afterLines="0" w:line="360" w:lineRule="auto"/>
        <w:ind w:firstLine="482" w:firstLineChars="200"/>
        <w:jc w:val="both"/>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全部投标人有效报价中的最低总价为评标基准价，其</w:t>
      </w:r>
      <w:r>
        <w:rPr>
          <w:rFonts w:hint="eastAsia" w:ascii="仿宋" w:hAnsi="仿宋" w:eastAsia="仿宋" w:cs="仿宋"/>
          <w:b/>
          <w:bCs/>
          <w:color w:val="auto"/>
          <w:sz w:val="24"/>
          <w:highlight w:val="none"/>
        </w:rPr>
        <w:t>报价</w:t>
      </w:r>
      <w:r>
        <w:rPr>
          <w:rFonts w:hint="eastAsia" w:ascii="仿宋" w:hAnsi="仿宋" w:eastAsia="仿宋" w:cs="仿宋"/>
          <w:b/>
          <w:bCs/>
          <w:color w:val="auto"/>
          <w:sz w:val="24"/>
          <w:highlight w:val="none"/>
          <w:lang w:val="zh-CN"/>
        </w:rPr>
        <w:t>得分为满分；</w:t>
      </w:r>
    </w:p>
    <w:p w14:paraId="06433F1C">
      <w:pPr>
        <w:snapToGrid/>
        <w:spacing w:beforeLines="0" w:afterLines="0" w:line="360" w:lineRule="auto"/>
        <w:ind w:firstLine="482" w:firstLineChars="200"/>
        <w:jc w:val="both"/>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rPr>
        <w:t>以上各项报价</w:t>
      </w:r>
      <w:r>
        <w:rPr>
          <w:rFonts w:hint="eastAsia" w:ascii="仿宋" w:hAnsi="仿宋" w:eastAsia="仿宋" w:cs="仿宋"/>
          <w:b/>
          <w:bCs/>
          <w:color w:val="auto"/>
          <w:sz w:val="24"/>
          <w:highlight w:val="none"/>
          <w:lang w:val="zh-CN"/>
        </w:rPr>
        <w:t>得分=（评标基准价/投标总价报价）×价格权值（即</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%）×100；</w:t>
      </w:r>
    </w:p>
    <w:p w14:paraId="54657573">
      <w:pPr>
        <w:pStyle w:val="2"/>
        <w:rPr>
          <w:rFonts w:hint="eastAsia" w:ascii="仿宋" w:hAnsi="仿宋" w:eastAsia="仿宋" w:cs="仿宋"/>
          <w:highlight w:val="none"/>
        </w:rPr>
      </w:pPr>
      <w:r>
        <w:rPr>
          <w:rFonts w:hint="eastAsia" w:ascii="仿宋" w:hAnsi="仿宋" w:eastAsia="仿宋" w:cs="仿宋"/>
          <w:b/>
          <w:bCs/>
          <w:color w:val="auto"/>
          <w:sz w:val="24"/>
          <w:highlight w:val="none"/>
        </w:rPr>
        <w:t>各投标人报价最终得分</w:t>
      </w:r>
      <w:r>
        <w:rPr>
          <w:rFonts w:hint="eastAsia" w:ascii="仿宋" w:hAnsi="仿宋" w:eastAsia="仿宋" w:cs="仿宋"/>
          <w:b/>
          <w:bCs/>
          <w:color w:val="auto"/>
          <w:kern w:val="2"/>
          <w:sz w:val="24"/>
          <w:szCs w:val="32"/>
          <w:highlight w:val="none"/>
          <w:lang w:val="zh-CN" w:eastAsia="zh-CN" w:bidi="ar-SA"/>
        </w:rPr>
        <w:t>=（1）调解成功不形成卷宗仅有协议型报价部分得分+（2）调解成功并形成调解案卷一般型（一般型纠纷：赔补偿低于20万元、涉案标的低于100万元等其他一般纠纷）部分得分+（3）调解成功并形成调解案卷疑难型（疑难型纠纷：赔补偿20万元及以上、涉案标的100万元及以上或5人以上群体性纠纷等其他疑难纠纷）报价部分得分+（4）调解成功并形成调解案卷重大型（重大型纠纷：亡人或涉案标的500万元及以上或10人及以上群体性及其他重大纠纷）部分得分+（5）其他调解不成功案件录入“浙里调解”平台报价部分得分。</w:t>
      </w:r>
    </w:p>
    <w:p w14:paraId="73DD53E1">
      <w:pPr>
        <w:snapToGrid w:val="0"/>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一、评标方法</w:t>
      </w:r>
    </w:p>
    <w:p w14:paraId="7CB737E2">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1118A87C">
      <w:pPr>
        <w:adjustRightInd/>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二、评标标准</w:t>
      </w:r>
    </w:p>
    <w:p w14:paraId="4AF7762A">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6F5D9C92">
      <w:pPr>
        <w:spacing w:line="360" w:lineRule="auto"/>
        <w:ind w:firstLine="482"/>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三、评标程序</w:t>
      </w:r>
    </w:p>
    <w:p w14:paraId="6940E380">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5D079A7">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14DB7AF2">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7B01BE9A">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5F459048">
      <w:pPr>
        <w:pStyle w:val="156"/>
        <w:spacing w:before="0"/>
        <w:ind w:firstLine="511" w:firstLineChars="212"/>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3.4.1投标文件报价出现前后不一致的，按照下列规定修正：</w:t>
      </w:r>
    </w:p>
    <w:p w14:paraId="19FFF45C">
      <w:pPr>
        <w:pStyle w:val="156"/>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63F11A9F">
      <w:pPr>
        <w:pStyle w:val="156"/>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40D27EC6">
      <w:pPr>
        <w:pStyle w:val="156"/>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7EFCEF76">
      <w:pPr>
        <w:pStyle w:val="156"/>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2C48BEA4">
      <w:pPr>
        <w:pStyle w:val="156"/>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7D2F23F">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597F7E22">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292C0221">
      <w:pPr>
        <w:pStyle w:val="156"/>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238CF97">
      <w:pPr>
        <w:pStyle w:val="156"/>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1700BE96">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8E0CD7A">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6998C1">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F760213">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四、评标中的其他事项</w:t>
      </w:r>
    </w:p>
    <w:p w14:paraId="2E240E5E">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4.1投标人澄清、说明或者补正。</w:t>
      </w:r>
      <w:r>
        <w:rPr>
          <w:rFonts w:hint="eastAsia" w:ascii="仿宋" w:hAnsi="仿宋" w:eastAsia="仿宋" w:cs="仿宋"/>
          <w:bCs/>
          <w:color w:val="auto"/>
          <w:sz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19D09CD">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4.2投标无效。</w:t>
      </w:r>
      <w:r>
        <w:rPr>
          <w:rFonts w:hint="eastAsia" w:ascii="仿宋" w:hAnsi="仿宋" w:eastAsia="仿宋" w:cs="仿宋"/>
          <w:bCs/>
          <w:color w:val="auto"/>
          <w:sz w:val="24"/>
          <w:highlight w:val="none"/>
        </w:rPr>
        <w:t>有下列情形之一的，投标无效：</w:t>
      </w:r>
    </w:p>
    <w:p w14:paraId="0D95B489">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4.2.1</w:t>
      </w:r>
      <w:r>
        <w:rPr>
          <w:rFonts w:hint="eastAsia" w:ascii="仿宋" w:hAnsi="仿宋" w:eastAsia="仿宋" w:cs="仿宋"/>
          <w:bCs/>
          <w:color w:val="auto"/>
          <w:sz w:val="24"/>
          <w:highlight w:val="none"/>
        </w:rPr>
        <w:t>投标人不具备招标文件中规定的资格要求的（投标人未提供有效的资格文件的，视为投标人不具备招标文件中规定的资格要求）；</w:t>
      </w:r>
    </w:p>
    <w:p w14:paraId="5F7542C2">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4.2.2</w:t>
      </w:r>
      <w:r>
        <w:rPr>
          <w:rFonts w:hint="eastAsia" w:ascii="仿宋" w:hAnsi="仿宋" w:eastAsia="仿宋" w:cs="仿宋"/>
          <w:bCs/>
          <w:color w:val="auto"/>
          <w:sz w:val="24"/>
          <w:highlight w:val="none"/>
        </w:rPr>
        <w:t>投标文件未按照招标文件要求签署、盖章的；</w:t>
      </w:r>
    </w:p>
    <w:p w14:paraId="0EE2EA44">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4.2.3</w:t>
      </w:r>
      <w:r>
        <w:rPr>
          <w:rFonts w:hint="eastAsia" w:ascii="仿宋" w:hAnsi="仿宋" w:eastAsia="仿宋" w:cs="仿宋"/>
          <w:bCs/>
          <w:color w:val="auto"/>
          <w:sz w:val="24"/>
          <w:highlight w:val="none"/>
        </w:rPr>
        <w:t>采购人拟采购的产品属于政府强制采购的节能产品品目清单范围的，投标人相应的投标产品未获得国家确定的认证机构出具的、处于有效期之内的节能产品认证证书的；</w:t>
      </w:r>
    </w:p>
    <w:p w14:paraId="7FE954A8">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4.2.4</w:t>
      </w:r>
      <w:r>
        <w:rPr>
          <w:rFonts w:hint="eastAsia" w:ascii="仿宋" w:hAnsi="仿宋" w:eastAsia="仿宋" w:cs="仿宋"/>
          <w:bCs/>
          <w:color w:val="auto"/>
          <w:sz w:val="24"/>
          <w:highlight w:val="none"/>
        </w:rPr>
        <w:t>投标文件含有采购人不能接受的附加条件的；</w:t>
      </w:r>
    </w:p>
    <w:p w14:paraId="66B37074">
      <w:pPr>
        <w:spacing w:line="360" w:lineRule="auto"/>
        <w:ind w:firstLine="482" w:firstLineChars="200"/>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4.2.5</w:t>
      </w:r>
      <w:r>
        <w:rPr>
          <w:rFonts w:hint="eastAsia" w:ascii="仿宋" w:hAnsi="仿宋" w:eastAsia="仿宋" w:cs="仿宋"/>
          <w:bCs/>
          <w:color w:val="auto"/>
          <w:sz w:val="24"/>
          <w:highlight w:val="none"/>
        </w:rPr>
        <w:t>投标文件中承诺的投标有效期少于招标文件中载明的投标有效期的；</w:t>
      </w:r>
    </w:p>
    <w:p w14:paraId="4F78266E">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4.2.6</w:t>
      </w:r>
      <w:r>
        <w:rPr>
          <w:rFonts w:hint="eastAsia" w:ascii="仿宋" w:hAnsi="仿宋" w:eastAsia="仿宋" w:cs="仿宋"/>
          <w:bCs/>
          <w:color w:val="auto"/>
          <w:sz w:val="24"/>
          <w:highlight w:val="none"/>
        </w:rPr>
        <w:t>投标文件出现不是唯一的、有选择性投标报价的;</w:t>
      </w:r>
    </w:p>
    <w:p w14:paraId="4588BC2C">
      <w:pPr>
        <w:spacing w:line="360" w:lineRule="auto"/>
        <w:ind w:firstLine="482" w:firstLineChars="200"/>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4.2.7</w:t>
      </w:r>
      <w:r>
        <w:rPr>
          <w:rFonts w:hint="eastAsia" w:ascii="仿宋" w:hAnsi="仿宋" w:eastAsia="仿宋" w:cs="仿宋"/>
          <w:bCs/>
          <w:color w:val="auto"/>
          <w:sz w:val="24"/>
          <w:highlight w:val="none"/>
        </w:rPr>
        <w:t>投标报价超过招标文件中规定的预算金额或者最高限价的;</w:t>
      </w:r>
    </w:p>
    <w:p w14:paraId="6CD522B0">
      <w:pPr>
        <w:spacing w:line="360" w:lineRule="auto"/>
        <w:ind w:firstLine="482" w:firstLineChars="200"/>
        <w:rPr>
          <w:rFonts w:hint="eastAsia" w:ascii="仿宋" w:hAnsi="仿宋" w:eastAsia="仿宋" w:cs="仿宋"/>
          <w:b/>
          <w:color w:val="auto"/>
          <w:sz w:val="24"/>
          <w:highlight w:val="none"/>
        </w:rPr>
      </w:pPr>
    </w:p>
    <w:p w14:paraId="7204C4A8">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4.2.8《中小企业声明函》填写企业类型错误或者未填写企业类型的，投标无效。</w:t>
      </w:r>
    </w:p>
    <w:p w14:paraId="25F07FCF">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4.2.9</w:t>
      </w:r>
      <w:r>
        <w:rPr>
          <w:rFonts w:hint="eastAsia" w:ascii="仿宋" w:hAnsi="仿宋" w:eastAsia="仿宋" w:cs="仿宋"/>
          <w:bCs/>
          <w:color w:val="auto"/>
          <w:sz w:val="24"/>
          <w:highlight w:val="none"/>
        </w:rPr>
        <w:t>投标人对根据修正原则修正后的报价不确认的；</w:t>
      </w:r>
    </w:p>
    <w:p w14:paraId="0B46492A">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4.2.10</w:t>
      </w:r>
      <w:r>
        <w:rPr>
          <w:rFonts w:hint="eastAsia" w:ascii="仿宋" w:hAnsi="仿宋" w:eastAsia="仿宋" w:cs="仿宋"/>
          <w:bCs/>
          <w:color w:val="auto"/>
          <w:sz w:val="24"/>
          <w:highlight w:val="none"/>
        </w:rPr>
        <w:t>投标人提供虚假材料投标的；</w:t>
      </w:r>
    </w:p>
    <w:p w14:paraId="670A9D83">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4.2.11</w:t>
      </w:r>
      <w:r>
        <w:rPr>
          <w:rFonts w:hint="eastAsia" w:ascii="仿宋" w:hAnsi="仿宋" w:eastAsia="仿宋" w:cs="仿宋"/>
          <w:bCs/>
          <w:color w:val="auto"/>
          <w:sz w:val="24"/>
          <w:highlight w:val="none"/>
        </w:rPr>
        <w:t>投标人有恶意串通、妨碍其他投标人的竞争行为、损害采购人或者其他投标人的合法权益情形的；</w:t>
      </w:r>
    </w:p>
    <w:p w14:paraId="4AA88FAA">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4.2.12 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3B3EA19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4.3.12投标人仅提交备份投标文件，未在电子交易平台传输递交投标文件的，投标无效；</w:t>
      </w:r>
    </w:p>
    <w:p w14:paraId="1C8EB294">
      <w:pPr>
        <w:pStyle w:val="2"/>
        <w:ind w:left="430" w:leftChars="205" w:firstLine="482"/>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rPr>
        <w:t>4.3.13 投标文件不满足招标文件的其它实质性要求的；</w:t>
      </w:r>
    </w:p>
    <w:p w14:paraId="54E2DDF4">
      <w:pPr>
        <w:pStyle w:val="26"/>
        <w:snapToGrid w:val="0"/>
        <w:spacing w:line="360" w:lineRule="auto"/>
        <w:ind w:firstLine="470" w:firstLineChars="196"/>
        <w:rPr>
          <w:rFonts w:hint="eastAsia" w:ascii="仿宋" w:hAnsi="仿宋" w:eastAsia="仿宋" w:cs="仿宋"/>
          <w:color w:val="auto"/>
          <w:kern w:val="0"/>
          <w:highlight w:val="none"/>
        </w:rPr>
      </w:pPr>
      <w:r>
        <w:rPr>
          <w:rFonts w:hint="eastAsia" w:ascii="仿宋" w:hAnsi="仿宋" w:eastAsia="仿宋" w:cs="仿宋"/>
          <w:color w:val="auto"/>
          <w:kern w:val="0"/>
          <w:highlight w:val="none"/>
        </w:rPr>
        <w:t>4.3.14法律、法规、规章（适用本市的）及省级以上规范性文件（适用本市的）规定的其他无效情形。</w:t>
      </w:r>
    </w:p>
    <w:p w14:paraId="2F7188A3">
      <w:pPr>
        <w:pStyle w:val="26"/>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23005049">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49440F12">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03EA95B1">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552213B2">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669A5EAE">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6A5DF159">
      <w:pPr>
        <w:pStyle w:val="26"/>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BD14297">
      <w:pPr>
        <w:pStyle w:val="26"/>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7F5472F1">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5033969A">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43880D4A">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2596DDA8">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2D6BED2C">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766CC716">
      <w:pPr>
        <w:spacing w:line="360" w:lineRule="auto"/>
        <w:ind w:firstLine="643"/>
        <w:jc w:val="center"/>
        <w:outlineLvl w:val="0"/>
        <w:rPr>
          <w:rFonts w:hint="eastAsia" w:ascii="仿宋" w:hAnsi="仿宋" w:eastAsia="仿宋" w:cs="仿宋"/>
          <w:b/>
          <w:color w:val="auto"/>
          <w:sz w:val="32"/>
          <w:szCs w:val="32"/>
          <w:highlight w:val="none"/>
        </w:rPr>
      </w:pPr>
      <w:bookmarkStart w:id="393" w:name="第五部分"/>
      <w:bookmarkStart w:id="394" w:name="_Toc86217003"/>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第五部分 拟签订的合同文本</w:t>
      </w:r>
    </w:p>
    <w:p w14:paraId="45F5EE58">
      <w:pPr>
        <w:spacing w:line="360" w:lineRule="auto"/>
        <w:ind w:firstLine="640"/>
        <w:rPr>
          <w:rFonts w:hint="eastAsia" w:ascii="仿宋" w:hAnsi="仿宋" w:eastAsia="仿宋" w:cs="仿宋"/>
          <w:color w:val="auto"/>
          <w:sz w:val="32"/>
          <w:szCs w:val="32"/>
          <w:highlight w:val="none"/>
          <w:u w:val="single"/>
        </w:rPr>
      </w:pPr>
    </w:p>
    <w:p w14:paraId="4237C196">
      <w:pPr>
        <w:spacing w:line="360" w:lineRule="auto"/>
        <w:ind w:firstLine="643"/>
        <w:jc w:val="center"/>
        <w:rPr>
          <w:rFonts w:hint="eastAsia" w:ascii="仿宋" w:hAnsi="仿宋" w:eastAsia="仿宋" w:cs="仿宋"/>
          <w:b/>
          <w:color w:val="auto"/>
          <w:sz w:val="32"/>
          <w:szCs w:val="32"/>
          <w:highlight w:val="none"/>
        </w:rPr>
      </w:pPr>
    </w:p>
    <w:p w14:paraId="2956A9FF">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617DA4EB">
      <w:pPr>
        <w:spacing w:line="480" w:lineRule="auto"/>
        <w:jc w:val="center"/>
        <w:rPr>
          <w:rFonts w:hint="eastAsia" w:ascii="宋体" w:hAnsi="宋体" w:eastAsia="宋体" w:cs="宋体"/>
          <w:b/>
          <w:color w:val="auto"/>
          <w:sz w:val="36"/>
          <w:szCs w:val="36"/>
          <w:highlight w:val="none"/>
        </w:rPr>
      </w:pPr>
    </w:p>
    <w:p w14:paraId="5BB66A3B">
      <w:pPr>
        <w:pStyle w:val="744"/>
        <w:rPr>
          <w:rFonts w:hint="eastAsia" w:ascii="宋体" w:hAnsi="宋体" w:eastAsia="宋体" w:cs="宋体"/>
          <w:color w:val="auto"/>
          <w:szCs w:val="24"/>
          <w:highlight w:val="none"/>
        </w:rPr>
      </w:pPr>
    </w:p>
    <w:p w14:paraId="45A2F127">
      <w:pPr>
        <w:pStyle w:val="744"/>
        <w:jc w:val="center"/>
        <w:rPr>
          <w:rFonts w:hint="eastAsia" w:ascii="宋体" w:hAnsi="宋体" w:eastAsia="宋体" w:cs="宋体"/>
          <w:color w:val="auto"/>
          <w:szCs w:val="24"/>
          <w:highlight w:val="none"/>
        </w:rPr>
      </w:pPr>
    </w:p>
    <w:p w14:paraId="4FB0544C">
      <w:pPr>
        <w:pStyle w:val="744"/>
        <w:rPr>
          <w:rFonts w:hint="eastAsia" w:ascii="宋体" w:hAnsi="宋体" w:eastAsia="宋体" w:cs="宋体"/>
          <w:color w:val="auto"/>
          <w:szCs w:val="24"/>
          <w:highlight w:val="none"/>
        </w:rPr>
      </w:pPr>
    </w:p>
    <w:p w14:paraId="18B6ADAE">
      <w:pPr>
        <w:pStyle w:val="744"/>
        <w:rPr>
          <w:rFonts w:hint="eastAsia" w:ascii="宋体" w:hAnsi="宋体" w:eastAsia="宋体" w:cs="宋体"/>
          <w:color w:val="auto"/>
          <w:szCs w:val="24"/>
          <w:highlight w:val="none"/>
        </w:rPr>
      </w:pPr>
    </w:p>
    <w:p w14:paraId="6E07A357">
      <w:pPr>
        <w:spacing w:before="120" w:line="22" w:lineRule="atLeast"/>
        <w:rPr>
          <w:rFonts w:hint="eastAsia" w:ascii="宋体" w:hAnsi="宋体" w:eastAsia="宋体" w:cs="宋体"/>
          <w:color w:val="auto"/>
          <w:sz w:val="24"/>
          <w:highlight w:val="none"/>
        </w:rPr>
      </w:pPr>
    </w:p>
    <w:p w14:paraId="695C40FE">
      <w:pPr>
        <w:spacing w:before="120" w:line="22" w:lineRule="atLeast"/>
        <w:ind w:left="96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p>
    <w:p w14:paraId="63EC7F27">
      <w:pPr>
        <w:pStyle w:val="798"/>
        <w:spacing w:before="120" w:line="22" w:lineRule="atLeast"/>
        <w:rPr>
          <w:rFonts w:hint="eastAsia" w:ascii="宋体" w:hAnsi="宋体" w:eastAsia="宋体" w:cs="宋体"/>
          <w:color w:val="auto"/>
          <w:szCs w:val="24"/>
          <w:highlight w:val="none"/>
        </w:rPr>
      </w:pPr>
    </w:p>
    <w:p w14:paraId="6371D03B">
      <w:pPr>
        <w:pStyle w:val="798"/>
        <w:spacing w:before="120" w:line="22" w:lineRule="atLeast"/>
        <w:rPr>
          <w:rFonts w:hint="eastAsia" w:ascii="宋体" w:hAnsi="宋体" w:eastAsia="宋体" w:cs="宋体"/>
          <w:color w:val="auto"/>
          <w:szCs w:val="24"/>
          <w:highlight w:val="none"/>
        </w:rPr>
      </w:pPr>
    </w:p>
    <w:p w14:paraId="1019741C">
      <w:pPr>
        <w:rPr>
          <w:rFonts w:hint="eastAsia" w:ascii="宋体" w:hAnsi="宋体" w:eastAsia="宋体" w:cs="宋体"/>
          <w:color w:val="auto"/>
          <w:sz w:val="24"/>
          <w:highlight w:val="none"/>
        </w:rPr>
      </w:pPr>
    </w:p>
    <w:p w14:paraId="628E06DF">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18352183">
      <w:pPr>
        <w:spacing w:before="120" w:line="22" w:lineRule="atLeast"/>
        <w:rPr>
          <w:rFonts w:hint="eastAsia" w:ascii="宋体" w:hAnsi="宋体" w:eastAsia="宋体" w:cs="宋体"/>
          <w:color w:val="auto"/>
          <w:sz w:val="24"/>
          <w:highlight w:val="none"/>
        </w:rPr>
      </w:pPr>
    </w:p>
    <w:p w14:paraId="3D813E81">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72E909D6">
      <w:pPr>
        <w:spacing w:before="120" w:line="22" w:lineRule="atLeast"/>
        <w:rPr>
          <w:rFonts w:hint="eastAsia" w:ascii="宋体" w:hAnsi="宋体" w:eastAsia="宋体" w:cs="宋体"/>
          <w:color w:val="auto"/>
          <w:sz w:val="24"/>
          <w:highlight w:val="none"/>
        </w:rPr>
      </w:pPr>
    </w:p>
    <w:p w14:paraId="42B900E7">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593E4712">
      <w:pPr>
        <w:spacing w:before="120" w:line="22" w:lineRule="atLeast"/>
        <w:rPr>
          <w:rFonts w:hint="eastAsia" w:ascii="宋体" w:hAnsi="宋体" w:eastAsia="宋体" w:cs="宋体"/>
          <w:color w:val="auto"/>
          <w:sz w:val="24"/>
          <w:highlight w:val="none"/>
        </w:rPr>
      </w:pPr>
    </w:p>
    <w:p w14:paraId="4FE0C111">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1A8922E9">
      <w:pPr>
        <w:widowControl/>
        <w:jc w:val="left"/>
        <w:rPr>
          <w:rFonts w:hint="eastAsia" w:ascii="宋体" w:hAnsi="宋体" w:eastAsia="宋体" w:cs="宋体"/>
          <w:color w:val="auto"/>
          <w:kern w:val="0"/>
          <w:sz w:val="24"/>
          <w:highlight w:val="none"/>
        </w:rPr>
        <w:sectPr>
          <w:headerReference r:id="rId8" w:type="default"/>
          <w:footerReference r:id="rId9" w:type="default"/>
          <w:pgSz w:w="11907" w:h="16840"/>
          <w:pgMar w:top="1474" w:right="1814" w:bottom="1474" w:left="1814" w:header="851" w:footer="851" w:gutter="0"/>
          <w:pgNumType w:fmt="numberInDash"/>
          <w:cols w:space="720" w:num="1"/>
        </w:sectPr>
      </w:pPr>
    </w:p>
    <w:p w14:paraId="3A59C4FB">
      <w:pPr>
        <w:spacing w:line="570" w:lineRule="exact"/>
        <w:ind w:firstLine="420" w:firstLineChars="200"/>
        <w:rPr>
          <w:rFonts w:ascii="宋体" w:hAnsi="宋体" w:cs="宋体"/>
          <w:szCs w:val="21"/>
          <w:highlight w:val="none"/>
        </w:rPr>
      </w:pPr>
      <w:r>
        <w:rPr>
          <w:rFonts w:hint="eastAsia" w:ascii="宋体" w:hAnsi="宋体" w:cs="宋体"/>
          <w:color w:val="000000"/>
          <w:szCs w:val="21"/>
          <w:highlight w:val="none"/>
        </w:rPr>
        <w:t>根据《中华人民共和国民法典》《中华人民共和国政府采购法》及浙财行【2018】32号、余财行【2020】39号文件之规定，本合同当事人在平等、自愿的基础上，经协商一致，同意就“余杭区级人民调解案件化解服务项目”按下述条款和条件签署本合同：</w:t>
      </w:r>
    </w:p>
    <w:p w14:paraId="6578A6ED">
      <w:pPr>
        <w:spacing w:line="570" w:lineRule="exact"/>
        <w:jc w:val="left"/>
        <w:rPr>
          <w:rFonts w:ascii="宋体" w:hAnsi="宋体" w:cs="宋体"/>
          <w:b/>
          <w:bCs/>
          <w:szCs w:val="21"/>
          <w:highlight w:val="none"/>
        </w:rPr>
      </w:pPr>
      <w:r>
        <w:rPr>
          <w:rFonts w:hint="eastAsia" w:ascii="宋体" w:hAnsi="宋体" w:cs="宋体"/>
          <w:b/>
          <w:bCs/>
          <w:color w:val="000000"/>
          <w:szCs w:val="21"/>
          <w:highlight w:val="none"/>
        </w:rPr>
        <w:t xml:space="preserve">    1.服务项目名称、目标及要求：</w:t>
      </w:r>
    </w:p>
    <w:p w14:paraId="01AB074F">
      <w:pPr>
        <w:spacing w:line="57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1.1服务项目名称：“</w:t>
      </w:r>
      <w:r>
        <w:rPr>
          <w:rFonts w:hint="eastAsia" w:ascii="宋体" w:hAnsi="宋体" w:cs="宋体"/>
          <w:color w:val="000000"/>
          <w:szCs w:val="21"/>
          <w:highlight w:val="none"/>
          <w:u w:val="single"/>
          <w:lang w:val="en-US" w:eastAsia="zh-CN"/>
        </w:rPr>
        <w:t xml:space="preserve">                                                              </w:t>
      </w:r>
      <w:r>
        <w:rPr>
          <w:rFonts w:hint="eastAsia" w:ascii="宋体" w:hAnsi="宋体" w:cs="宋体"/>
          <w:color w:val="000000"/>
          <w:szCs w:val="21"/>
          <w:highlight w:val="none"/>
        </w:rPr>
        <w:t>”。</w:t>
      </w:r>
    </w:p>
    <w:p w14:paraId="01D6CE6B">
      <w:pPr>
        <w:spacing w:line="570" w:lineRule="exact"/>
        <w:ind w:firstLine="420" w:firstLineChars="200"/>
        <w:rPr>
          <w:rFonts w:ascii="宋体" w:hAnsi="宋体" w:cs="宋体"/>
          <w:szCs w:val="21"/>
          <w:highlight w:val="none"/>
        </w:rPr>
      </w:pPr>
      <w:r>
        <w:rPr>
          <w:rFonts w:hint="eastAsia" w:ascii="宋体" w:hAnsi="宋体" w:cs="宋体"/>
          <w:color w:val="000000"/>
          <w:szCs w:val="21"/>
          <w:highlight w:val="none"/>
        </w:rPr>
        <w:t>1.2服务内容：</w:t>
      </w:r>
      <w:r>
        <w:rPr>
          <w:rFonts w:hint="eastAsia" w:ascii="宋体" w:hAnsi="宋体" w:cs="宋体"/>
          <w:szCs w:val="21"/>
          <w:highlight w:val="none"/>
        </w:rPr>
        <w:t>乙方派遣调解员进驻杭州市余杭区人民调解委员会驻区矛调中心工作室、驻瓶窑、</w:t>
      </w:r>
      <w:r>
        <w:rPr>
          <w:rFonts w:hint="eastAsia" w:ascii="宋体" w:hAnsi="宋体" w:cs="宋体"/>
          <w:szCs w:val="21"/>
          <w:highlight w:val="none"/>
          <w:lang w:val="en-US" w:eastAsia="zh-CN"/>
        </w:rPr>
        <w:t>良渚</w:t>
      </w:r>
      <w:r>
        <w:rPr>
          <w:rFonts w:hint="eastAsia" w:ascii="宋体" w:hAnsi="宋体" w:cs="宋体"/>
          <w:szCs w:val="21"/>
          <w:highlight w:val="none"/>
        </w:rPr>
        <w:t>、</w:t>
      </w:r>
      <w:r>
        <w:rPr>
          <w:rFonts w:hint="eastAsia" w:ascii="宋体" w:hAnsi="宋体" w:cs="宋体"/>
          <w:szCs w:val="21"/>
          <w:highlight w:val="none"/>
          <w:lang w:val="en-US" w:eastAsia="zh-CN"/>
        </w:rPr>
        <w:t>余杭</w:t>
      </w:r>
      <w:r>
        <w:rPr>
          <w:rFonts w:hint="eastAsia" w:ascii="宋体" w:hAnsi="宋体" w:cs="宋体"/>
          <w:szCs w:val="21"/>
          <w:highlight w:val="none"/>
        </w:rPr>
        <w:t>分中心工作室和驻交通事故处理中心工作室等地提供人民调解相关服务，具体负责化解纠纷当事人申请的或经甲方指派的适合调解的矛盾纠纷，具体服务地点根据甲方实际工作情况进行补充或者调整。</w:t>
      </w:r>
    </w:p>
    <w:p w14:paraId="7EA875BA">
      <w:pPr>
        <w:pStyle w:val="2"/>
        <w:widowControl w:val="0"/>
        <w:spacing w:line="570" w:lineRule="exact"/>
        <w:ind w:left="0" w:firstLine="420" w:firstLineChars="200"/>
        <w:rPr>
          <w:rFonts w:ascii="宋体" w:hAnsi="宋体" w:eastAsia="宋体" w:cs="宋体"/>
          <w:b w:val="0"/>
          <w:bCs w:val="0"/>
          <w:color w:val="000000"/>
          <w:sz w:val="21"/>
          <w:szCs w:val="21"/>
          <w:highlight w:val="none"/>
          <w:lang w:val="en-US"/>
        </w:rPr>
      </w:pPr>
      <w:r>
        <w:rPr>
          <w:rFonts w:hint="eastAsia" w:ascii="宋体" w:hAnsi="宋体" w:eastAsia="宋体" w:cs="宋体"/>
          <w:b w:val="0"/>
          <w:bCs w:val="0"/>
          <w:color w:val="000000"/>
          <w:sz w:val="21"/>
          <w:szCs w:val="21"/>
          <w:highlight w:val="none"/>
          <w:lang w:val="en-US"/>
        </w:rPr>
        <w:t>1.3服务目标：项目调解成功的案件数量约</w:t>
      </w:r>
      <w:r>
        <w:rPr>
          <w:rFonts w:hint="eastAsia" w:ascii="宋体" w:hAnsi="宋体" w:eastAsia="宋体" w:cs="宋体"/>
          <w:b w:val="0"/>
          <w:bCs w:val="0"/>
          <w:color w:val="000000"/>
          <w:sz w:val="21"/>
          <w:szCs w:val="21"/>
          <w:highlight w:val="none"/>
          <w:lang w:val="en-US" w:eastAsia="zh-CN"/>
        </w:rPr>
        <w:t>4050</w:t>
      </w:r>
      <w:r>
        <w:rPr>
          <w:rFonts w:hint="eastAsia" w:ascii="宋体" w:hAnsi="宋体" w:eastAsia="宋体" w:cs="宋体"/>
          <w:b w:val="0"/>
          <w:bCs w:val="0"/>
          <w:color w:val="000000"/>
          <w:sz w:val="21"/>
          <w:szCs w:val="21"/>
          <w:highlight w:val="none"/>
          <w:lang w:val="en-US"/>
        </w:rPr>
        <w:t>件，实际按照结算单价进行测算，其中受理案件调解记录达到100%、调解成功率不低于50%、调解履行率不低于50%、投诉率低于2%。</w:t>
      </w:r>
    </w:p>
    <w:p w14:paraId="767EDF30">
      <w:pPr>
        <w:spacing w:line="570" w:lineRule="exact"/>
        <w:ind w:firstLine="420" w:firstLineChars="200"/>
        <w:rPr>
          <w:highlight w:val="none"/>
        </w:rPr>
      </w:pPr>
      <w:r>
        <w:rPr>
          <w:rFonts w:hint="eastAsia"/>
          <w:highlight w:val="none"/>
        </w:rPr>
        <w:t>1.4服务具体要求：</w:t>
      </w:r>
    </w:p>
    <w:p w14:paraId="67C3D3EC">
      <w:pPr>
        <w:spacing w:line="570" w:lineRule="exact"/>
        <w:rPr>
          <w:rFonts w:ascii="宋体" w:hAnsi="宋体" w:cs="宋体"/>
          <w:color w:val="000000"/>
          <w:szCs w:val="21"/>
          <w:highlight w:val="none"/>
        </w:rPr>
      </w:pPr>
      <w:r>
        <w:rPr>
          <w:rFonts w:hint="eastAsia" w:ascii="宋体" w:hAnsi="宋体" w:cs="宋体"/>
          <w:color w:val="000000"/>
          <w:szCs w:val="21"/>
          <w:highlight w:val="none"/>
        </w:rPr>
        <w:t xml:space="preserve">    （1）根据程序开展人民调解工作。调解过程、当事人信息不得公开；调查、调解记录条理清楚；调解协议书制作合法合理规范；无违反法律法规公序良俗条款。</w:t>
      </w:r>
    </w:p>
    <w:p w14:paraId="5321E32C">
      <w:pPr>
        <w:spacing w:line="57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（2）提供人民调解标准化服务。严格按照人民调解法、人民调解工作规范等规定开展调解工作，应着统一制服、佩带工作证、热情礼貌接待当事人。</w:t>
      </w:r>
    </w:p>
    <w:p w14:paraId="6CDB89F9">
      <w:pPr>
        <w:spacing w:line="57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3）开展矛盾纠纷数据归集工作。在“浙里调解”平台完成所有矛盾纠纷采集、纠纷审核、登记受理、调解准备、调解实施、结案归档、案件评定、履行回访等工作，1个工作日完成纠纷采集，3个工作日内完成纠纷审核，1个月内做好结案归档，特殊情况经申请同意可延长1个月。</w:t>
      </w:r>
    </w:p>
    <w:p w14:paraId="3152243D">
      <w:pPr>
        <w:spacing w:line="57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（4）开展协调专家调处指导工作。充分发挥调解组织自身作用，协调有关行政部门、行业专业领域专家以及律师、法律服务工作者等社会力量参与重大矛盾纠纷调处化解工作。</w:t>
      </w:r>
    </w:p>
    <w:p w14:paraId="7F33A4C4">
      <w:pPr>
        <w:spacing w:line="57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（5）开展类型化纠纷多调衔接工作。做好当事人与有关单位沟通、协调、衔接等工作，配合有关单位快速、有效、精准，实现纠纷的一窗办理一条龙服务。</w:t>
      </w:r>
    </w:p>
    <w:p w14:paraId="45290785">
      <w:pPr>
        <w:spacing w:line="57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（6）开展调解咨询和法治宣传工作。为矛盾纠纷当事人、企业等提供调解相关法律咨询服务，在调解工作中进行人民调解法和相关法律法规政策宣传。</w:t>
      </w:r>
    </w:p>
    <w:p w14:paraId="5FA124C5">
      <w:pPr>
        <w:spacing w:line="57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（7）开展业务培训和辅助性工作。建立调解业务培训制度，加强队伍建设和业务能力建设，撰写典型案例、撰写工作总结、开展公益活动等辅助性服务。</w:t>
      </w:r>
    </w:p>
    <w:p w14:paraId="4624DF52">
      <w:pPr>
        <w:spacing w:line="57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8）开展应急值班值守等相关工作。组织开展重要时间段值班工作；制定因调解不当引发纠纷升级或转化处置方案；制定重大纠纷“零报告”制度和应急处置预案，上报信息必须实事求是,不得瞒报、谎报和拖延不报。以及采购人交办的其他相关工作。</w:t>
      </w:r>
    </w:p>
    <w:p w14:paraId="2C07F4AC">
      <w:pPr>
        <w:spacing w:line="570" w:lineRule="exact"/>
        <w:rPr>
          <w:rFonts w:ascii="宋体" w:hAnsi="宋体" w:cs="宋体"/>
          <w:b/>
          <w:bCs/>
          <w:szCs w:val="21"/>
          <w:highlight w:val="none"/>
        </w:rPr>
      </w:pPr>
      <w:r>
        <w:rPr>
          <w:rFonts w:hint="eastAsia" w:ascii="宋体" w:hAnsi="宋体" w:cs="宋体"/>
          <w:b/>
          <w:bCs/>
          <w:color w:val="000000"/>
          <w:szCs w:val="21"/>
          <w:highlight w:val="none"/>
        </w:rPr>
        <w:t xml:space="preserve">    2．合同价格、服务地点和服务期限</w:t>
      </w:r>
    </w:p>
    <w:p w14:paraId="234948B4">
      <w:pPr>
        <w:spacing w:line="570" w:lineRule="exact"/>
        <w:jc w:val="left"/>
        <w:rPr>
          <w:rFonts w:ascii="宋体" w:hAnsi="宋体" w:cs="宋体"/>
          <w:szCs w:val="21"/>
          <w:highlight w:val="none"/>
        </w:rPr>
      </w:pPr>
      <w:r>
        <w:rPr>
          <w:rFonts w:hint="eastAsia" w:ascii="宋体" w:hAnsi="宋体" w:cs="宋体"/>
          <w:color w:val="000000"/>
          <w:szCs w:val="21"/>
          <w:highlight w:val="none"/>
        </w:rPr>
        <w:t xml:space="preserve">    2.1 合同价格</w:t>
      </w:r>
    </w:p>
    <w:p w14:paraId="0B0D804D">
      <w:pPr>
        <w:spacing w:line="570" w:lineRule="exact"/>
        <w:ind w:firstLine="400"/>
        <w:rPr>
          <w:rFonts w:ascii="宋体" w:hAnsi="宋体" w:cs="宋体"/>
          <w:szCs w:val="21"/>
          <w:highlight w:val="none"/>
        </w:rPr>
      </w:pPr>
      <w:r>
        <w:rPr>
          <w:rFonts w:hint="eastAsia" w:ascii="宋体" w:hAnsi="宋体" w:cs="宋体"/>
          <w:color w:val="000000"/>
          <w:szCs w:val="21"/>
          <w:highlight w:val="none"/>
        </w:rPr>
        <w:t>（1）本合同在总价款</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u w:val="single"/>
          <w:lang w:val="en-US" w:eastAsia="zh-CN"/>
        </w:rPr>
        <w:t xml:space="preserve">        </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元范围内按调解成功的案件数量据实结算，结算单价为：调解成功不形成卷宗仅有协议型</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u w:val="single"/>
          <w:lang w:val="en-US" w:eastAsia="zh-CN"/>
        </w:rPr>
        <w:t xml:space="preserve">        </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元/件；调解成功并形成调解案卷一般型（一般型纠纷：赔补偿低于20万元、涉案标的低于100万元等其他一般纠纷）</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u w:val="single"/>
          <w:lang w:val="en-US" w:eastAsia="zh-CN"/>
        </w:rPr>
        <w:t xml:space="preserve">        </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元/件；调解成功并形成调解案卷疑难型（疑难型纠纷：赔补偿20万元以上、涉案标的100万元及以上或5人至10人群体性纠纷等其他疑难纠纷）</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u w:val="single"/>
          <w:lang w:val="en-US" w:eastAsia="zh-CN"/>
        </w:rPr>
        <w:t xml:space="preserve">        </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元/件；调解成功并形成调解案卷重大型（重大型纠纷：人员死亡或涉案标的500万元及以上或10人及以上群体性及其他重大纠纷）</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u w:val="single"/>
          <w:lang w:val="en-US" w:eastAsia="zh-CN"/>
        </w:rPr>
        <w:t xml:space="preserve">        </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元/件；其他调解不成功案件录入“浙里调解”平台</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u w:val="single"/>
          <w:lang w:val="en-US" w:eastAsia="zh-CN"/>
        </w:rPr>
        <w:t xml:space="preserve">        </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元/件。</w:t>
      </w:r>
    </w:p>
    <w:p w14:paraId="568A81CA">
      <w:pPr>
        <w:spacing w:line="570" w:lineRule="exact"/>
        <w:rPr>
          <w:rFonts w:ascii="宋体" w:hAnsi="宋体" w:cs="宋体"/>
          <w:color w:val="000000"/>
          <w:szCs w:val="21"/>
          <w:highlight w:val="none"/>
        </w:rPr>
      </w:pPr>
      <w:r>
        <w:rPr>
          <w:rFonts w:hint="eastAsia" w:ascii="宋体" w:hAnsi="宋体" w:cs="宋体"/>
          <w:color w:val="000000"/>
          <w:szCs w:val="21"/>
          <w:highlight w:val="none"/>
        </w:rPr>
        <w:t xml:space="preserve">    （2）乙方为履行本合同而发生的所有费用均包含在合同价中，甲方不再另行支付其它任何费用。</w:t>
      </w:r>
    </w:p>
    <w:p w14:paraId="35A3EFE8">
      <w:pPr>
        <w:pStyle w:val="2"/>
        <w:spacing w:line="570" w:lineRule="exact"/>
        <w:rPr>
          <w:rFonts w:ascii="宋体" w:hAnsi="宋体" w:eastAsia="宋体" w:cs="宋体"/>
          <w:b w:val="0"/>
          <w:bCs w:val="0"/>
          <w:color w:val="000000"/>
          <w:sz w:val="21"/>
          <w:szCs w:val="21"/>
          <w:highlight w:val="none"/>
          <w:lang w:val="en-US"/>
        </w:rPr>
      </w:pPr>
      <w:r>
        <w:rPr>
          <w:rFonts w:hint="eastAsia" w:ascii="宋体" w:hAnsi="宋体" w:eastAsia="宋体" w:cs="宋体"/>
          <w:color w:val="000000"/>
          <w:sz w:val="21"/>
          <w:szCs w:val="21"/>
          <w:highlight w:val="none"/>
          <w:lang w:val="en-US"/>
        </w:rPr>
        <w:t xml:space="preserve">   </w:t>
      </w:r>
      <w:r>
        <w:rPr>
          <w:rFonts w:hint="eastAsia" w:ascii="宋体" w:hAnsi="宋体" w:eastAsia="宋体" w:cs="宋体"/>
          <w:b w:val="0"/>
          <w:bCs w:val="0"/>
          <w:color w:val="000000"/>
          <w:sz w:val="21"/>
          <w:szCs w:val="21"/>
          <w:highlight w:val="none"/>
          <w:lang w:val="en-US"/>
        </w:rPr>
        <w:t>（3）本合同执行中相关的一切税费均由乙方负担。</w:t>
      </w:r>
    </w:p>
    <w:p w14:paraId="2884C26F">
      <w:pPr>
        <w:spacing w:line="57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2.2 服务地点：杭州市余杭区</w:t>
      </w:r>
    </w:p>
    <w:p w14:paraId="1AF5C289">
      <w:pPr>
        <w:spacing w:line="570" w:lineRule="exact"/>
        <w:ind w:firstLine="420" w:firstLineChars="200"/>
        <w:jc w:val="left"/>
        <w:rPr>
          <w:highlight w:val="none"/>
        </w:rPr>
      </w:pPr>
      <w:r>
        <w:rPr>
          <w:rFonts w:hint="eastAsia" w:ascii="宋体" w:hAnsi="宋体" w:cs="宋体"/>
          <w:color w:val="000000"/>
          <w:szCs w:val="21"/>
          <w:highlight w:val="none"/>
        </w:rPr>
        <w:t>2.3 服务期限：服务期最长一年，自本合同签订之日起至一年服务期满或至合同总价款</w:t>
      </w:r>
      <w:r>
        <w:rPr>
          <w:rFonts w:hint="eastAsia" w:ascii="宋体" w:hAnsi="宋体" w:cs="宋体"/>
          <w:color w:val="000000"/>
          <w:szCs w:val="21"/>
          <w:highlight w:val="none"/>
          <w:lang w:val="zh-TW"/>
        </w:rPr>
        <w:t>达到时，以二者中最先达到的日期为合同期满之日</w:t>
      </w:r>
      <w:r>
        <w:rPr>
          <w:rFonts w:hint="eastAsia" w:ascii="宋体" w:hAnsi="宋体" w:cs="宋体"/>
          <w:color w:val="000000"/>
          <w:szCs w:val="21"/>
          <w:highlight w:val="none"/>
        </w:rPr>
        <w:t>。</w:t>
      </w:r>
    </w:p>
    <w:p w14:paraId="20368A1E">
      <w:pPr>
        <w:spacing w:line="570" w:lineRule="exact"/>
        <w:jc w:val="left"/>
        <w:rPr>
          <w:rFonts w:ascii="宋体" w:hAnsi="宋体" w:cs="宋体"/>
          <w:b/>
          <w:bCs/>
          <w:szCs w:val="21"/>
          <w:highlight w:val="none"/>
        </w:rPr>
      </w:pPr>
      <w:r>
        <w:rPr>
          <w:rFonts w:hint="eastAsia" w:ascii="宋体" w:hAnsi="宋体" w:cs="宋体"/>
          <w:b/>
          <w:bCs/>
          <w:color w:val="000000"/>
          <w:szCs w:val="21"/>
          <w:highlight w:val="none"/>
        </w:rPr>
        <w:t xml:space="preserve">    3．质量标准和人员要求</w:t>
      </w:r>
    </w:p>
    <w:p w14:paraId="38CDA3CD">
      <w:pPr>
        <w:spacing w:line="570" w:lineRule="exact"/>
        <w:ind w:firstLine="420"/>
        <w:jc w:val="left"/>
        <w:rPr>
          <w:rFonts w:ascii="宋体" w:hAnsi="宋体" w:cs="宋体"/>
          <w:color w:val="000000"/>
          <w:szCs w:val="21"/>
          <w:highlight w:val="none"/>
        </w:rPr>
      </w:pPr>
      <w:r>
        <w:rPr>
          <w:rFonts w:hint="eastAsia" w:ascii="宋体" w:hAnsi="宋体" w:cs="宋体"/>
          <w:color w:val="000000"/>
          <w:szCs w:val="21"/>
          <w:highlight w:val="none"/>
        </w:rPr>
        <w:t>3.1 乙方所提供的服务的质量标准按照国家标准、行业标准确定，上述标准不一致的，以严格的标准为准。没有国家标准、行业标准和企业标准的，按照通常标准或者符合合同目的的特定标准确定。</w:t>
      </w:r>
    </w:p>
    <w:p w14:paraId="1482089D">
      <w:pPr>
        <w:spacing w:line="570" w:lineRule="exact"/>
        <w:ind w:firstLine="420"/>
        <w:jc w:val="left"/>
        <w:rPr>
          <w:rFonts w:ascii="宋体" w:hAnsi="宋体" w:cs="宋体"/>
          <w:color w:val="000000"/>
          <w:szCs w:val="21"/>
          <w:highlight w:val="none"/>
        </w:rPr>
      </w:pPr>
      <w:r>
        <w:rPr>
          <w:rFonts w:hint="eastAsia" w:ascii="宋体" w:hAnsi="宋体" w:cs="宋体"/>
          <w:color w:val="000000"/>
          <w:szCs w:val="21"/>
          <w:highlight w:val="none"/>
        </w:rPr>
        <w:t>3.2 乙方所提供的服务质量还应符合国家和省市有关安全、环保、卫生等规定。</w:t>
      </w:r>
    </w:p>
    <w:p w14:paraId="63928770">
      <w:pPr>
        <w:spacing w:line="570" w:lineRule="exact"/>
        <w:jc w:val="left"/>
        <w:rPr>
          <w:rFonts w:ascii="宋体" w:hAnsi="宋体" w:cs="宋体"/>
          <w:color w:val="000000"/>
          <w:szCs w:val="21"/>
          <w:highlight w:val="none"/>
        </w:rPr>
      </w:pPr>
      <w:r>
        <w:rPr>
          <w:rFonts w:hint="eastAsia" w:ascii="宋体" w:hAnsi="宋体" w:cs="宋体"/>
          <w:color w:val="000000"/>
          <w:szCs w:val="21"/>
          <w:highlight w:val="none"/>
        </w:rPr>
        <w:t xml:space="preserve">    3.3乙方对本项目拟派的人员数量不得少于1</w:t>
      </w: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名，其中从事人民调解工作的调解员，应满足以下条件：</w:t>
      </w:r>
    </w:p>
    <w:p w14:paraId="09C4B7EC">
      <w:pPr>
        <w:spacing w:line="570" w:lineRule="exact"/>
        <w:ind w:firstLine="420"/>
        <w:jc w:val="left"/>
        <w:rPr>
          <w:rFonts w:ascii="宋体" w:hAnsi="宋体" w:cs="宋体"/>
          <w:color w:val="000000"/>
          <w:szCs w:val="21"/>
          <w:highlight w:val="none"/>
        </w:rPr>
      </w:pPr>
      <w:r>
        <w:rPr>
          <w:rFonts w:hint="eastAsia" w:ascii="宋体" w:hAnsi="宋体" w:cs="宋体"/>
          <w:color w:val="000000"/>
          <w:szCs w:val="21"/>
          <w:highlight w:val="none"/>
        </w:rPr>
        <w:t>（1）拥护中国共产党领导，遵守宪法和法律。</w:t>
      </w:r>
    </w:p>
    <w:p w14:paraId="7C0861E7">
      <w:pPr>
        <w:spacing w:line="570" w:lineRule="exact"/>
        <w:ind w:firstLine="420"/>
        <w:jc w:val="left"/>
        <w:rPr>
          <w:rFonts w:ascii="宋体" w:hAnsi="宋体" w:cs="宋体"/>
          <w:color w:val="000000"/>
          <w:szCs w:val="21"/>
          <w:highlight w:val="none"/>
        </w:rPr>
      </w:pPr>
      <w:r>
        <w:rPr>
          <w:rFonts w:hint="eastAsia" w:ascii="宋体" w:hAnsi="宋体" w:cs="宋体"/>
          <w:color w:val="000000"/>
          <w:szCs w:val="21"/>
          <w:highlight w:val="none"/>
        </w:rPr>
        <w:t>（2）品行端正、公道正派、廉洁自律，有群众威信，热心人民调解工作。</w:t>
      </w:r>
    </w:p>
    <w:p w14:paraId="5821CD07">
      <w:pPr>
        <w:spacing w:line="570" w:lineRule="exact"/>
        <w:ind w:firstLine="420"/>
        <w:jc w:val="left"/>
        <w:rPr>
          <w:rFonts w:ascii="宋体" w:hAnsi="宋体" w:cs="宋体"/>
          <w:color w:val="000000"/>
          <w:szCs w:val="21"/>
          <w:highlight w:val="none"/>
        </w:rPr>
      </w:pPr>
      <w:r>
        <w:rPr>
          <w:rFonts w:hint="eastAsia" w:ascii="宋体" w:hAnsi="宋体" w:cs="宋体"/>
          <w:color w:val="000000"/>
          <w:szCs w:val="21"/>
          <w:highlight w:val="none"/>
        </w:rPr>
        <w:t>（3）具有一定法律法规、政策和相关专业知识水平，熟悉余杭区情况，有调解社会矛盾纠纷的经验。</w:t>
      </w:r>
    </w:p>
    <w:p w14:paraId="739C7793">
      <w:pPr>
        <w:spacing w:line="570" w:lineRule="exact"/>
        <w:ind w:firstLine="420"/>
        <w:jc w:val="left"/>
        <w:rPr>
          <w:rFonts w:ascii="宋体" w:hAnsi="宋体" w:cs="宋体"/>
          <w:color w:val="000000"/>
          <w:szCs w:val="21"/>
          <w:highlight w:val="none"/>
        </w:rPr>
      </w:pPr>
      <w:r>
        <w:rPr>
          <w:rFonts w:hint="eastAsia" w:ascii="宋体" w:hAnsi="宋体" w:cs="宋体"/>
          <w:color w:val="000000"/>
          <w:szCs w:val="21"/>
          <w:highlight w:val="none"/>
        </w:rPr>
        <w:t>（4）身体健康，年龄在22周岁以上，男性65周岁以下，女性60周岁以下，一般应具有法学本科或以上文化程度，对有相关工作经验的人员，条件可适当放宽。</w:t>
      </w:r>
    </w:p>
    <w:p w14:paraId="4019712F">
      <w:pPr>
        <w:spacing w:line="570" w:lineRule="exact"/>
        <w:ind w:firstLine="420"/>
        <w:jc w:val="left"/>
        <w:rPr>
          <w:rFonts w:ascii="宋体" w:hAnsi="宋体" w:cs="宋体"/>
          <w:color w:val="000000"/>
          <w:szCs w:val="21"/>
          <w:highlight w:val="none"/>
        </w:rPr>
      </w:pPr>
      <w:r>
        <w:rPr>
          <w:rFonts w:hint="eastAsia" w:ascii="宋体" w:hAnsi="宋体" w:cs="宋体"/>
          <w:color w:val="000000"/>
          <w:szCs w:val="21"/>
          <w:highlight w:val="none"/>
        </w:rPr>
        <w:t>（5）个人征信情况良好，近五年内无不良记录。</w:t>
      </w:r>
    </w:p>
    <w:p w14:paraId="11BCB5B8">
      <w:pPr>
        <w:spacing w:line="570" w:lineRule="exact"/>
        <w:ind w:firstLine="420"/>
        <w:jc w:val="left"/>
        <w:rPr>
          <w:rFonts w:ascii="宋体" w:hAnsi="宋体" w:cs="宋体"/>
          <w:color w:val="000000"/>
          <w:szCs w:val="21"/>
          <w:highlight w:val="none"/>
        </w:rPr>
      </w:pPr>
      <w:r>
        <w:rPr>
          <w:rFonts w:hint="eastAsia" w:ascii="宋体" w:hAnsi="宋体" w:cs="宋体"/>
          <w:color w:val="000000"/>
          <w:szCs w:val="21"/>
          <w:highlight w:val="none"/>
        </w:rPr>
        <w:t>（6）未受过刑事处罚。</w:t>
      </w:r>
    </w:p>
    <w:p w14:paraId="140F8A4E">
      <w:pPr>
        <w:spacing w:line="570" w:lineRule="exact"/>
        <w:jc w:val="left"/>
        <w:rPr>
          <w:b/>
          <w:bCs/>
          <w:szCs w:val="21"/>
          <w:highlight w:val="none"/>
        </w:rPr>
      </w:pPr>
      <w:r>
        <w:rPr>
          <w:rFonts w:hint="eastAsia" w:ascii="宋体" w:hAnsi="宋体"/>
          <w:b/>
          <w:bCs/>
          <w:color w:val="000000"/>
          <w:szCs w:val="21"/>
          <w:highlight w:val="none"/>
        </w:rPr>
        <w:t xml:space="preserve">    4．验收</w:t>
      </w:r>
    </w:p>
    <w:p w14:paraId="4C8D1E5A">
      <w:pPr>
        <w:spacing w:line="570" w:lineRule="exact"/>
        <w:ind w:firstLine="400"/>
        <w:jc w:val="left"/>
        <w:rPr>
          <w:szCs w:val="21"/>
          <w:highlight w:val="none"/>
        </w:rPr>
      </w:pPr>
      <w:r>
        <w:rPr>
          <w:rFonts w:hint="eastAsia" w:ascii="宋体" w:hAnsi="宋体"/>
          <w:color w:val="000000"/>
          <w:szCs w:val="21"/>
          <w:highlight w:val="none"/>
        </w:rPr>
        <w:t>4.1 乙方根据合同的规定完成服务后，甲方应及时进行服务验收。其中，中期验收应由乙方以书面形式向甲方递交验收申请，甲方在收到验收申请后的10个工作日内，确定具体日期，由双方按照本合同的规定完成服务验收。年终验收由乙方依照中期验收程序发起，或由甲方自行发起。甲方有权委托第三方机构进行验收，对此乙方应当配合。</w:t>
      </w:r>
    </w:p>
    <w:p w14:paraId="5D018575">
      <w:pPr>
        <w:spacing w:line="570" w:lineRule="exact"/>
        <w:ind w:firstLine="400"/>
        <w:rPr>
          <w:szCs w:val="21"/>
          <w:highlight w:val="none"/>
        </w:rPr>
      </w:pPr>
      <w:r>
        <w:rPr>
          <w:rFonts w:hint="eastAsia" w:ascii="宋体" w:hAnsi="宋体"/>
          <w:color w:val="000000"/>
          <w:szCs w:val="21"/>
          <w:highlight w:val="none"/>
        </w:rPr>
        <w:t>4.2如属于乙方原因致使服务未能通过验收，乙方应当采取补救措施，并自行承担相关费用，直至服务完全符合验收标准。</w:t>
      </w:r>
    </w:p>
    <w:p w14:paraId="5110343D">
      <w:pPr>
        <w:spacing w:line="570" w:lineRule="exact"/>
        <w:ind w:firstLine="400"/>
        <w:rPr>
          <w:szCs w:val="21"/>
          <w:highlight w:val="none"/>
        </w:rPr>
      </w:pPr>
      <w:r>
        <w:rPr>
          <w:rFonts w:hint="eastAsia" w:ascii="宋体" w:hAnsi="宋体"/>
          <w:color w:val="000000"/>
          <w:szCs w:val="21"/>
          <w:highlight w:val="none"/>
        </w:rPr>
        <w:t>4.3 如属于甲方原因致使服务未能通过验收，甲方应在合理时间内排除故障，再次进行验收。如果属于故障之外的原因，甲方不愿或未能在规定的时间内完成验收，则由乙方单方面进行验收，并将验收报告提交甲方，即视为验收通过。</w:t>
      </w:r>
    </w:p>
    <w:p w14:paraId="3DD2EE29">
      <w:pPr>
        <w:spacing w:line="570" w:lineRule="exact"/>
        <w:ind w:firstLine="400"/>
        <w:jc w:val="left"/>
        <w:rPr>
          <w:highlight w:val="none"/>
        </w:rPr>
      </w:pPr>
      <w:r>
        <w:rPr>
          <w:rFonts w:hint="eastAsia" w:ascii="宋体" w:hAnsi="宋体"/>
          <w:color w:val="000000"/>
          <w:szCs w:val="21"/>
          <w:highlight w:val="none"/>
        </w:rPr>
        <w:t>4.4甲方根据合同的规定对服务验收合格后，甲方应签署验收意见并收取发票，乙方提供符合要求的发票，甲方按规定支付款项。</w:t>
      </w:r>
    </w:p>
    <w:p w14:paraId="4B17A184">
      <w:pPr>
        <w:widowControl w:val="0"/>
        <w:spacing w:line="570" w:lineRule="exact"/>
        <w:rPr>
          <w:b/>
          <w:bCs/>
          <w:szCs w:val="21"/>
          <w:highlight w:val="none"/>
        </w:rPr>
      </w:pPr>
      <w:r>
        <w:rPr>
          <w:rFonts w:hint="eastAsia" w:ascii="宋体" w:hAnsi="宋体"/>
          <w:b/>
          <w:bCs/>
          <w:color w:val="000000"/>
          <w:szCs w:val="21"/>
          <w:highlight w:val="none"/>
        </w:rPr>
        <w:t xml:space="preserve">    5．保密</w:t>
      </w:r>
    </w:p>
    <w:p w14:paraId="695F28F5">
      <w:pPr>
        <w:widowControl w:val="0"/>
        <w:spacing w:line="570" w:lineRule="exact"/>
        <w:ind w:firstLine="400"/>
        <w:jc w:val="left"/>
        <w:rPr>
          <w:highlight w:val="none"/>
        </w:rPr>
      </w:pPr>
      <w:r>
        <w:rPr>
          <w:rFonts w:hint="eastAsia" w:ascii="宋体" w:hAnsi="宋体"/>
          <w:color w:val="000000"/>
          <w:szCs w:val="21"/>
          <w:highlight w:val="none"/>
        </w:rPr>
        <w:t>5.1没有甲方事先书面同意，乙方不得将由甲方提供的有关合同、合同条文或资料提供给与履行本合同无关的任何其他人。即使向履行本合同有关的人员提供，也应注意保密并限于履行合同的必需范围。</w:t>
      </w:r>
      <w:r>
        <w:rPr>
          <w:rFonts w:hint="eastAsia"/>
          <w:highlight w:val="none"/>
        </w:rPr>
        <w:t>合同履行完毕，保密条款继续有效。</w:t>
      </w:r>
    </w:p>
    <w:p w14:paraId="6891B3C4">
      <w:pPr>
        <w:spacing w:line="570" w:lineRule="exact"/>
        <w:jc w:val="left"/>
        <w:rPr>
          <w:b/>
          <w:bCs/>
          <w:szCs w:val="21"/>
          <w:highlight w:val="none"/>
        </w:rPr>
      </w:pPr>
      <w:r>
        <w:rPr>
          <w:rFonts w:hint="eastAsia" w:ascii="宋体" w:hAnsi="宋体"/>
          <w:b/>
          <w:bCs/>
          <w:color w:val="000000"/>
          <w:szCs w:val="21"/>
          <w:highlight w:val="none"/>
        </w:rPr>
        <w:t xml:space="preserve">    6．付款</w:t>
      </w:r>
    </w:p>
    <w:p w14:paraId="00CD3C5B">
      <w:pPr>
        <w:spacing w:line="570" w:lineRule="exact"/>
        <w:ind w:firstLine="400"/>
        <w:jc w:val="left"/>
        <w:rPr>
          <w:szCs w:val="21"/>
          <w:highlight w:val="none"/>
        </w:rPr>
      </w:pPr>
      <w:r>
        <w:rPr>
          <w:rFonts w:hint="eastAsia" w:ascii="宋体" w:hAnsi="宋体"/>
          <w:color w:val="000000"/>
          <w:szCs w:val="21"/>
          <w:highlight w:val="none"/>
        </w:rPr>
        <w:t>6.1本合同以人民币付款（单位：元）。</w:t>
      </w:r>
    </w:p>
    <w:p w14:paraId="523B0050">
      <w:pPr>
        <w:spacing w:line="570" w:lineRule="exact"/>
        <w:ind w:firstLine="400"/>
        <w:jc w:val="left"/>
        <w:rPr>
          <w:szCs w:val="21"/>
          <w:highlight w:val="none"/>
        </w:rPr>
      </w:pPr>
      <w:r>
        <w:rPr>
          <w:rFonts w:hint="eastAsia" w:ascii="宋体" w:hAnsi="宋体"/>
          <w:color w:val="000000"/>
          <w:szCs w:val="21"/>
          <w:highlight w:val="none"/>
        </w:rPr>
        <w:t>6.2 本合同款项按照以下方式支付：</w:t>
      </w:r>
    </w:p>
    <w:p w14:paraId="5B0E3EA0">
      <w:pPr>
        <w:spacing w:line="570" w:lineRule="exact"/>
        <w:ind w:firstLine="400"/>
        <w:jc w:val="left"/>
        <w:rPr>
          <w:szCs w:val="21"/>
          <w:highlight w:val="none"/>
        </w:rPr>
      </w:pPr>
      <w:r>
        <w:rPr>
          <w:rFonts w:hint="eastAsia" w:ascii="宋体" w:hAnsi="宋体"/>
          <w:color w:val="000000"/>
          <w:szCs w:val="21"/>
          <w:highlight w:val="none"/>
        </w:rPr>
        <w:t>（1）付款方式：按照下表付款内容和付款次序分期付款。</w:t>
      </w:r>
    </w:p>
    <w:p w14:paraId="7BF4EAB1">
      <w:pPr>
        <w:spacing w:line="570" w:lineRule="exact"/>
        <w:ind w:firstLine="200"/>
        <w:jc w:val="left"/>
        <w:rPr>
          <w:szCs w:val="21"/>
          <w:highlight w:val="none"/>
        </w:rPr>
      </w:pPr>
      <w:r>
        <w:rPr>
          <w:rFonts w:hint="eastAsia" w:ascii="宋体" w:hAnsi="宋体"/>
          <w:color w:val="000000"/>
          <w:szCs w:val="21"/>
          <w:highlight w:val="none"/>
        </w:rPr>
        <w:t xml:space="preserve">  （2）付款条件：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4995"/>
        <w:gridCol w:w="1545"/>
        <w:gridCol w:w="1551"/>
      </w:tblGrid>
      <w:tr w14:paraId="04A79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089" w:type="dxa"/>
            <w:noWrap w:val="0"/>
            <w:vAlign w:val="center"/>
          </w:tcPr>
          <w:p w14:paraId="40AD2E32">
            <w:pPr>
              <w:spacing w:line="570" w:lineRule="exact"/>
              <w:jc w:val="center"/>
              <w:rPr>
                <w:szCs w:val="21"/>
                <w:highlight w:val="none"/>
              </w:rPr>
            </w:pPr>
            <w:r>
              <w:rPr>
                <w:rFonts w:hint="eastAsia" w:ascii="宋体" w:hAnsi="宋体"/>
                <w:color w:val="000000"/>
                <w:szCs w:val="21"/>
                <w:highlight w:val="none"/>
              </w:rPr>
              <w:t>支付批次</w:t>
            </w:r>
          </w:p>
        </w:tc>
        <w:tc>
          <w:tcPr>
            <w:tcW w:w="4995" w:type="dxa"/>
            <w:noWrap w:val="0"/>
            <w:vAlign w:val="center"/>
          </w:tcPr>
          <w:p w14:paraId="677FDC95">
            <w:pPr>
              <w:spacing w:line="570" w:lineRule="exact"/>
              <w:jc w:val="center"/>
              <w:rPr>
                <w:szCs w:val="21"/>
                <w:highlight w:val="none"/>
              </w:rPr>
            </w:pPr>
            <w:r>
              <w:rPr>
                <w:rFonts w:hint="eastAsia" w:ascii="宋体" w:hAnsi="宋体"/>
                <w:color w:val="000000"/>
                <w:szCs w:val="21"/>
                <w:highlight w:val="none"/>
              </w:rPr>
              <w:t>支付时间和支付条件</w:t>
            </w:r>
          </w:p>
        </w:tc>
        <w:tc>
          <w:tcPr>
            <w:tcW w:w="1545" w:type="dxa"/>
            <w:noWrap w:val="0"/>
            <w:vAlign w:val="center"/>
          </w:tcPr>
          <w:p w14:paraId="5CA59D40">
            <w:pPr>
              <w:spacing w:line="570" w:lineRule="exact"/>
              <w:jc w:val="center"/>
              <w:rPr>
                <w:szCs w:val="21"/>
                <w:highlight w:val="none"/>
              </w:rPr>
            </w:pPr>
            <w:r>
              <w:rPr>
                <w:rFonts w:hint="eastAsia" w:ascii="宋体" w:hAnsi="宋体"/>
                <w:color w:val="000000"/>
                <w:szCs w:val="21"/>
                <w:highlight w:val="none"/>
              </w:rPr>
              <w:t>支付比例%</w:t>
            </w:r>
          </w:p>
        </w:tc>
        <w:tc>
          <w:tcPr>
            <w:tcW w:w="1551" w:type="dxa"/>
            <w:noWrap w:val="0"/>
            <w:vAlign w:val="center"/>
          </w:tcPr>
          <w:p w14:paraId="485224EE">
            <w:pPr>
              <w:spacing w:line="570" w:lineRule="exact"/>
              <w:jc w:val="center"/>
              <w:rPr>
                <w:szCs w:val="21"/>
                <w:highlight w:val="none"/>
              </w:rPr>
            </w:pPr>
            <w:r>
              <w:rPr>
                <w:rFonts w:hint="eastAsia" w:ascii="宋体" w:hAnsi="宋体"/>
                <w:color w:val="000000"/>
                <w:szCs w:val="21"/>
                <w:highlight w:val="none"/>
              </w:rPr>
              <w:t>支付金额（元）</w:t>
            </w:r>
          </w:p>
        </w:tc>
      </w:tr>
      <w:tr w14:paraId="28D6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89" w:type="dxa"/>
            <w:noWrap w:val="0"/>
            <w:vAlign w:val="center"/>
          </w:tcPr>
          <w:p w14:paraId="7CCB5350">
            <w:pPr>
              <w:spacing w:line="570" w:lineRule="exact"/>
              <w:jc w:val="center"/>
              <w:rPr>
                <w:szCs w:val="21"/>
                <w:highlight w:val="none"/>
              </w:rPr>
            </w:pPr>
            <w:r>
              <w:rPr>
                <w:rFonts w:hint="eastAsia" w:ascii="宋体" w:hAnsi="宋体"/>
                <w:color w:val="000000"/>
                <w:szCs w:val="21"/>
                <w:highlight w:val="none"/>
              </w:rPr>
              <w:t>1</w:t>
            </w:r>
          </w:p>
        </w:tc>
        <w:tc>
          <w:tcPr>
            <w:tcW w:w="4995" w:type="dxa"/>
            <w:noWrap w:val="0"/>
            <w:vAlign w:val="center"/>
          </w:tcPr>
          <w:p w14:paraId="5D0B9AAD">
            <w:pPr>
              <w:spacing w:line="570" w:lineRule="exact"/>
              <w:jc w:val="left"/>
              <w:rPr>
                <w:szCs w:val="21"/>
                <w:highlight w:val="none"/>
              </w:rPr>
            </w:pPr>
            <w:r>
              <w:rPr>
                <w:rFonts w:hint="eastAsia" w:ascii="宋体" w:hAnsi="宋体"/>
                <w:color w:val="000000"/>
                <w:szCs w:val="21"/>
                <w:highlight w:val="none"/>
              </w:rPr>
              <w:t>合同签订生效后</w:t>
            </w:r>
            <w:r>
              <w:rPr>
                <w:rFonts w:ascii="宋体" w:hAnsi="宋体"/>
                <w:color w:val="000000"/>
                <w:szCs w:val="21"/>
                <w:highlight w:val="none"/>
              </w:rPr>
              <w:t>７</w:t>
            </w:r>
            <w:r>
              <w:rPr>
                <w:rFonts w:hint="eastAsia" w:ascii="宋体" w:hAnsi="宋体"/>
                <w:color w:val="000000"/>
                <w:szCs w:val="21"/>
                <w:highlight w:val="none"/>
              </w:rPr>
              <w:t>个工作日内支付。</w:t>
            </w:r>
          </w:p>
        </w:tc>
        <w:tc>
          <w:tcPr>
            <w:tcW w:w="1545" w:type="dxa"/>
            <w:noWrap w:val="0"/>
            <w:vAlign w:val="center"/>
          </w:tcPr>
          <w:p w14:paraId="3985749A">
            <w:pPr>
              <w:spacing w:line="570" w:lineRule="exact"/>
              <w:jc w:val="center"/>
              <w:rPr>
                <w:szCs w:val="21"/>
                <w:highlight w:val="none"/>
              </w:rPr>
            </w:pPr>
            <w:r>
              <w:rPr>
                <w:rFonts w:hint="eastAsia" w:ascii="宋体" w:hAnsi="宋体"/>
                <w:color w:val="000000"/>
                <w:szCs w:val="21"/>
                <w:highlight w:val="none"/>
              </w:rPr>
              <w:t>50%</w:t>
            </w:r>
          </w:p>
        </w:tc>
        <w:tc>
          <w:tcPr>
            <w:tcW w:w="1551" w:type="dxa"/>
            <w:noWrap w:val="0"/>
            <w:vAlign w:val="center"/>
          </w:tcPr>
          <w:p w14:paraId="6A980B07">
            <w:pPr>
              <w:spacing w:line="570" w:lineRule="exact"/>
              <w:jc w:val="center"/>
              <w:rPr>
                <w:szCs w:val="21"/>
                <w:highlight w:val="none"/>
              </w:rPr>
            </w:pPr>
            <w:r>
              <w:rPr>
                <w:rFonts w:hint="eastAsia"/>
                <w:szCs w:val="21"/>
                <w:highlight w:val="none"/>
              </w:rPr>
              <w:t>1</w:t>
            </w:r>
            <w:r>
              <w:rPr>
                <w:rFonts w:hint="eastAsia"/>
                <w:szCs w:val="21"/>
                <w:highlight w:val="none"/>
                <w:lang w:val="en-US" w:eastAsia="zh-CN"/>
              </w:rPr>
              <w:t>44</w:t>
            </w:r>
            <w:r>
              <w:rPr>
                <w:rFonts w:hint="eastAsia"/>
                <w:szCs w:val="21"/>
                <w:highlight w:val="none"/>
              </w:rPr>
              <w:t>0000</w:t>
            </w:r>
          </w:p>
        </w:tc>
      </w:tr>
      <w:tr w14:paraId="17C3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89" w:type="dxa"/>
            <w:noWrap w:val="0"/>
            <w:vAlign w:val="center"/>
          </w:tcPr>
          <w:p w14:paraId="4E1754C9">
            <w:pPr>
              <w:spacing w:line="570" w:lineRule="exact"/>
              <w:jc w:val="center"/>
              <w:rPr>
                <w:szCs w:val="21"/>
                <w:highlight w:val="none"/>
              </w:rPr>
            </w:pPr>
            <w:r>
              <w:rPr>
                <w:rFonts w:hint="eastAsia" w:ascii="宋体" w:hAnsi="宋体"/>
                <w:color w:val="000000"/>
                <w:szCs w:val="21"/>
                <w:highlight w:val="none"/>
              </w:rPr>
              <w:t>2</w:t>
            </w:r>
          </w:p>
        </w:tc>
        <w:tc>
          <w:tcPr>
            <w:tcW w:w="4995" w:type="dxa"/>
            <w:noWrap w:val="0"/>
            <w:vAlign w:val="center"/>
          </w:tcPr>
          <w:p w14:paraId="370CD380">
            <w:pPr>
              <w:spacing w:line="570" w:lineRule="exact"/>
              <w:jc w:val="left"/>
              <w:rPr>
                <w:szCs w:val="21"/>
                <w:highlight w:val="none"/>
              </w:rPr>
            </w:pPr>
            <w:r>
              <w:rPr>
                <w:rFonts w:hint="eastAsia" w:ascii="宋体" w:hAnsi="宋体"/>
                <w:color w:val="000000"/>
                <w:szCs w:val="21"/>
                <w:highlight w:val="none"/>
              </w:rPr>
              <w:t>完成</w:t>
            </w:r>
            <w:r>
              <w:rPr>
                <w:rFonts w:ascii="宋体" w:hAnsi="宋体"/>
                <w:color w:val="000000"/>
                <w:szCs w:val="21"/>
                <w:highlight w:val="none"/>
              </w:rPr>
              <w:t>50%</w:t>
            </w:r>
            <w:r>
              <w:rPr>
                <w:rFonts w:hint="eastAsia" w:ascii="宋体" w:hAnsi="宋体"/>
                <w:color w:val="000000"/>
                <w:szCs w:val="21"/>
                <w:highlight w:val="none"/>
              </w:rPr>
              <w:t>以上项目工作量，进行中期验收，验收通过予以支付。</w:t>
            </w:r>
          </w:p>
        </w:tc>
        <w:tc>
          <w:tcPr>
            <w:tcW w:w="1545" w:type="dxa"/>
            <w:noWrap w:val="0"/>
            <w:vAlign w:val="center"/>
          </w:tcPr>
          <w:p w14:paraId="5F23C6A2">
            <w:pPr>
              <w:spacing w:line="570" w:lineRule="exact"/>
              <w:jc w:val="center"/>
              <w:rPr>
                <w:szCs w:val="21"/>
                <w:highlight w:val="none"/>
              </w:rPr>
            </w:pPr>
            <w:r>
              <w:rPr>
                <w:rFonts w:hint="eastAsia" w:ascii="宋体" w:hAnsi="宋体"/>
                <w:color w:val="000000"/>
                <w:szCs w:val="21"/>
                <w:highlight w:val="none"/>
              </w:rPr>
              <w:t>40%</w:t>
            </w:r>
          </w:p>
        </w:tc>
        <w:tc>
          <w:tcPr>
            <w:tcW w:w="1551" w:type="dxa"/>
            <w:noWrap w:val="0"/>
            <w:vAlign w:val="center"/>
          </w:tcPr>
          <w:p w14:paraId="39D808DE">
            <w:pPr>
              <w:spacing w:line="570" w:lineRule="exact"/>
              <w:jc w:val="center"/>
              <w:rPr>
                <w:szCs w:val="21"/>
                <w:highlight w:val="none"/>
              </w:rPr>
            </w:pPr>
            <w:r>
              <w:rPr>
                <w:rFonts w:hint="eastAsia"/>
                <w:szCs w:val="21"/>
                <w:highlight w:val="none"/>
                <w:lang w:val="en-US" w:eastAsia="zh-CN"/>
              </w:rPr>
              <w:t>115</w:t>
            </w:r>
            <w:r>
              <w:rPr>
                <w:rFonts w:hint="eastAsia"/>
                <w:szCs w:val="21"/>
                <w:highlight w:val="none"/>
              </w:rPr>
              <w:t>2000</w:t>
            </w:r>
          </w:p>
        </w:tc>
      </w:tr>
      <w:tr w14:paraId="0F22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89" w:type="dxa"/>
            <w:noWrap w:val="0"/>
            <w:vAlign w:val="center"/>
          </w:tcPr>
          <w:p w14:paraId="599E99BA">
            <w:pPr>
              <w:spacing w:line="570" w:lineRule="exact"/>
              <w:jc w:val="center"/>
              <w:rPr>
                <w:szCs w:val="21"/>
                <w:highlight w:val="none"/>
              </w:rPr>
            </w:pPr>
            <w:r>
              <w:rPr>
                <w:rFonts w:hint="eastAsia" w:ascii="宋体" w:hAnsi="宋体"/>
                <w:color w:val="000000"/>
                <w:szCs w:val="21"/>
                <w:highlight w:val="none"/>
              </w:rPr>
              <w:t>3</w:t>
            </w:r>
          </w:p>
        </w:tc>
        <w:tc>
          <w:tcPr>
            <w:tcW w:w="4995" w:type="dxa"/>
            <w:noWrap w:val="0"/>
            <w:vAlign w:val="center"/>
          </w:tcPr>
          <w:p w14:paraId="17747574">
            <w:pPr>
              <w:spacing w:line="570" w:lineRule="exact"/>
              <w:jc w:val="left"/>
              <w:rPr>
                <w:rFonts w:ascii="宋体" w:hAnsi="宋体"/>
                <w:color w:val="000000"/>
                <w:szCs w:val="21"/>
                <w:highlight w:val="none"/>
              </w:rPr>
            </w:pPr>
            <w:r>
              <w:rPr>
                <w:rFonts w:hint="eastAsia" w:ascii="宋体" w:hAnsi="宋体" w:cs="宋体"/>
                <w:color w:val="000000"/>
                <w:szCs w:val="21"/>
                <w:highlight w:val="none"/>
              </w:rPr>
              <w:t>合同期满或至合同总价款</w:t>
            </w:r>
            <w:r>
              <w:rPr>
                <w:rFonts w:hint="eastAsia" w:ascii="宋体" w:hAnsi="宋体" w:cs="宋体"/>
                <w:color w:val="000000"/>
                <w:szCs w:val="21"/>
                <w:highlight w:val="none"/>
                <w:lang w:val="zh-TW"/>
              </w:rPr>
              <w:t>达到时</w:t>
            </w:r>
            <w:r>
              <w:rPr>
                <w:rFonts w:hint="eastAsia" w:ascii="宋体" w:hAnsi="宋体"/>
                <w:color w:val="000000"/>
                <w:szCs w:val="21"/>
                <w:highlight w:val="none"/>
              </w:rPr>
              <w:t>，进行年终验收，验收通过予以支付。</w:t>
            </w:r>
          </w:p>
        </w:tc>
        <w:tc>
          <w:tcPr>
            <w:tcW w:w="1545" w:type="dxa"/>
            <w:noWrap w:val="0"/>
            <w:vAlign w:val="center"/>
          </w:tcPr>
          <w:p w14:paraId="2B5DED37">
            <w:pPr>
              <w:spacing w:line="570" w:lineRule="exact"/>
              <w:jc w:val="center"/>
              <w:rPr>
                <w:rFonts w:ascii="宋体" w:hAnsi="宋体"/>
                <w:color w:val="000000"/>
                <w:szCs w:val="21"/>
                <w:highlight w:val="none"/>
              </w:rPr>
            </w:pPr>
            <w:r>
              <w:rPr>
                <w:rFonts w:hint="eastAsia" w:ascii="宋体" w:hAnsi="宋体"/>
                <w:color w:val="000000"/>
                <w:szCs w:val="21"/>
                <w:highlight w:val="none"/>
              </w:rPr>
              <w:t>10%</w:t>
            </w:r>
          </w:p>
        </w:tc>
        <w:tc>
          <w:tcPr>
            <w:tcW w:w="1551" w:type="dxa"/>
            <w:noWrap w:val="0"/>
            <w:vAlign w:val="center"/>
          </w:tcPr>
          <w:p w14:paraId="7E5583BA">
            <w:pPr>
              <w:spacing w:line="570" w:lineRule="exact"/>
              <w:jc w:val="center"/>
              <w:rPr>
                <w:rFonts w:ascii="宋体" w:hAnsi="宋体"/>
                <w:color w:val="000000"/>
                <w:szCs w:val="21"/>
                <w:highlight w:val="none"/>
              </w:rPr>
            </w:pPr>
            <w:r>
              <w:rPr>
                <w:rFonts w:hint="eastAsia"/>
                <w:szCs w:val="21"/>
                <w:highlight w:val="none"/>
              </w:rPr>
              <w:t>2</w:t>
            </w:r>
            <w:r>
              <w:rPr>
                <w:rFonts w:hint="eastAsia"/>
                <w:szCs w:val="21"/>
                <w:highlight w:val="none"/>
                <w:lang w:val="en-US" w:eastAsia="zh-CN"/>
              </w:rPr>
              <w:t>88</w:t>
            </w:r>
            <w:r>
              <w:rPr>
                <w:rFonts w:hint="eastAsia"/>
                <w:szCs w:val="21"/>
                <w:highlight w:val="none"/>
              </w:rPr>
              <w:t>000</w:t>
            </w:r>
          </w:p>
        </w:tc>
      </w:tr>
    </w:tbl>
    <w:p w14:paraId="501ECBA1">
      <w:pPr>
        <w:spacing w:line="570" w:lineRule="exact"/>
        <w:jc w:val="left"/>
        <w:rPr>
          <w:rFonts w:hint="eastAsia" w:ascii="宋体" w:hAnsi="宋体"/>
          <w:bCs/>
          <w:color w:val="000000"/>
          <w:szCs w:val="21"/>
          <w:highlight w:val="none"/>
        </w:rPr>
      </w:pPr>
      <w:r>
        <w:rPr>
          <w:rFonts w:hint="eastAsia" w:ascii="宋体" w:hAnsi="宋体"/>
          <w:b/>
          <w:bCs/>
          <w:color w:val="000000"/>
          <w:szCs w:val="21"/>
          <w:highlight w:val="none"/>
        </w:rPr>
        <w:t xml:space="preserve"> </w:t>
      </w:r>
      <w:r>
        <w:rPr>
          <w:rFonts w:hint="eastAsia" w:ascii="宋体" w:hAnsi="宋体"/>
          <w:bCs/>
          <w:color w:val="000000"/>
          <w:szCs w:val="21"/>
          <w:highlight w:val="none"/>
        </w:rPr>
        <w:t xml:space="preserve"> 因</w:t>
      </w:r>
      <w:r>
        <w:rPr>
          <w:rFonts w:hint="eastAsia" w:ascii="宋体" w:hAnsi="宋体" w:cs="宋体"/>
          <w:color w:val="000000"/>
          <w:szCs w:val="21"/>
          <w:highlight w:val="none"/>
        </w:rPr>
        <w:t>合同期满进行年终验收的，</w:t>
      </w:r>
      <w:r>
        <w:rPr>
          <w:rFonts w:hint="eastAsia" w:ascii="宋体" w:hAnsi="宋体"/>
          <w:bCs/>
          <w:color w:val="000000"/>
          <w:szCs w:val="21"/>
          <w:highlight w:val="none"/>
        </w:rPr>
        <w:t>如验收结果为乙方完成项目工作量小于90%，则乙方应于收到甲方通知之日起10个工作日内，返还超付部分的合同价款；如验收结果为乙方完成项目工作量大于90%但不足100%，则甲方根据乙方实际完成比例支付剩余的款项。</w:t>
      </w:r>
    </w:p>
    <w:p w14:paraId="17FB3FBF">
      <w:pPr>
        <w:spacing w:line="570" w:lineRule="exact"/>
        <w:jc w:val="left"/>
        <w:rPr>
          <w:b/>
          <w:bCs/>
          <w:szCs w:val="21"/>
          <w:highlight w:val="none"/>
        </w:rPr>
      </w:pPr>
      <w:r>
        <w:rPr>
          <w:rFonts w:hint="eastAsia" w:ascii="宋体" w:hAnsi="宋体"/>
          <w:b/>
          <w:bCs/>
          <w:color w:val="000000"/>
          <w:szCs w:val="21"/>
          <w:highlight w:val="none"/>
        </w:rPr>
        <w:t xml:space="preserve">  7．甲方的权利义务</w:t>
      </w:r>
    </w:p>
    <w:p w14:paraId="76C7E6EC">
      <w:pPr>
        <w:spacing w:line="570" w:lineRule="exact"/>
        <w:ind w:firstLine="400"/>
        <w:rPr>
          <w:szCs w:val="21"/>
          <w:highlight w:val="none"/>
        </w:rPr>
      </w:pPr>
      <w:r>
        <w:rPr>
          <w:rFonts w:hint="eastAsia" w:ascii="宋体" w:hAnsi="宋体"/>
          <w:color w:val="000000"/>
          <w:szCs w:val="21"/>
          <w:highlight w:val="none"/>
        </w:rPr>
        <w:t>7.1甲方有权在合同规定的范围内享受本项目的服务成果，对没有达到合同规定的服务质量或标准的服务事项，甲方有权要求乙方在规定的时间内加急提供服务，直至符合要求为止。</w:t>
      </w:r>
    </w:p>
    <w:p w14:paraId="5AF9BE2A">
      <w:pPr>
        <w:spacing w:line="570" w:lineRule="exact"/>
        <w:ind w:firstLine="400"/>
        <w:rPr>
          <w:szCs w:val="21"/>
          <w:highlight w:val="none"/>
        </w:rPr>
      </w:pPr>
      <w:r>
        <w:rPr>
          <w:rFonts w:hint="eastAsia" w:ascii="宋体" w:hAnsi="宋体"/>
          <w:color w:val="000000"/>
          <w:szCs w:val="21"/>
          <w:highlight w:val="none"/>
        </w:rPr>
        <w:t>7.2如果乙方无法完成合同规定的服务内容、或者服务无法达到合同规定的服务质量或标准的，造成区人民调解委员会人民调解案件化解服务无法正常运行的，甲方有权邀请第三方提供服务，其支付的服务费用由乙方承担；如果乙方不支付，甲方有权在支付乙方合同款项时扣除其相等的金额。</w:t>
      </w:r>
    </w:p>
    <w:p w14:paraId="2B469CA2">
      <w:pPr>
        <w:spacing w:line="570" w:lineRule="exact"/>
        <w:ind w:firstLine="400"/>
        <w:rPr>
          <w:szCs w:val="21"/>
          <w:highlight w:val="none"/>
        </w:rPr>
      </w:pPr>
      <w:r>
        <w:rPr>
          <w:rFonts w:hint="eastAsia" w:ascii="宋体" w:hAnsi="宋体"/>
          <w:color w:val="000000"/>
          <w:szCs w:val="21"/>
          <w:highlight w:val="none"/>
        </w:rPr>
        <w:t>7.3由于乙方服务质量或延误服务的原因，使甲方前期提供设施设备等损坏造成经济损失的，甲方有权要求乙方进行经济赔偿。</w:t>
      </w:r>
    </w:p>
    <w:p w14:paraId="6197C090">
      <w:pPr>
        <w:spacing w:line="570" w:lineRule="exact"/>
        <w:ind w:firstLine="400"/>
        <w:rPr>
          <w:szCs w:val="21"/>
          <w:highlight w:val="none"/>
        </w:rPr>
      </w:pPr>
      <w:r>
        <w:rPr>
          <w:rFonts w:hint="eastAsia" w:ascii="宋体" w:hAnsi="宋体"/>
          <w:color w:val="000000"/>
          <w:szCs w:val="21"/>
          <w:highlight w:val="none"/>
        </w:rPr>
        <w:t>7.4甲方在合同规定的服务期限内有义务为乙方创造服务工作便利，并提供适合的工作环境，协助乙方完成服务工作。</w:t>
      </w:r>
    </w:p>
    <w:p w14:paraId="0202C2CA">
      <w:pPr>
        <w:spacing w:line="570" w:lineRule="exact"/>
        <w:ind w:firstLine="400"/>
        <w:rPr>
          <w:szCs w:val="21"/>
          <w:highlight w:val="none"/>
        </w:rPr>
      </w:pPr>
      <w:r>
        <w:rPr>
          <w:rFonts w:hint="eastAsia" w:ascii="宋体" w:hAnsi="宋体"/>
          <w:color w:val="000000"/>
          <w:szCs w:val="21"/>
          <w:highlight w:val="none"/>
        </w:rPr>
        <w:t>7.5当甲方提供的本项目设施设备发生故障时，甲方应及时告知乙方有关发生故障的相关信息，以便乙方及时分析故障原因，及时采取有效措施排除故障，恢复正常运行。</w:t>
      </w:r>
    </w:p>
    <w:p w14:paraId="77E5AC98">
      <w:pPr>
        <w:spacing w:line="570" w:lineRule="exact"/>
        <w:jc w:val="left"/>
        <w:rPr>
          <w:b/>
          <w:bCs/>
          <w:szCs w:val="21"/>
          <w:highlight w:val="none"/>
        </w:rPr>
      </w:pPr>
      <w:r>
        <w:rPr>
          <w:rFonts w:hint="eastAsia" w:ascii="宋体" w:hAnsi="宋体"/>
          <w:b/>
          <w:bCs/>
          <w:color w:val="000000"/>
          <w:szCs w:val="21"/>
          <w:highlight w:val="none"/>
        </w:rPr>
        <w:t xml:space="preserve">   8．乙方的权利与义务</w:t>
      </w:r>
    </w:p>
    <w:p w14:paraId="41FEDFA8">
      <w:pPr>
        <w:spacing w:line="570" w:lineRule="exact"/>
        <w:ind w:firstLine="400"/>
        <w:rPr>
          <w:szCs w:val="21"/>
          <w:highlight w:val="none"/>
        </w:rPr>
      </w:pPr>
      <w:r>
        <w:rPr>
          <w:rFonts w:hint="eastAsia" w:ascii="宋体" w:hAnsi="宋体"/>
          <w:color w:val="000000"/>
          <w:szCs w:val="21"/>
          <w:highlight w:val="none"/>
        </w:rPr>
        <w:t>8.1乙方根据合同的服务内容和要求及时提供相应的服务，如果甲方在合同服务范围外增加或扩大服务内容的，乙方有权要求甲方支付其相应的费用。</w:t>
      </w:r>
    </w:p>
    <w:p w14:paraId="6F4AECCC">
      <w:pPr>
        <w:spacing w:line="570" w:lineRule="exact"/>
        <w:ind w:firstLine="260"/>
        <w:rPr>
          <w:szCs w:val="21"/>
          <w:highlight w:val="none"/>
        </w:rPr>
      </w:pPr>
      <w:r>
        <w:rPr>
          <w:rFonts w:hint="eastAsia" w:ascii="宋体" w:hAnsi="宋体"/>
          <w:color w:val="000000"/>
          <w:szCs w:val="21"/>
          <w:highlight w:val="none"/>
        </w:rPr>
        <w:t xml:space="preserve"> 8.2乙方为了更好地进行服务，满足甲方对服务质量的要求，有权利要求甲方提供合适的工作环境和便利。</w:t>
      </w:r>
    </w:p>
    <w:p w14:paraId="7D93EA9B">
      <w:pPr>
        <w:spacing w:line="570" w:lineRule="exact"/>
        <w:ind w:firstLine="400"/>
        <w:jc w:val="left"/>
        <w:rPr>
          <w:szCs w:val="21"/>
          <w:highlight w:val="none"/>
        </w:rPr>
      </w:pPr>
      <w:r>
        <w:rPr>
          <w:rFonts w:hint="eastAsia" w:ascii="宋体" w:hAnsi="宋体"/>
          <w:color w:val="000000"/>
          <w:szCs w:val="21"/>
          <w:highlight w:val="none"/>
        </w:rPr>
        <w:t>8.3如果由于甲方的责任而造成服务延误或不能达到服务质量的，乙方不承担违约责任。</w:t>
      </w:r>
    </w:p>
    <w:p w14:paraId="5FFA9A5C">
      <w:pPr>
        <w:spacing w:line="570" w:lineRule="exact"/>
        <w:ind w:firstLine="200"/>
        <w:rPr>
          <w:rFonts w:ascii="宋体" w:hAnsi="宋体"/>
          <w:color w:val="000000"/>
          <w:szCs w:val="21"/>
          <w:highlight w:val="none"/>
        </w:rPr>
      </w:pPr>
      <w:r>
        <w:rPr>
          <w:rFonts w:hint="eastAsia" w:ascii="宋体" w:hAnsi="宋体"/>
          <w:color w:val="000000"/>
          <w:szCs w:val="21"/>
          <w:highlight w:val="none"/>
        </w:rPr>
        <w:t xml:space="preserve">  8.4如果乙方确实需要第三方合作才能完成合同规定的服务内容和服务质量的，应事先征得甲方的书面同意，并由乙方承担第三方提供服务的费用。</w:t>
      </w:r>
    </w:p>
    <w:p w14:paraId="34BE770E">
      <w:pPr>
        <w:spacing w:line="570" w:lineRule="exact"/>
        <w:ind w:firstLine="200"/>
        <w:rPr>
          <w:rFonts w:ascii="宋体" w:hAnsi="宋体"/>
          <w:color w:val="000000"/>
          <w:szCs w:val="21"/>
          <w:highlight w:val="none"/>
        </w:rPr>
      </w:pPr>
      <w:r>
        <w:rPr>
          <w:rFonts w:hint="eastAsia" w:ascii="宋体" w:hAnsi="宋体"/>
          <w:color w:val="FF0000"/>
          <w:szCs w:val="21"/>
          <w:highlight w:val="none"/>
        </w:rPr>
        <w:t xml:space="preserve">  </w:t>
      </w:r>
      <w:r>
        <w:rPr>
          <w:rFonts w:hint="eastAsia" w:ascii="宋体" w:hAnsi="宋体"/>
          <w:color w:val="000000"/>
          <w:szCs w:val="21"/>
          <w:highlight w:val="none"/>
        </w:rPr>
        <w:t>8.5乙方派驻人员在提供本项目服务过程中造成当事人或案外人的权益受到损害的，由此产生的一切法律责任由乙方自行承担。</w:t>
      </w:r>
    </w:p>
    <w:p w14:paraId="4EB948DC">
      <w:pPr>
        <w:pStyle w:val="2"/>
        <w:spacing w:line="570" w:lineRule="exact"/>
        <w:ind w:left="0" w:firstLine="0"/>
        <w:rPr>
          <w:rFonts w:ascii="宋体" w:hAnsi="宋体" w:eastAsia="宋体"/>
          <w:b w:val="0"/>
          <w:bCs w:val="0"/>
          <w:color w:val="000000"/>
          <w:sz w:val="21"/>
          <w:szCs w:val="21"/>
          <w:highlight w:val="none"/>
          <w:lang w:val="en-US"/>
        </w:rPr>
      </w:pPr>
      <w:r>
        <w:rPr>
          <w:rFonts w:hint="eastAsia" w:ascii="宋体" w:hAnsi="宋体" w:eastAsia="宋体"/>
          <w:b w:val="0"/>
          <w:bCs w:val="0"/>
          <w:color w:val="000000"/>
          <w:sz w:val="21"/>
          <w:szCs w:val="21"/>
          <w:highlight w:val="none"/>
          <w:lang w:val="en-US"/>
        </w:rPr>
        <w:t xml:space="preserve">    8.6乙方应按法律法规的相关规定及时与服务人员签订劳动或劳务合同，按合同约定及法律法规规定支付服务人员工资、缴纳社保及其他相关费用。</w:t>
      </w:r>
    </w:p>
    <w:p w14:paraId="52D15536">
      <w:pPr>
        <w:pStyle w:val="2"/>
        <w:spacing w:line="570" w:lineRule="exact"/>
        <w:ind w:left="0" w:firstLine="0"/>
        <w:rPr>
          <w:rFonts w:ascii="宋体" w:hAnsi="宋体" w:eastAsia="宋体"/>
          <w:b w:val="0"/>
          <w:bCs w:val="0"/>
          <w:color w:val="000000"/>
          <w:sz w:val="21"/>
          <w:szCs w:val="21"/>
          <w:highlight w:val="none"/>
          <w:lang w:val="en-US"/>
        </w:rPr>
      </w:pPr>
      <w:r>
        <w:rPr>
          <w:rFonts w:hint="eastAsia" w:ascii="宋体" w:hAnsi="宋体" w:eastAsia="宋体"/>
          <w:b w:val="0"/>
          <w:bCs w:val="0"/>
          <w:color w:val="000000"/>
          <w:sz w:val="21"/>
          <w:szCs w:val="21"/>
          <w:highlight w:val="none"/>
          <w:lang w:val="en-US"/>
        </w:rPr>
        <w:t xml:space="preserve">    8.7乙方服务人员在提供本项目服务过程中所发生的安全责任事故及劳动争议，均由乙方自行处理与承担。</w:t>
      </w:r>
    </w:p>
    <w:p w14:paraId="7F227ED3">
      <w:pPr>
        <w:spacing w:line="570" w:lineRule="exact"/>
        <w:rPr>
          <w:rFonts w:ascii="宋体" w:hAnsi="宋体"/>
          <w:b/>
          <w:bCs/>
          <w:color w:val="000000"/>
          <w:szCs w:val="21"/>
          <w:highlight w:val="none"/>
        </w:rPr>
      </w:pPr>
      <w:r>
        <w:rPr>
          <w:rFonts w:hint="eastAsia" w:ascii="宋体" w:hAnsi="宋体"/>
          <w:b/>
          <w:bCs/>
          <w:color w:val="000000"/>
          <w:szCs w:val="21"/>
          <w:highlight w:val="none"/>
        </w:rPr>
        <w:t xml:space="preserve">    9．转包或分包</w:t>
      </w:r>
    </w:p>
    <w:p w14:paraId="23D34607">
      <w:pPr>
        <w:spacing w:line="570" w:lineRule="exact"/>
        <w:ind w:firstLine="400"/>
        <w:rPr>
          <w:rFonts w:ascii="宋体" w:hAnsi="宋体"/>
          <w:color w:val="000000"/>
          <w:szCs w:val="21"/>
          <w:highlight w:val="none"/>
        </w:rPr>
      </w:pPr>
      <w:r>
        <w:rPr>
          <w:rFonts w:hint="eastAsia" w:ascii="宋体" w:hAnsi="宋体"/>
          <w:color w:val="000000"/>
          <w:szCs w:val="21"/>
          <w:highlight w:val="none"/>
        </w:rPr>
        <w:t>9.1本合同范围的服务，应由乙方直接提供，不得转让他人提供。</w:t>
      </w:r>
    </w:p>
    <w:p w14:paraId="6C01367F">
      <w:pPr>
        <w:spacing w:line="570" w:lineRule="exact"/>
        <w:ind w:firstLine="400"/>
        <w:rPr>
          <w:rFonts w:ascii="宋体" w:hAnsi="宋体"/>
          <w:color w:val="000000"/>
          <w:szCs w:val="21"/>
          <w:highlight w:val="none"/>
        </w:rPr>
      </w:pPr>
      <w:r>
        <w:rPr>
          <w:rFonts w:hint="eastAsia" w:ascii="宋体" w:hAnsi="宋体"/>
          <w:color w:val="000000"/>
          <w:szCs w:val="21"/>
          <w:highlight w:val="none"/>
        </w:rPr>
        <w:t>9.2除非得到甲方的书面同意，乙方不得将本合同范围的服务全部或部分分包给他人。</w:t>
      </w:r>
    </w:p>
    <w:p w14:paraId="48142F80">
      <w:pPr>
        <w:spacing w:line="570" w:lineRule="exact"/>
        <w:ind w:firstLine="400"/>
        <w:rPr>
          <w:rFonts w:ascii="宋体" w:hAnsi="宋体"/>
          <w:b/>
          <w:bCs/>
          <w:color w:val="000000"/>
          <w:szCs w:val="21"/>
          <w:highlight w:val="none"/>
        </w:rPr>
      </w:pPr>
      <w:r>
        <w:rPr>
          <w:rFonts w:hint="eastAsia" w:ascii="宋体" w:hAnsi="宋体"/>
          <w:color w:val="000000"/>
          <w:szCs w:val="21"/>
          <w:highlight w:val="none"/>
        </w:rPr>
        <w:t>9.3如有转包和未经甲方同意的分包行为，甲方有权解除合同，并追究乙方的违约责任。</w:t>
      </w:r>
    </w:p>
    <w:p w14:paraId="474EE4EC">
      <w:pPr>
        <w:spacing w:line="570" w:lineRule="exact"/>
        <w:ind w:left="420" w:leftChars="200"/>
        <w:jc w:val="left"/>
        <w:rPr>
          <w:highlight w:val="none"/>
        </w:rPr>
      </w:pPr>
      <w:r>
        <w:rPr>
          <w:rFonts w:hint="eastAsia" w:ascii="宋体" w:hAnsi="宋体"/>
          <w:b/>
          <w:bCs/>
          <w:color w:val="000000"/>
          <w:szCs w:val="21"/>
          <w:highlight w:val="none"/>
        </w:rPr>
        <w:t>10.违约责任</w:t>
      </w:r>
    </w:p>
    <w:p w14:paraId="19361BFB">
      <w:pPr>
        <w:spacing w:line="570" w:lineRule="exact"/>
        <w:ind w:firstLine="400"/>
        <w:rPr>
          <w:rFonts w:ascii="宋体" w:hAnsi="宋体"/>
          <w:color w:val="000000"/>
          <w:szCs w:val="21"/>
          <w:highlight w:val="none"/>
        </w:rPr>
      </w:pPr>
      <w:r>
        <w:rPr>
          <w:rFonts w:hint="eastAsia" w:ascii="宋体" w:hAnsi="宋体"/>
          <w:color w:val="000000"/>
          <w:szCs w:val="21"/>
          <w:highlight w:val="none"/>
        </w:rPr>
        <w:t>10.1如乙方存在以下违约行为，甲方有权提前解除合同，并要求乙方承担合同总价款的20%的违约金，如给甲方造成损失的，还应承担损失的赔偿责任：</w:t>
      </w:r>
    </w:p>
    <w:p w14:paraId="2E8C2C4C">
      <w:pPr>
        <w:spacing w:line="570" w:lineRule="exact"/>
        <w:rPr>
          <w:rFonts w:ascii="宋体" w:hAnsi="宋体"/>
          <w:color w:val="000000"/>
          <w:szCs w:val="21"/>
          <w:highlight w:val="none"/>
        </w:rPr>
      </w:pPr>
      <w:r>
        <w:rPr>
          <w:rFonts w:hint="eastAsia" w:ascii="宋体" w:hAnsi="宋体"/>
          <w:color w:val="000000"/>
          <w:szCs w:val="21"/>
          <w:highlight w:val="none"/>
        </w:rPr>
        <w:t xml:space="preserve">   （1）乙方未能在合同规定的期限或甲方同意延长的期限内提供部分或全部服务。</w:t>
      </w:r>
    </w:p>
    <w:p w14:paraId="79AFFB78">
      <w:pPr>
        <w:spacing w:line="570" w:lineRule="exact"/>
        <w:rPr>
          <w:rFonts w:ascii="宋体" w:hAnsi="宋体"/>
          <w:color w:val="000000"/>
          <w:szCs w:val="21"/>
          <w:highlight w:val="none"/>
        </w:rPr>
      </w:pPr>
      <w:r>
        <w:rPr>
          <w:rFonts w:hint="eastAsia" w:ascii="宋体" w:hAnsi="宋体"/>
          <w:color w:val="000000"/>
          <w:szCs w:val="21"/>
          <w:highlight w:val="none"/>
        </w:rPr>
        <w:t xml:space="preserve">   （2）乙方把项目转包或未经甲方同意把项目分包给第三方。</w:t>
      </w:r>
    </w:p>
    <w:p w14:paraId="03EBE45F">
      <w:pPr>
        <w:spacing w:line="570" w:lineRule="exact"/>
        <w:rPr>
          <w:rFonts w:ascii="宋体" w:hAnsi="宋体"/>
          <w:color w:val="000000"/>
          <w:szCs w:val="21"/>
          <w:highlight w:val="none"/>
        </w:rPr>
      </w:pPr>
      <w:r>
        <w:rPr>
          <w:rFonts w:hint="eastAsia" w:ascii="宋体" w:hAnsi="宋体"/>
          <w:color w:val="000000"/>
          <w:szCs w:val="21"/>
          <w:highlight w:val="none"/>
        </w:rPr>
        <w:t xml:space="preserve">   （3）乙方未能履行本合同规定的其它义务。</w:t>
      </w:r>
    </w:p>
    <w:p w14:paraId="3F8088A9">
      <w:pPr>
        <w:spacing w:line="570" w:lineRule="exact"/>
        <w:ind w:firstLine="400"/>
        <w:rPr>
          <w:rFonts w:ascii="宋体" w:hAnsi="宋体"/>
          <w:color w:val="000000"/>
          <w:szCs w:val="21"/>
          <w:highlight w:val="none"/>
        </w:rPr>
      </w:pPr>
      <w:r>
        <w:rPr>
          <w:rFonts w:hint="eastAsia" w:ascii="宋体" w:hAnsi="宋体"/>
          <w:color w:val="000000"/>
          <w:szCs w:val="21"/>
          <w:highlight w:val="none"/>
        </w:rPr>
        <w:t>10.2甲方无故逾期验收和办理款项支付手续的，甲方应按逾期付款总额每日万分之五的标准向乙方支付违约金，违约金上限为合同总价款的百分之五。</w:t>
      </w:r>
    </w:p>
    <w:p w14:paraId="7062495F">
      <w:pPr>
        <w:pStyle w:val="2"/>
        <w:spacing w:line="570" w:lineRule="exact"/>
        <w:rPr>
          <w:sz w:val="21"/>
          <w:szCs w:val="21"/>
          <w:highlight w:val="none"/>
        </w:rPr>
      </w:pPr>
      <w:r>
        <w:rPr>
          <w:rFonts w:hint="eastAsia" w:ascii="宋体" w:hAnsi="宋体" w:eastAsia="宋体"/>
          <w:color w:val="000000"/>
          <w:sz w:val="21"/>
          <w:szCs w:val="21"/>
          <w:highlight w:val="none"/>
          <w:lang w:val="en-US"/>
        </w:rPr>
        <w:t xml:space="preserve">   </w:t>
      </w:r>
      <w:r>
        <w:rPr>
          <w:rFonts w:hint="eastAsia" w:ascii="宋体" w:hAnsi="宋体"/>
          <w:color w:val="000000"/>
          <w:sz w:val="21"/>
          <w:szCs w:val="21"/>
          <w:highlight w:val="none"/>
          <w:lang w:val="en-US"/>
        </w:rPr>
        <w:t xml:space="preserve"> </w:t>
      </w:r>
      <w:r>
        <w:rPr>
          <w:rFonts w:hint="eastAsia" w:ascii="宋体" w:hAnsi="宋体" w:eastAsia="宋体"/>
          <w:color w:val="000000"/>
          <w:sz w:val="21"/>
          <w:szCs w:val="21"/>
          <w:highlight w:val="none"/>
        </w:rPr>
        <w:t>1</w:t>
      </w:r>
      <w:r>
        <w:rPr>
          <w:rFonts w:hint="eastAsia" w:ascii="宋体" w:hAnsi="宋体" w:eastAsia="宋体"/>
          <w:color w:val="000000"/>
          <w:sz w:val="21"/>
          <w:szCs w:val="21"/>
          <w:highlight w:val="none"/>
          <w:lang w:val="en-US"/>
        </w:rPr>
        <w:t>1</w:t>
      </w:r>
      <w:r>
        <w:rPr>
          <w:rFonts w:hint="eastAsia" w:ascii="宋体" w:hAnsi="宋体" w:eastAsia="宋体"/>
          <w:color w:val="000000"/>
          <w:sz w:val="21"/>
          <w:szCs w:val="21"/>
          <w:highlight w:val="none"/>
        </w:rPr>
        <w:t>．争端的解决</w:t>
      </w:r>
    </w:p>
    <w:p w14:paraId="3D8581EF">
      <w:pPr>
        <w:spacing w:line="570" w:lineRule="exact"/>
        <w:ind w:firstLine="400"/>
        <w:jc w:val="left"/>
        <w:rPr>
          <w:rFonts w:ascii="宋体" w:hAnsi="宋体"/>
          <w:b/>
          <w:bCs/>
          <w:color w:val="000000"/>
          <w:szCs w:val="21"/>
          <w:highlight w:val="none"/>
        </w:rPr>
      </w:pPr>
      <w:r>
        <w:rPr>
          <w:rFonts w:hint="eastAsia"/>
          <w:highlight w:val="none"/>
        </w:rPr>
        <w:t>双方在执行合同中所发生的一切争议，应通过协商解决。如协商不成，可向杭州仲裁委员会提起仲裁。</w:t>
      </w:r>
      <w:r>
        <w:rPr>
          <w:rFonts w:hint="eastAsia" w:ascii="宋体" w:hAnsi="宋体"/>
          <w:b/>
          <w:bCs/>
          <w:color w:val="000000"/>
          <w:szCs w:val="21"/>
          <w:highlight w:val="none"/>
        </w:rPr>
        <w:t xml:space="preserve"> </w:t>
      </w:r>
    </w:p>
    <w:p w14:paraId="4D2A77ED">
      <w:pPr>
        <w:pStyle w:val="2"/>
        <w:spacing w:line="570" w:lineRule="exact"/>
        <w:rPr>
          <w:rFonts w:ascii="宋体" w:hAnsi="宋体" w:eastAsia="宋体" w:cs="宋体"/>
          <w:color w:val="000000"/>
          <w:sz w:val="21"/>
          <w:szCs w:val="21"/>
          <w:highlight w:val="none"/>
          <w:lang w:val="en-US"/>
        </w:rPr>
      </w:pPr>
      <w:r>
        <w:rPr>
          <w:rFonts w:hint="eastAsia" w:ascii="宋体" w:hAnsi="宋体"/>
          <w:color w:val="000000"/>
          <w:sz w:val="21"/>
          <w:szCs w:val="21"/>
          <w:highlight w:val="none"/>
          <w:lang w:val="en-US"/>
        </w:rPr>
        <w:t xml:space="preserve">   </w:t>
      </w:r>
      <w:r>
        <w:rPr>
          <w:rFonts w:hint="eastAsia" w:ascii="宋体" w:hAnsi="宋体" w:eastAsia="宋体" w:cs="宋体"/>
          <w:color w:val="000000"/>
          <w:sz w:val="21"/>
          <w:szCs w:val="21"/>
          <w:highlight w:val="none"/>
          <w:lang w:val="en-US"/>
        </w:rPr>
        <w:t xml:space="preserve"> 12.其他事项</w:t>
      </w:r>
    </w:p>
    <w:p w14:paraId="56111F60">
      <w:pPr>
        <w:spacing w:line="570" w:lineRule="exact"/>
        <w:ind w:firstLine="420" w:firstLineChars="200"/>
        <w:rPr>
          <w:rFonts w:ascii="宋体" w:hAnsi="宋体" w:cs="宋体"/>
          <w:highlight w:val="none"/>
        </w:rPr>
      </w:pPr>
      <w:r>
        <w:rPr>
          <w:rFonts w:hint="eastAsia" w:ascii="宋体" w:hAnsi="宋体" w:cs="宋体"/>
          <w:highlight w:val="none"/>
        </w:rPr>
        <w:t>12.1招标文件、投标文件及评标过程中形成的文字资料、询标纪要均作为本合同的组成部分，具有同等效力。本合同未尽事宜，依据《中华人民共和国民法典》（第三编合同）和《中华人民共和国政府釆购法》的有关规定，双方协商解决。</w:t>
      </w:r>
    </w:p>
    <w:p w14:paraId="5FD91786">
      <w:pPr>
        <w:spacing w:line="57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12.2 甲方因相关政策原因导致不能支付的，则该项目甲乙双方自完成首期费用相应工作量时项目完结，合同自动解除。</w:t>
      </w:r>
    </w:p>
    <w:p w14:paraId="4EF1DA98">
      <w:pPr>
        <w:spacing w:line="570" w:lineRule="exact"/>
        <w:ind w:firstLine="420" w:firstLineChars="200"/>
        <w:rPr>
          <w:highlight w:val="none"/>
        </w:rPr>
      </w:pPr>
      <w:r>
        <w:rPr>
          <w:rFonts w:hint="eastAsia"/>
          <w:highlight w:val="none"/>
        </w:rPr>
        <w:t>12.3 本合同未尽事宜，由甲乙双方另行签署补充协议约定。</w:t>
      </w:r>
    </w:p>
    <w:p w14:paraId="7B1C4750">
      <w:pPr>
        <w:spacing w:line="570" w:lineRule="exact"/>
        <w:ind w:firstLine="422" w:firstLineChars="200"/>
        <w:rPr>
          <w:rFonts w:ascii="宋体" w:hAnsi="宋体"/>
          <w:b/>
          <w:bCs/>
          <w:color w:val="000000"/>
          <w:szCs w:val="21"/>
          <w:highlight w:val="none"/>
        </w:rPr>
      </w:pPr>
      <w:r>
        <w:rPr>
          <w:rFonts w:hint="eastAsia" w:ascii="宋体" w:hAnsi="宋体"/>
          <w:b/>
          <w:bCs/>
          <w:color w:val="000000"/>
          <w:szCs w:val="21"/>
          <w:highlight w:val="none"/>
        </w:rPr>
        <w:t>13.合同生效</w:t>
      </w:r>
    </w:p>
    <w:p w14:paraId="20BFBF0D">
      <w:pPr>
        <w:spacing w:line="570" w:lineRule="exact"/>
        <w:rPr>
          <w:highlight w:val="none"/>
        </w:rPr>
      </w:pPr>
      <w:r>
        <w:rPr>
          <w:rFonts w:hint="eastAsia" w:ascii="宋体" w:hAnsi="宋体"/>
          <w:b/>
          <w:bCs/>
          <w:color w:val="000000"/>
          <w:szCs w:val="21"/>
          <w:highlight w:val="none"/>
        </w:rPr>
        <w:t xml:space="preserve">   </w:t>
      </w:r>
      <w:r>
        <w:rPr>
          <w:rFonts w:hint="eastAsia" w:ascii="宋体" w:hAnsi="宋体"/>
          <w:color w:val="000000"/>
          <w:szCs w:val="21"/>
          <w:highlight w:val="none"/>
        </w:rPr>
        <w:t>13.1本</w:t>
      </w:r>
      <w:r>
        <w:rPr>
          <w:rFonts w:hint="eastAsia"/>
          <w:highlight w:val="none"/>
        </w:rPr>
        <w:t>合同经双方法定代表人或授权代表签字或盖章并加盖单位公章后生效。</w:t>
      </w:r>
    </w:p>
    <w:p w14:paraId="2BC97A3C">
      <w:pPr>
        <w:spacing w:line="570" w:lineRule="exact"/>
        <w:rPr>
          <w:highlight w:val="none"/>
        </w:rPr>
      </w:pPr>
      <w:r>
        <w:rPr>
          <w:rFonts w:hint="eastAsia"/>
          <w:highlight w:val="none"/>
        </w:rPr>
        <w:t xml:space="preserve">   13.2 本合同一式陆份，具有同等法律效力，甲乙双方各执叁份。</w:t>
      </w:r>
    </w:p>
    <w:p w14:paraId="45E38AD5">
      <w:pPr>
        <w:pStyle w:val="2"/>
        <w:spacing w:line="570" w:lineRule="exact"/>
        <w:ind w:left="0" w:leftChars="0" w:firstLine="0" w:firstLineChars="0"/>
        <w:rPr>
          <w:highlight w:val="none"/>
        </w:rPr>
      </w:pPr>
    </w:p>
    <w:p w14:paraId="2D1FF7C2">
      <w:pPr>
        <w:spacing w:line="570" w:lineRule="exact"/>
        <w:jc w:val="left"/>
        <w:rPr>
          <w:rFonts w:ascii="黑体" w:hAnsi="黑体" w:eastAsia="黑体" w:cs="黑体"/>
          <w:b/>
          <w:bCs/>
          <w:color w:val="000000"/>
          <w:szCs w:val="21"/>
          <w:highlight w:val="none"/>
        </w:rPr>
      </w:pPr>
      <w:r>
        <w:rPr>
          <w:rFonts w:hint="eastAsia" w:ascii="黑体" w:hAnsi="黑体" w:eastAsia="黑体" w:cs="黑体"/>
          <w:b/>
          <w:bCs/>
          <w:color w:val="000000"/>
          <w:szCs w:val="21"/>
          <w:highlight w:val="none"/>
        </w:rPr>
        <w:t>签约各方：</w:t>
      </w:r>
    </w:p>
    <w:p w14:paraId="34856BCD">
      <w:pPr>
        <w:pStyle w:val="2"/>
        <w:spacing w:line="570" w:lineRule="exact"/>
        <w:rPr>
          <w:rFonts w:ascii="宋体" w:hAnsi="宋体" w:eastAsia="宋体" w:cs="宋体"/>
          <w:color w:val="000000"/>
          <w:sz w:val="21"/>
          <w:szCs w:val="21"/>
          <w:highlight w:val="none"/>
        </w:rPr>
      </w:pPr>
    </w:p>
    <w:p w14:paraId="3C43C26B">
      <w:pPr>
        <w:spacing w:line="570" w:lineRule="exact"/>
        <w:rPr>
          <w:highlight w:val="none"/>
        </w:rPr>
        <w:sectPr>
          <w:headerReference r:id="rId10" w:type="default"/>
          <w:footerReference r:id="rId11" w:type="default"/>
          <w:type w:val="continuous"/>
          <w:pgSz w:w="11900" w:h="16840"/>
          <w:pgMar w:top="1200" w:right="1360" w:bottom="1200" w:left="1360" w:header="0" w:footer="1200" w:gutter="0"/>
          <w:pgNumType w:fmt="numberInDash"/>
          <w:cols w:space="720" w:num="1"/>
          <w:titlePg/>
          <w:docGrid w:type="lines" w:linePitch="312" w:charSpace="0"/>
        </w:sectPr>
      </w:pPr>
    </w:p>
    <w:p w14:paraId="3E00C6A0">
      <w:pPr>
        <w:spacing w:line="570" w:lineRule="exact"/>
        <w:jc w:val="left"/>
        <w:rPr>
          <w:rFonts w:ascii="宋体" w:hAnsi="宋体" w:cs="宋体"/>
          <w:color w:val="000000"/>
          <w:szCs w:val="21"/>
          <w:highlight w:val="none"/>
        </w:rPr>
      </w:pPr>
      <w:r>
        <w:rPr>
          <w:rFonts w:hint="eastAsia" w:ascii="宋体" w:hAnsi="宋体" w:cs="宋体"/>
          <w:color w:val="000000"/>
          <w:szCs w:val="21"/>
          <w:highlight w:val="none"/>
        </w:rPr>
        <w:t xml:space="preserve">甲方（盖章）：   </w:t>
      </w:r>
    </w:p>
    <w:p w14:paraId="5DC88D19">
      <w:pPr>
        <w:spacing w:line="570" w:lineRule="exact"/>
        <w:jc w:val="left"/>
        <w:rPr>
          <w:rFonts w:ascii="宋体" w:hAnsi="宋体" w:cs="宋体"/>
          <w:color w:val="000000"/>
          <w:szCs w:val="21"/>
          <w:highlight w:val="none"/>
        </w:rPr>
      </w:pPr>
      <w:r>
        <w:rPr>
          <w:rFonts w:hint="eastAsia" w:ascii="宋体" w:hAnsi="宋体" w:cs="宋体"/>
          <w:color w:val="000000"/>
          <w:szCs w:val="21"/>
          <w:highlight w:val="none"/>
        </w:rPr>
        <w:t xml:space="preserve">                   </w:t>
      </w:r>
    </w:p>
    <w:p w14:paraId="61642056">
      <w:pPr>
        <w:spacing w:line="570" w:lineRule="exact"/>
        <w:jc w:val="left"/>
        <w:rPr>
          <w:rFonts w:ascii="宋体" w:hAnsi="宋体" w:cs="宋体"/>
          <w:szCs w:val="21"/>
          <w:highlight w:val="none"/>
        </w:rPr>
      </w:pPr>
      <w:r>
        <w:rPr>
          <w:rFonts w:hint="eastAsia" w:ascii="宋体" w:hAnsi="宋体" w:cs="宋体"/>
          <w:color w:val="000000"/>
          <w:szCs w:val="21"/>
          <w:highlight w:val="none"/>
        </w:rPr>
        <w:t xml:space="preserve">法定代表人或授权委托人（签名）              </w:t>
      </w:r>
    </w:p>
    <w:p w14:paraId="041010F7">
      <w:pPr>
        <w:spacing w:line="570" w:lineRule="exact"/>
        <w:jc w:val="left"/>
        <w:rPr>
          <w:rFonts w:ascii="宋体" w:hAnsi="宋体" w:cs="宋体"/>
          <w:color w:val="000000"/>
          <w:szCs w:val="21"/>
          <w:highlight w:val="none"/>
        </w:rPr>
      </w:pPr>
      <w:r>
        <w:rPr>
          <w:rFonts w:hint="eastAsia" w:ascii="宋体" w:hAnsi="宋体" w:cs="宋体"/>
          <w:szCs w:val="21"/>
          <w:highlight w:val="none"/>
        </w:rPr>
        <w:br w:type="column"/>
      </w:r>
      <w:r>
        <w:rPr>
          <w:rFonts w:hint="eastAsia" w:ascii="宋体" w:hAnsi="宋体" w:cs="宋体"/>
          <w:color w:val="000000"/>
          <w:szCs w:val="21"/>
          <w:highlight w:val="none"/>
        </w:rPr>
        <w:t>乙方（盖章）：</w:t>
      </w:r>
    </w:p>
    <w:p w14:paraId="3F9573D3">
      <w:pPr>
        <w:pStyle w:val="2"/>
        <w:spacing w:line="570" w:lineRule="exact"/>
        <w:rPr>
          <w:highlight w:val="none"/>
        </w:rPr>
      </w:pPr>
    </w:p>
    <w:p w14:paraId="4F67B9C6">
      <w:pPr>
        <w:spacing w:line="570" w:lineRule="exact"/>
        <w:jc w:val="left"/>
        <w:rPr>
          <w:rFonts w:ascii="宋体" w:hAnsi="宋体" w:cs="宋体"/>
          <w:szCs w:val="21"/>
          <w:highlight w:val="none"/>
        </w:rPr>
        <w:sectPr>
          <w:type w:val="continuous"/>
          <w:pgSz w:w="11900" w:h="16840"/>
          <w:pgMar w:top="1200" w:right="1360" w:bottom="1200" w:left="1360" w:header="0" w:footer="1200" w:gutter="0"/>
          <w:pgNumType w:fmt="numberInDash"/>
          <w:cols w:equalWidth="0" w:num="2">
            <w:col w:w="3200" w:space="1440"/>
            <w:col w:w="3300"/>
          </w:cols>
          <w:titlePg/>
          <w:docGrid w:type="lines" w:linePitch="312" w:charSpace="0"/>
        </w:sectPr>
      </w:pPr>
      <w:r>
        <w:rPr>
          <w:rFonts w:hint="eastAsia" w:ascii="宋体" w:hAnsi="宋体" w:cs="宋体"/>
          <w:color w:val="000000"/>
          <w:szCs w:val="21"/>
          <w:highlight w:val="none"/>
        </w:rPr>
        <w:t>法定代表人或授权委托人（签名）</w:t>
      </w:r>
    </w:p>
    <w:p w14:paraId="3E582F8D">
      <w:pPr>
        <w:spacing w:line="570" w:lineRule="exact"/>
        <w:rPr>
          <w:rFonts w:ascii="宋体" w:hAnsi="宋体" w:cs="宋体"/>
          <w:szCs w:val="21"/>
          <w:highlight w:val="none"/>
        </w:rPr>
      </w:pPr>
    </w:p>
    <w:p w14:paraId="707099BA">
      <w:pPr>
        <w:spacing w:line="570" w:lineRule="exact"/>
        <w:jc w:val="left"/>
        <w:rPr>
          <w:rFonts w:ascii="宋体" w:hAnsi="宋体" w:cs="宋体"/>
          <w:szCs w:val="21"/>
          <w:highlight w:val="none"/>
        </w:rPr>
      </w:pPr>
      <w:r>
        <w:rPr>
          <w:rFonts w:hint="eastAsia" w:ascii="宋体" w:hAnsi="宋体" w:cs="宋体"/>
          <w:color w:val="000000"/>
          <w:szCs w:val="21"/>
          <w:highlight w:val="none"/>
        </w:rPr>
        <w:t>时间：</w:t>
      </w:r>
    </w:p>
    <w:p w14:paraId="785D0FF4">
      <w:pPr>
        <w:spacing w:line="570" w:lineRule="exact"/>
        <w:rPr>
          <w:rFonts w:ascii="宋体" w:hAnsi="宋体" w:cs="宋体"/>
          <w:szCs w:val="21"/>
          <w:highlight w:val="none"/>
        </w:rPr>
      </w:pPr>
      <w:r>
        <w:rPr>
          <w:rFonts w:hint="eastAsia" w:ascii="宋体" w:hAnsi="宋体" w:cs="宋体"/>
          <w:szCs w:val="21"/>
          <w:highlight w:val="none"/>
        </w:rPr>
        <w:br w:type="column"/>
      </w:r>
    </w:p>
    <w:p w14:paraId="5A722F1D">
      <w:pPr>
        <w:spacing w:line="570" w:lineRule="exact"/>
        <w:rPr>
          <w:rFonts w:ascii="宋体" w:hAnsi="宋体" w:cs="宋体"/>
          <w:szCs w:val="21"/>
          <w:highlight w:val="none"/>
        </w:rPr>
      </w:pPr>
      <w:r>
        <w:rPr>
          <w:rFonts w:hint="eastAsia" w:ascii="宋体" w:hAnsi="宋体" w:cs="宋体"/>
          <w:color w:val="000000"/>
          <w:szCs w:val="21"/>
          <w:highlight w:val="none"/>
        </w:rPr>
        <w:t>202</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年 月  日</w:t>
      </w:r>
    </w:p>
    <w:p w14:paraId="41308A0A">
      <w:pPr>
        <w:spacing w:line="570" w:lineRule="exact"/>
        <w:rPr>
          <w:rFonts w:ascii="宋体" w:hAnsi="宋体" w:cs="宋体"/>
          <w:szCs w:val="21"/>
          <w:highlight w:val="none"/>
        </w:rPr>
      </w:pPr>
      <w:r>
        <w:rPr>
          <w:rFonts w:hint="eastAsia" w:ascii="宋体" w:hAnsi="宋体" w:cs="宋体"/>
          <w:szCs w:val="21"/>
          <w:highlight w:val="none"/>
        </w:rPr>
        <w:br w:type="column"/>
      </w:r>
    </w:p>
    <w:p w14:paraId="7F1725F4">
      <w:pPr>
        <w:spacing w:line="570" w:lineRule="exact"/>
        <w:jc w:val="left"/>
        <w:rPr>
          <w:rFonts w:ascii="宋体" w:hAnsi="宋体" w:cs="宋体"/>
          <w:szCs w:val="21"/>
          <w:highlight w:val="none"/>
        </w:rPr>
        <w:sectPr>
          <w:type w:val="continuous"/>
          <w:pgSz w:w="11900" w:h="16840"/>
          <w:pgMar w:top="1200" w:right="1360" w:bottom="1200" w:left="1360" w:header="0" w:footer="1200" w:gutter="0"/>
          <w:pgNumType w:fmt="numberInDash"/>
          <w:cols w:equalWidth="0" w:num="3">
            <w:col w:w="720" w:space="140"/>
            <w:col w:w="2100" w:space="1680"/>
            <w:col w:w="3240"/>
          </w:cols>
          <w:titlePg/>
          <w:docGrid w:type="lines" w:linePitch="312" w:charSpace="0"/>
        </w:sectPr>
      </w:pPr>
      <w:r>
        <w:rPr>
          <w:rFonts w:hint="eastAsia" w:ascii="宋体" w:hAnsi="宋体" w:cs="宋体"/>
          <w:color w:val="000000"/>
          <w:szCs w:val="21"/>
          <w:highlight w:val="none"/>
        </w:rPr>
        <w:t>时间：</w:t>
      </w:r>
      <w:r>
        <w:rPr>
          <w:rFonts w:hint="eastAsia" w:ascii="宋体" w:hAnsi="宋体" w:cs="宋体"/>
          <w:color w:val="000000"/>
          <w:szCs w:val="21"/>
          <w:highlight w:val="none"/>
        </w:rPr>
        <w:tab/>
      </w:r>
      <w:r>
        <w:rPr>
          <w:rFonts w:hint="eastAsia" w:ascii="宋体" w:hAnsi="宋体" w:cs="宋体"/>
          <w:color w:val="000000"/>
          <w:szCs w:val="21"/>
          <w:highlight w:val="none"/>
        </w:rPr>
        <w:t>202</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年  月  日</w:t>
      </w:r>
      <w:bookmarkStart w:id="478" w:name="_GoBack"/>
      <w:bookmarkEnd w:id="478"/>
    </w:p>
    <w:p w14:paraId="02AB4CC6">
      <w:pPr>
        <w:pStyle w:val="744"/>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37234AD1">
      <w:pPr>
        <w:spacing w:line="560" w:lineRule="exact"/>
        <w:ind w:firstLine="482" w:firstLineChars="200"/>
        <w:outlineLvl w:val="0"/>
        <w:rPr>
          <w:rFonts w:hint="eastAsia" w:ascii="宋体" w:hAnsi="宋体" w:cs="宋体"/>
          <w:b/>
          <w:color w:val="auto"/>
          <w:sz w:val="24"/>
          <w:highlight w:val="none"/>
        </w:rPr>
      </w:pPr>
      <w:bookmarkStart w:id="395" w:name="_Toc14021"/>
      <w:bookmarkStart w:id="396" w:name="_Toc5228"/>
      <w:bookmarkStart w:id="397" w:name="_Toc31297"/>
      <w:bookmarkStart w:id="398" w:name="_Toc25079"/>
      <w:bookmarkStart w:id="399" w:name="_Toc19680"/>
      <w:r>
        <w:rPr>
          <w:rFonts w:hint="eastAsia" w:ascii="宋体" w:hAnsi="宋体" w:cs="宋体"/>
          <w:b/>
          <w:color w:val="auto"/>
          <w:sz w:val="24"/>
          <w:highlight w:val="none"/>
        </w:rPr>
        <w:t>2.1 定义</w:t>
      </w:r>
      <w:bookmarkEnd w:id="395"/>
      <w:bookmarkEnd w:id="396"/>
      <w:bookmarkEnd w:id="397"/>
      <w:bookmarkEnd w:id="398"/>
      <w:bookmarkEnd w:id="399"/>
    </w:p>
    <w:p w14:paraId="47A7526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4B0E4CE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 “合同”系指采购人和中标供应商签订的载明双方当事人所达成的协议，并包括所有的附件、附录和构成合同的其他文件。</w:t>
      </w:r>
    </w:p>
    <w:p w14:paraId="2C8C5A7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 “合同价”系指根据合同约定，中标供应商在完全履行合同义务后，采购人应支付给中标供应商的价格。</w:t>
      </w:r>
    </w:p>
    <w:p w14:paraId="2432DBA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 “服务”系指中标供应商根据合同约定应向采购人履行的除货物和工程以外的其他政府采购对象，包括采购人自身需要的服务和向社会公众提供的公共服务。</w:t>
      </w:r>
    </w:p>
    <w:p w14:paraId="2D930643">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2.1.4 “甲方”系指与中标供应商签署合同的采购人；采购人委托采购代理机构代表其与乙方签订合同的，采购人的授权委托书作为合同附件。</w:t>
      </w:r>
    </w:p>
    <w:p w14:paraId="48409FC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39C1FBE">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 “现场”系指合同约定提供服务的地点。</w:t>
      </w:r>
    </w:p>
    <w:p w14:paraId="55134396">
      <w:pPr>
        <w:spacing w:line="560" w:lineRule="exact"/>
        <w:ind w:firstLine="482" w:firstLineChars="200"/>
        <w:outlineLvl w:val="0"/>
        <w:rPr>
          <w:rFonts w:hint="eastAsia" w:ascii="宋体" w:hAnsi="宋体" w:cs="宋体"/>
          <w:b/>
          <w:color w:val="auto"/>
          <w:sz w:val="24"/>
          <w:highlight w:val="none"/>
        </w:rPr>
      </w:pPr>
      <w:bookmarkStart w:id="400" w:name="_Toc23289"/>
      <w:bookmarkStart w:id="401" w:name="_Toc16752"/>
      <w:bookmarkStart w:id="402" w:name="_Toc31402"/>
      <w:bookmarkStart w:id="403" w:name="_Toc19539"/>
      <w:bookmarkStart w:id="404" w:name="_Toc3769"/>
      <w:r>
        <w:rPr>
          <w:rFonts w:hint="eastAsia" w:ascii="宋体" w:hAnsi="宋体" w:cs="宋体"/>
          <w:b/>
          <w:color w:val="auto"/>
          <w:sz w:val="24"/>
          <w:highlight w:val="none"/>
        </w:rPr>
        <w:t>2.2 技术规范</w:t>
      </w:r>
      <w:bookmarkEnd w:id="400"/>
      <w:bookmarkEnd w:id="401"/>
      <w:bookmarkEnd w:id="402"/>
      <w:bookmarkEnd w:id="403"/>
      <w:bookmarkEnd w:id="404"/>
    </w:p>
    <w:p w14:paraId="7A2FC0A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A6BFD87">
      <w:pPr>
        <w:spacing w:line="560" w:lineRule="exact"/>
        <w:ind w:firstLine="482" w:firstLineChars="200"/>
        <w:outlineLvl w:val="0"/>
        <w:rPr>
          <w:rFonts w:hint="eastAsia" w:ascii="宋体" w:hAnsi="宋体" w:cs="宋体"/>
          <w:b/>
          <w:color w:val="auto"/>
          <w:sz w:val="24"/>
          <w:highlight w:val="none"/>
        </w:rPr>
      </w:pPr>
      <w:bookmarkStart w:id="405" w:name="_Toc4133"/>
      <w:bookmarkStart w:id="406" w:name="_Toc12412"/>
      <w:bookmarkStart w:id="407" w:name="_Toc27945"/>
      <w:bookmarkStart w:id="408" w:name="_Toc9161"/>
      <w:bookmarkStart w:id="409" w:name="_Toc13673"/>
      <w:r>
        <w:rPr>
          <w:rFonts w:hint="eastAsia" w:ascii="宋体" w:hAnsi="宋体" w:cs="宋体"/>
          <w:b/>
          <w:color w:val="auto"/>
          <w:sz w:val="24"/>
          <w:highlight w:val="none"/>
        </w:rPr>
        <w:t>2.3 知识产权</w:t>
      </w:r>
      <w:bookmarkEnd w:id="405"/>
      <w:bookmarkEnd w:id="406"/>
      <w:bookmarkEnd w:id="407"/>
      <w:bookmarkEnd w:id="408"/>
      <w:bookmarkEnd w:id="409"/>
    </w:p>
    <w:p w14:paraId="05B59E64">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167FCB6E">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2.3.2 合同涉及技术成果的归属和收益的分成办法的，详见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8A74B92">
      <w:pPr>
        <w:spacing w:line="5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2.4 履约检查和问题反馈</w:t>
      </w:r>
    </w:p>
    <w:p w14:paraId="4EDD7B0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0B78AD59">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2.4.2 合同履行期间，甲方有权将履行过程中出现的问题反馈给乙方，双方当事人应以书面形式约定需要完善和改进的内容。</w:t>
      </w:r>
    </w:p>
    <w:p w14:paraId="2DFFDBD4">
      <w:pPr>
        <w:spacing w:line="560" w:lineRule="exact"/>
        <w:ind w:firstLine="482" w:firstLineChars="200"/>
        <w:outlineLvl w:val="0"/>
        <w:rPr>
          <w:rFonts w:hint="eastAsia" w:ascii="宋体" w:hAnsi="宋体" w:cs="宋体"/>
          <w:b/>
          <w:color w:val="auto"/>
          <w:sz w:val="24"/>
          <w:highlight w:val="none"/>
        </w:rPr>
      </w:pPr>
      <w:bookmarkStart w:id="410" w:name="_Toc22011"/>
      <w:bookmarkStart w:id="411" w:name="_Toc31233"/>
      <w:bookmarkStart w:id="412" w:name="_Toc15447"/>
      <w:bookmarkStart w:id="413" w:name="_Toc32670"/>
      <w:bookmarkStart w:id="414" w:name="_Toc26555"/>
      <w:r>
        <w:rPr>
          <w:rFonts w:hint="eastAsia" w:ascii="宋体" w:hAnsi="宋体" w:cs="宋体"/>
          <w:b/>
          <w:color w:val="auto"/>
          <w:sz w:val="24"/>
          <w:highlight w:val="none"/>
        </w:rPr>
        <w:t>2.5 结算方式和付款条件</w:t>
      </w:r>
      <w:bookmarkEnd w:id="410"/>
      <w:bookmarkEnd w:id="411"/>
      <w:bookmarkEnd w:id="412"/>
      <w:bookmarkEnd w:id="413"/>
      <w:bookmarkEnd w:id="414"/>
    </w:p>
    <w:p w14:paraId="0D3A2418">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77A0554">
      <w:pPr>
        <w:spacing w:line="560" w:lineRule="exact"/>
        <w:ind w:firstLine="482" w:firstLineChars="200"/>
        <w:outlineLvl w:val="0"/>
        <w:rPr>
          <w:rFonts w:hint="eastAsia" w:ascii="宋体" w:hAnsi="宋体" w:cs="宋体"/>
          <w:b/>
          <w:color w:val="auto"/>
          <w:sz w:val="24"/>
          <w:highlight w:val="none"/>
        </w:rPr>
      </w:pPr>
      <w:bookmarkStart w:id="415" w:name="_Toc18990"/>
      <w:bookmarkStart w:id="416" w:name="_Toc30507"/>
      <w:bookmarkStart w:id="417" w:name="_Toc13467"/>
      <w:bookmarkStart w:id="418" w:name="_Toc16163"/>
      <w:bookmarkStart w:id="419" w:name="_Toc13154"/>
      <w:r>
        <w:rPr>
          <w:rFonts w:hint="eastAsia" w:ascii="宋体" w:hAnsi="宋体" w:cs="宋体"/>
          <w:b/>
          <w:color w:val="auto"/>
          <w:sz w:val="24"/>
          <w:highlight w:val="none"/>
        </w:rPr>
        <w:t>2.6 技术资料和保密义务</w:t>
      </w:r>
      <w:bookmarkEnd w:id="415"/>
      <w:bookmarkEnd w:id="416"/>
      <w:bookmarkEnd w:id="417"/>
      <w:bookmarkEnd w:id="418"/>
      <w:bookmarkEnd w:id="419"/>
    </w:p>
    <w:p w14:paraId="1A34E228">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16696A4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5897BF8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F06B9B1">
      <w:pPr>
        <w:spacing w:line="560" w:lineRule="exact"/>
        <w:ind w:firstLine="482" w:firstLineChars="200"/>
        <w:outlineLvl w:val="0"/>
        <w:rPr>
          <w:rFonts w:hint="eastAsia" w:ascii="宋体" w:hAnsi="宋体" w:cs="宋体"/>
          <w:b/>
          <w:color w:val="auto"/>
          <w:sz w:val="24"/>
          <w:highlight w:val="none"/>
        </w:rPr>
      </w:pPr>
      <w:bookmarkStart w:id="420" w:name="_Toc19069"/>
      <w:r>
        <w:rPr>
          <w:rFonts w:hint="eastAsia" w:ascii="宋体" w:hAnsi="宋体" w:cs="宋体"/>
          <w:b/>
          <w:color w:val="auto"/>
          <w:sz w:val="24"/>
          <w:highlight w:val="none"/>
        </w:rPr>
        <w:t>2.7 质量保证</w:t>
      </w:r>
      <w:bookmarkEnd w:id="420"/>
    </w:p>
    <w:p w14:paraId="4007194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24CF79F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480903D5">
      <w:pPr>
        <w:spacing w:line="560" w:lineRule="exact"/>
        <w:ind w:firstLine="482" w:firstLineChars="200"/>
        <w:outlineLvl w:val="0"/>
        <w:rPr>
          <w:rFonts w:hint="eastAsia" w:ascii="宋体" w:hAnsi="宋体" w:cs="宋体"/>
          <w:b/>
          <w:color w:val="auto"/>
          <w:sz w:val="24"/>
          <w:highlight w:val="none"/>
        </w:rPr>
      </w:pPr>
      <w:bookmarkStart w:id="421" w:name="_Toc22267"/>
      <w:r>
        <w:rPr>
          <w:rFonts w:hint="eastAsia" w:ascii="宋体" w:hAnsi="宋体" w:cs="宋体"/>
          <w:b/>
          <w:color w:val="auto"/>
          <w:sz w:val="24"/>
          <w:highlight w:val="none"/>
        </w:rPr>
        <w:t>2.8 延迟履行</w:t>
      </w:r>
      <w:bookmarkEnd w:id="421"/>
    </w:p>
    <w:p w14:paraId="1BEAD7C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4A40C530">
      <w:pPr>
        <w:spacing w:line="560" w:lineRule="exact"/>
        <w:ind w:firstLine="482" w:firstLineChars="200"/>
        <w:outlineLvl w:val="0"/>
        <w:rPr>
          <w:rFonts w:hint="eastAsia" w:ascii="宋体" w:hAnsi="宋体" w:cs="宋体"/>
          <w:b/>
          <w:color w:val="auto"/>
          <w:sz w:val="24"/>
          <w:highlight w:val="none"/>
        </w:rPr>
      </w:pPr>
      <w:bookmarkStart w:id="422" w:name="_Toc10611"/>
      <w:r>
        <w:rPr>
          <w:rFonts w:hint="eastAsia" w:ascii="宋体" w:hAnsi="宋体" w:cs="宋体"/>
          <w:b/>
          <w:color w:val="auto"/>
          <w:sz w:val="24"/>
          <w:highlight w:val="none"/>
        </w:rPr>
        <w:t>2.9 合同变更</w:t>
      </w:r>
      <w:bookmarkEnd w:id="422"/>
    </w:p>
    <w:p w14:paraId="11DBC50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32891C0D">
      <w:pPr>
        <w:spacing w:line="560" w:lineRule="exact"/>
        <w:ind w:firstLine="482" w:firstLineChars="200"/>
        <w:outlineLvl w:val="0"/>
        <w:rPr>
          <w:rFonts w:hint="eastAsia" w:ascii="宋体" w:hAnsi="宋体" w:cs="宋体"/>
          <w:b/>
          <w:color w:val="auto"/>
          <w:sz w:val="24"/>
          <w:highlight w:val="none"/>
        </w:rPr>
      </w:pPr>
      <w:bookmarkStart w:id="423" w:name="_Toc21830"/>
      <w:bookmarkStart w:id="424" w:name="_Toc42"/>
      <w:bookmarkStart w:id="425" w:name="_Toc10663"/>
      <w:bookmarkStart w:id="426" w:name="_Toc23368"/>
      <w:bookmarkStart w:id="427" w:name="_Toc26689"/>
      <w:r>
        <w:rPr>
          <w:rFonts w:hint="eastAsia" w:ascii="宋体" w:hAnsi="宋体" w:cs="宋体"/>
          <w:b/>
          <w:color w:val="auto"/>
          <w:sz w:val="24"/>
          <w:highlight w:val="none"/>
        </w:rPr>
        <w:t>2.10 合同转让和分包</w:t>
      </w:r>
      <w:bookmarkEnd w:id="423"/>
      <w:bookmarkEnd w:id="424"/>
      <w:bookmarkEnd w:id="425"/>
      <w:bookmarkEnd w:id="426"/>
      <w:bookmarkEnd w:id="427"/>
    </w:p>
    <w:p w14:paraId="6251048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合同的权利义务依法不得转让</w:t>
      </w:r>
      <w:r>
        <w:rPr>
          <w:rFonts w:hint="eastAsia" w:ascii="宋体" w:hAnsi="宋体" w:cs="宋体"/>
          <w:color w:val="auto"/>
          <w:sz w:val="24"/>
          <w:highlight w:val="none"/>
          <w:lang w:eastAsia="zh-CN"/>
        </w:rPr>
        <w:t>、不得分包</w:t>
      </w:r>
      <w:r>
        <w:rPr>
          <w:rFonts w:hint="eastAsia" w:ascii="宋体" w:hAnsi="宋体" w:cs="宋体"/>
          <w:color w:val="auto"/>
          <w:sz w:val="24"/>
          <w:highlight w:val="none"/>
        </w:rPr>
        <w:t>。</w:t>
      </w:r>
    </w:p>
    <w:p w14:paraId="44E150C0">
      <w:pPr>
        <w:spacing w:line="560" w:lineRule="exact"/>
        <w:ind w:firstLine="482" w:firstLineChars="200"/>
        <w:outlineLvl w:val="0"/>
        <w:rPr>
          <w:rFonts w:hint="eastAsia" w:ascii="宋体" w:hAnsi="宋体" w:cs="宋体"/>
          <w:b/>
          <w:color w:val="auto"/>
          <w:sz w:val="24"/>
          <w:highlight w:val="none"/>
        </w:rPr>
      </w:pPr>
      <w:bookmarkStart w:id="428" w:name="_Toc26633"/>
      <w:bookmarkStart w:id="429" w:name="_Toc25571"/>
      <w:bookmarkStart w:id="430" w:name="_Toc14371"/>
      <w:bookmarkStart w:id="431" w:name="_Toc32494"/>
      <w:bookmarkStart w:id="432" w:name="_Toc4720"/>
      <w:r>
        <w:rPr>
          <w:rFonts w:hint="eastAsia" w:ascii="宋体" w:hAnsi="宋体" w:cs="宋体"/>
          <w:b/>
          <w:color w:val="auto"/>
          <w:sz w:val="24"/>
          <w:highlight w:val="none"/>
        </w:rPr>
        <w:t>2.11 不可抗力</w:t>
      </w:r>
      <w:bookmarkEnd w:id="428"/>
      <w:bookmarkEnd w:id="429"/>
      <w:bookmarkEnd w:id="430"/>
      <w:bookmarkEnd w:id="431"/>
      <w:bookmarkEnd w:id="432"/>
    </w:p>
    <w:p w14:paraId="4696F62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2.11.1如果任何一方遭遇法律规定的不可抗力，致使合同履行受阻时，履行合同的期限应予延长，延长的期限应相当于不可抗力所影响的时间；</w:t>
      </w:r>
    </w:p>
    <w:p w14:paraId="3E181FB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2.11.2 因不可抗力致使不能实现合同目的的，当事人可以解除合同；</w:t>
      </w:r>
    </w:p>
    <w:p w14:paraId="495DBC9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3708F779">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2C083CAD">
      <w:pPr>
        <w:spacing w:line="560" w:lineRule="exact"/>
        <w:ind w:firstLine="482" w:firstLineChars="200"/>
        <w:outlineLvl w:val="0"/>
        <w:rPr>
          <w:rFonts w:hint="eastAsia" w:ascii="宋体" w:hAnsi="宋体" w:cs="宋体"/>
          <w:b/>
          <w:color w:val="auto"/>
          <w:sz w:val="24"/>
          <w:highlight w:val="none"/>
        </w:rPr>
      </w:pPr>
      <w:bookmarkStart w:id="433" w:name="_Toc24465"/>
      <w:bookmarkStart w:id="434" w:name="_Toc14115"/>
      <w:bookmarkStart w:id="435" w:name="_Toc25783"/>
      <w:bookmarkStart w:id="436" w:name="_Toc3638"/>
      <w:bookmarkStart w:id="437" w:name="_Toc23854"/>
      <w:r>
        <w:rPr>
          <w:rFonts w:hint="eastAsia" w:ascii="宋体" w:hAnsi="宋体" w:cs="宋体"/>
          <w:b/>
          <w:color w:val="auto"/>
          <w:sz w:val="24"/>
          <w:highlight w:val="none"/>
        </w:rPr>
        <w:t>2.12 税费</w:t>
      </w:r>
      <w:bookmarkEnd w:id="433"/>
      <w:bookmarkEnd w:id="434"/>
      <w:bookmarkEnd w:id="435"/>
      <w:bookmarkEnd w:id="436"/>
      <w:bookmarkEnd w:id="437"/>
    </w:p>
    <w:p w14:paraId="0222BA09">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与合同有关的一切税费，均按照中华人民共和国法律的相关规定缴纳。</w:t>
      </w:r>
    </w:p>
    <w:p w14:paraId="085B83FB">
      <w:pPr>
        <w:spacing w:line="560" w:lineRule="exact"/>
        <w:ind w:firstLine="482" w:firstLineChars="200"/>
        <w:outlineLvl w:val="0"/>
        <w:rPr>
          <w:rFonts w:hint="eastAsia" w:ascii="宋体" w:hAnsi="宋体" w:cs="宋体"/>
          <w:b/>
          <w:color w:val="auto"/>
          <w:sz w:val="24"/>
          <w:highlight w:val="none"/>
        </w:rPr>
      </w:pPr>
      <w:bookmarkStart w:id="438" w:name="_Toc30105"/>
      <w:bookmarkStart w:id="439" w:name="_Toc25525"/>
      <w:bookmarkStart w:id="440" w:name="_Toc26883"/>
      <w:bookmarkStart w:id="441" w:name="_Toc7315"/>
      <w:bookmarkStart w:id="442" w:name="_Toc14814"/>
      <w:r>
        <w:rPr>
          <w:rFonts w:hint="eastAsia" w:ascii="宋体" w:hAnsi="宋体" w:cs="宋体"/>
          <w:b/>
          <w:color w:val="auto"/>
          <w:sz w:val="24"/>
          <w:highlight w:val="none"/>
        </w:rPr>
        <w:t>2.13 乙方破产</w:t>
      </w:r>
      <w:bookmarkEnd w:id="438"/>
      <w:bookmarkEnd w:id="439"/>
      <w:bookmarkEnd w:id="440"/>
      <w:bookmarkEnd w:id="441"/>
      <w:bookmarkEnd w:id="442"/>
    </w:p>
    <w:p w14:paraId="3F0A611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D7BA623">
      <w:pPr>
        <w:spacing w:line="560" w:lineRule="exact"/>
        <w:ind w:firstLine="482" w:firstLineChars="200"/>
        <w:outlineLvl w:val="0"/>
        <w:rPr>
          <w:rFonts w:hint="eastAsia" w:ascii="宋体" w:hAnsi="宋体" w:cs="宋体"/>
          <w:b/>
          <w:color w:val="auto"/>
          <w:sz w:val="24"/>
          <w:highlight w:val="none"/>
        </w:rPr>
      </w:pPr>
      <w:bookmarkStart w:id="443" w:name="_Toc2016"/>
      <w:bookmarkStart w:id="444" w:name="_Toc1123"/>
      <w:bookmarkStart w:id="445" w:name="_Toc23323"/>
      <w:r>
        <w:rPr>
          <w:rFonts w:hint="eastAsia" w:ascii="宋体" w:hAnsi="宋体" w:cs="宋体"/>
          <w:b/>
          <w:color w:val="auto"/>
          <w:sz w:val="24"/>
          <w:highlight w:val="none"/>
        </w:rPr>
        <w:t>2.14 合同中止、终止</w:t>
      </w:r>
      <w:bookmarkEnd w:id="443"/>
      <w:bookmarkEnd w:id="444"/>
      <w:bookmarkEnd w:id="445"/>
    </w:p>
    <w:p w14:paraId="297C88F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2.14.1 双方当事人不得擅自中止或者终止合同；</w:t>
      </w:r>
    </w:p>
    <w:p w14:paraId="5CC790A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51A344E6">
      <w:pPr>
        <w:spacing w:line="560" w:lineRule="exact"/>
        <w:ind w:firstLine="482" w:firstLineChars="200"/>
        <w:outlineLvl w:val="0"/>
        <w:rPr>
          <w:rFonts w:hint="eastAsia" w:ascii="宋体" w:hAnsi="宋体" w:cs="宋体"/>
          <w:b/>
          <w:color w:val="auto"/>
          <w:sz w:val="24"/>
          <w:highlight w:val="none"/>
        </w:rPr>
      </w:pPr>
      <w:bookmarkStart w:id="446" w:name="_Toc17363"/>
      <w:bookmarkStart w:id="447" w:name="_Toc1969"/>
      <w:bookmarkStart w:id="448" w:name="_Toc14525"/>
      <w:r>
        <w:rPr>
          <w:rFonts w:hint="eastAsia" w:ascii="宋体" w:hAnsi="宋体" w:cs="宋体"/>
          <w:b/>
          <w:color w:val="auto"/>
          <w:sz w:val="24"/>
          <w:highlight w:val="none"/>
        </w:rPr>
        <w:t>2.15 检验和验收</w:t>
      </w:r>
      <w:bookmarkEnd w:id="446"/>
      <w:bookmarkEnd w:id="447"/>
      <w:bookmarkEnd w:id="448"/>
    </w:p>
    <w:p w14:paraId="5F2DA15F">
      <w:pPr>
        <w:tabs>
          <w:tab w:val="left" w:pos="360"/>
          <w:tab w:val="left" w:pos="540"/>
          <w:tab w:val="left" w:pos="1080"/>
        </w:tabs>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2.15.1 乙方按照</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的约定，定期提交服务报告，甲方按照</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的约定进行定期验收；</w:t>
      </w:r>
    </w:p>
    <w:p w14:paraId="74936DCE">
      <w:pPr>
        <w:tabs>
          <w:tab w:val="left" w:pos="360"/>
          <w:tab w:val="left" w:pos="540"/>
          <w:tab w:val="left" w:pos="1080"/>
        </w:tabs>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40B6EDC">
      <w:pPr>
        <w:tabs>
          <w:tab w:val="left" w:pos="360"/>
          <w:tab w:val="left" w:pos="540"/>
          <w:tab w:val="left" w:pos="1080"/>
        </w:tabs>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p w14:paraId="43D83C32">
      <w:pPr>
        <w:spacing w:line="560" w:lineRule="exact"/>
        <w:ind w:firstLine="482" w:firstLineChars="200"/>
        <w:outlineLvl w:val="0"/>
        <w:rPr>
          <w:rFonts w:hint="eastAsia" w:ascii="宋体" w:hAnsi="宋体" w:cs="宋体"/>
          <w:b/>
          <w:color w:val="auto"/>
          <w:sz w:val="24"/>
          <w:highlight w:val="none"/>
        </w:rPr>
      </w:pPr>
      <w:bookmarkStart w:id="449" w:name="_Toc25198"/>
      <w:bookmarkStart w:id="450" w:name="_Toc9808"/>
      <w:bookmarkStart w:id="451" w:name="_Toc12666"/>
      <w:bookmarkStart w:id="452" w:name="_Toc2308"/>
      <w:bookmarkStart w:id="453" w:name="_Toc31892"/>
      <w:r>
        <w:rPr>
          <w:rFonts w:hint="eastAsia" w:ascii="宋体" w:hAnsi="宋体" w:cs="宋体"/>
          <w:b/>
          <w:color w:val="auto"/>
          <w:sz w:val="24"/>
          <w:highlight w:val="none"/>
        </w:rPr>
        <w:t>2.16 通知和送达</w:t>
      </w:r>
      <w:bookmarkEnd w:id="449"/>
      <w:bookmarkEnd w:id="450"/>
      <w:bookmarkEnd w:id="451"/>
      <w:bookmarkEnd w:id="452"/>
      <w:bookmarkEnd w:id="453"/>
    </w:p>
    <w:p w14:paraId="5E745B52">
      <w:pPr>
        <w:spacing w:line="560" w:lineRule="exact"/>
        <w:ind w:firstLine="480" w:firstLineChars="200"/>
        <w:rPr>
          <w:rFonts w:hint="eastAsia" w:ascii="宋体" w:hAnsi="宋体" w:cs="宋体"/>
          <w:color w:val="auto"/>
          <w:sz w:val="24"/>
          <w:highlight w:val="none"/>
        </w:rPr>
      </w:pPr>
      <w:bookmarkStart w:id="454" w:name="_Toc18401"/>
      <w:bookmarkStart w:id="455" w:name="_Toc27674"/>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p>
    <w:p w14:paraId="07CD685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54"/>
      <w:bookmarkEnd w:id="455"/>
    </w:p>
    <w:p w14:paraId="7BD8354A">
      <w:pPr>
        <w:spacing w:line="560" w:lineRule="exact"/>
        <w:ind w:firstLine="482" w:firstLineChars="200"/>
        <w:outlineLvl w:val="0"/>
        <w:rPr>
          <w:rFonts w:hint="eastAsia" w:ascii="宋体" w:hAnsi="宋体" w:cs="宋体"/>
          <w:b/>
          <w:color w:val="auto"/>
          <w:sz w:val="24"/>
          <w:highlight w:val="none"/>
        </w:rPr>
      </w:pPr>
      <w:bookmarkStart w:id="456" w:name="_Toc12254"/>
      <w:bookmarkStart w:id="457" w:name="_Toc27644"/>
      <w:bookmarkStart w:id="458" w:name="_Toc5063"/>
      <w:bookmarkStart w:id="459" w:name="_Toc28906"/>
      <w:bookmarkStart w:id="460" w:name="_Toc20808"/>
      <w:r>
        <w:rPr>
          <w:rFonts w:hint="eastAsia" w:ascii="宋体" w:hAnsi="宋体" w:cs="宋体"/>
          <w:b/>
          <w:color w:val="auto"/>
          <w:sz w:val="24"/>
          <w:highlight w:val="none"/>
        </w:rPr>
        <w:t>2.17 合同使用的文字和适用的法律</w:t>
      </w:r>
      <w:bookmarkEnd w:id="456"/>
      <w:bookmarkEnd w:id="457"/>
      <w:bookmarkEnd w:id="458"/>
      <w:bookmarkEnd w:id="459"/>
      <w:bookmarkEnd w:id="460"/>
    </w:p>
    <w:p w14:paraId="369B78F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2.17.1 合同使用汉语书就、变更和解释；</w:t>
      </w:r>
    </w:p>
    <w:p w14:paraId="347E1B78">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2.17.2 合同适用中华人民共和国法律。</w:t>
      </w:r>
    </w:p>
    <w:p w14:paraId="027B9A12">
      <w:pPr>
        <w:spacing w:line="560" w:lineRule="exact"/>
        <w:ind w:firstLine="482" w:firstLineChars="200"/>
        <w:outlineLvl w:val="0"/>
        <w:rPr>
          <w:rFonts w:hint="eastAsia" w:ascii="宋体" w:hAnsi="宋体" w:cs="宋体"/>
          <w:b/>
          <w:color w:val="auto"/>
          <w:sz w:val="24"/>
          <w:highlight w:val="none"/>
        </w:rPr>
      </w:pPr>
      <w:bookmarkStart w:id="461" w:name="_Toc27127"/>
      <w:bookmarkStart w:id="462" w:name="_Toc1492"/>
      <w:bookmarkStart w:id="463" w:name="_Toc30096"/>
      <w:bookmarkStart w:id="464" w:name="_Toc22266"/>
      <w:bookmarkStart w:id="465" w:name="_Toc27403"/>
      <w:r>
        <w:rPr>
          <w:rFonts w:hint="eastAsia" w:ascii="宋体" w:hAnsi="宋体" w:cs="宋体"/>
          <w:b/>
          <w:color w:val="auto"/>
          <w:sz w:val="24"/>
          <w:highlight w:val="none"/>
        </w:rPr>
        <w:t>2.18 履约保证金</w:t>
      </w:r>
      <w:bookmarkEnd w:id="461"/>
      <w:bookmarkEnd w:id="462"/>
      <w:bookmarkEnd w:id="463"/>
      <w:bookmarkEnd w:id="464"/>
      <w:bookmarkEnd w:id="465"/>
    </w:p>
    <w:p w14:paraId="2219C63E">
      <w:pPr>
        <w:pStyle w:val="478"/>
        <w:spacing w:before="0" w:beforeAutospacing="0" w:after="0" w:afterAutospacing="0" w:line="360" w:lineRule="auto"/>
        <w:ind w:firstLine="420"/>
        <w:rPr>
          <w:rFonts w:hint="eastAsia"/>
          <w:color w:val="auto"/>
          <w:highlight w:val="none"/>
        </w:rPr>
      </w:pPr>
      <w:r>
        <w:rPr>
          <w:rFonts w:hint="eastAsia"/>
          <w:color w:val="auto"/>
          <w:highlight w:val="none"/>
        </w:rPr>
        <w:t>2.18.1 采购文件要求乙方提交履约保证金的，乙方应按</w:t>
      </w:r>
      <w:r>
        <w:rPr>
          <w:rFonts w:hint="eastAsia"/>
          <w:b/>
          <w:i/>
          <w:color w:val="auto"/>
          <w:highlight w:val="none"/>
          <w:u w:val="single"/>
        </w:rPr>
        <w:t>合同专用条款</w:t>
      </w:r>
      <w:r>
        <w:rPr>
          <w:rFonts w:hint="eastAsia"/>
          <w:color w:val="auto"/>
          <w:highlight w:val="none"/>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14:paraId="587BDD5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2.18.2  甲方在项目验收结束后及时退还履约保证金。甲方在项目通过验收之日起</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个工作日内将履约保证金退还乙方，逾期退还的，乙方可要求甲方支付违约金，违约金按每迟延退还一日的应退还而未退还金额的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%计算，最高限额为本合同履约保证金的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 xml:space="preserve">%； </w:t>
      </w:r>
    </w:p>
    <w:p w14:paraId="4287C1AE">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950883A">
      <w:pPr>
        <w:spacing w:line="560" w:lineRule="exact"/>
        <w:ind w:firstLine="480" w:firstLineChars="200"/>
        <w:rPr>
          <w:rFonts w:hint="eastAsia" w:ascii="宋体" w:hAnsi="宋体" w:cs="宋体"/>
          <w:color w:val="auto"/>
          <w:highlight w:val="none"/>
        </w:rPr>
      </w:pPr>
      <w:r>
        <w:rPr>
          <w:rFonts w:hint="eastAsia" w:ascii="宋体" w:hAnsi="宋体" w:cs="宋体"/>
          <w:color w:val="auto"/>
          <w:sz w:val="24"/>
          <w:highlight w:val="none"/>
        </w:rPr>
        <w:t>2.18.4 甲方在乙方履行完合同约定义务事项后及时退还，延迟退还的，应当按照合同约定和法律规定承担相应的赔偿责任。</w:t>
      </w:r>
    </w:p>
    <w:p w14:paraId="66FC2A8F">
      <w:pPr>
        <w:spacing w:line="560" w:lineRule="exact"/>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2.19</w:t>
      </w:r>
      <w:r>
        <w:rPr>
          <w:rFonts w:hint="eastAsia" w:ascii="宋体" w:hAnsi="宋体" w:cs="宋体"/>
          <w:color w:val="auto"/>
          <w:sz w:val="24"/>
          <w:highlight w:val="none"/>
        </w:rPr>
        <w:t>对于因甲方原因导致变更、中止或者终止政府采购合同的，甲方应当依照合同约定对供应商受到的损失予以赔偿或者补偿。</w:t>
      </w:r>
    </w:p>
    <w:p w14:paraId="14942E48">
      <w:pPr>
        <w:spacing w:line="5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2.20合同份数</w:t>
      </w:r>
    </w:p>
    <w:p w14:paraId="48BE2CA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3EE65079">
      <w:pPr>
        <w:spacing w:line="360" w:lineRule="auto"/>
        <w:jc w:val="center"/>
        <w:outlineLvl w:val="0"/>
        <w:rPr>
          <w:rFonts w:hint="eastAsia" w:ascii="宋体" w:hAnsi="宋体" w:cs="宋体"/>
          <w:b/>
          <w:color w:val="auto"/>
          <w:sz w:val="24"/>
          <w:highlight w:val="none"/>
        </w:rPr>
      </w:pPr>
      <w:r>
        <w:rPr>
          <w:rFonts w:hint="eastAsia" w:ascii="宋体" w:hAnsi="宋体" w:cs="宋体"/>
          <w:color w:val="auto"/>
          <w:kern w:val="0"/>
          <w:highlight w:val="none"/>
        </w:rPr>
        <w:br w:type="page"/>
      </w:r>
      <w:bookmarkStart w:id="466" w:name="_Toc331685784"/>
      <w:r>
        <w:rPr>
          <w:rFonts w:hint="eastAsia" w:ascii="宋体" w:hAnsi="宋体" w:cs="宋体"/>
          <w:b/>
          <w:color w:val="auto"/>
          <w:sz w:val="24"/>
          <w:highlight w:val="none"/>
        </w:rPr>
        <w:t xml:space="preserve"> </w:t>
      </w:r>
      <w:bookmarkEnd w:id="466"/>
      <w:r>
        <w:rPr>
          <w:rFonts w:hint="eastAsia" w:ascii="宋体" w:hAnsi="宋体" w:cs="宋体"/>
          <w:b/>
          <w:color w:val="auto"/>
          <w:sz w:val="24"/>
          <w:highlight w:val="none"/>
        </w:rPr>
        <w:t>第三部分  合同专用条款</w:t>
      </w:r>
    </w:p>
    <w:p w14:paraId="538354E7">
      <w:pPr>
        <w:spacing w:line="560" w:lineRule="exact"/>
        <w:ind w:left="-420" w:leftChars="-200" w:right="-420" w:rightChars="-200" w:firstLine="480" w:firstLineChars="200"/>
        <w:rPr>
          <w:rFonts w:hint="eastAsia"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0"/>
        <w:gridCol w:w="8174"/>
      </w:tblGrid>
      <w:tr w14:paraId="2F7ED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0" w:type="dxa"/>
            <w:tcBorders>
              <w:left w:val="single" w:color="auto" w:sz="4" w:space="0"/>
            </w:tcBorders>
            <w:noWrap w:val="0"/>
            <w:vAlign w:val="center"/>
          </w:tcPr>
          <w:p w14:paraId="62857262">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条款号</w:t>
            </w:r>
          </w:p>
        </w:tc>
        <w:tc>
          <w:tcPr>
            <w:tcW w:w="8174" w:type="dxa"/>
            <w:noWrap w:val="0"/>
            <w:vAlign w:val="center"/>
          </w:tcPr>
          <w:p w14:paraId="6AED23D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约定内容</w:t>
            </w:r>
          </w:p>
        </w:tc>
      </w:tr>
      <w:tr w14:paraId="3835F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noWrap w:val="0"/>
            <w:vAlign w:val="center"/>
          </w:tcPr>
          <w:p w14:paraId="7CB1B0A2">
            <w:pPr>
              <w:spacing w:line="360" w:lineRule="auto"/>
              <w:rPr>
                <w:rFonts w:hint="eastAsia" w:ascii="宋体" w:hAnsi="宋体" w:cs="宋体"/>
                <w:color w:val="auto"/>
                <w:sz w:val="24"/>
                <w:highlight w:val="none"/>
              </w:rPr>
            </w:pPr>
            <w:r>
              <w:rPr>
                <w:rFonts w:hint="eastAsia" w:ascii="宋体" w:hAnsi="宋体" w:cs="宋体"/>
                <w:color w:val="auto"/>
                <w:sz w:val="24"/>
                <w:highlight w:val="none"/>
              </w:rPr>
              <w:t>1.4.4</w:t>
            </w:r>
          </w:p>
        </w:tc>
        <w:tc>
          <w:tcPr>
            <w:tcW w:w="8174" w:type="dxa"/>
            <w:noWrap w:val="0"/>
            <w:vAlign w:val="center"/>
          </w:tcPr>
          <w:p w14:paraId="5910F094">
            <w:pPr>
              <w:spacing w:line="360" w:lineRule="auto"/>
              <w:rPr>
                <w:rFonts w:hint="eastAsia" w:ascii="宋体" w:hAnsi="宋体" w:cs="宋体"/>
                <w:color w:val="auto"/>
                <w:sz w:val="24"/>
                <w:highlight w:val="none"/>
              </w:rPr>
            </w:pPr>
          </w:p>
        </w:tc>
      </w:tr>
      <w:tr w14:paraId="099DD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noWrap w:val="0"/>
            <w:vAlign w:val="center"/>
          </w:tcPr>
          <w:p w14:paraId="52217FF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1.5.1 </w:t>
            </w:r>
          </w:p>
        </w:tc>
        <w:tc>
          <w:tcPr>
            <w:tcW w:w="8174" w:type="dxa"/>
            <w:noWrap w:val="0"/>
            <w:vAlign w:val="center"/>
          </w:tcPr>
          <w:p w14:paraId="7C0083B0">
            <w:pPr>
              <w:spacing w:line="360" w:lineRule="auto"/>
              <w:rPr>
                <w:rFonts w:hint="eastAsia" w:ascii="宋体" w:hAnsi="宋体" w:cs="宋体"/>
                <w:color w:val="auto"/>
                <w:sz w:val="24"/>
                <w:highlight w:val="none"/>
              </w:rPr>
            </w:pPr>
          </w:p>
        </w:tc>
      </w:tr>
      <w:tr w14:paraId="00766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noWrap w:val="0"/>
            <w:vAlign w:val="center"/>
          </w:tcPr>
          <w:p w14:paraId="6193BC83">
            <w:pPr>
              <w:spacing w:line="360" w:lineRule="auto"/>
              <w:rPr>
                <w:rFonts w:hint="eastAsia" w:ascii="宋体" w:hAnsi="宋体" w:cs="宋体"/>
                <w:color w:val="auto"/>
                <w:sz w:val="24"/>
                <w:highlight w:val="none"/>
              </w:rPr>
            </w:pPr>
            <w:r>
              <w:rPr>
                <w:rFonts w:hint="eastAsia" w:ascii="宋体" w:hAnsi="宋体" w:cs="宋体"/>
                <w:color w:val="auto"/>
                <w:sz w:val="24"/>
                <w:highlight w:val="none"/>
              </w:rPr>
              <w:t>1.5.2</w:t>
            </w:r>
          </w:p>
        </w:tc>
        <w:tc>
          <w:tcPr>
            <w:tcW w:w="8174" w:type="dxa"/>
            <w:noWrap w:val="0"/>
            <w:vAlign w:val="center"/>
          </w:tcPr>
          <w:p w14:paraId="14D5960A">
            <w:pPr>
              <w:spacing w:line="360" w:lineRule="auto"/>
              <w:rPr>
                <w:rFonts w:hint="eastAsia" w:ascii="宋体" w:hAnsi="宋体" w:cs="宋体"/>
                <w:color w:val="auto"/>
                <w:sz w:val="24"/>
                <w:highlight w:val="none"/>
              </w:rPr>
            </w:pPr>
          </w:p>
        </w:tc>
      </w:tr>
      <w:tr w14:paraId="36BE1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noWrap w:val="0"/>
            <w:vAlign w:val="center"/>
          </w:tcPr>
          <w:p w14:paraId="2FCE21B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1.5.3 </w:t>
            </w:r>
          </w:p>
        </w:tc>
        <w:tc>
          <w:tcPr>
            <w:tcW w:w="8174" w:type="dxa"/>
            <w:noWrap w:val="0"/>
            <w:vAlign w:val="center"/>
          </w:tcPr>
          <w:p w14:paraId="672B6C95">
            <w:pPr>
              <w:spacing w:line="360" w:lineRule="auto"/>
              <w:rPr>
                <w:rFonts w:hint="eastAsia" w:ascii="宋体" w:hAnsi="宋体" w:cs="宋体"/>
                <w:color w:val="auto"/>
                <w:sz w:val="24"/>
                <w:highlight w:val="none"/>
              </w:rPr>
            </w:pPr>
          </w:p>
        </w:tc>
      </w:tr>
      <w:tr w14:paraId="045C7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noWrap w:val="0"/>
            <w:vAlign w:val="center"/>
          </w:tcPr>
          <w:p w14:paraId="0E1F9AC7">
            <w:pPr>
              <w:spacing w:line="360" w:lineRule="auto"/>
              <w:rPr>
                <w:rFonts w:hint="eastAsia" w:ascii="宋体" w:hAnsi="宋体" w:cs="宋体"/>
                <w:color w:val="auto"/>
                <w:sz w:val="24"/>
                <w:highlight w:val="none"/>
              </w:rPr>
            </w:pPr>
            <w:r>
              <w:rPr>
                <w:rFonts w:hint="eastAsia" w:ascii="宋体" w:hAnsi="宋体" w:cs="宋体"/>
                <w:color w:val="auto"/>
                <w:sz w:val="24"/>
                <w:highlight w:val="none"/>
              </w:rPr>
              <w:t>1.6.7</w:t>
            </w:r>
          </w:p>
        </w:tc>
        <w:tc>
          <w:tcPr>
            <w:tcW w:w="8174" w:type="dxa"/>
            <w:noWrap w:val="0"/>
            <w:vAlign w:val="center"/>
          </w:tcPr>
          <w:p w14:paraId="4C7A4324">
            <w:pPr>
              <w:spacing w:line="360" w:lineRule="auto"/>
              <w:rPr>
                <w:rFonts w:hint="eastAsia" w:ascii="宋体" w:hAnsi="宋体" w:cs="宋体"/>
                <w:color w:val="auto"/>
                <w:sz w:val="24"/>
                <w:highlight w:val="none"/>
              </w:rPr>
            </w:pPr>
          </w:p>
        </w:tc>
      </w:tr>
      <w:tr w14:paraId="25388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noWrap w:val="0"/>
            <w:vAlign w:val="center"/>
          </w:tcPr>
          <w:p w14:paraId="28F4D172">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w:t>
            </w:r>
          </w:p>
        </w:tc>
        <w:tc>
          <w:tcPr>
            <w:tcW w:w="8174" w:type="dxa"/>
            <w:noWrap w:val="0"/>
            <w:vAlign w:val="center"/>
          </w:tcPr>
          <w:p w14:paraId="5A7366FD">
            <w:pPr>
              <w:spacing w:line="360" w:lineRule="auto"/>
              <w:rPr>
                <w:rFonts w:hint="eastAsia" w:ascii="宋体" w:hAnsi="宋体" w:cs="宋体"/>
                <w:color w:val="auto"/>
                <w:sz w:val="24"/>
                <w:highlight w:val="none"/>
              </w:rPr>
            </w:pPr>
          </w:p>
        </w:tc>
      </w:tr>
      <w:tr w14:paraId="09BCA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noWrap w:val="0"/>
            <w:vAlign w:val="center"/>
          </w:tcPr>
          <w:p w14:paraId="7EC8B6DE">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1.7.1</w:t>
            </w:r>
          </w:p>
        </w:tc>
        <w:tc>
          <w:tcPr>
            <w:tcW w:w="8174" w:type="dxa"/>
            <w:noWrap w:val="0"/>
            <w:vAlign w:val="center"/>
          </w:tcPr>
          <w:p w14:paraId="4B90EAF9">
            <w:pPr>
              <w:spacing w:line="360" w:lineRule="auto"/>
              <w:rPr>
                <w:rFonts w:hint="eastAsia" w:ascii="宋体" w:hAnsi="宋体" w:cs="宋体"/>
                <w:color w:val="auto"/>
                <w:sz w:val="24"/>
                <w:highlight w:val="none"/>
              </w:rPr>
            </w:pPr>
          </w:p>
        </w:tc>
      </w:tr>
      <w:tr w14:paraId="683BF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noWrap w:val="0"/>
            <w:vAlign w:val="center"/>
          </w:tcPr>
          <w:p w14:paraId="158DCD2F">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1.7.2</w:t>
            </w:r>
          </w:p>
        </w:tc>
        <w:tc>
          <w:tcPr>
            <w:tcW w:w="8174" w:type="dxa"/>
            <w:noWrap w:val="0"/>
            <w:vAlign w:val="center"/>
          </w:tcPr>
          <w:p w14:paraId="15EB66F1">
            <w:pPr>
              <w:spacing w:line="360" w:lineRule="auto"/>
              <w:rPr>
                <w:rFonts w:hint="eastAsia" w:ascii="宋体" w:hAnsi="宋体" w:cs="宋体"/>
                <w:color w:val="auto"/>
                <w:sz w:val="24"/>
                <w:highlight w:val="none"/>
              </w:rPr>
            </w:pPr>
          </w:p>
        </w:tc>
      </w:tr>
      <w:tr w14:paraId="3C72D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noWrap w:val="0"/>
            <w:vAlign w:val="center"/>
          </w:tcPr>
          <w:p w14:paraId="7CFC2E7F">
            <w:pPr>
              <w:spacing w:line="360" w:lineRule="auto"/>
              <w:rPr>
                <w:rFonts w:hint="eastAsia" w:ascii="宋体" w:hAnsi="宋体" w:cs="宋体"/>
                <w:color w:val="auto"/>
                <w:sz w:val="24"/>
                <w:highlight w:val="none"/>
              </w:rPr>
            </w:pPr>
            <w:r>
              <w:rPr>
                <w:rFonts w:hint="eastAsia" w:ascii="宋体" w:hAnsi="宋体" w:cs="宋体"/>
                <w:color w:val="auto"/>
                <w:sz w:val="24"/>
                <w:highlight w:val="none"/>
              </w:rPr>
              <w:t>2.3.2</w:t>
            </w:r>
          </w:p>
        </w:tc>
        <w:tc>
          <w:tcPr>
            <w:tcW w:w="8174" w:type="dxa"/>
            <w:noWrap w:val="0"/>
            <w:vAlign w:val="center"/>
          </w:tcPr>
          <w:p w14:paraId="539D0CAD">
            <w:pPr>
              <w:spacing w:line="360" w:lineRule="auto"/>
              <w:ind w:left="-420" w:leftChars="-200" w:right="-420" w:rightChars="-200" w:firstLine="480" w:firstLineChars="200"/>
              <w:rPr>
                <w:rFonts w:hint="eastAsia" w:ascii="宋体" w:hAnsi="宋体" w:cs="宋体"/>
                <w:color w:val="auto"/>
                <w:sz w:val="24"/>
                <w:highlight w:val="none"/>
              </w:rPr>
            </w:pPr>
          </w:p>
        </w:tc>
      </w:tr>
      <w:tr w14:paraId="7D061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noWrap w:val="0"/>
            <w:vAlign w:val="center"/>
          </w:tcPr>
          <w:p w14:paraId="28521735">
            <w:pPr>
              <w:spacing w:line="360" w:lineRule="auto"/>
              <w:rPr>
                <w:rFonts w:hint="eastAsia" w:ascii="宋体" w:hAnsi="宋体" w:cs="宋体"/>
                <w:color w:val="auto"/>
                <w:sz w:val="24"/>
                <w:highlight w:val="none"/>
              </w:rPr>
            </w:pPr>
            <w:r>
              <w:rPr>
                <w:rFonts w:hint="eastAsia" w:ascii="宋体" w:hAnsi="宋体" w:cs="宋体"/>
                <w:color w:val="auto"/>
                <w:sz w:val="24"/>
                <w:highlight w:val="none"/>
              </w:rPr>
              <w:t>2.5</w:t>
            </w:r>
          </w:p>
        </w:tc>
        <w:tc>
          <w:tcPr>
            <w:tcW w:w="8174" w:type="dxa"/>
            <w:noWrap w:val="0"/>
            <w:vAlign w:val="center"/>
          </w:tcPr>
          <w:p w14:paraId="0A4B186A">
            <w:pPr>
              <w:spacing w:line="360" w:lineRule="auto"/>
              <w:ind w:left="-420" w:leftChars="-200" w:right="-420" w:rightChars="-200" w:firstLine="480" w:firstLineChars="200"/>
              <w:rPr>
                <w:rFonts w:hint="eastAsia" w:ascii="宋体" w:hAnsi="宋体" w:cs="宋体"/>
                <w:color w:val="auto"/>
                <w:sz w:val="24"/>
                <w:highlight w:val="none"/>
              </w:rPr>
            </w:pPr>
          </w:p>
        </w:tc>
      </w:tr>
      <w:tr w14:paraId="0FDB1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noWrap w:val="0"/>
            <w:vAlign w:val="center"/>
          </w:tcPr>
          <w:p w14:paraId="02302A8F">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2.11.3</w:t>
            </w:r>
          </w:p>
        </w:tc>
        <w:tc>
          <w:tcPr>
            <w:tcW w:w="8174" w:type="dxa"/>
            <w:noWrap w:val="0"/>
            <w:vAlign w:val="center"/>
          </w:tcPr>
          <w:p w14:paraId="25151BC7">
            <w:pPr>
              <w:spacing w:line="360" w:lineRule="auto"/>
              <w:rPr>
                <w:rFonts w:hint="eastAsia" w:ascii="宋体" w:hAnsi="宋体" w:cs="宋体"/>
                <w:color w:val="auto"/>
                <w:sz w:val="24"/>
                <w:highlight w:val="none"/>
              </w:rPr>
            </w:pPr>
          </w:p>
        </w:tc>
      </w:tr>
      <w:tr w14:paraId="19551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noWrap w:val="0"/>
            <w:vAlign w:val="top"/>
          </w:tcPr>
          <w:p w14:paraId="2314A57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2.11.4 </w:t>
            </w:r>
          </w:p>
        </w:tc>
        <w:tc>
          <w:tcPr>
            <w:tcW w:w="8174" w:type="dxa"/>
            <w:noWrap w:val="0"/>
            <w:vAlign w:val="top"/>
          </w:tcPr>
          <w:p w14:paraId="13457EB3">
            <w:pPr>
              <w:spacing w:line="360" w:lineRule="auto"/>
              <w:rPr>
                <w:rFonts w:hint="eastAsia" w:ascii="宋体" w:hAnsi="宋体" w:cs="宋体"/>
                <w:color w:val="auto"/>
                <w:sz w:val="24"/>
                <w:highlight w:val="none"/>
              </w:rPr>
            </w:pPr>
          </w:p>
        </w:tc>
      </w:tr>
      <w:tr w14:paraId="22F29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noWrap w:val="0"/>
            <w:vAlign w:val="center"/>
          </w:tcPr>
          <w:p w14:paraId="66096D0B">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2.15.1</w:t>
            </w:r>
          </w:p>
        </w:tc>
        <w:tc>
          <w:tcPr>
            <w:tcW w:w="8174" w:type="dxa"/>
            <w:noWrap w:val="0"/>
            <w:vAlign w:val="center"/>
          </w:tcPr>
          <w:p w14:paraId="2AEF4E23">
            <w:pPr>
              <w:spacing w:line="360" w:lineRule="auto"/>
              <w:rPr>
                <w:rFonts w:hint="eastAsia" w:ascii="宋体" w:hAnsi="宋体" w:cs="宋体"/>
                <w:color w:val="auto"/>
                <w:sz w:val="24"/>
                <w:highlight w:val="none"/>
              </w:rPr>
            </w:pPr>
          </w:p>
        </w:tc>
      </w:tr>
      <w:tr w14:paraId="6109B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noWrap w:val="0"/>
            <w:vAlign w:val="center"/>
          </w:tcPr>
          <w:p w14:paraId="2A6D0278">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2.15.3</w:t>
            </w:r>
          </w:p>
        </w:tc>
        <w:tc>
          <w:tcPr>
            <w:tcW w:w="8174" w:type="dxa"/>
            <w:noWrap w:val="0"/>
            <w:vAlign w:val="center"/>
          </w:tcPr>
          <w:p w14:paraId="2DE765F2">
            <w:pPr>
              <w:spacing w:line="360" w:lineRule="auto"/>
              <w:rPr>
                <w:rFonts w:hint="eastAsia" w:ascii="宋体" w:hAnsi="宋体" w:cs="宋体"/>
                <w:color w:val="auto"/>
                <w:sz w:val="24"/>
                <w:highlight w:val="none"/>
              </w:rPr>
            </w:pPr>
          </w:p>
        </w:tc>
      </w:tr>
      <w:tr w14:paraId="19084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noWrap w:val="0"/>
            <w:vAlign w:val="center"/>
          </w:tcPr>
          <w:p w14:paraId="1C0B04C2">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2.18.1</w:t>
            </w:r>
          </w:p>
        </w:tc>
        <w:tc>
          <w:tcPr>
            <w:tcW w:w="8174" w:type="dxa"/>
            <w:noWrap w:val="0"/>
            <w:vAlign w:val="center"/>
          </w:tcPr>
          <w:p w14:paraId="2FDEDDFE">
            <w:pPr>
              <w:spacing w:line="360" w:lineRule="auto"/>
              <w:rPr>
                <w:rFonts w:hint="eastAsia" w:ascii="宋体" w:hAnsi="宋体" w:cs="宋体"/>
                <w:color w:val="auto"/>
                <w:sz w:val="24"/>
                <w:highlight w:val="none"/>
              </w:rPr>
            </w:pPr>
          </w:p>
        </w:tc>
      </w:tr>
      <w:tr w14:paraId="7D017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0" w:type="dxa"/>
            <w:tcBorders>
              <w:left w:val="single" w:color="auto" w:sz="4" w:space="0"/>
            </w:tcBorders>
            <w:noWrap w:val="0"/>
            <w:vAlign w:val="center"/>
          </w:tcPr>
          <w:p w14:paraId="6F421E2C">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2.18.2</w:t>
            </w:r>
          </w:p>
        </w:tc>
        <w:tc>
          <w:tcPr>
            <w:tcW w:w="8174" w:type="dxa"/>
            <w:noWrap w:val="0"/>
            <w:vAlign w:val="center"/>
          </w:tcPr>
          <w:p w14:paraId="69A0B80A">
            <w:pPr>
              <w:spacing w:line="360" w:lineRule="auto"/>
              <w:rPr>
                <w:rFonts w:hint="eastAsia" w:ascii="宋体" w:hAnsi="宋体" w:cs="宋体"/>
                <w:color w:val="auto"/>
                <w:sz w:val="24"/>
                <w:highlight w:val="none"/>
              </w:rPr>
            </w:pPr>
          </w:p>
        </w:tc>
      </w:tr>
      <w:tr w14:paraId="0A87A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0" w:type="dxa"/>
            <w:tcBorders>
              <w:left w:val="single" w:color="auto" w:sz="4" w:space="0"/>
            </w:tcBorders>
            <w:noWrap w:val="0"/>
            <w:vAlign w:val="top"/>
          </w:tcPr>
          <w:p w14:paraId="75BC7FB2">
            <w:pPr>
              <w:spacing w:line="360" w:lineRule="auto"/>
              <w:rPr>
                <w:rFonts w:hint="eastAsia" w:ascii="宋体" w:hAnsi="宋体" w:cs="宋体"/>
                <w:color w:val="auto"/>
                <w:sz w:val="24"/>
                <w:highlight w:val="none"/>
              </w:rPr>
            </w:pPr>
            <w:r>
              <w:rPr>
                <w:rFonts w:hint="eastAsia" w:ascii="宋体" w:hAnsi="宋体" w:cs="宋体"/>
                <w:color w:val="auto"/>
                <w:sz w:val="24"/>
                <w:highlight w:val="none"/>
              </w:rPr>
              <w:t>2.20</w:t>
            </w:r>
          </w:p>
        </w:tc>
        <w:tc>
          <w:tcPr>
            <w:tcW w:w="8174" w:type="dxa"/>
            <w:noWrap w:val="0"/>
            <w:vAlign w:val="top"/>
          </w:tcPr>
          <w:p w14:paraId="599A1EEB">
            <w:pPr>
              <w:spacing w:line="360" w:lineRule="auto"/>
              <w:rPr>
                <w:rFonts w:hint="eastAsia" w:ascii="宋体" w:hAnsi="宋体" w:cs="宋体"/>
                <w:color w:val="auto"/>
                <w:sz w:val="24"/>
                <w:highlight w:val="none"/>
              </w:rPr>
            </w:pPr>
          </w:p>
        </w:tc>
      </w:tr>
    </w:tbl>
    <w:p w14:paraId="079302A6">
      <w:pPr>
        <w:spacing w:line="384"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40D138AA">
      <w:pPr>
        <w:spacing w:line="360" w:lineRule="auto"/>
        <w:ind w:left="-420" w:leftChars="-200" w:right="-420" w:rightChars="-200" w:firstLine="482" w:firstLineChars="200"/>
        <w:rPr>
          <w:rFonts w:hint="eastAsia" w:ascii="仿宋" w:hAnsi="仿宋" w:eastAsia="仿宋" w:cs="仿宋"/>
          <w:color w:val="auto"/>
          <w:sz w:val="24"/>
          <w:highlight w:val="none"/>
        </w:rPr>
      </w:pPr>
      <w:bookmarkStart w:id="467" w:name="_Toc868"/>
      <w:r>
        <w:rPr>
          <w:rFonts w:hint="eastAsia" w:ascii="宋体" w:hAnsi="宋体" w:cs="宋体"/>
          <w:b/>
          <w:bCs/>
          <w:color w:val="auto"/>
          <w:sz w:val="24"/>
          <w:highlight w:val="none"/>
        </w:rPr>
        <w:t xml:space="preserve"> 此仅为合同书样本，中标单位需根据实际情况和采购人签订相应的合同！</w:t>
      </w:r>
      <w:bookmarkEnd w:id="467"/>
    </w:p>
    <w:p w14:paraId="77BC8C32">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14:paraId="2B05297F">
      <w:pPr>
        <w:widowControl/>
        <w:adjustRightInd/>
        <w:spacing w:line="360" w:lineRule="auto"/>
        <w:ind w:firstLine="643"/>
        <w:jc w:val="center"/>
        <w:rPr>
          <w:rFonts w:hint="eastAsia" w:ascii="仿宋" w:hAnsi="仿宋" w:eastAsia="仿宋" w:cs="仿宋"/>
          <w:b/>
          <w:color w:val="auto"/>
          <w:sz w:val="32"/>
          <w:szCs w:val="32"/>
          <w:highlight w:val="none"/>
        </w:rPr>
      </w:pPr>
    </w:p>
    <w:p w14:paraId="6017BFC9">
      <w:pPr>
        <w:widowControl/>
        <w:adjustRightInd/>
        <w:spacing w:line="360" w:lineRule="auto"/>
        <w:ind w:firstLine="643"/>
        <w:jc w:val="center"/>
        <w:rPr>
          <w:rFonts w:hint="eastAsia" w:ascii="仿宋" w:hAnsi="仿宋" w:eastAsia="仿宋" w:cs="仿宋"/>
          <w:b/>
          <w:color w:val="auto"/>
          <w:sz w:val="32"/>
          <w:szCs w:val="32"/>
          <w:highlight w:val="none"/>
        </w:rPr>
      </w:pPr>
    </w:p>
    <w:p w14:paraId="3CBF641B">
      <w:pPr>
        <w:widowControl/>
        <w:adjustRightInd/>
        <w:spacing w:line="360" w:lineRule="auto"/>
        <w:ind w:firstLine="643"/>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第六部分</w:t>
      </w:r>
      <w:bookmarkEnd w:id="393"/>
      <w:r>
        <w:rPr>
          <w:rFonts w:hint="eastAsia" w:ascii="仿宋" w:hAnsi="仿宋" w:eastAsia="仿宋" w:cs="仿宋"/>
          <w:b/>
          <w:color w:val="auto"/>
          <w:sz w:val="32"/>
          <w:szCs w:val="32"/>
          <w:highlight w:val="none"/>
        </w:rPr>
        <w:t xml:space="preserve"> </w:t>
      </w:r>
      <w:bookmarkEnd w:id="394"/>
      <w:r>
        <w:rPr>
          <w:rFonts w:hint="eastAsia" w:ascii="仿宋" w:hAnsi="仿宋" w:eastAsia="仿宋" w:cs="仿宋"/>
          <w:b/>
          <w:color w:val="auto"/>
          <w:sz w:val="32"/>
          <w:szCs w:val="32"/>
          <w:highlight w:val="none"/>
        </w:rPr>
        <w:t>应提交的有关格式范例</w:t>
      </w:r>
    </w:p>
    <w:p w14:paraId="32296657">
      <w:pPr>
        <w:spacing w:line="360" w:lineRule="auto"/>
        <w:ind w:firstLine="482"/>
        <w:jc w:val="center"/>
        <w:outlineLvl w:val="0"/>
        <w:rPr>
          <w:rFonts w:hint="eastAsia" w:ascii="仿宋" w:hAnsi="仿宋" w:eastAsia="仿宋" w:cs="仿宋"/>
          <w:b/>
          <w:color w:val="auto"/>
          <w:kern w:val="0"/>
          <w:sz w:val="24"/>
          <w:highlight w:val="none"/>
        </w:rPr>
      </w:pPr>
    </w:p>
    <w:p w14:paraId="6FCF9A33">
      <w:pPr>
        <w:spacing w:line="360" w:lineRule="auto"/>
        <w:ind w:firstLine="643"/>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资格文件部分</w:t>
      </w:r>
    </w:p>
    <w:p w14:paraId="0991810B">
      <w:pPr>
        <w:spacing w:line="360" w:lineRule="auto"/>
        <w:ind w:firstLine="482"/>
        <w:jc w:val="center"/>
        <w:outlineLvl w:val="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目录</w:t>
      </w:r>
    </w:p>
    <w:p w14:paraId="78172649">
      <w:pPr>
        <w:spacing w:line="360" w:lineRule="auto"/>
        <w:ind w:firstLine="482"/>
        <w:jc w:val="center"/>
        <w:outlineLvl w:val="0"/>
        <w:rPr>
          <w:rFonts w:hint="eastAsia" w:ascii="仿宋" w:hAnsi="仿宋" w:eastAsia="仿宋" w:cs="仿宋"/>
          <w:b/>
          <w:color w:val="auto"/>
          <w:kern w:val="0"/>
          <w:sz w:val="24"/>
          <w:highlight w:val="none"/>
        </w:rPr>
      </w:pPr>
    </w:p>
    <w:p w14:paraId="0787EA4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449472A4">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（2）联合协议</w:t>
      </w:r>
      <w:r>
        <w:rPr>
          <w:rFonts w:hint="eastAsia" w:ascii="仿宋" w:hAnsi="仿宋" w:eastAsia="仿宋" w:cs="仿宋"/>
          <w:color w:val="auto"/>
          <w:sz w:val="24"/>
          <w:highlight w:val="none"/>
        </w:rPr>
        <w:t>………………………………………………………………（页码）</w:t>
      </w:r>
    </w:p>
    <w:p w14:paraId="6336EAB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5F51B0C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57721A47">
      <w:pPr>
        <w:pStyle w:val="2"/>
        <w:rPr>
          <w:rFonts w:hint="eastAsia" w:ascii="仿宋" w:hAnsi="仿宋" w:eastAsia="仿宋" w:cs="仿宋"/>
          <w:b w:val="0"/>
          <w:bCs w:val="0"/>
          <w:highlight w:val="none"/>
          <w:lang w:eastAsia="zh-CN"/>
        </w:rPr>
      </w:pP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5</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kern w:val="2"/>
          <w:sz w:val="24"/>
          <w:szCs w:val="24"/>
          <w:highlight w:val="none"/>
          <w:lang w:val="en-US" w:eastAsia="zh-CN" w:bidi="ar-SA"/>
        </w:rPr>
        <w:t>提供法人或者其他组织机构的营业执照（扫描件或复印件加盖公章）或事业法人登记证书或其他工商等登记证明材料</w:t>
      </w:r>
      <w:r>
        <w:rPr>
          <w:rFonts w:hint="eastAsia" w:ascii="仿宋" w:hAnsi="仿宋" w:eastAsia="仿宋" w:cs="仿宋"/>
          <w:b w:val="0"/>
          <w:bCs w:val="0"/>
          <w:color w:val="auto"/>
          <w:sz w:val="24"/>
          <w:highlight w:val="none"/>
        </w:rPr>
        <w:t>…………………………………………（页码）</w:t>
      </w:r>
    </w:p>
    <w:p w14:paraId="267C9FF4">
      <w:pPr>
        <w:snapToGrid w:val="0"/>
        <w:spacing w:line="360" w:lineRule="auto"/>
        <w:ind w:firstLine="480" w:firstLineChars="200"/>
        <w:rPr>
          <w:rFonts w:hint="eastAsia" w:ascii="仿宋" w:hAnsi="仿宋" w:eastAsia="仿宋" w:cs="仿宋"/>
          <w:color w:val="auto"/>
          <w:sz w:val="24"/>
          <w:highlight w:val="none"/>
        </w:rPr>
      </w:pPr>
    </w:p>
    <w:p w14:paraId="749506F7">
      <w:pPr>
        <w:spacing w:line="360" w:lineRule="auto"/>
        <w:ind w:firstLine="480" w:firstLineChars="200"/>
        <w:rPr>
          <w:rFonts w:hint="eastAsia" w:ascii="仿宋" w:hAnsi="仿宋" w:eastAsia="仿宋" w:cs="仿宋"/>
          <w:color w:val="auto"/>
          <w:sz w:val="24"/>
          <w:highlight w:val="none"/>
        </w:rPr>
      </w:pPr>
    </w:p>
    <w:p w14:paraId="02680F37">
      <w:pPr>
        <w:snapToGrid w:val="0"/>
        <w:spacing w:line="360" w:lineRule="auto"/>
        <w:ind w:right="480"/>
        <w:jc w:val="center"/>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24"/>
          <w:highlight w:val="none"/>
        </w:rPr>
        <w:t xml:space="preserve"> </w:t>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286867B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w:t>
      </w:r>
      <w:r>
        <w:rPr>
          <w:rFonts w:hint="eastAsia" w:ascii="仿宋" w:hAnsi="仿宋" w:eastAsia="仿宋" w:cs="仿宋"/>
          <w:color w:val="auto"/>
          <w:sz w:val="24"/>
          <w:highlight w:val="none"/>
          <w:lang w:eastAsia="zh-CN"/>
        </w:rPr>
        <w:t>杭州市余杭区司法局</w:t>
      </w:r>
      <w:r>
        <w:rPr>
          <w:rFonts w:hint="eastAsia" w:ascii="仿宋" w:hAnsi="仿宋" w:eastAsia="仿宋" w:cs="仿宋"/>
          <w:color w:val="auto"/>
          <w:sz w:val="24"/>
          <w:highlight w:val="none"/>
        </w:rPr>
        <w:t xml:space="preserve"> 、海标工程管理有限公司：</w:t>
      </w:r>
    </w:p>
    <w:p w14:paraId="014E59E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2025年区级人民调解案件化解服务</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HBZFCG-2025-013</w:t>
      </w:r>
      <w:r>
        <w:rPr>
          <w:rFonts w:hint="eastAsia" w:ascii="仿宋" w:hAnsi="仿宋" w:eastAsia="仿宋" w:cs="仿宋"/>
          <w:color w:val="auto"/>
          <w:sz w:val="24"/>
          <w:highlight w:val="none"/>
        </w:rPr>
        <w:t>】政府采购活动，郑重承诺：</w:t>
      </w:r>
    </w:p>
    <w:p w14:paraId="4DF69A76">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4262B69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7B0ED5C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0C4F2F3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4074168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79782CC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494FA53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31B5C46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15662C0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4851FE9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490B2D2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50427A3B">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17B781F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205E14DC">
      <w:pPr>
        <w:snapToGrid w:val="0"/>
        <w:spacing w:line="360" w:lineRule="auto"/>
        <w:ind w:right="480" w:firstLine="482"/>
        <w:jc w:val="center"/>
        <w:rPr>
          <w:rFonts w:hint="eastAsia" w:ascii="仿宋" w:hAnsi="仿宋" w:eastAsia="仿宋" w:cs="仿宋"/>
          <w:b/>
          <w:color w:val="auto"/>
          <w:kern w:val="0"/>
          <w:sz w:val="24"/>
          <w:highlight w:val="none"/>
        </w:rPr>
      </w:pPr>
    </w:p>
    <w:p w14:paraId="1D01597A">
      <w:pPr>
        <w:snapToGrid w:val="0"/>
        <w:spacing w:line="360" w:lineRule="auto"/>
        <w:ind w:right="480" w:firstLine="482"/>
        <w:jc w:val="center"/>
        <w:rPr>
          <w:rFonts w:hint="eastAsia" w:ascii="仿宋" w:hAnsi="仿宋" w:eastAsia="仿宋" w:cs="仿宋"/>
          <w:b/>
          <w:color w:val="auto"/>
          <w:kern w:val="0"/>
          <w:sz w:val="24"/>
          <w:highlight w:val="none"/>
        </w:rPr>
      </w:pPr>
    </w:p>
    <w:p w14:paraId="64064137">
      <w:pPr>
        <w:snapToGrid w:val="0"/>
        <w:spacing w:line="360" w:lineRule="auto"/>
        <w:ind w:right="480" w:firstLine="482"/>
        <w:jc w:val="center"/>
        <w:rPr>
          <w:rFonts w:hint="eastAsia" w:ascii="仿宋" w:hAnsi="仿宋" w:eastAsia="仿宋" w:cs="仿宋"/>
          <w:b/>
          <w:color w:val="auto"/>
          <w:kern w:val="0"/>
          <w:sz w:val="24"/>
          <w:highlight w:val="none"/>
        </w:rPr>
      </w:pPr>
    </w:p>
    <w:p w14:paraId="546DC505">
      <w:pPr>
        <w:spacing w:line="360" w:lineRule="auto"/>
        <w:rPr>
          <w:rFonts w:hint="eastAsia" w:ascii="仿宋" w:hAnsi="仿宋" w:eastAsia="仿宋" w:cs="仿宋"/>
          <w:color w:val="auto"/>
          <w:sz w:val="24"/>
          <w:highlight w:val="none"/>
        </w:rPr>
      </w:pPr>
    </w:p>
    <w:p w14:paraId="5485FC33">
      <w:pPr>
        <w:snapToGrid w:val="0"/>
        <w:spacing w:line="360" w:lineRule="auto"/>
        <w:ind w:right="480" w:firstLine="482"/>
        <w:jc w:val="center"/>
        <w:rPr>
          <w:rFonts w:hint="eastAsia" w:ascii="仿宋" w:hAnsi="仿宋" w:eastAsia="仿宋" w:cs="仿宋"/>
          <w:b/>
          <w:color w:val="auto"/>
          <w:kern w:val="0"/>
          <w:sz w:val="24"/>
          <w:highlight w:val="none"/>
        </w:rPr>
      </w:pPr>
    </w:p>
    <w:p w14:paraId="3014A0F3">
      <w:pPr>
        <w:snapToGrid w:val="0"/>
        <w:spacing w:line="360" w:lineRule="auto"/>
        <w:ind w:right="480" w:firstLine="482"/>
        <w:jc w:val="center"/>
        <w:rPr>
          <w:rFonts w:hint="eastAsia" w:ascii="仿宋" w:hAnsi="仿宋" w:eastAsia="仿宋" w:cs="仿宋"/>
          <w:b/>
          <w:color w:val="auto"/>
          <w:kern w:val="0"/>
          <w:sz w:val="24"/>
          <w:highlight w:val="none"/>
        </w:rPr>
      </w:pPr>
    </w:p>
    <w:p w14:paraId="684021D8">
      <w:pPr>
        <w:snapToGrid w:val="0"/>
        <w:spacing w:line="360" w:lineRule="auto"/>
        <w:ind w:right="480" w:firstLine="482"/>
        <w:jc w:val="center"/>
        <w:rPr>
          <w:rFonts w:hint="eastAsia" w:ascii="仿宋" w:hAnsi="仿宋" w:eastAsia="仿宋" w:cs="仿宋"/>
          <w:b/>
          <w:color w:val="auto"/>
          <w:kern w:val="0"/>
          <w:sz w:val="24"/>
          <w:highlight w:val="none"/>
        </w:rPr>
      </w:pPr>
    </w:p>
    <w:p w14:paraId="0EC8D4C7">
      <w:pPr>
        <w:widowControl/>
        <w:adjustRightInd/>
        <w:spacing w:line="360" w:lineRule="auto"/>
        <w:ind w:firstLine="482"/>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br w:type="page"/>
      </w:r>
    </w:p>
    <w:p w14:paraId="24A701AF">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08F97A7E">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3ED02FE1">
      <w:pPr>
        <w:snapToGrid w:val="0"/>
        <w:spacing w:line="360" w:lineRule="auto"/>
        <w:ind w:right="480" w:firstLine="482"/>
        <w:jc w:val="center"/>
        <w:rPr>
          <w:rFonts w:hint="eastAsia" w:ascii="仿宋" w:hAnsi="仿宋" w:eastAsia="仿宋" w:cs="仿宋"/>
          <w:b/>
          <w:color w:val="auto"/>
          <w:kern w:val="0"/>
          <w:sz w:val="24"/>
          <w:highlight w:val="none"/>
        </w:rPr>
      </w:pPr>
    </w:p>
    <w:p w14:paraId="366E51DB">
      <w:pPr>
        <w:snapToGrid w:val="0"/>
        <w:spacing w:line="360" w:lineRule="auto"/>
        <w:ind w:right="480" w:firstLine="482"/>
        <w:jc w:val="center"/>
        <w:rPr>
          <w:rFonts w:hint="eastAsia" w:ascii="仿宋" w:hAnsi="仿宋" w:eastAsia="仿宋" w:cs="仿宋"/>
          <w:b/>
          <w:color w:val="auto"/>
          <w:kern w:val="0"/>
          <w:sz w:val="24"/>
          <w:highlight w:val="none"/>
        </w:rPr>
      </w:pPr>
    </w:p>
    <w:p w14:paraId="1B396A4C">
      <w:pPr>
        <w:snapToGrid w:val="0"/>
        <w:spacing w:line="360" w:lineRule="auto"/>
        <w:ind w:right="480" w:firstLine="643"/>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4581254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69189E57">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622BD607">
      <w:pPr>
        <w:widowControl/>
        <w:spacing w:line="360" w:lineRule="auto"/>
        <w:ind w:firstLine="480"/>
        <w:jc w:val="left"/>
        <w:rPr>
          <w:rFonts w:hint="eastAsia" w:ascii="仿宋" w:hAnsi="仿宋" w:eastAsia="仿宋" w:cs="仿宋"/>
          <w:color w:val="auto"/>
          <w:sz w:val="24"/>
          <w:highlight w:val="none"/>
        </w:rPr>
      </w:pPr>
    </w:p>
    <w:p w14:paraId="3FF3337B">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5F1D2581">
      <w:pPr>
        <w:snapToGrid w:val="0"/>
        <w:spacing w:before="50" w:after="50" w:line="360" w:lineRule="auto"/>
        <w:ind w:firstLine="482"/>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3EF049C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04E2346F">
      <w:pPr>
        <w:widowControl/>
        <w:spacing w:line="360" w:lineRule="auto"/>
        <w:ind w:left="150" w:firstLine="482"/>
        <w:jc w:val="center"/>
        <w:rPr>
          <w:rFonts w:hint="eastAsia" w:ascii="仿宋" w:hAnsi="仿宋" w:eastAsia="仿宋" w:cs="仿宋"/>
          <w:b/>
          <w:color w:val="auto"/>
          <w:kern w:val="0"/>
          <w:sz w:val="24"/>
          <w:highlight w:val="none"/>
        </w:rPr>
      </w:pPr>
    </w:p>
    <w:p w14:paraId="5D4AF1CB">
      <w:pPr>
        <w:widowControl/>
        <w:spacing w:line="360" w:lineRule="auto"/>
        <w:ind w:left="150" w:firstLine="643"/>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5DBBED8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68401C36">
      <w:pPr>
        <w:pStyle w:val="2"/>
        <w:ind w:left="664" w:leftChars="316" w:firstLine="470" w:firstLineChars="195"/>
        <w:rPr>
          <w:rFonts w:hint="eastAsia" w:ascii="宋体" w:hAnsi="宋体" w:cs="宋体"/>
          <w:b/>
          <w:bCs/>
          <w:color w:val="auto"/>
          <w:sz w:val="24"/>
          <w:highlight w:val="none"/>
        </w:rPr>
      </w:pPr>
      <w:r>
        <w:rPr>
          <w:rFonts w:hint="eastAsia" w:ascii="宋体" w:hAnsi="宋体" w:cs="宋体"/>
          <w:b/>
          <w:bCs/>
          <w:color w:val="auto"/>
          <w:sz w:val="24"/>
          <w:highlight w:val="none"/>
        </w:rPr>
        <w:t>根据司法通［2020］72号、浙财行[2018]32</w:t>
      </w:r>
      <w:r>
        <w:rPr>
          <w:rFonts w:hint="eastAsia" w:ascii="宋体" w:hAnsi="宋体" w:cs="宋体"/>
          <w:b/>
          <w:bCs/>
          <w:color w:val="auto"/>
          <w:sz w:val="24"/>
          <w:highlight w:val="none"/>
          <w:lang w:eastAsia="zh-CN"/>
        </w:rPr>
        <w:t>规定：</w:t>
      </w:r>
      <w:r>
        <w:rPr>
          <w:rFonts w:hint="eastAsia" w:ascii="宋体" w:hAnsi="宋体" w:cs="宋体"/>
          <w:b/>
          <w:bCs/>
          <w:color w:val="auto"/>
          <w:sz w:val="24"/>
          <w:highlight w:val="none"/>
        </w:rPr>
        <w:t>承接政府购买人民调解服务的主体原则上应为依法登记成立，并经司法行政部门备案的具有从事纠纷调处条件的人民调解协会以及品牌人民调解工作室等社会组织</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依法登记成立的社会组织是根据《民办非企业单位登记管理暂行条例》第二条、第三条规定。提供符合上述资格要求的证明材料。</w:t>
      </w:r>
    </w:p>
    <w:p w14:paraId="26DE1F25">
      <w:pPr>
        <w:rPr>
          <w:rFonts w:hint="eastAsia"/>
          <w:highlight w:val="none"/>
          <w:lang w:val="en-US" w:eastAsia="zh-CN"/>
        </w:rPr>
      </w:pPr>
    </w:p>
    <w:p w14:paraId="16AE8509">
      <w:pPr>
        <w:pStyle w:val="2"/>
        <w:rPr>
          <w:rFonts w:hint="eastAsia"/>
          <w:highlight w:val="none"/>
        </w:rPr>
      </w:pPr>
      <w:r>
        <w:rPr>
          <w:rFonts w:hint="eastAsia" w:ascii="仿宋" w:eastAsia="仿宋" w:cs="仿宋"/>
          <w:b/>
          <w:bCs/>
          <w:color w:val="auto"/>
          <w:kern w:val="2"/>
          <w:sz w:val="24"/>
          <w:szCs w:val="24"/>
          <w:highlight w:val="none"/>
          <w:lang w:val="en-US" w:eastAsia="zh-CN" w:bidi="ar-SA"/>
        </w:rPr>
        <w:t>五、</w:t>
      </w:r>
      <w:r>
        <w:rPr>
          <w:rFonts w:hint="eastAsia" w:ascii="仿宋" w:hAnsi="仿宋" w:eastAsia="仿宋" w:cs="仿宋"/>
          <w:b/>
          <w:bCs/>
          <w:color w:val="auto"/>
          <w:kern w:val="2"/>
          <w:sz w:val="24"/>
          <w:szCs w:val="24"/>
          <w:highlight w:val="none"/>
          <w:lang w:val="en-US" w:eastAsia="zh-CN" w:bidi="ar-SA"/>
        </w:rPr>
        <w:t>提供法人或者其他组织机构的营业执照（扫描件或复印件加盖公章）或事业法人登记证书或其他工商等登记证明材料</w:t>
      </w:r>
    </w:p>
    <w:p w14:paraId="7B2AA146">
      <w:pPr>
        <w:spacing w:line="360" w:lineRule="auto"/>
        <w:rPr>
          <w:rFonts w:hint="eastAsia" w:ascii="仿宋" w:hAnsi="仿宋" w:eastAsia="仿宋" w:cs="仿宋"/>
          <w:color w:val="auto"/>
          <w:sz w:val="24"/>
          <w:highlight w:val="none"/>
        </w:rPr>
      </w:pPr>
    </w:p>
    <w:p w14:paraId="001E091B">
      <w:pPr>
        <w:snapToGrid w:val="0"/>
        <w:spacing w:line="360" w:lineRule="auto"/>
        <w:ind w:right="480" w:firstLine="482"/>
        <w:jc w:val="center"/>
        <w:rPr>
          <w:rFonts w:hint="eastAsia" w:ascii="仿宋" w:hAnsi="仿宋" w:eastAsia="仿宋" w:cs="仿宋"/>
          <w:b/>
          <w:color w:val="auto"/>
          <w:kern w:val="0"/>
          <w:sz w:val="24"/>
          <w:highlight w:val="none"/>
        </w:rPr>
      </w:pPr>
    </w:p>
    <w:p w14:paraId="10046451">
      <w:pPr>
        <w:widowControl/>
        <w:adjustRightInd/>
        <w:spacing w:line="360" w:lineRule="auto"/>
        <w:ind w:firstLine="482"/>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br w:type="page"/>
      </w:r>
    </w:p>
    <w:p w14:paraId="0D9031EA">
      <w:pPr>
        <w:spacing w:line="360" w:lineRule="auto"/>
        <w:ind w:right="420" w:firstLine="643"/>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商务技术文件部分</w:t>
      </w:r>
    </w:p>
    <w:p w14:paraId="168C9B9B">
      <w:pPr>
        <w:spacing w:line="360" w:lineRule="auto"/>
        <w:ind w:firstLine="482"/>
        <w:jc w:val="center"/>
        <w:outlineLvl w:val="0"/>
        <w:rPr>
          <w:rFonts w:hint="eastAsia" w:ascii="仿宋" w:hAnsi="仿宋" w:eastAsia="仿宋" w:cs="仿宋"/>
          <w:b/>
          <w:color w:val="auto"/>
          <w:kern w:val="0"/>
          <w:sz w:val="24"/>
          <w:highlight w:val="none"/>
        </w:rPr>
      </w:pPr>
    </w:p>
    <w:p w14:paraId="319745DC">
      <w:pPr>
        <w:spacing w:line="360" w:lineRule="auto"/>
        <w:ind w:firstLine="643"/>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目录</w:t>
      </w:r>
    </w:p>
    <w:p w14:paraId="2BFC6C5D">
      <w:pPr>
        <w:numPr>
          <w:ilvl w:val="0"/>
          <w:numId w:val="4"/>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投标函……………………………………………………………………………（页码）</w:t>
      </w:r>
    </w:p>
    <w:p w14:paraId="418E8893">
      <w:pPr>
        <w:numPr>
          <w:ilvl w:val="0"/>
          <w:numId w:val="4"/>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授权委托书或法定代表人（单位负责人、自然人本人）身份证明…………（页码）</w:t>
      </w:r>
    </w:p>
    <w:p w14:paraId="7C6B1E1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（3）分包意向协议……………………………………………………………………（页码）</w:t>
      </w:r>
    </w:p>
    <w:p w14:paraId="533435D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（4）符合性审查资料…………………………………………………………………（页码）</w:t>
      </w:r>
    </w:p>
    <w:p w14:paraId="6D1E9CD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（5）评标标准相应的商务技术资料…………………………………………………（页码）</w:t>
      </w:r>
    </w:p>
    <w:p w14:paraId="38AD440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（6）投标标的清单……………………………………………………………………（页码）</w:t>
      </w:r>
    </w:p>
    <w:p w14:paraId="491E215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（7）商务技术偏离表…………………………………………………………………（页码）</w:t>
      </w:r>
    </w:p>
    <w:p w14:paraId="5264243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sz w:val="24"/>
          <w:highlight w:val="none"/>
        </w:rPr>
        <w:t>………………………………………………（页码）</w:t>
      </w:r>
    </w:p>
    <w:p w14:paraId="01C1B79C">
      <w:pPr>
        <w:snapToGrid w:val="0"/>
        <w:spacing w:line="360" w:lineRule="auto"/>
        <w:ind w:firstLine="482"/>
        <w:jc w:val="center"/>
        <w:rPr>
          <w:rFonts w:hint="eastAsia" w:ascii="仿宋" w:hAnsi="仿宋" w:eastAsia="仿宋" w:cs="仿宋"/>
          <w:b/>
          <w:color w:val="auto"/>
          <w:kern w:val="0"/>
          <w:sz w:val="24"/>
          <w:highlight w:val="none"/>
          <w:lang w:val="zh-CN"/>
        </w:rPr>
      </w:pPr>
    </w:p>
    <w:p w14:paraId="219FAAC2">
      <w:pPr>
        <w:snapToGrid w:val="0"/>
        <w:spacing w:line="360" w:lineRule="auto"/>
        <w:ind w:firstLine="482"/>
        <w:jc w:val="center"/>
        <w:rPr>
          <w:rFonts w:hint="eastAsia" w:ascii="仿宋" w:hAnsi="仿宋" w:eastAsia="仿宋" w:cs="仿宋"/>
          <w:b/>
          <w:color w:val="auto"/>
          <w:kern w:val="0"/>
          <w:sz w:val="24"/>
          <w:highlight w:val="none"/>
          <w:lang w:val="zh-CN"/>
        </w:rPr>
      </w:pPr>
    </w:p>
    <w:p w14:paraId="22293185">
      <w:pPr>
        <w:snapToGrid w:val="0"/>
        <w:spacing w:line="360" w:lineRule="auto"/>
        <w:ind w:firstLine="482"/>
        <w:jc w:val="center"/>
        <w:rPr>
          <w:rFonts w:hint="eastAsia" w:ascii="仿宋" w:hAnsi="仿宋" w:eastAsia="仿宋" w:cs="仿宋"/>
          <w:b/>
          <w:color w:val="auto"/>
          <w:kern w:val="0"/>
          <w:sz w:val="24"/>
          <w:highlight w:val="none"/>
          <w:lang w:val="zh-CN"/>
        </w:rPr>
      </w:pPr>
    </w:p>
    <w:p w14:paraId="116D95DE">
      <w:pPr>
        <w:snapToGrid w:val="0"/>
        <w:spacing w:line="360" w:lineRule="auto"/>
        <w:ind w:firstLine="482"/>
        <w:jc w:val="center"/>
        <w:rPr>
          <w:rFonts w:hint="eastAsia" w:ascii="仿宋" w:hAnsi="仿宋" w:eastAsia="仿宋" w:cs="仿宋"/>
          <w:b/>
          <w:color w:val="auto"/>
          <w:kern w:val="0"/>
          <w:sz w:val="24"/>
          <w:highlight w:val="none"/>
          <w:lang w:val="zh-CN"/>
        </w:rPr>
      </w:pPr>
    </w:p>
    <w:p w14:paraId="050E4412">
      <w:pPr>
        <w:snapToGrid w:val="0"/>
        <w:spacing w:line="360" w:lineRule="auto"/>
        <w:ind w:firstLine="482"/>
        <w:jc w:val="center"/>
        <w:rPr>
          <w:rFonts w:hint="eastAsia" w:ascii="仿宋" w:hAnsi="仿宋" w:eastAsia="仿宋" w:cs="仿宋"/>
          <w:b/>
          <w:color w:val="auto"/>
          <w:kern w:val="0"/>
          <w:sz w:val="24"/>
          <w:highlight w:val="none"/>
          <w:lang w:val="zh-CN"/>
        </w:rPr>
      </w:pPr>
    </w:p>
    <w:p w14:paraId="235E4FB7">
      <w:pPr>
        <w:snapToGrid w:val="0"/>
        <w:spacing w:line="360" w:lineRule="auto"/>
        <w:ind w:firstLine="482"/>
        <w:jc w:val="center"/>
        <w:rPr>
          <w:rFonts w:hint="eastAsia" w:ascii="仿宋" w:hAnsi="仿宋" w:eastAsia="仿宋" w:cs="仿宋"/>
          <w:b/>
          <w:color w:val="auto"/>
          <w:kern w:val="0"/>
          <w:sz w:val="24"/>
          <w:highlight w:val="none"/>
          <w:lang w:val="zh-CN"/>
        </w:rPr>
      </w:pPr>
    </w:p>
    <w:p w14:paraId="4B0B8674">
      <w:pPr>
        <w:snapToGrid w:val="0"/>
        <w:spacing w:line="360" w:lineRule="auto"/>
        <w:ind w:firstLine="482"/>
        <w:jc w:val="center"/>
        <w:rPr>
          <w:rFonts w:hint="eastAsia" w:ascii="仿宋" w:hAnsi="仿宋" w:eastAsia="仿宋" w:cs="仿宋"/>
          <w:b/>
          <w:color w:val="auto"/>
          <w:kern w:val="0"/>
          <w:sz w:val="24"/>
          <w:highlight w:val="none"/>
          <w:lang w:val="zh-CN"/>
        </w:rPr>
      </w:pPr>
    </w:p>
    <w:p w14:paraId="31B5EEF1">
      <w:pPr>
        <w:snapToGrid w:val="0"/>
        <w:spacing w:line="360" w:lineRule="auto"/>
        <w:ind w:firstLine="482"/>
        <w:jc w:val="center"/>
        <w:rPr>
          <w:rFonts w:hint="eastAsia" w:ascii="仿宋" w:hAnsi="仿宋" w:eastAsia="仿宋" w:cs="仿宋"/>
          <w:b/>
          <w:color w:val="auto"/>
          <w:kern w:val="0"/>
          <w:sz w:val="24"/>
          <w:highlight w:val="none"/>
          <w:lang w:val="zh-CN"/>
        </w:rPr>
      </w:pPr>
    </w:p>
    <w:p w14:paraId="3A9004E1">
      <w:pPr>
        <w:snapToGrid w:val="0"/>
        <w:spacing w:line="360" w:lineRule="auto"/>
        <w:ind w:firstLine="482"/>
        <w:jc w:val="center"/>
        <w:rPr>
          <w:rFonts w:hint="eastAsia" w:ascii="仿宋" w:hAnsi="仿宋" w:eastAsia="仿宋" w:cs="仿宋"/>
          <w:b/>
          <w:color w:val="auto"/>
          <w:kern w:val="0"/>
          <w:sz w:val="24"/>
          <w:highlight w:val="none"/>
          <w:lang w:val="zh-CN"/>
        </w:rPr>
      </w:pPr>
    </w:p>
    <w:p w14:paraId="01C49541">
      <w:pPr>
        <w:snapToGrid w:val="0"/>
        <w:spacing w:line="360" w:lineRule="auto"/>
        <w:ind w:firstLine="482"/>
        <w:jc w:val="center"/>
        <w:rPr>
          <w:rFonts w:hint="eastAsia" w:ascii="仿宋" w:hAnsi="仿宋" w:eastAsia="仿宋" w:cs="仿宋"/>
          <w:b/>
          <w:color w:val="auto"/>
          <w:kern w:val="0"/>
          <w:sz w:val="24"/>
          <w:highlight w:val="none"/>
          <w:lang w:val="zh-CN"/>
        </w:rPr>
      </w:pPr>
    </w:p>
    <w:p w14:paraId="299D9526">
      <w:pPr>
        <w:snapToGrid w:val="0"/>
        <w:spacing w:line="360" w:lineRule="auto"/>
        <w:ind w:firstLine="482"/>
        <w:jc w:val="center"/>
        <w:rPr>
          <w:rFonts w:hint="eastAsia" w:ascii="仿宋" w:hAnsi="仿宋" w:eastAsia="仿宋" w:cs="仿宋"/>
          <w:b/>
          <w:color w:val="auto"/>
          <w:kern w:val="0"/>
          <w:sz w:val="24"/>
          <w:highlight w:val="none"/>
          <w:lang w:val="zh-CN"/>
        </w:rPr>
      </w:pPr>
    </w:p>
    <w:p w14:paraId="69C7F071">
      <w:pPr>
        <w:snapToGrid w:val="0"/>
        <w:spacing w:line="360" w:lineRule="auto"/>
        <w:ind w:firstLine="482"/>
        <w:jc w:val="center"/>
        <w:rPr>
          <w:rFonts w:hint="eastAsia" w:ascii="仿宋" w:hAnsi="仿宋" w:eastAsia="仿宋" w:cs="仿宋"/>
          <w:b/>
          <w:color w:val="auto"/>
          <w:kern w:val="0"/>
          <w:sz w:val="24"/>
          <w:highlight w:val="none"/>
          <w:lang w:val="zh-CN"/>
        </w:rPr>
      </w:pPr>
    </w:p>
    <w:p w14:paraId="69973857">
      <w:pPr>
        <w:spacing w:line="360" w:lineRule="auto"/>
        <w:ind w:firstLine="482"/>
        <w:rPr>
          <w:rFonts w:hint="eastAsia" w:ascii="仿宋" w:hAnsi="仿宋" w:eastAsia="仿宋" w:cs="仿宋"/>
          <w:b/>
          <w:color w:val="auto"/>
          <w:kern w:val="0"/>
          <w:sz w:val="24"/>
          <w:highlight w:val="none"/>
          <w:lang w:val="zh-CN"/>
        </w:rPr>
      </w:pPr>
    </w:p>
    <w:p w14:paraId="73B91921">
      <w:pPr>
        <w:widowControl/>
        <w:adjustRightInd/>
        <w:spacing w:line="360" w:lineRule="auto"/>
        <w:ind w:firstLine="482"/>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br w:type="page"/>
      </w:r>
    </w:p>
    <w:p w14:paraId="5FEF42CE">
      <w:pPr>
        <w:snapToGrid w:val="0"/>
        <w:spacing w:line="360" w:lineRule="auto"/>
        <w:ind w:firstLine="643"/>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383EC55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杭州市余杭区司法局</w:t>
      </w:r>
      <w:r>
        <w:rPr>
          <w:rFonts w:hint="eastAsia" w:ascii="仿宋" w:hAnsi="仿宋" w:eastAsia="仿宋" w:cs="仿宋"/>
          <w:color w:val="auto"/>
          <w:sz w:val="24"/>
          <w:highlight w:val="none"/>
        </w:rPr>
        <w:t xml:space="preserve"> 、海标工程管理有限公司：</w:t>
      </w:r>
    </w:p>
    <w:p w14:paraId="46E2B57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lang w:eastAsia="zh-CN"/>
        </w:rPr>
        <w:t>2025年区级人民调解案件化解服务</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HBZFCG-2025-013</w:t>
      </w:r>
      <w:r>
        <w:rPr>
          <w:rFonts w:hint="eastAsia" w:ascii="仿宋" w:hAnsi="仿宋" w:eastAsia="仿宋" w:cs="仿宋"/>
          <w:color w:val="auto"/>
          <w:sz w:val="24"/>
          <w:highlight w:val="none"/>
        </w:rPr>
        <w:t>】招标的有关活动，并对此项目进行投标。为此：</w:t>
      </w:r>
    </w:p>
    <w:p w14:paraId="784A8FA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天（不少于90天），本投标文件在投标有效期满之前均具有约束力。</w:t>
      </w:r>
    </w:p>
    <w:p w14:paraId="3DA2E95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53B22E5B">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2656AD6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1AC068C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highlight w:val="none"/>
        </w:rPr>
        <w:t>联合协议</w:t>
      </w:r>
      <w:bookmarkStart w:id="468" w:name="_Hlk101257010"/>
      <w:r>
        <w:rPr>
          <w:rFonts w:hint="eastAsia" w:ascii="仿宋" w:hAnsi="仿宋" w:eastAsia="仿宋" w:cs="仿宋"/>
          <w:color w:val="auto"/>
          <w:sz w:val="24"/>
          <w:highlight w:val="none"/>
        </w:rPr>
        <w:t>（如果有)</w:t>
      </w:r>
      <w:bookmarkEnd w:id="468"/>
      <w:r>
        <w:rPr>
          <w:rFonts w:hint="eastAsia" w:ascii="仿宋" w:hAnsi="仿宋" w:eastAsia="仿宋" w:cs="仿宋"/>
          <w:snapToGrid w:val="0"/>
          <w:color w:val="auto"/>
          <w:kern w:val="28"/>
          <w:sz w:val="24"/>
          <w:highlight w:val="none"/>
        </w:rPr>
        <w:t>；</w:t>
      </w:r>
    </w:p>
    <w:p w14:paraId="0829C64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74B43A2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0AFBA263">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40F77BD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402973B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25A1315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1449189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2610994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1E99035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0A3A5AD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3BC0F9D1">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14E22C70">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6452331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597696D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15F3BB2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3、我方承诺除商务技术偏离表列出的偏离外，我方响应招标文件的全部要求。对投标文件中材料的真实性、合法性负责。</w:t>
      </w:r>
    </w:p>
    <w:p w14:paraId="0C0C93E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4E483A16">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34853B4A">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6EF4BA2E">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3BF78DC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4.4在合同约定的期限内完成合同规定的全部义务。</w:t>
      </w:r>
    </w:p>
    <w:p w14:paraId="200C3CE1">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 </w:t>
      </w:r>
    </w:p>
    <w:p w14:paraId="11D2730E">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C7EFAF9">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2647BE6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F50C53D">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767A667D">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3A076FA">
      <w:pPr>
        <w:snapToGrid w:val="0"/>
        <w:spacing w:line="360" w:lineRule="auto"/>
        <w:ind w:firstLine="482"/>
        <w:jc w:val="center"/>
        <w:rPr>
          <w:rFonts w:hint="eastAsia" w:ascii="仿宋" w:hAnsi="仿宋" w:eastAsia="仿宋" w:cs="仿宋"/>
          <w:b/>
          <w:color w:val="auto"/>
          <w:kern w:val="0"/>
          <w:sz w:val="24"/>
          <w:highlight w:val="none"/>
        </w:rPr>
      </w:pPr>
    </w:p>
    <w:p w14:paraId="2CBBE116">
      <w:pPr>
        <w:snapToGrid w:val="0"/>
        <w:spacing w:line="360" w:lineRule="auto"/>
        <w:rPr>
          <w:rFonts w:hint="eastAsia" w:ascii="仿宋" w:hAnsi="仿宋" w:eastAsia="仿宋" w:cs="仿宋"/>
          <w:color w:val="auto"/>
          <w:sz w:val="24"/>
          <w:highlight w:val="none"/>
        </w:rPr>
      </w:pPr>
    </w:p>
    <w:p w14:paraId="6D1F28CB">
      <w:pPr>
        <w:spacing w:line="360" w:lineRule="auto"/>
        <w:ind w:firstLine="482"/>
        <w:jc w:val="center"/>
        <w:rPr>
          <w:rFonts w:hint="eastAsia" w:ascii="仿宋" w:hAnsi="仿宋" w:eastAsia="仿宋" w:cs="仿宋"/>
          <w:b/>
          <w:color w:val="auto"/>
          <w:kern w:val="0"/>
          <w:sz w:val="24"/>
          <w:highlight w:val="none"/>
        </w:rPr>
      </w:pPr>
    </w:p>
    <w:p w14:paraId="248C00D8">
      <w:pPr>
        <w:spacing w:line="360" w:lineRule="auto"/>
        <w:ind w:firstLine="482"/>
        <w:jc w:val="center"/>
        <w:rPr>
          <w:rFonts w:hint="eastAsia" w:ascii="仿宋" w:hAnsi="仿宋" w:eastAsia="仿宋" w:cs="仿宋"/>
          <w:b/>
          <w:color w:val="auto"/>
          <w:kern w:val="0"/>
          <w:sz w:val="24"/>
          <w:highlight w:val="none"/>
        </w:rPr>
      </w:pPr>
    </w:p>
    <w:p w14:paraId="35363DB5">
      <w:pPr>
        <w:spacing w:line="360" w:lineRule="auto"/>
        <w:ind w:firstLine="482"/>
        <w:jc w:val="center"/>
        <w:rPr>
          <w:rFonts w:hint="eastAsia" w:ascii="仿宋" w:hAnsi="仿宋" w:eastAsia="仿宋" w:cs="仿宋"/>
          <w:b/>
          <w:color w:val="auto"/>
          <w:kern w:val="0"/>
          <w:sz w:val="24"/>
          <w:highlight w:val="none"/>
        </w:rPr>
      </w:pPr>
    </w:p>
    <w:p w14:paraId="36D82838">
      <w:pPr>
        <w:spacing w:line="360" w:lineRule="auto"/>
        <w:ind w:firstLine="482"/>
        <w:jc w:val="center"/>
        <w:rPr>
          <w:rFonts w:hint="eastAsia" w:ascii="仿宋" w:hAnsi="仿宋" w:eastAsia="仿宋" w:cs="仿宋"/>
          <w:b/>
          <w:color w:val="auto"/>
          <w:kern w:val="0"/>
          <w:sz w:val="24"/>
          <w:highlight w:val="none"/>
        </w:rPr>
      </w:pPr>
    </w:p>
    <w:p w14:paraId="59669526">
      <w:pPr>
        <w:spacing w:line="360" w:lineRule="auto"/>
        <w:ind w:firstLine="482"/>
        <w:jc w:val="center"/>
        <w:rPr>
          <w:rFonts w:hint="eastAsia" w:ascii="仿宋" w:hAnsi="仿宋" w:eastAsia="仿宋" w:cs="仿宋"/>
          <w:b/>
          <w:color w:val="auto"/>
          <w:kern w:val="0"/>
          <w:sz w:val="24"/>
          <w:highlight w:val="none"/>
        </w:rPr>
      </w:pPr>
    </w:p>
    <w:p w14:paraId="698BC241">
      <w:pPr>
        <w:spacing w:line="360" w:lineRule="auto"/>
        <w:ind w:firstLine="482"/>
        <w:jc w:val="center"/>
        <w:rPr>
          <w:rFonts w:hint="eastAsia" w:ascii="仿宋" w:hAnsi="仿宋" w:eastAsia="仿宋" w:cs="仿宋"/>
          <w:b/>
          <w:color w:val="auto"/>
          <w:kern w:val="0"/>
          <w:sz w:val="24"/>
          <w:highlight w:val="none"/>
        </w:rPr>
      </w:pPr>
    </w:p>
    <w:p w14:paraId="0DEB2BA1">
      <w:pPr>
        <w:spacing w:line="360" w:lineRule="auto"/>
        <w:ind w:firstLine="482"/>
        <w:jc w:val="center"/>
        <w:rPr>
          <w:rFonts w:hint="eastAsia" w:ascii="仿宋" w:hAnsi="仿宋" w:eastAsia="仿宋" w:cs="仿宋"/>
          <w:b/>
          <w:color w:val="auto"/>
          <w:kern w:val="0"/>
          <w:sz w:val="24"/>
          <w:highlight w:val="none"/>
        </w:rPr>
      </w:pPr>
    </w:p>
    <w:p w14:paraId="2BBB76F3">
      <w:pPr>
        <w:spacing w:line="360" w:lineRule="auto"/>
        <w:ind w:firstLine="482"/>
        <w:jc w:val="center"/>
        <w:rPr>
          <w:rFonts w:hint="eastAsia" w:ascii="仿宋" w:hAnsi="仿宋" w:eastAsia="仿宋" w:cs="仿宋"/>
          <w:b/>
          <w:color w:val="auto"/>
          <w:kern w:val="0"/>
          <w:sz w:val="24"/>
          <w:highlight w:val="none"/>
        </w:rPr>
      </w:pPr>
    </w:p>
    <w:p w14:paraId="520245A6">
      <w:pPr>
        <w:spacing w:line="360" w:lineRule="auto"/>
        <w:ind w:firstLine="482"/>
        <w:jc w:val="center"/>
        <w:rPr>
          <w:rFonts w:hint="eastAsia" w:ascii="仿宋" w:hAnsi="仿宋" w:eastAsia="仿宋" w:cs="仿宋"/>
          <w:b/>
          <w:color w:val="auto"/>
          <w:kern w:val="0"/>
          <w:sz w:val="24"/>
          <w:highlight w:val="none"/>
        </w:rPr>
      </w:pPr>
    </w:p>
    <w:p w14:paraId="3992A655">
      <w:pPr>
        <w:spacing w:line="360" w:lineRule="auto"/>
        <w:ind w:firstLine="482"/>
        <w:jc w:val="center"/>
        <w:rPr>
          <w:rFonts w:hint="eastAsia" w:ascii="仿宋" w:hAnsi="仿宋" w:eastAsia="仿宋" w:cs="仿宋"/>
          <w:b/>
          <w:color w:val="auto"/>
          <w:kern w:val="0"/>
          <w:sz w:val="24"/>
          <w:highlight w:val="none"/>
        </w:rPr>
      </w:pPr>
    </w:p>
    <w:p w14:paraId="40986F42">
      <w:pPr>
        <w:spacing w:line="360" w:lineRule="auto"/>
        <w:ind w:firstLine="482"/>
        <w:jc w:val="center"/>
        <w:rPr>
          <w:rFonts w:hint="eastAsia" w:ascii="仿宋" w:hAnsi="仿宋" w:eastAsia="仿宋" w:cs="仿宋"/>
          <w:b/>
          <w:color w:val="auto"/>
          <w:kern w:val="0"/>
          <w:sz w:val="24"/>
          <w:highlight w:val="none"/>
        </w:rPr>
      </w:pPr>
    </w:p>
    <w:p w14:paraId="3FE4A2BB">
      <w:pPr>
        <w:spacing w:line="360" w:lineRule="auto"/>
        <w:ind w:firstLine="482"/>
        <w:jc w:val="center"/>
        <w:rPr>
          <w:rFonts w:hint="eastAsia" w:ascii="仿宋" w:hAnsi="仿宋" w:eastAsia="仿宋" w:cs="仿宋"/>
          <w:b/>
          <w:color w:val="auto"/>
          <w:kern w:val="0"/>
          <w:sz w:val="24"/>
          <w:highlight w:val="none"/>
        </w:rPr>
      </w:pPr>
    </w:p>
    <w:p w14:paraId="2D9306AF">
      <w:pPr>
        <w:spacing w:line="360" w:lineRule="auto"/>
        <w:ind w:firstLine="482"/>
        <w:jc w:val="center"/>
        <w:rPr>
          <w:rFonts w:hint="eastAsia" w:ascii="仿宋" w:hAnsi="仿宋" w:eastAsia="仿宋" w:cs="仿宋"/>
          <w:b/>
          <w:color w:val="auto"/>
          <w:kern w:val="0"/>
          <w:sz w:val="24"/>
          <w:highlight w:val="none"/>
        </w:rPr>
      </w:pPr>
    </w:p>
    <w:p w14:paraId="06520580">
      <w:pPr>
        <w:spacing w:line="360" w:lineRule="auto"/>
        <w:ind w:firstLine="482"/>
        <w:jc w:val="center"/>
        <w:rPr>
          <w:rFonts w:hint="eastAsia" w:ascii="仿宋" w:hAnsi="仿宋" w:eastAsia="仿宋" w:cs="仿宋"/>
          <w:b/>
          <w:color w:val="auto"/>
          <w:kern w:val="0"/>
          <w:sz w:val="24"/>
          <w:highlight w:val="none"/>
        </w:rPr>
      </w:pPr>
    </w:p>
    <w:p w14:paraId="6233FB71">
      <w:pPr>
        <w:spacing w:line="360" w:lineRule="auto"/>
        <w:ind w:firstLine="482"/>
        <w:jc w:val="center"/>
        <w:rPr>
          <w:rFonts w:hint="eastAsia" w:ascii="仿宋" w:hAnsi="仿宋" w:eastAsia="仿宋" w:cs="仿宋"/>
          <w:b/>
          <w:color w:val="auto"/>
          <w:kern w:val="0"/>
          <w:sz w:val="24"/>
          <w:highlight w:val="none"/>
        </w:rPr>
      </w:pPr>
    </w:p>
    <w:p w14:paraId="2037BBE6">
      <w:pPr>
        <w:spacing w:line="360" w:lineRule="auto"/>
        <w:ind w:firstLine="482"/>
        <w:jc w:val="center"/>
        <w:rPr>
          <w:rFonts w:hint="eastAsia" w:ascii="仿宋" w:hAnsi="仿宋" w:eastAsia="仿宋" w:cs="仿宋"/>
          <w:b/>
          <w:color w:val="auto"/>
          <w:kern w:val="0"/>
          <w:sz w:val="24"/>
          <w:highlight w:val="none"/>
        </w:rPr>
      </w:pPr>
    </w:p>
    <w:p w14:paraId="5258F182">
      <w:pPr>
        <w:spacing w:line="360" w:lineRule="auto"/>
        <w:ind w:firstLine="482"/>
        <w:jc w:val="center"/>
        <w:rPr>
          <w:rFonts w:hint="eastAsia" w:ascii="仿宋" w:hAnsi="仿宋" w:eastAsia="仿宋" w:cs="仿宋"/>
          <w:b/>
          <w:color w:val="auto"/>
          <w:kern w:val="0"/>
          <w:sz w:val="24"/>
          <w:highlight w:val="none"/>
        </w:rPr>
      </w:pPr>
    </w:p>
    <w:p w14:paraId="341C1140">
      <w:pPr>
        <w:spacing w:line="360" w:lineRule="auto"/>
        <w:ind w:firstLine="643"/>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5FD2D563">
      <w:pPr>
        <w:snapToGrid w:val="0"/>
        <w:spacing w:line="360" w:lineRule="auto"/>
        <w:jc w:val="center"/>
        <w:rPr>
          <w:rFonts w:hint="eastAsia" w:ascii="仿宋" w:hAnsi="仿宋" w:eastAsia="仿宋" w:cs="仿宋"/>
          <w:color w:val="auto"/>
          <w:sz w:val="24"/>
          <w:highlight w:val="none"/>
        </w:rPr>
      </w:pPr>
    </w:p>
    <w:p w14:paraId="5E36535B">
      <w:pPr>
        <w:snapToGrid w:val="0"/>
        <w:spacing w:line="360" w:lineRule="auto"/>
        <w:ind w:firstLine="643"/>
        <w:jc w:val="center"/>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zh-CN"/>
        </w:rPr>
        <w:t>授权委托书（适用于非联合体投标）</w:t>
      </w:r>
    </w:p>
    <w:p w14:paraId="11C468C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杭州市余杭区司法局</w:t>
      </w:r>
      <w:r>
        <w:rPr>
          <w:rFonts w:hint="eastAsia" w:ascii="仿宋" w:hAnsi="仿宋" w:eastAsia="仿宋" w:cs="仿宋"/>
          <w:color w:val="auto"/>
          <w:sz w:val="24"/>
          <w:highlight w:val="none"/>
        </w:rPr>
        <w:t xml:space="preserve"> 、海标工程管理有限公司</w:t>
      </w:r>
      <w:r>
        <w:rPr>
          <w:rFonts w:hint="eastAsia" w:ascii="仿宋" w:hAnsi="仿宋" w:eastAsia="仿宋" w:cs="仿宋"/>
          <w:color w:val="auto"/>
          <w:kern w:val="0"/>
          <w:sz w:val="24"/>
          <w:highlight w:val="none"/>
          <w:lang w:val="zh-CN"/>
        </w:rPr>
        <w:t>：</w:t>
      </w:r>
    </w:p>
    <w:p w14:paraId="24CC4424">
      <w:pPr>
        <w:snapToGrid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，所在单位：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lang w:eastAsia="zh-CN"/>
        </w:rPr>
        <w:t>2025年区级人民调解案件化解服务</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HBZFCG-2025-013</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025D2CD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D14BD2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D98546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498139C7">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3A3717E8">
      <w:pPr>
        <w:snapToGrid w:val="0"/>
        <w:spacing w:line="360" w:lineRule="auto"/>
        <w:rPr>
          <w:rFonts w:hint="eastAsia" w:ascii="仿宋" w:hAnsi="仿宋" w:eastAsia="仿宋" w:cs="仿宋"/>
          <w:color w:val="auto"/>
          <w:sz w:val="24"/>
          <w:highlight w:val="none"/>
        </w:rPr>
      </w:pPr>
    </w:p>
    <w:p w14:paraId="368660B6">
      <w:pPr>
        <w:spacing w:line="360" w:lineRule="auto"/>
        <w:ind w:firstLine="643"/>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1B390FB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杭州市余杭区司法局</w:t>
      </w:r>
      <w:r>
        <w:rPr>
          <w:rFonts w:hint="eastAsia" w:ascii="仿宋" w:hAnsi="仿宋" w:eastAsia="仿宋" w:cs="仿宋"/>
          <w:color w:val="auto"/>
          <w:sz w:val="24"/>
          <w:highlight w:val="none"/>
        </w:rPr>
        <w:t xml:space="preserve"> 、海标工程管理有限公司</w:t>
      </w:r>
      <w:r>
        <w:rPr>
          <w:rFonts w:hint="eastAsia" w:ascii="仿宋" w:hAnsi="仿宋" w:eastAsia="仿宋" w:cs="仿宋"/>
          <w:color w:val="auto"/>
          <w:kern w:val="0"/>
          <w:sz w:val="24"/>
          <w:highlight w:val="none"/>
          <w:lang w:val="zh-CN"/>
        </w:rPr>
        <w:t>：</w:t>
      </w:r>
    </w:p>
    <w:p w14:paraId="04D4D77B">
      <w:pPr>
        <w:snapToGrid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，所在单位：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lang w:eastAsia="zh-CN"/>
        </w:rPr>
        <w:t>2025年区级人民调解案件化解服务</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HBZFCG-2025-013</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5DE7C32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3F7E8F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2F430CA4">
      <w:pPr>
        <w:spacing w:line="360" w:lineRule="auto"/>
        <w:ind w:firstLine="482"/>
        <w:jc w:val="center"/>
        <w:rPr>
          <w:rFonts w:hint="eastAsia" w:ascii="仿宋" w:hAnsi="仿宋" w:eastAsia="仿宋" w:cs="仿宋"/>
          <w:b/>
          <w:color w:val="auto"/>
          <w:kern w:val="0"/>
          <w:sz w:val="24"/>
          <w:highlight w:val="none"/>
        </w:rPr>
      </w:pPr>
    </w:p>
    <w:p w14:paraId="5160B631">
      <w:pPr>
        <w:spacing w:line="360" w:lineRule="auto"/>
        <w:rPr>
          <w:rFonts w:hint="eastAsia" w:ascii="仿宋" w:hAnsi="仿宋" w:eastAsia="仿宋" w:cs="仿宋"/>
          <w:color w:val="auto"/>
          <w:sz w:val="24"/>
          <w:highlight w:val="none"/>
        </w:rPr>
      </w:pPr>
    </w:p>
    <w:p w14:paraId="1F86F693">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DEFDE1A">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BBD5BB9">
      <w:pPr>
        <w:snapToGrid w:val="0"/>
        <w:spacing w:line="360" w:lineRule="auto"/>
        <w:ind w:firstLine="5760" w:firstLineChars="24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w:t>
      </w:r>
    </w:p>
    <w:p w14:paraId="4DA50987">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86A6681">
      <w:pPr>
        <w:autoSpaceDE w:val="0"/>
        <w:autoSpaceDN w:val="0"/>
        <w:spacing w:line="360" w:lineRule="auto"/>
        <w:ind w:firstLine="482"/>
        <w:jc w:val="center"/>
        <w:rPr>
          <w:rFonts w:hint="eastAsia" w:ascii="仿宋" w:hAnsi="仿宋" w:eastAsia="仿宋" w:cs="仿宋"/>
          <w:b/>
          <w:color w:val="auto"/>
          <w:kern w:val="0"/>
          <w:sz w:val="24"/>
          <w:highlight w:val="none"/>
          <w:lang w:val="zh-CN"/>
        </w:rPr>
      </w:pPr>
    </w:p>
    <w:p w14:paraId="4E9D871C">
      <w:pPr>
        <w:autoSpaceDE w:val="0"/>
        <w:autoSpaceDN w:val="0"/>
        <w:spacing w:line="360" w:lineRule="auto"/>
        <w:ind w:firstLine="482"/>
        <w:jc w:val="center"/>
        <w:rPr>
          <w:rFonts w:hint="eastAsia" w:ascii="仿宋" w:hAnsi="仿宋" w:eastAsia="仿宋" w:cs="仿宋"/>
          <w:b/>
          <w:color w:val="auto"/>
          <w:kern w:val="0"/>
          <w:sz w:val="24"/>
          <w:highlight w:val="none"/>
          <w:lang w:val="zh-CN"/>
        </w:rPr>
      </w:pPr>
    </w:p>
    <w:p w14:paraId="5AA97E40">
      <w:pPr>
        <w:autoSpaceDE w:val="0"/>
        <w:autoSpaceDN w:val="0"/>
        <w:spacing w:line="360" w:lineRule="auto"/>
        <w:ind w:firstLine="482"/>
        <w:jc w:val="center"/>
        <w:rPr>
          <w:rFonts w:hint="eastAsia" w:ascii="仿宋" w:hAnsi="仿宋" w:eastAsia="仿宋" w:cs="仿宋"/>
          <w:b/>
          <w:color w:val="auto"/>
          <w:kern w:val="0"/>
          <w:sz w:val="24"/>
          <w:highlight w:val="none"/>
          <w:lang w:val="zh-CN"/>
        </w:rPr>
      </w:pPr>
    </w:p>
    <w:p w14:paraId="47ABAEB5">
      <w:pPr>
        <w:autoSpaceDE w:val="0"/>
        <w:autoSpaceDN w:val="0"/>
        <w:spacing w:line="360" w:lineRule="auto"/>
        <w:ind w:firstLine="643"/>
        <w:jc w:val="center"/>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2"/>
          <w:szCs w:val="32"/>
          <w:highlight w:val="none"/>
        </w:rPr>
        <w:t>的身份证明（适用于法定代表人、单位负责人或者自然人本人代表投标人参加投标）</w:t>
      </w:r>
    </w:p>
    <w:p w14:paraId="0ED15CCB">
      <w:pPr>
        <w:pStyle w:val="368"/>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1356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50C6D0C">
            <w:pPr>
              <w:pStyle w:val="368"/>
              <w:adjustRightIn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正面：                                 反面：</w:t>
            </w:r>
          </w:p>
          <w:p w14:paraId="0039CCB0">
            <w:pPr>
              <w:pStyle w:val="368"/>
              <w:adjustRightInd w:val="0"/>
              <w:spacing w:line="360" w:lineRule="auto"/>
              <w:rPr>
                <w:rFonts w:hint="eastAsia" w:ascii="仿宋" w:hAnsi="仿宋" w:eastAsia="仿宋" w:cs="仿宋"/>
                <w:bCs/>
                <w:color w:val="auto"/>
                <w:sz w:val="24"/>
                <w:szCs w:val="24"/>
                <w:highlight w:val="none"/>
              </w:rPr>
            </w:pPr>
          </w:p>
        </w:tc>
      </w:tr>
    </w:tbl>
    <w:p w14:paraId="2981D8E1">
      <w:pPr>
        <w:snapToGrid w:val="0"/>
        <w:spacing w:line="360" w:lineRule="auto"/>
        <w:ind w:firstLine="48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259222B3">
      <w:pPr>
        <w:snapToGrid w:val="0"/>
        <w:spacing w:line="360" w:lineRule="auto"/>
        <w:ind w:firstLine="48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6AB55122">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163C498">
      <w:pPr>
        <w:spacing w:line="360" w:lineRule="auto"/>
        <w:ind w:firstLine="482"/>
        <w:jc w:val="center"/>
        <w:rPr>
          <w:rFonts w:hint="eastAsia" w:ascii="仿宋" w:hAnsi="仿宋" w:eastAsia="仿宋" w:cs="仿宋"/>
          <w:b/>
          <w:color w:val="auto"/>
          <w:kern w:val="0"/>
          <w:sz w:val="24"/>
          <w:highlight w:val="none"/>
        </w:rPr>
      </w:pPr>
    </w:p>
    <w:p w14:paraId="5457E55E">
      <w:pPr>
        <w:spacing w:line="360" w:lineRule="auto"/>
        <w:ind w:firstLine="482"/>
        <w:jc w:val="center"/>
        <w:rPr>
          <w:rFonts w:hint="eastAsia" w:ascii="仿宋" w:hAnsi="仿宋" w:eastAsia="仿宋" w:cs="仿宋"/>
          <w:b/>
          <w:color w:val="auto"/>
          <w:kern w:val="0"/>
          <w:sz w:val="24"/>
          <w:highlight w:val="none"/>
        </w:rPr>
      </w:pPr>
    </w:p>
    <w:p w14:paraId="55526DD2">
      <w:pPr>
        <w:spacing w:line="360" w:lineRule="auto"/>
        <w:ind w:firstLine="482"/>
        <w:jc w:val="center"/>
        <w:rPr>
          <w:rFonts w:hint="eastAsia" w:ascii="仿宋" w:hAnsi="仿宋" w:eastAsia="仿宋" w:cs="仿宋"/>
          <w:b/>
          <w:color w:val="auto"/>
          <w:kern w:val="0"/>
          <w:sz w:val="24"/>
          <w:highlight w:val="none"/>
        </w:rPr>
      </w:pPr>
    </w:p>
    <w:p w14:paraId="21019075">
      <w:pPr>
        <w:spacing w:line="360" w:lineRule="auto"/>
        <w:ind w:firstLine="482"/>
        <w:jc w:val="center"/>
        <w:rPr>
          <w:rFonts w:hint="eastAsia" w:ascii="仿宋" w:hAnsi="仿宋" w:eastAsia="仿宋" w:cs="仿宋"/>
          <w:b/>
          <w:color w:val="auto"/>
          <w:kern w:val="0"/>
          <w:sz w:val="24"/>
          <w:highlight w:val="none"/>
        </w:rPr>
      </w:pPr>
    </w:p>
    <w:p w14:paraId="4EEB9B32">
      <w:pPr>
        <w:spacing w:line="360" w:lineRule="auto"/>
        <w:ind w:firstLine="482"/>
        <w:jc w:val="center"/>
        <w:rPr>
          <w:rFonts w:hint="eastAsia" w:ascii="仿宋" w:hAnsi="仿宋" w:eastAsia="仿宋" w:cs="仿宋"/>
          <w:b/>
          <w:color w:val="auto"/>
          <w:kern w:val="0"/>
          <w:sz w:val="24"/>
          <w:highlight w:val="none"/>
        </w:rPr>
      </w:pPr>
    </w:p>
    <w:p w14:paraId="5FA29E8E">
      <w:pPr>
        <w:snapToGrid w:val="0"/>
        <w:spacing w:line="360" w:lineRule="auto"/>
        <w:ind w:firstLine="643"/>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436FF58F">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3F72FCAF">
      <w:pPr>
        <w:snapToGrid w:val="0"/>
        <w:spacing w:line="360" w:lineRule="auto"/>
        <w:rPr>
          <w:rFonts w:hint="eastAsia" w:ascii="仿宋" w:hAnsi="仿宋" w:eastAsia="仿宋" w:cs="仿宋"/>
          <w:color w:val="auto"/>
          <w:kern w:val="0"/>
          <w:sz w:val="24"/>
          <w:highlight w:val="none"/>
        </w:rPr>
      </w:pPr>
    </w:p>
    <w:p w14:paraId="11B5FA56">
      <w:pPr>
        <w:spacing w:line="360" w:lineRule="auto"/>
        <w:ind w:firstLine="643"/>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0E054739">
      <w:pPr>
        <w:spacing w:line="360" w:lineRule="auto"/>
        <w:ind w:firstLine="482"/>
        <w:jc w:val="center"/>
        <w:rPr>
          <w:rFonts w:hint="eastAsia" w:ascii="仿宋" w:hAnsi="仿宋" w:eastAsia="仿宋" w:cs="仿宋"/>
          <w:b/>
          <w:color w:val="auto"/>
          <w:kern w:val="0"/>
          <w:sz w:val="24"/>
          <w:highlight w:val="none"/>
        </w:rPr>
      </w:pP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050F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6D8C2E8">
            <w:pPr>
              <w:snapToGrid w:val="0"/>
              <w:spacing w:line="360" w:lineRule="auto"/>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3444EF6B">
            <w:pPr>
              <w:snapToGrid w:val="0"/>
              <w:spacing w:line="360" w:lineRule="auto"/>
              <w:ind w:firstLine="48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7D7C5A8B">
            <w:pPr>
              <w:snapToGrid w:val="0"/>
              <w:spacing w:line="360" w:lineRule="auto"/>
              <w:ind w:firstLine="48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3D7FA4EE">
            <w:pPr>
              <w:snapToGrid w:val="0"/>
              <w:spacing w:line="360" w:lineRule="auto"/>
              <w:ind w:firstLine="48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6B5DFA83">
            <w:pPr>
              <w:snapToGrid w:val="0"/>
              <w:spacing w:line="360" w:lineRule="auto"/>
              <w:ind w:firstLine="48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2246D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98FA9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vAlign w:val="center"/>
          </w:tcPr>
          <w:p w14:paraId="2C0CD2B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5819C42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vAlign w:val="center"/>
          </w:tcPr>
          <w:p w14:paraId="0600A373">
            <w:pPr>
              <w:spacing w:line="360" w:lineRule="auto"/>
              <w:jc w:val="center"/>
              <w:rPr>
                <w:rFonts w:hint="eastAsia" w:ascii="仿宋" w:hAnsi="仿宋" w:eastAsia="仿宋" w:cs="仿宋"/>
                <w:color w:val="auto"/>
                <w:sz w:val="24"/>
                <w:highlight w:val="none"/>
              </w:rPr>
            </w:pPr>
          </w:p>
          <w:p w14:paraId="2D48525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1B979EF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65F9A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E24E51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vAlign w:val="center"/>
          </w:tcPr>
          <w:p w14:paraId="5E004CA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61F4D9F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vAlign w:val="center"/>
          </w:tcPr>
          <w:p w14:paraId="3D9B915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6412E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D48A1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vAlign w:val="center"/>
          </w:tcPr>
          <w:p w14:paraId="76C8431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6D73045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vAlign w:val="center"/>
          </w:tcPr>
          <w:p w14:paraId="08E7F6A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7E8EC3BF">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注：1.按本格式和要求提供。</w:t>
      </w:r>
    </w:p>
    <w:p w14:paraId="374CF48B">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2、招标文件中实质性要求必须明确响应。</w:t>
      </w:r>
    </w:p>
    <w:p w14:paraId="288C5B8B">
      <w:pPr>
        <w:spacing w:line="360" w:lineRule="auto"/>
        <w:ind w:firstLine="482"/>
        <w:jc w:val="center"/>
        <w:rPr>
          <w:rFonts w:hint="eastAsia" w:ascii="仿宋" w:hAnsi="仿宋" w:eastAsia="仿宋" w:cs="仿宋"/>
          <w:b/>
          <w:color w:val="auto"/>
          <w:kern w:val="0"/>
          <w:sz w:val="24"/>
          <w:highlight w:val="none"/>
        </w:rPr>
      </w:pPr>
    </w:p>
    <w:p w14:paraId="135DACE6">
      <w:pPr>
        <w:spacing w:line="360" w:lineRule="auto"/>
        <w:ind w:firstLine="482"/>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 xml:space="preserve">            </w:t>
      </w:r>
    </w:p>
    <w:p w14:paraId="7276840A">
      <w:pPr>
        <w:spacing w:line="360" w:lineRule="auto"/>
        <w:ind w:firstLine="482"/>
        <w:jc w:val="center"/>
        <w:rPr>
          <w:rFonts w:hint="eastAsia" w:ascii="仿宋" w:hAnsi="仿宋" w:eastAsia="仿宋" w:cs="仿宋"/>
          <w:b/>
          <w:color w:val="auto"/>
          <w:kern w:val="0"/>
          <w:sz w:val="24"/>
          <w:highlight w:val="none"/>
        </w:rPr>
      </w:pPr>
    </w:p>
    <w:p w14:paraId="5FBECF2A">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5E3364E">
      <w:pPr>
        <w:spacing w:line="360" w:lineRule="auto"/>
        <w:ind w:firstLine="643"/>
        <w:jc w:val="center"/>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rPr>
        <w:t>五、评标标准相应的商务技术资料</w:t>
      </w:r>
    </w:p>
    <w:p w14:paraId="2D641531">
      <w:pPr>
        <w:snapToGrid w:val="0"/>
        <w:spacing w:line="360" w:lineRule="auto"/>
        <w:ind w:firstLine="482"/>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tbl>
      <w:tblPr>
        <w:tblStyle w:val="65"/>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503F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94FA3FB">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5465" w:type="dxa"/>
          </w:tcPr>
          <w:p w14:paraId="7B48CAB5">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投标文件中评标标准相应的商务技术资料目录*</w:t>
            </w:r>
          </w:p>
        </w:tc>
        <w:tc>
          <w:tcPr>
            <w:tcW w:w="3046" w:type="dxa"/>
          </w:tcPr>
          <w:p w14:paraId="1EF04C72">
            <w:pPr>
              <w:snapToGrid w:val="0"/>
              <w:spacing w:line="240" w:lineRule="atLeas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投标文件中的页码位置</w:t>
            </w:r>
          </w:p>
        </w:tc>
      </w:tr>
      <w:tr w14:paraId="2304C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0A64829">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5465" w:type="dxa"/>
          </w:tcPr>
          <w:p w14:paraId="3EC7852F">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XXX（预先填写）</w:t>
            </w:r>
          </w:p>
        </w:tc>
        <w:tc>
          <w:tcPr>
            <w:tcW w:w="3046" w:type="dxa"/>
          </w:tcPr>
          <w:p w14:paraId="602FBBA2">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见投标文件第</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页</w:t>
            </w:r>
          </w:p>
        </w:tc>
      </w:tr>
      <w:tr w14:paraId="18F27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120DAA5">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p>
        </w:tc>
        <w:tc>
          <w:tcPr>
            <w:tcW w:w="5465" w:type="dxa"/>
          </w:tcPr>
          <w:p w14:paraId="6DFE3BEC">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XXX</w:t>
            </w:r>
          </w:p>
        </w:tc>
        <w:tc>
          <w:tcPr>
            <w:tcW w:w="3046" w:type="dxa"/>
          </w:tcPr>
          <w:p w14:paraId="0E61DFD3">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见投标文件第</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页</w:t>
            </w:r>
          </w:p>
        </w:tc>
      </w:tr>
      <w:tr w14:paraId="22A6B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6287C80">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color w:val="auto"/>
                <w:kern w:val="0"/>
                <w:sz w:val="24"/>
                <w:highlight w:val="none"/>
              </w:rPr>
              <w:t>……</w:t>
            </w:r>
          </w:p>
        </w:tc>
        <w:tc>
          <w:tcPr>
            <w:tcW w:w="5465" w:type="dxa"/>
          </w:tcPr>
          <w:p w14:paraId="6C42B1D6">
            <w:pPr>
              <w:snapToGrid w:val="0"/>
              <w:spacing w:line="360" w:lineRule="auto"/>
              <w:jc w:val="center"/>
              <w:rPr>
                <w:rFonts w:hint="eastAsia" w:ascii="仿宋" w:hAnsi="仿宋" w:eastAsia="仿宋" w:cs="仿宋"/>
                <w:bCs/>
                <w:color w:val="auto"/>
                <w:sz w:val="24"/>
                <w:highlight w:val="none"/>
              </w:rPr>
            </w:pPr>
          </w:p>
        </w:tc>
        <w:tc>
          <w:tcPr>
            <w:tcW w:w="3046" w:type="dxa"/>
          </w:tcPr>
          <w:p w14:paraId="31FC298C">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见投标文件第</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页</w:t>
            </w:r>
          </w:p>
        </w:tc>
      </w:tr>
    </w:tbl>
    <w:p w14:paraId="463FE682">
      <w:pPr>
        <w:spacing w:line="360" w:lineRule="auto"/>
        <w:ind w:firstLine="643"/>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8D4E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41FDE5C">
            <w:pPr>
              <w:spacing w:line="360" w:lineRule="auto"/>
              <w:ind w:firstLine="48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0ACFB8E">
            <w:pPr>
              <w:spacing w:line="360" w:lineRule="auto"/>
              <w:ind w:firstLine="48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5C6781C6">
            <w:pPr>
              <w:spacing w:line="360" w:lineRule="auto"/>
              <w:ind w:firstLine="482"/>
              <w:jc w:val="center"/>
              <w:rPr>
                <w:rFonts w:hint="eastAsia" w:ascii="仿宋" w:hAnsi="仿宋" w:eastAsia="仿宋" w:cs="仿宋"/>
                <w:b/>
                <w:color w:val="auto"/>
                <w:sz w:val="24"/>
                <w:highlight w:val="none"/>
              </w:rPr>
            </w:pPr>
          </w:p>
          <w:p w14:paraId="644F032A">
            <w:pPr>
              <w:spacing w:line="360" w:lineRule="auto"/>
              <w:ind w:firstLine="48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37BF21A">
            <w:pPr>
              <w:spacing w:line="360" w:lineRule="auto"/>
              <w:ind w:firstLine="48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FECFCF0">
            <w:pPr>
              <w:spacing w:line="360" w:lineRule="auto"/>
              <w:ind w:firstLine="48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81395C7">
            <w:pPr>
              <w:spacing w:line="360" w:lineRule="auto"/>
              <w:ind w:firstLine="48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CD3B329">
            <w:pPr>
              <w:spacing w:line="360" w:lineRule="auto"/>
              <w:ind w:firstLine="482"/>
              <w:jc w:val="center"/>
              <w:rPr>
                <w:rFonts w:hint="eastAsia" w:ascii="仿宋" w:hAnsi="仿宋" w:eastAsia="仿宋" w:cs="仿宋"/>
                <w:b/>
                <w:color w:val="auto"/>
                <w:sz w:val="24"/>
                <w:highlight w:val="none"/>
              </w:rPr>
            </w:pPr>
          </w:p>
          <w:p w14:paraId="58DA4220">
            <w:pPr>
              <w:spacing w:line="360" w:lineRule="auto"/>
              <w:ind w:firstLine="48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18F14837">
            <w:pPr>
              <w:spacing w:line="360" w:lineRule="auto"/>
              <w:ind w:firstLine="482"/>
              <w:jc w:val="center"/>
              <w:rPr>
                <w:rFonts w:hint="eastAsia" w:ascii="仿宋" w:hAnsi="仿宋" w:eastAsia="仿宋" w:cs="仿宋"/>
                <w:b/>
                <w:color w:val="auto"/>
                <w:sz w:val="24"/>
                <w:highlight w:val="none"/>
              </w:rPr>
            </w:pPr>
          </w:p>
        </w:tc>
      </w:tr>
      <w:tr w14:paraId="3D66F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EC4E7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tcPr>
          <w:p w14:paraId="2ADEDE5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196BC09B">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DBFA46F">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EA5DF0D">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6DA43F2">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8E5330D">
            <w:pPr>
              <w:spacing w:line="360" w:lineRule="auto"/>
              <w:jc w:val="center"/>
              <w:rPr>
                <w:rFonts w:hint="eastAsia" w:ascii="仿宋" w:hAnsi="仿宋" w:eastAsia="仿宋" w:cs="仿宋"/>
                <w:color w:val="auto"/>
                <w:sz w:val="24"/>
                <w:highlight w:val="none"/>
              </w:rPr>
            </w:pPr>
          </w:p>
        </w:tc>
      </w:tr>
      <w:tr w14:paraId="7DE67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B9BBAC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tcPr>
          <w:p w14:paraId="57B85AF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0EC69ACB">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9786B6C">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0F0F895">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72024B0">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8D98E09">
            <w:pPr>
              <w:spacing w:line="360" w:lineRule="auto"/>
              <w:jc w:val="center"/>
              <w:rPr>
                <w:rFonts w:hint="eastAsia" w:ascii="仿宋" w:hAnsi="仿宋" w:eastAsia="仿宋" w:cs="仿宋"/>
                <w:color w:val="auto"/>
                <w:sz w:val="24"/>
                <w:highlight w:val="none"/>
              </w:rPr>
            </w:pPr>
          </w:p>
        </w:tc>
      </w:tr>
      <w:tr w14:paraId="4CCD1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44798B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EA264DE">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B077E7">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1BCC2D1">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20B81B6">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14337D0">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2437FE4">
            <w:pPr>
              <w:spacing w:line="360" w:lineRule="auto"/>
              <w:jc w:val="center"/>
              <w:rPr>
                <w:rFonts w:hint="eastAsia" w:ascii="仿宋" w:hAnsi="仿宋" w:eastAsia="仿宋" w:cs="仿宋"/>
                <w:color w:val="auto"/>
                <w:sz w:val="24"/>
                <w:highlight w:val="none"/>
              </w:rPr>
            </w:pPr>
          </w:p>
        </w:tc>
      </w:tr>
    </w:tbl>
    <w:p w14:paraId="7863CA12">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BE218D1">
      <w:pPr>
        <w:spacing w:line="360" w:lineRule="auto"/>
        <w:ind w:firstLine="643"/>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A3E7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29F1EBFF">
            <w:pPr>
              <w:spacing w:line="360" w:lineRule="auto"/>
              <w:ind w:firstLine="482"/>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Borders>
              <w:top w:val="single" w:color="auto" w:sz="4" w:space="0"/>
              <w:left w:val="single" w:color="auto" w:sz="4" w:space="0"/>
              <w:bottom w:val="single" w:color="auto" w:sz="4" w:space="0"/>
              <w:right w:val="single" w:color="auto" w:sz="4" w:space="0"/>
            </w:tcBorders>
          </w:tcPr>
          <w:p w14:paraId="7A11F7E1">
            <w:pPr>
              <w:spacing w:line="360" w:lineRule="auto"/>
              <w:ind w:firstLine="482"/>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Borders>
              <w:top w:val="single" w:color="auto" w:sz="4" w:space="0"/>
              <w:left w:val="single" w:color="auto" w:sz="4" w:space="0"/>
              <w:bottom w:val="single" w:color="auto" w:sz="4" w:space="0"/>
              <w:right w:val="single" w:color="auto" w:sz="4" w:space="0"/>
            </w:tcBorders>
          </w:tcPr>
          <w:p w14:paraId="6286EC1A">
            <w:pPr>
              <w:spacing w:line="360" w:lineRule="auto"/>
              <w:ind w:firstLine="482"/>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Borders>
              <w:top w:val="single" w:color="auto" w:sz="4" w:space="0"/>
              <w:left w:val="single" w:color="auto" w:sz="4" w:space="0"/>
              <w:bottom w:val="single" w:color="auto" w:sz="4" w:space="0"/>
              <w:right w:val="single" w:color="auto" w:sz="4" w:space="0"/>
            </w:tcBorders>
          </w:tcPr>
          <w:p w14:paraId="479053B0">
            <w:pPr>
              <w:spacing w:line="360" w:lineRule="auto"/>
              <w:ind w:firstLine="482"/>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6CF8D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7916067B">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Borders>
              <w:top w:val="single" w:color="auto" w:sz="4" w:space="0"/>
              <w:left w:val="single" w:color="auto" w:sz="4" w:space="0"/>
              <w:bottom w:val="single" w:color="auto" w:sz="4" w:space="0"/>
              <w:right w:val="single" w:color="auto" w:sz="4" w:space="0"/>
            </w:tcBorders>
          </w:tcPr>
          <w:p w14:paraId="704BFC73">
            <w:pPr>
              <w:spacing w:line="360" w:lineRule="auto"/>
              <w:ind w:firstLine="482"/>
              <w:jc w:val="center"/>
              <w:rPr>
                <w:rFonts w:hint="eastAsia" w:ascii="仿宋" w:hAnsi="仿宋" w:eastAsia="仿宋" w:cs="仿宋"/>
                <w:b/>
                <w:color w:val="auto"/>
                <w:kern w:val="0"/>
                <w:sz w:val="24"/>
                <w:highlight w:val="none"/>
              </w:rPr>
            </w:pPr>
          </w:p>
        </w:tc>
        <w:tc>
          <w:tcPr>
            <w:tcW w:w="3546" w:type="dxa"/>
            <w:tcBorders>
              <w:top w:val="single" w:color="auto" w:sz="4" w:space="0"/>
              <w:left w:val="single" w:color="auto" w:sz="4" w:space="0"/>
              <w:bottom w:val="single" w:color="auto" w:sz="4" w:space="0"/>
              <w:right w:val="single" w:color="auto" w:sz="4" w:space="0"/>
            </w:tcBorders>
          </w:tcPr>
          <w:p w14:paraId="4A7395CD">
            <w:pPr>
              <w:spacing w:line="360" w:lineRule="auto"/>
              <w:ind w:firstLine="482"/>
              <w:jc w:val="center"/>
              <w:rPr>
                <w:rFonts w:hint="eastAsia" w:ascii="仿宋" w:hAnsi="仿宋" w:eastAsia="仿宋" w:cs="仿宋"/>
                <w:b/>
                <w:color w:val="auto"/>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7F4BCEDD">
            <w:pPr>
              <w:spacing w:line="360" w:lineRule="auto"/>
              <w:ind w:firstLine="482"/>
              <w:jc w:val="center"/>
              <w:rPr>
                <w:rFonts w:hint="eastAsia" w:ascii="仿宋" w:hAnsi="仿宋" w:eastAsia="仿宋" w:cs="仿宋"/>
                <w:b/>
                <w:color w:val="auto"/>
                <w:kern w:val="0"/>
                <w:sz w:val="24"/>
                <w:highlight w:val="none"/>
              </w:rPr>
            </w:pPr>
          </w:p>
        </w:tc>
      </w:tr>
      <w:tr w14:paraId="66180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6EE317AD">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Borders>
              <w:top w:val="single" w:color="auto" w:sz="4" w:space="0"/>
              <w:left w:val="single" w:color="auto" w:sz="4" w:space="0"/>
              <w:bottom w:val="single" w:color="auto" w:sz="4" w:space="0"/>
              <w:right w:val="single" w:color="auto" w:sz="4" w:space="0"/>
            </w:tcBorders>
          </w:tcPr>
          <w:p w14:paraId="7C6AC2D9">
            <w:pPr>
              <w:spacing w:line="360" w:lineRule="auto"/>
              <w:ind w:firstLine="482"/>
              <w:jc w:val="center"/>
              <w:rPr>
                <w:rFonts w:hint="eastAsia" w:ascii="仿宋" w:hAnsi="仿宋" w:eastAsia="仿宋" w:cs="仿宋"/>
                <w:b/>
                <w:color w:val="auto"/>
                <w:kern w:val="0"/>
                <w:sz w:val="24"/>
                <w:highlight w:val="none"/>
              </w:rPr>
            </w:pPr>
          </w:p>
        </w:tc>
        <w:tc>
          <w:tcPr>
            <w:tcW w:w="3546" w:type="dxa"/>
            <w:tcBorders>
              <w:top w:val="single" w:color="auto" w:sz="4" w:space="0"/>
              <w:left w:val="single" w:color="auto" w:sz="4" w:space="0"/>
              <w:bottom w:val="single" w:color="auto" w:sz="4" w:space="0"/>
              <w:right w:val="single" w:color="auto" w:sz="4" w:space="0"/>
            </w:tcBorders>
          </w:tcPr>
          <w:p w14:paraId="48A5D228">
            <w:pPr>
              <w:spacing w:line="360" w:lineRule="auto"/>
              <w:ind w:firstLine="482"/>
              <w:jc w:val="center"/>
              <w:rPr>
                <w:rFonts w:hint="eastAsia" w:ascii="仿宋" w:hAnsi="仿宋" w:eastAsia="仿宋" w:cs="仿宋"/>
                <w:b/>
                <w:color w:val="auto"/>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05D87917">
            <w:pPr>
              <w:spacing w:line="360" w:lineRule="auto"/>
              <w:ind w:firstLine="482"/>
              <w:jc w:val="center"/>
              <w:rPr>
                <w:rFonts w:hint="eastAsia" w:ascii="仿宋" w:hAnsi="仿宋" w:eastAsia="仿宋" w:cs="仿宋"/>
                <w:b/>
                <w:color w:val="auto"/>
                <w:kern w:val="0"/>
                <w:sz w:val="24"/>
                <w:highlight w:val="none"/>
              </w:rPr>
            </w:pPr>
          </w:p>
        </w:tc>
      </w:tr>
      <w:tr w14:paraId="28FA3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7CEEB6D8">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Borders>
              <w:top w:val="single" w:color="auto" w:sz="4" w:space="0"/>
              <w:left w:val="single" w:color="auto" w:sz="4" w:space="0"/>
              <w:bottom w:val="single" w:color="auto" w:sz="4" w:space="0"/>
              <w:right w:val="single" w:color="auto" w:sz="4" w:space="0"/>
            </w:tcBorders>
          </w:tcPr>
          <w:p w14:paraId="779E060F">
            <w:pPr>
              <w:spacing w:line="360" w:lineRule="auto"/>
              <w:ind w:firstLine="482"/>
              <w:jc w:val="center"/>
              <w:rPr>
                <w:rFonts w:hint="eastAsia" w:ascii="仿宋" w:hAnsi="仿宋" w:eastAsia="仿宋" w:cs="仿宋"/>
                <w:b/>
                <w:color w:val="auto"/>
                <w:kern w:val="0"/>
                <w:sz w:val="24"/>
                <w:highlight w:val="none"/>
              </w:rPr>
            </w:pPr>
          </w:p>
        </w:tc>
        <w:tc>
          <w:tcPr>
            <w:tcW w:w="3546" w:type="dxa"/>
            <w:tcBorders>
              <w:top w:val="single" w:color="auto" w:sz="4" w:space="0"/>
              <w:left w:val="single" w:color="auto" w:sz="4" w:space="0"/>
              <w:bottom w:val="single" w:color="auto" w:sz="4" w:space="0"/>
              <w:right w:val="single" w:color="auto" w:sz="4" w:space="0"/>
            </w:tcBorders>
          </w:tcPr>
          <w:p w14:paraId="1CD6535A">
            <w:pPr>
              <w:spacing w:line="360" w:lineRule="auto"/>
              <w:ind w:firstLine="482"/>
              <w:jc w:val="center"/>
              <w:rPr>
                <w:rFonts w:hint="eastAsia" w:ascii="仿宋" w:hAnsi="仿宋" w:eastAsia="仿宋" w:cs="仿宋"/>
                <w:b/>
                <w:color w:val="auto"/>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014AD832">
            <w:pPr>
              <w:spacing w:line="360" w:lineRule="auto"/>
              <w:ind w:firstLine="482"/>
              <w:jc w:val="center"/>
              <w:rPr>
                <w:rFonts w:hint="eastAsia" w:ascii="仿宋" w:hAnsi="仿宋" w:eastAsia="仿宋" w:cs="仿宋"/>
                <w:b/>
                <w:color w:val="auto"/>
                <w:kern w:val="0"/>
                <w:sz w:val="24"/>
                <w:highlight w:val="none"/>
              </w:rPr>
            </w:pPr>
          </w:p>
        </w:tc>
      </w:tr>
    </w:tbl>
    <w:p w14:paraId="1D7D895F">
      <w:pPr>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1B63B7BD">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注：1.按本格式和要求提供。</w:t>
      </w:r>
    </w:p>
    <w:p w14:paraId="28731929">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2.本表格所反映的偏离情况与“符合性审查资料”、“评标标准相应的商务技术资料”不一致的，以“符合性审查资料”、“评标标准相应的商务技术资料”为准。</w:t>
      </w:r>
    </w:p>
    <w:p w14:paraId="6816A5B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3.投标人须保证：除商务技术偏离表列出的偏离外，投标人响应招标文件的全部非实质性要求。</w:t>
      </w:r>
    </w:p>
    <w:p w14:paraId="64CE4C92">
      <w:pPr>
        <w:spacing w:line="360" w:lineRule="auto"/>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00E1D16E">
      <w:pPr>
        <w:snapToGrid w:val="0"/>
        <w:spacing w:line="360" w:lineRule="auto"/>
        <w:rPr>
          <w:rFonts w:hint="eastAsia" w:ascii="仿宋" w:hAnsi="仿宋" w:eastAsia="仿宋" w:cs="仿宋"/>
          <w:color w:val="auto"/>
          <w:sz w:val="24"/>
          <w:highlight w:val="none"/>
        </w:rPr>
      </w:pPr>
    </w:p>
    <w:p w14:paraId="6B28A4C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杭州市余杭区司法局</w:t>
      </w:r>
      <w:r>
        <w:rPr>
          <w:rFonts w:hint="eastAsia" w:ascii="仿宋" w:hAnsi="仿宋" w:eastAsia="仿宋" w:cs="仿宋"/>
          <w:color w:val="auto"/>
          <w:sz w:val="24"/>
          <w:highlight w:val="none"/>
        </w:rPr>
        <w:t xml:space="preserve"> 、海标工程管理有限公司</w:t>
      </w:r>
      <w:r>
        <w:rPr>
          <w:rFonts w:hint="eastAsia" w:ascii="仿宋" w:hAnsi="仿宋" w:eastAsia="仿宋" w:cs="仿宋"/>
          <w:color w:val="auto"/>
          <w:kern w:val="0"/>
          <w:sz w:val="24"/>
          <w:highlight w:val="none"/>
          <w:lang w:val="zh-CN"/>
        </w:rPr>
        <w:t>：</w:t>
      </w:r>
    </w:p>
    <w:p w14:paraId="6B669B5F">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5133E6C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30EF202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25227992">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50D02602">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0451398F">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28E501F4">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25F82F60">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78A6C320">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483F12CE">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72D5068E">
      <w:pPr>
        <w:autoSpaceDE w:val="0"/>
        <w:autoSpaceDN w:val="0"/>
        <w:spacing w:line="360" w:lineRule="auto"/>
        <w:ind w:left="2"/>
        <w:jc w:val="left"/>
        <w:rPr>
          <w:rFonts w:hint="eastAsia" w:ascii="仿宋" w:hAnsi="仿宋" w:eastAsia="仿宋" w:cs="仿宋"/>
          <w:color w:val="auto"/>
          <w:kern w:val="0"/>
          <w:sz w:val="24"/>
          <w:highlight w:val="none"/>
          <w:lang w:val="zh-CN"/>
        </w:rPr>
      </w:pPr>
    </w:p>
    <w:p w14:paraId="0223A3B0">
      <w:pPr>
        <w:autoSpaceDE w:val="0"/>
        <w:autoSpaceDN w:val="0"/>
        <w:spacing w:line="360" w:lineRule="auto"/>
        <w:ind w:left="2"/>
        <w:jc w:val="left"/>
        <w:rPr>
          <w:rFonts w:hint="eastAsia" w:ascii="仿宋" w:hAnsi="仿宋" w:eastAsia="仿宋" w:cs="仿宋"/>
          <w:color w:val="auto"/>
          <w:kern w:val="0"/>
          <w:sz w:val="24"/>
          <w:highlight w:val="none"/>
          <w:lang w:val="zh-CN"/>
        </w:rPr>
      </w:pPr>
    </w:p>
    <w:p w14:paraId="6162DF40">
      <w:pPr>
        <w:autoSpaceDE w:val="0"/>
        <w:autoSpaceDN w:val="0"/>
        <w:spacing w:line="360" w:lineRule="auto"/>
        <w:ind w:left="2"/>
        <w:jc w:val="left"/>
        <w:rPr>
          <w:rFonts w:hint="eastAsia" w:ascii="仿宋" w:hAnsi="仿宋" w:eastAsia="仿宋" w:cs="仿宋"/>
          <w:color w:val="auto"/>
          <w:kern w:val="0"/>
          <w:sz w:val="24"/>
          <w:highlight w:val="none"/>
          <w:lang w:val="zh-CN"/>
        </w:rPr>
      </w:pPr>
    </w:p>
    <w:p w14:paraId="4643D7A7">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4CDF66A4">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404FA74F">
      <w:pPr>
        <w:spacing w:line="360" w:lineRule="auto"/>
        <w:ind w:firstLine="482"/>
        <w:jc w:val="center"/>
        <w:rPr>
          <w:rFonts w:hint="eastAsia" w:ascii="仿宋" w:hAnsi="仿宋" w:eastAsia="仿宋" w:cs="仿宋"/>
          <w:b/>
          <w:bCs/>
          <w:color w:val="auto"/>
          <w:sz w:val="24"/>
          <w:highlight w:val="none"/>
        </w:rPr>
      </w:pPr>
    </w:p>
    <w:p w14:paraId="00DB643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512B11A">
      <w:pPr>
        <w:spacing w:line="360" w:lineRule="auto"/>
        <w:ind w:firstLine="482"/>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79BFA00C">
      <w:pPr>
        <w:spacing w:line="360" w:lineRule="auto"/>
        <w:ind w:firstLine="643"/>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报价文件部分</w:t>
      </w:r>
    </w:p>
    <w:p w14:paraId="34820415">
      <w:pPr>
        <w:spacing w:line="360" w:lineRule="auto"/>
        <w:ind w:firstLine="482"/>
        <w:jc w:val="center"/>
        <w:outlineLvl w:val="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目录</w:t>
      </w:r>
    </w:p>
    <w:p w14:paraId="64969C50">
      <w:pPr>
        <w:ind w:firstLine="480"/>
        <w:jc w:val="left"/>
        <w:rPr>
          <w:rFonts w:hint="eastAsia" w:ascii="仿宋" w:hAnsi="仿宋" w:eastAsia="仿宋" w:cs="仿宋"/>
          <w:color w:val="auto"/>
          <w:highlight w:val="none"/>
        </w:rPr>
      </w:pPr>
    </w:p>
    <w:p w14:paraId="51E01B1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78D2E37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bCs/>
          <w:snapToGrid w:val="0"/>
          <w:color w:val="auto"/>
          <w:sz w:val="24"/>
          <w:highlight w:val="none"/>
        </w:rPr>
        <w:t>报价情况说明</w:t>
      </w:r>
      <w:r>
        <w:rPr>
          <w:rFonts w:hint="eastAsia" w:ascii="仿宋" w:hAnsi="仿宋" w:eastAsia="仿宋" w:cs="仿宋"/>
          <w:color w:val="auto"/>
          <w:sz w:val="24"/>
          <w:highlight w:val="none"/>
        </w:rPr>
        <w:t>…………………………………………………………………（页码）（</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）中小企业声明函………………………………………………………………（页码）</w:t>
      </w:r>
    </w:p>
    <w:p w14:paraId="11AF94FE">
      <w:pPr>
        <w:snapToGrid w:val="0"/>
        <w:spacing w:line="360" w:lineRule="auto"/>
        <w:ind w:right="480" w:firstLine="482"/>
        <w:jc w:val="center"/>
        <w:rPr>
          <w:rFonts w:hint="eastAsia" w:ascii="仿宋" w:hAnsi="仿宋" w:eastAsia="仿宋" w:cs="仿宋"/>
          <w:b/>
          <w:color w:val="auto"/>
          <w:kern w:val="0"/>
          <w:sz w:val="24"/>
          <w:highlight w:val="none"/>
        </w:rPr>
      </w:pPr>
    </w:p>
    <w:p w14:paraId="650FD9DE">
      <w:pPr>
        <w:snapToGrid w:val="0"/>
        <w:spacing w:line="360" w:lineRule="auto"/>
        <w:ind w:right="480" w:firstLine="482"/>
        <w:jc w:val="center"/>
        <w:rPr>
          <w:rFonts w:hint="eastAsia" w:ascii="仿宋" w:hAnsi="仿宋" w:eastAsia="仿宋" w:cs="仿宋"/>
          <w:b/>
          <w:color w:val="auto"/>
          <w:kern w:val="0"/>
          <w:sz w:val="24"/>
          <w:highlight w:val="none"/>
        </w:rPr>
      </w:pPr>
    </w:p>
    <w:p w14:paraId="535146AD">
      <w:pPr>
        <w:snapToGrid w:val="0"/>
        <w:spacing w:line="360" w:lineRule="auto"/>
        <w:ind w:right="480" w:firstLine="482"/>
        <w:jc w:val="center"/>
        <w:rPr>
          <w:rFonts w:hint="eastAsia" w:ascii="仿宋" w:hAnsi="仿宋" w:eastAsia="仿宋" w:cs="仿宋"/>
          <w:b/>
          <w:color w:val="auto"/>
          <w:kern w:val="0"/>
          <w:sz w:val="24"/>
          <w:highlight w:val="none"/>
        </w:rPr>
      </w:pPr>
    </w:p>
    <w:p w14:paraId="5AD7894C">
      <w:pPr>
        <w:snapToGrid w:val="0"/>
        <w:spacing w:line="360" w:lineRule="auto"/>
        <w:ind w:right="480" w:firstLine="482"/>
        <w:jc w:val="center"/>
        <w:rPr>
          <w:rFonts w:hint="eastAsia" w:ascii="仿宋" w:hAnsi="仿宋" w:eastAsia="仿宋" w:cs="仿宋"/>
          <w:b/>
          <w:color w:val="auto"/>
          <w:kern w:val="0"/>
          <w:sz w:val="24"/>
          <w:highlight w:val="none"/>
        </w:rPr>
      </w:pPr>
    </w:p>
    <w:p w14:paraId="48543CD9">
      <w:pPr>
        <w:snapToGrid w:val="0"/>
        <w:spacing w:line="360" w:lineRule="auto"/>
        <w:ind w:right="480" w:firstLine="482"/>
        <w:jc w:val="center"/>
        <w:rPr>
          <w:rFonts w:hint="eastAsia" w:ascii="仿宋" w:hAnsi="仿宋" w:eastAsia="仿宋" w:cs="仿宋"/>
          <w:b/>
          <w:color w:val="auto"/>
          <w:kern w:val="0"/>
          <w:sz w:val="24"/>
          <w:highlight w:val="none"/>
        </w:rPr>
      </w:pPr>
    </w:p>
    <w:p w14:paraId="2F8670B7">
      <w:pPr>
        <w:snapToGrid w:val="0"/>
        <w:spacing w:line="360" w:lineRule="auto"/>
        <w:ind w:right="480" w:firstLine="482"/>
        <w:jc w:val="center"/>
        <w:rPr>
          <w:rFonts w:hint="eastAsia" w:ascii="仿宋" w:hAnsi="仿宋" w:eastAsia="仿宋" w:cs="仿宋"/>
          <w:b/>
          <w:color w:val="auto"/>
          <w:kern w:val="0"/>
          <w:sz w:val="24"/>
          <w:highlight w:val="none"/>
        </w:rPr>
      </w:pPr>
    </w:p>
    <w:p w14:paraId="24D736E6">
      <w:pPr>
        <w:snapToGrid w:val="0"/>
        <w:spacing w:line="360" w:lineRule="auto"/>
        <w:ind w:right="480" w:firstLine="482"/>
        <w:jc w:val="center"/>
        <w:rPr>
          <w:rFonts w:hint="eastAsia" w:ascii="仿宋" w:hAnsi="仿宋" w:eastAsia="仿宋" w:cs="仿宋"/>
          <w:b/>
          <w:color w:val="auto"/>
          <w:kern w:val="0"/>
          <w:sz w:val="24"/>
          <w:highlight w:val="none"/>
        </w:rPr>
      </w:pPr>
    </w:p>
    <w:p w14:paraId="6D3053B8">
      <w:pPr>
        <w:snapToGrid w:val="0"/>
        <w:spacing w:line="360" w:lineRule="auto"/>
        <w:ind w:right="480" w:firstLine="482"/>
        <w:jc w:val="center"/>
        <w:rPr>
          <w:rFonts w:hint="eastAsia" w:ascii="仿宋" w:hAnsi="仿宋" w:eastAsia="仿宋" w:cs="仿宋"/>
          <w:b/>
          <w:color w:val="auto"/>
          <w:kern w:val="0"/>
          <w:sz w:val="24"/>
          <w:highlight w:val="none"/>
        </w:rPr>
      </w:pPr>
    </w:p>
    <w:p w14:paraId="238BF52A">
      <w:pPr>
        <w:snapToGrid w:val="0"/>
        <w:spacing w:line="360" w:lineRule="auto"/>
        <w:ind w:right="480" w:firstLine="482"/>
        <w:jc w:val="center"/>
        <w:rPr>
          <w:rFonts w:hint="eastAsia" w:ascii="仿宋" w:hAnsi="仿宋" w:eastAsia="仿宋" w:cs="仿宋"/>
          <w:b/>
          <w:color w:val="auto"/>
          <w:kern w:val="0"/>
          <w:sz w:val="24"/>
          <w:highlight w:val="none"/>
        </w:rPr>
      </w:pPr>
    </w:p>
    <w:p w14:paraId="1CDA9F7B">
      <w:pPr>
        <w:snapToGrid w:val="0"/>
        <w:spacing w:line="360" w:lineRule="auto"/>
        <w:ind w:right="480" w:firstLine="482"/>
        <w:jc w:val="center"/>
        <w:rPr>
          <w:rFonts w:hint="eastAsia" w:ascii="仿宋" w:hAnsi="仿宋" w:eastAsia="仿宋" w:cs="仿宋"/>
          <w:b/>
          <w:color w:val="auto"/>
          <w:kern w:val="0"/>
          <w:sz w:val="24"/>
          <w:highlight w:val="none"/>
        </w:rPr>
      </w:pPr>
    </w:p>
    <w:p w14:paraId="7F909B72">
      <w:pPr>
        <w:snapToGrid w:val="0"/>
        <w:spacing w:line="360" w:lineRule="auto"/>
        <w:ind w:right="480" w:firstLine="482"/>
        <w:jc w:val="center"/>
        <w:rPr>
          <w:rFonts w:hint="eastAsia" w:ascii="仿宋" w:hAnsi="仿宋" w:eastAsia="仿宋" w:cs="仿宋"/>
          <w:b/>
          <w:color w:val="auto"/>
          <w:kern w:val="0"/>
          <w:sz w:val="24"/>
          <w:highlight w:val="none"/>
        </w:rPr>
      </w:pPr>
    </w:p>
    <w:p w14:paraId="4EA2F1DB">
      <w:pPr>
        <w:snapToGrid w:val="0"/>
        <w:spacing w:line="360" w:lineRule="auto"/>
        <w:ind w:right="480" w:firstLine="482"/>
        <w:jc w:val="center"/>
        <w:rPr>
          <w:rFonts w:hint="eastAsia" w:ascii="仿宋" w:hAnsi="仿宋" w:eastAsia="仿宋" w:cs="仿宋"/>
          <w:b/>
          <w:color w:val="auto"/>
          <w:kern w:val="0"/>
          <w:sz w:val="24"/>
          <w:highlight w:val="none"/>
        </w:rPr>
      </w:pPr>
    </w:p>
    <w:p w14:paraId="6AA59011">
      <w:pPr>
        <w:snapToGrid w:val="0"/>
        <w:spacing w:line="360" w:lineRule="auto"/>
        <w:ind w:right="480" w:firstLine="482"/>
        <w:jc w:val="center"/>
        <w:rPr>
          <w:rFonts w:hint="eastAsia" w:ascii="仿宋" w:hAnsi="仿宋" w:eastAsia="仿宋" w:cs="仿宋"/>
          <w:b/>
          <w:color w:val="auto"/>
          <w:kern w:val="0"/>
          <w:sz w:val="24"/>
          <w:highlight w:val="none"/>
        </w:rPr>
      </w:pPr>
    </w:p>
    <w:p w14:paraId="5DA47CF7">
      <w:pPr>
        <w:snapToGrid w:val="0"/>
        <w:spacing w:line="360" w:lineRule="auto"/>
        <w:ind w:right="480" w:firstLine="482"/>
        <w:jc w:val="center"/>
        <w:rPr>
          <w:rFonts w:hint="eastAsia" w:ascii="仿宋" w:hAnsi="仿宋" w:eastAsia="仿宋" w:cs="仿宋"/>
          <w:b/>
          <w:color w:val="auto"/>
          <w:kern w:val="0"/>
          <w:sz w:val="24"/>
          <w:highlight w:val="none"/>
        </w:rPr>
      </w:pPr>
    </w:p>
    <w:p w14:paraId="4CDF6734">
      <w:pPr>
        <w:snapToGrid w:val="0"/>
        <w:spacing w:line="360" w:lineRule="auto"/>
        <w:ind w:right="480" w:firstLine="482"/>
        <w:jc w:val="center"/>
        <w:rPr>
          <w:rFonts w:hint="eastAsia" w:ascii="仿宋" w:hAnsi="仿宋" w:eastAsia="仿宋" w:cs="仿宋"/>
          <w:b/>
          <w:color w:val="auto"/>
          <w:kern w:val="0"/>
          <w:sz w:val="24"/>
          <w:highlight w:val="none"/>
        </w:rPr>
      </w:pPr>
    </w:p>
    <w:p w14:paraId="69B2F2B2">
      <w:pPr>
        <w:pStyle w:val="803"/>
        <w:keepNext w:val="0"/>
        <w:pageBreakBefore w:val="0"/>
        <w:tabs>
          <w:tab w:val="clear" w:pos="720"/>
        </w:tabs>
        <w:snapToGrid w:val="0"/>
        <w:spacing w:before="120" w:after="120"/>
        <w:ind w:firstLine="482"/>
        <w:outlineLvl w:val="9"/>
        <w:rPr>
          <w:rFonts w:hint="eastAsia" w:ascii="仿宋" w:hAnsi="仿宋" w:eastAsia="仿宋" w:cs="仿宋"/>
          <w:color w:val="auto"/>
          <w:kern w:val="2"/>
          <w:sz w:val="24"/>
          <w:szCs w:val="24"/>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BE0A310">
      <w:pPr>
        <w:pStyle w:val="80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6DCFF32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杭州市余杭区司法局</w:t>
      </w:r>
      <w:r>
        <w:rPr>
          <w:rFonts w:hint="eastAsia" w:ascii="仿宋" w:hAnsi="仿宋" w:eastAsia="仿宋" w:cs="仿宋"/>
          <w:color w:val="auto"/>
          <w:sz w:val="24"/>
          <w:highlight w:val="none"/>
        </w:rPr>
        <w:t xml:space="preserve"> 、海标工程管理有限公司</w:t>
      </w:r>
      <w:r>
        <w:rPr>
          <w:rFonts w:hint="eastAsia" w:ascii="仿宋" w:hAnsi="仿宋" w:eastAsia="仿宋" w:cs="仿宋"/>
          <w:color w:val="auto"/>
          <w:kern w:val="0"/>
          <w:sz w:val="24"/>
          <w:highlight w:val="none"/>
          <w:lang w:val="zh-CN"/>
        </w:rPr>
        <w:t>：</w:t>
      </w:r>
    </w:p>
    <w:p w14:paraId="1451E93D">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lang w:eastAsia="zh-CN"/>
        </w:rPr>
        <w:t>2025年区级人民调解案件化解服务</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HBZFCG-2025-013</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4565E9AC">
      <w:pPr>
        <w:spacing w:line="360" w:lineRule="auto"/>
        <w:ind w:firstLine="482"/>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4"/>
        <w:tblW w:w="14743" w:type="dxa"/>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855"/>
        <w:gridCol w:w="5414"/>
        <w:gridCol w:w="722"/>
        <w:gridCol w:w="2291"/>
        <w:gridCol w:w="3698"/>
      </w:tblGrid>
      <w:tr w14:paraId="3365E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763" w:type="dxa"/>
            <w:vAlign w:val="center"/>
          </w:tcPr>
          <w:p w14:paraId="07058E4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55" w:type="dxa"/>
            <w:vAlign w:val="center"/>
          </w:tcPr>
          <w:p w14:paraId="5B15AD1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项目名称</w:t>
            </w:r>
          </w:p>
        </w:tc>
        <w:tc>
          <w:tcPr>
            <w:tcW w:w="5414" w:type="dxa"/>
          </w:tcPr>
          <w:p w14:paraId="57FA1499">
            <w:pPr>
              <w:spacing w:line="360" w:lineRule="auto"/>
              <w:ind w:firstLine="482"/>
              <w:jc w:val="center"/>
              <w:rPr>
                <w:rFonts w:hint="eastAsia" w:ascii="仿宋" w:hAnsi="仿宋" w:eastAsia="仿宋" w:cs="仿宋"/>
                <w:b/>
                <w:color w:val="auto"/>
                <w:sz w:val="24"/>
                <w:highlight w:val="none"/>
              </w:rPr>
            </w:pPr>
          </w:p>
          <w:p w14:paraId="18D49B1E">
            <w:pPr>
              <w:spacing w:line="360" w:lineRule="auto"/>
              <w:ind w:firstLine="48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722" w:type="dxa"/>
            <w:vAlign w:val="center"/>
          </w:tcPr>
          <w:p w14:paraId="0643A5C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291" w:type="dxa"/>
            <w:vAlign w:val="center"/>
          </w:tcPr>
          <w:p w14:paraId="05351D94">
            <w:pPr>
              <w:spacing w:line="360" w:lineRule="auto"/>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单项报价（元/件）</w:t>
            </w:r>
          </w:p>
        </w:tc>
        <w:tc>
          <w:tcPr>
            <w:tcW w:w="3698" w:type="dxa"/>
            <w:vAlign w:val="center"/>
          </w:tcPr>
          <w:p w14:paraId="3EC87FB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tc>
      </w:tr>
      <w:tr w14:paraId="63720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63" w:type="dxa"/>
            <w:vAlign w:val="center"/>
          </w:tcPr>
          <w:p w14:paraId="4A732D6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55" w:type="dxa"/>
            <w:vMerge w:val="restart"/>
            <w:vAlign w:val="center"/>
          </w:tcPr>
          <w:p w14:paraId="6C75853F">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2025年区级人民调解案件化解服务</w:t>
            </w:r>
          </w:p>
        </w:tc>
        <w:tc>
          <w:tcPr>
            <w:tcW w:w="5414" w:type="dxa"/>
            <w:vAlign w:val="center"/>
          </w:tcPr>
          <w:p w14:paraId="512A5B32">
            <w:pPr>
              <w:jc w:val="left"/>
              <w:rPr>
                <w:rFonts w:hint="eastAsia" w:ascii="仿宋" w:hAnsi="仿宋" w:eastAsia="仿宋" w:cs="仿宋"/>
                <w:color w:val="auto"/>
                <w:sz w:val="24"/>
                <w:highlight w:val="none"/>
              </w:rPr>
            </w:pPr>
            <w:r>
              <w:rPr>
                <w:rFonts w:hint="eastAsia" w:ascii="宋体" w:hAnsi="宋体" w:cs="宋体"/>
                <w:b w:val="0"/>
                <w:bCs/>
                <w:color w:val="auto"/>
                <w:sz w:val="24"/>
                <w:highlight w:val="none"/>
              </w:rPr>
              <w:t>调解成功不形成卷宗仅</w:t>
            </w:r>
            <w:r>
              <w:rPr>
                <w:rFonts w:hint="eastAsia" w:ascii="宋体" w:hAnsi="宋体" w:cs="宋体"/>
                <w:b/>
                <w:bCs w:val="0"/>
                <w:color w:val="auto"/>
                <w:sz w:val="24"/>
                <w:highlight w:val="none"/>
              </w:rPr>
              <w:t>有协议</w:t>
            </w:r>
            <w:r>
              <w:rPr>
                <w:rFonts w:hint="eastAsia" w:ascii="宋体" w:hAnsi="宋体" w:cs="宋体"/>
                <w:b/>
                <w:bCs w:val="0"/>
                <w:color w:val="auto"/>
                <w:sz w:val="24"/>
                <w:highlight w:val="none"/>
                <w:lang w:eastAsia="zh-CN"/>
              </w:rPr>
              <w:t>型</w:t>
            </w:r>
          </w:p>
        </w:tc>
        <w:tc>
          <w:tcPr>
            <w:tcW w:w="722" w:type="dxa"/>
            <w:vMerge w:val="restart"/>
            <w:vAlign w:val="center"/>
          </w:tcPr>
          <w:p w14:paraId="0ED814B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年</w:t>
            </w:r>
          </w:p>
        </w:tc>
        <w:tc>
          <w:tcPr>
            <w:tcW w:w="2291" w:type="dxa"/>
            <w:vAlign w:val="center"/>
          </w:tcPr>
          <w:p w14:paraId="55CD0F55">
            <w:pPr>
              <w:jc w:val="center"/>
              <w:rPr>
                <w:rFonts w:hint="eastAsia" w:ascii="仿宋" w:hAnsi="仿宋" w:eastAsia="仿宋" w:cs="仿宋"/>
                <w:color w:val="auto"/>
                <w:sz w:val="24"/>
                <w:highlight w:val="none"/>
              </w:rPr>
            </w:pPr>
            <w:r>
              <w:rPr>
                <w:rFonts w:hint="eastAsia" w:ascii="仿宋" w:hAnsi="仿宋" w:eastAsia="仿宋" w:cs="仿宋"/>
                <w:b/>
                <w:bCs/>
                <w:color w:val="auto"/>
                <w:sz w:val="24"/>
                <w:szCs w:val="21"/>
                <w:highlight w:val="none"/>
                <w:u w:val="single"/>
              </w:rPr>
              <w:t xml:space="preserve">     </w:t>
            </w:r>
            <w:r>
              <w:rPr>
                <w:rFonts w:hint="eastAsia" w:ascii="仿宋" w:hAnsi="仿宋" w:eastAsia="仿宋" w:cs="仿宋"/>
                <w:b/>
                <w:bCs/>
                <w:color w:val="auto"/>
                <w:sz w:val="24"/>
                <w:szCs w:val="21"/>
                <w:highlight w:val="none"/>
              </w:rPr>
              <w:t>元/件</w:t>
            </w:r>
          </w:p>
        </w:tc>
        <w:tc>
          <w:tcPr>
            <w:tcW w:w="3698" w:type="dxa"/>
            <w:vMerge w:val="restart"/>
            <w:vAlign w:val="center"/>
          </w:tcPr>
          <w:p w14:paraId="3B4A1885">
            <w:pPr>
              <w:snapToGrid w:val="0"/>
              <w:spacing w:line="360" w:lineRule="auto"/>
              <w:jc w:val="center"/>
              <w:rPr>
                <w:rFonts w:hint="eastAsia" w:ascii="仿宋" w:hAnsi="仿宋" w:eastAsia="仿宋" w:cs="仿宋"/>
                <w:color w:val="auto"/>
                <w:sz w:val="24"/>
                <w:highlight w:val="none"/>
              </w:rPr>
            </w:pPr>
            <w:r>
              <w:rPr>
                <w:rFonts w:hint="eastAsia" w:ascii="宋体" w:hAnsi="宋体" w:cs="宋体"/>
                <w:color w:val="auto"/>
                <w:sz w:val="24"/>
                <w:highlight w:val="none"/>
              </w:rPr>
              <w:t>调解成功并形成调解案卷一般型不超过550元/件（一般型纠纷：赔补偿低于20万元、涉案标的低于100万元等其他一般纠纷）；调解成功并形成调解案卷疑难型不超过1500元/件（疑难型纠纷：赔补偿20万元以上、涉案标的100万元及以上或5人至10人群体性纠纷等其他疑难纠纷）；调解成功并形成调解案卷重大型不超过3000元/件（重大型纠纷：亡人或涉案标的500万元及以上或10人及以上群体性及其他重大纠纷）；其他调解不成功案件录入“浙里调解”平台的不超过20元/件。</w:t>
            </w:r>
          </w:p>
        </w:tc>
      </w:tr>
      <w:tr w14:paraId="32ED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63" w:type="dxa"/>
            <w:vAlign w:val="center"/>
          </w:tcPr>
          <w:p w14:paraId="493A4C0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55" w:type="dxa"/>
            <w:vMerge w:val="continue"/>
            <w:vAlign w:val="center"/>
          </w:tcPr>
          <w:p w14:paraId="492AC18F">
            <w:pPr>
              <w:snapToGrid w:val="0"/>
              <w:spacing w:line="360" w:lineRule="auto"/>
              <w:jc w:val="center"/>
              <w:rPr>
                <w:rFonts w:hint="eastAsia" w:ascii="仿宋" w:hAnsi="仿宋" w:eastAsia="仿宋" w:cs="仿宋"/>
                <w:color w:val="auto"/>
                <w:sz w:val="24"/>
                <w:highlight w:val="none"/>
              </w:rPr>
            </w:pPr>
          </w:p>
        </w:tc>
        <w:tc>
          <w:tcPr>
            <w:tcW w:w="5414" w:type="dxa"/>
            <w:vAlign w:val="center"/>
          </w:tcPr>
          <w:p w14:paraId="7BA671B0">
            <w:pPr>
              <w:jc w:val="left"/>
              <w:rPr>
                <w:rFonts w:hint="eastAsia" w:ascii="仿宋" w:hAnsi="仿宋" w:eastAsia="仿宋" w:cs="仿宋"/>
                <w:color w:val="auto"/>
                <w:sz w:val="24"/>
                <w:highlight w:val="none"/>
              </w:rPr>
            </w:pPr>
            <w:r>
              <w:rPr>
                <w:rFonts w:hint="eastAsia" w:ascii="宋体" w:hAnsi="宋体" w:cs="宋体"/>
                <w:b w:val="0"/>
                <w:bCs/>
                <w:color w:val="auto"/>
                <w:sz w:val="24"/>
                <w:highlight w:val="none"/>
              </w:rPr>
              <w:t>调解成功并形成调解案卷</w:t>
            </w:r>
            <w:r>
              <w:rPr>
                <w:rFonts w:hint="eastAsia" w:ascii="宋体" w:hAnsi="宋体" w:cs="宋体"/>
                <w:b/>
                <w:bCs w:val="0"/>
                <w:color w:val="auto"/>
                <w:sz w:val="24"/>
                <w:highlight w:val="none"/>
              </w:rPr>
              <w:t>一般型</w:t>
            </w:r>
            <w:r>
              <w:rPr>
                <w:rFonts w:hint="eastAsia" w:ascii="宋体" w:hAnsi="宋体" w:cs="宋体"/>
                <w:b w:val="0"/>
                <w:bCs/>
                <w:color w:val="auto"/>
                <w:sz w:val="24"/>
                <w:highlight w:val="none"/>
                <w:lang w:eastAsia="zh-CN"/>
              </w:rPr>
              <w:t>（</w:t>
            </w:r>
            <w:r>
              <w:rPr>
                <w:rFonts w:hint="eastAsia" w:ascii="宋体" w:hAnsi="宋体" w:cs="宋体"/>
                <w:color w:val="auto"/>
                <w:sz w:val="24"/>
                <w:highlight w:val="none"/>
                <w:lang w:eastAsia="zh-CN"/>
              </w:rPr>
              <w:t>一般型纠纷：</w:t>
            </w:r>
            <w:r>
              <w:rPr>
                <w:rFonts w:hint="eastAsia" w:ascii="宋体" w:hAnsi="宋体" w:cs="宋体"/>
                <w:color w:val="auto"/>
                <w:sz w:val="24"/>
                <w:highlight w:val="none"/>
              </w:rPr>
              <w:t>赔补偿</w:t>
            </w:r>
            <w:r>
              <w:rPr>
                <w:rFonts w:hint="eastAsia" w:ascii="宋体" w:hAnsi="宋体" w:cs="宋体"/>
                <w:color w:val="auto"/>
                <w:sz w:val="24"/>
                <w:highlight w:val="none"/>
                <w:lang w:eastAsia="zh-CN"/>
              </w:rPr>
              <w:t>低于</w:t>
            </w:r>
            <w:r>
              <w:rPr>
                <w:rFonts w:hint="eastAsia" w:ascii="宋体" w:hAnsi="宋体" w:cs="宋体"/>
                <w:color w:val="auto"/>
                <w:sz w:val="24"/>
                <w:highlight w:val="none"/>
              </w:rPr>
              <w:t>20万</w:t>
            </w:r>
            <w:r>
              <w:rPr>
                <w:rFonts w:hint="eastAsia" w:ascii="宋体" w:hAnsi="宋体" w:cs="宋体"/>
                <w:color w:val="auto"/>
                <w:sz w:val="24"/>
                <w:highlight w:val="none"/>
                <w:lang w:eastAsia="zh-CN"/>
              </w:rPr>
              <w:t>元</w:t>
            </w:r>
            <w:r>
              <w:rPr>
                <w:rFonts w:hint="eastAsia" w:ascii="宋体" w:hAnsi="宋体" w:cs="宋体"/>
                <w:color w:val="auto"/>
                <w:sz w:val="24"/>
                <w:highlight w:val="none"/>
              </w:rPr>
              <w:t>、涉案标的</w:t>
            </w:r>
            <w:r>
              <w:rPr>
                <w:rFonts w:hint="eastAsia" w:ascii="宋体" w:hAnsi="宋体" w:cs="宋体"/>
                <w:color w:val="auto"/>
                <w:sz w:val="24"/>
                <w:highlight w:val="none"/>
                <w:lang w:eastAsia="zh-CN"/>
              </w:rPr>
              <w:t>低于</w:t>
            </w:r>
            <w:r>
              <w:rPr>
                <w:rFonts w:hint="eastAsia" w:ascii="宋体" w:hAnsi="宋体" w:cs="宋体"/>
                <w:color w:val="auto"/>
                <w:sz w:val="24"/>
                <w:highlight w:val="none"/>
              </w:rPr>
              <w:t>100万</w:t>
            </w:r>
            <w:r>
              <w:rPr>
                <w:rFonts w:hint="eastAsia" w:ascii="宋体" w:hAnsi="宋体" w:cs="宋体"/>
                <w:color w:val="auto"/>
                <w:sz w:val="24"/>
                <w:highlight w:val="none"/>
                <w:lang w:eastAsia="zh-CN"/>
              </w:rPr>
              <w:t>元</w:t>
            </w:r>
            <w:r>
              <w:rPr>
                <w:rFonts w:hint="eastAsia" w:ascii="宋体" w:hAnsi="宋体" w:cs="宋体"/>
                <w:color w:val="auto"/>
                <w:sz w:val="24"/>
                <w:highlight w:val="none"/>
              </w:rPr>
              <w:t>等其他</w:t>
            </w:r>
            <w:r>
              <w:rPr>
                <w:rFonts w:hint="eastAsia" w:ascii="宋体" w:hAnsi="宋体" w:cs="宋体"/>
                <w:color w:val="auto"/>
                <w:sz w:val="24"/>
                <w:highlight w:val="none"/>
                <w:lang w:eastAsia="zh-CN"/>
              </w:rPr>
              <w:t>一般</w:t>
            </w:r>
            <w:r>
              <w:rPr>
                <w:rFonts w:hint="eastAsia" w:ascii="宋体" w:hAnsi="宋体" w:cs="宋体"/>
                <w:color w:val="auto"/>
                <w:sz w:val="24"/>
                <w:highlight w:val="none"/>
              </w:rPr>
              <w:t>纠纷</w:t>
            </w:r>
            <w:r>
              <w:rPr>
                <w:rFonts w:hint="eastAsia" w:ascii="宋体" w:hAnsi="宋体" w:cs="宋体"/>
                <w:color w:val="auto"/>
                <w:sz w:val="24"/>
                <w:highlight w:val="none"/>
                <w:lang w:eastAsia="zh-CN"/>
              </w:rPr>
              <w:t>）</w:t>
            </w:r>
          </w:p>
        </w:tc>
        <w:tc>
          <w:tcPr>
            <w:tcW w:w="722" w:type="dxa"/>
            <w:vMerge w:val="continue"/>
            <w:vAlign w:val="center"/>
          </w:tcPr>
          <w:p w14:paraId="07DBC187">
            <w:pPr>
              <w:snapToGrid w:val="0"/>
              <w:spacing w:line="360" w:lineRule="auto"/>
              <w:jc w:val="center"/>
              <w:rPr>
                <w:rFonts w:hint="eastAsia" w:ascii="仿宋" w:hAnsi="仿宋" w:eastAsia="仿宋" w:cs="仿宋"/>
                <w:color w:val="auto"/>
                <w:sz w:val="24"/>
                <w:highlight w:val="none"/>
              </w:rPr>
            </w:pPr>
          </w:p>
        </w:tc>
        <w:tc>
          <w:tcPr>
            <w:tcW w:w="2291" w:type="dxa"/>
            <w:vAlign w:val="center"/>
          </w:tcPr>
          <w:p w14:paraId="55E0D880">
            <w:pPr>
              <w:jc w:val="center"/>
              <w:rPr>
                <w:rFonts w:hint="eastAsia" w:ascii="仿宋" w:hAnsi="仿宋" w:eastAsia="仿宋" w:cs="仿宋"/>
                <w:color w:val="auto"/>
                <w:sz w:val="24"/>
                <w:highlight w:val="none"/>
              </w:rPr>
            </w:pPr>
            <w:r>
              <w:rPr>
                <w:rFonts w:hint="eastAsia" w:ascii="仿宋" w:hAnsi="仿宋" w:eastAsia="仿宋" w:cs="仿宋"/>
                <w:b/>
                <w:bCs/>
                <w:color w:val="auto"/>
                <w:sz w:val="24"/>
                <w:szCs w:val="21"/>
                <w:highlight w:val="none"/>
                <w:u w:val="single"/>
              </w:rPr>
              <w:t xml:space="preserve">     </w:t>
            </w:r>
            <w:r>
              <w:rPr>
                <w:rFonts w:hint="eastAsia" w:ascii="仿宋" w:hAnsi="仿宋" w:eastAsia="仿宋" w:cs="仿宋"/>
                <w:b/>
                <w:bCs/>
                <w:color w:val="auto"/>
                <w:sz w:val="24"/>
                <w:szCs w:val="21"/>
                <w:highlight w:val="none"/>
              </w:rPr>
              <w:t>元/件</w:t>
            </w:r>
          </w:p>
        </w:tc>
        <w:tc>
          <w:tcPr>
            <w:tcW w:w="3698" w:type="dxa"/>
            <w:vMerge w:val="continue"/>
            <w:vAlign w:val="center"/>
          </w:tcPr>
          <w:p w14:paraId="0C668325">
            <w:pPr>
              <w:snapToGrid w:val="0"/>
              <w:spacing w:line="360" w:lineRule="auto"/>
              <w:jc w:val="center"/>
              <w:rPr>
                <w:rFonts w:hint="eastAsia" w:ascii="仿宋" w:hAnsi="仿宋" w:eastAsia="仿宋" w:cs="仿宋"/>
                <w:color w:val="auto"/>
                <w:sz w:val="24"/>
                <w:highlight w:val="none"/>
              </w:rPr>
            </w:pPr>
          </w:p>
        </w:tc>
      </w:tr>
      <w:tr w14:paraId="26BC9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63" w:type="dxa"/>
            <w:vAlign w:val="center"/>
          </w:tcPr>
          <w:p w14:paraId="65787B0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55" w:type="dxa"/>
            <w:vMerge w:val="continue"/>
            <w:vAlign w:val="center"/>
          </w:tcPr>
          <w:p w14:paraId="7A0086F2">
            <w:pPr>
              <w:snapToGrid w:val="0"/>
              <w:spacing w:line="360" w:lineRule="auto"/>
              <w:jc w:val="center"/>
              <w:rPr>
                <w:rFonts w:hint="eastAsia" w:ascii="仿宋" w:hAnsi="仿宋" w:eastAsia="仿宋" w:cs="仿宋"/>
                <w:color w:val="auto"/>
                <w:sz w:val="24"/>
                <w:highlight w:val="none"/>
              </w:rPr>
            </w:pPr>
          </w:p>
        </w:tc>
        <w:tc>
          <w:tcPr>
            <w:tcW w:w="5414" w:type="dxa"/>
            <w:vAlign w:val="center"/>
          </w:tcPr>
          <w:p w14:paraId="7B188C1B">
            <w:pPr>
              <w:snapToGrid w:val="0"/>
              <w:spacing w:line="312" w:lineRule="auto"/>
              <w:rPr>
                <w:rFonts w:hint="eastAsia" w:ascii="宋体" w:hAnsi="宋体" w:cs="宋体"/>
                <w:color w:val="auto"/>
                <w:sz w:val="24"/>
                <w:highlight w:val="none"/>
              </w:rPr>
            </w:pPr>
            <w:r>
              <w:rPr>
                <w:rFonts w:hint="eastAsia" w:ascii="宋体" w:hAnsi="宋体" w:cs="宋体"/>
                <w:b w:val="0"/>
                <w:bCs/>
                <w:color w:val="auto"/>
                <w:sz w:val="24"/>
                <w:highlight w:val="none"/>
              </w:rPr>
              <w:t>调解成功并形成调解案卷</w:t>
            </w:r>
            <w:r>
              <w:rPr>
                <w:rFonts w:hint="eastAsia" w:ascii="宋体" w:hAnsi="宋体" w:cs="宋体"/>
                <w:b/>
                <w:bCs w:val="0"/>
                <w:color w:val="auto"/>
                <w:sz w:val="24"/>
                <w:highlight w:val="none"/>
              </w:rPr>
              <w:t>疑难型</w:t>
            </w:r>
            <w:r>
              <w:rPr>
                <w:rFonts w:hint="eastAsia" w:ascii="宋体" w:hAnsi="宋体" w:cs="宋体"/>
                <w:b w:val="0"/>
                <w:bCs/>
                <w:color w:val="auto"/>
                <w:sz w:val="24"/>
                <w:highlight w:val="none"/>
              </w:rPr>
              <w:t>（</w:t>
            </w:r>
            <w:r>
              <w:rPr>
                <w:rFonts w:hint="eastAsia" w:ascii="宋体" w:hAnsi="宋体" w:cs="宋体"/>
                <w:color w:val="auto"/>
                <w:sz w:val="24"/>
                <w:highlight w:val="none"/>
              </w:rPr>
              <w:t>（</w:t>
            </w:r>
            <w:r>
              <w:rPr>
                <w:rFonts w:hint="eastAsia" w:ascii="宋体" w:hAnsi="宋体" w:cs="宋体"/>
                <w:color w:val="auto"/>
                <w:sz w:val="24"/>
                <w:highlight w:val="none"/>
                <w:lang w:eastAsia="zh-CN"/>
              </w:rPr>
              <w:t>疑难型纠纷：</w:t>
            </w:r>
            <w:r>
              <w:rPr>
                <w:rFonts w:hint="eastAsia" w:ascii="宋体" w:hAnsi="宋体" w:cs="宋体"/>
                <w:color w:val="auto"/>
                <w:sz w:val="24"/>
                <w:highlight w:val="none"/>
              </w:rPr>
              <w:t>赔补偿20万</w:t>
            </w:r>
            <w:r>
              <w:rPr>
                <w:rFonts w:hint="eastAsia" w:ascii="宋体" w:hAnsi="宋体" w:cs="宋体"/>
                <w:color w:val="auto"/>
                <w:sz w:val="24"/>
                <w:highlight w:val="none"/>
                <w:lang w:eastAsia="zh-CN"/>
              </w:rPr>
              <w:t>元</w:t>
            </w:r>
            <w:r>
              <w:rPr>
                <w:rFonts w:hint="eastAsia" w:ascii="宋体" w:hAnsi="宋体" w:cs="宋体"/>
                <w:color w:val="auto"/>
                <w:sz w:val="24"/>
                <w:highlight w:val="none"/>
              </w:rPr>
              <w:t>以上、涉案标的100万</w:t>
            </w:r>
            <w:r>
              <w:rPr>
                <w:rFonts w:hint="eastAsia" w:ascii="宋体" w:hAnsi="宋体" w:cs="宋体"/>
                <w:color w:val="auto"/>
                <w:sz w:val="24"/>
                <w:highlight w:val="none"/>
                <w:lang w:eastAsia="zh-CN"/>
              </w:rPr>
              <w:t>元</w:t>
            </w:r>
            <w:r>
              <w:rPr>
                <w:rFonts w:hint="eastAsia" w:ascii="宋体" w:hAnsi="宋体" w:cs="宋体"/>
                <w:color w:val="auto"/>
                <w:sz w:val="24"/>
                <w:highlight w:val="none"/>
              </w:rPr>
              <w:t>及以上或5人至10人群体性纠纷等其他疑难纠纷）；</w:t>
            </w:r>
          </w:p>
          <w:p w14:paraId="1BF08F53">
            <w:pPr>
              <w:jc w:val="left"/>
              <w:rPr>
                <w:rFonts w:hint="eastAsia" w:ascii="仿宋" w:hAnsi="仿宋" w:eastAsia="仿宋" w:cs="仿宋"/>
                <w:color w:val="auto"/>
                <w:sz w:val="24"/>
                <w:highlight w:val="none"/>
              </w:rPr>
            </w:pPr>
            <w:r>
              <w:rPr>
                <w:rFonts w:hint="eastAsia" w:ascii="宋体" w:hAnsi="宋体" w:cs="宋体"/>
                <w:b w:val="0"/>
                <w:bCs/>
                <w:color w:val="auto"/>
                <w:sz w:val="24"/>
                <w:highlight w:val="none"/>
              </w:rPr>
              <w:t>）</w:t>
            </w:r>
          </w:p>
        </w:tc>
        <w:tc>
          <w:tcPr>
            <w:tcW w:w="722" w:type="dxa"/>
            <w:vMerge w:val="continue"/>
            <w:vAlign w:val="center"/>
          </w:tcPr>
          <w:p w14:paraId="1B469A56">
            <w:pPr>
              <w:snapToGrid w:val="0"/>
              <w:spacing w:line="360" w:lineRule="auto"/>
              <w:jc w:val="center"/>
              <w:rPr>
                <w:rFonts w:hint="eastAsia" w:ascii="仿宋" w:hAnsi="仿宋" w:eastAsia="仿宋" w:cs="仿宋"/>
                <w:color w:val="auto"/>
                <w:sz w:val="24"/>
                <w:highlight w:val="none"/>
              </w:rPr>
            </w:pPr>
          </w:p>
        </w:tc>
        <w:tc>
          <w:tcPr>
            <w:tcW w:w="2291" w:type="dxa"/>
            <w:vAlign w:val="center"/>
          </w:tcPr>
          <w:p w14:paraId="3FC0B5E1">
            <w:pPr>
              <w:jc w:val="center"/>
              <w:rPr>
                <w:rFonts w:hint="eastAsia" w:ascii="仿宋" w:hAnsi="仿宋" w:eastAsia="仿宋" w:cs="仿宋"/>
                <w:color w:val="auto"/>
                <w:sz w:val="24"/>
                <w:highlight w:val="none"/>
              </w:rPr>
            </w:pPr>
            <w:r>
              <w:rPr>
                <w:rFonts w:hint="eastAsia" w:ascii="仿宋" w:hAnsi="仿宋" w:eastAsia="仿宋" w:cs="仿宋"/>
                <w:b/>
                <w:bCs/>
                <w:color w:val="auto"/>
                <w:sz w:val="24"/>
                <w:szCs w:val="21"/>
                <w:highlight w:val="none"/>
                <w:u w:val="single"/>
              </w:rPr>
              <w:t xml:space="preserve">     </w:t>
            </w:r>
            <w:r>
              <w:rPr>
                <w:rFonts w:hint="eastAsia" w:ascii="仿宋" w:hAnsi="仿宋" w:eastAsia="仿宋" w:cs="仿宋"/>
                <w:b/>
                <w:bCs/>
                <w:color w:val="auto"/>
                <w:sz w:val="24"/>
                <w:szCs w:val="21"/>
                <w:highlight w:val="none"/>
              </w:rPr>
              <w:t>元/件</w:t>
            </w:r>
          </w:p>
        </w:tc>
        <w:tc>
          <w:tcPr>
            <w:tcW w:w="3698" w:type="dxa"/>
            <w:vMerge w:val="continue"/>
            <w:vAlign w:val="center"/>
          </w:tcPr>
          <w:p w14:paraId="6902B954">
            <w:pPr>
              <w:snapToGrid w:val="0"/>
              <w:spacing w:line="360" w:lineRule="auto"/>
              <w:jc w:val="center"/>
              <w:rPr>
                <w:rFonts w:hint="eastAsia" w:ascii="仿宋" w:hAnsi="仿宋" w:eastAsia="仿宋" w:cs="仿宋"/>
                <w:color w:val="auto"/>
                <w:sz w:val="24"/>
                <w:highlight w:val="none"/>
              </w:rPr>
            </w:pPr>
          </w:p>
        </w:tc>
      </w:tr>
      <w:tr w14:paraId="5CFC3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63" w:type="dxa"/>
            <w:vAlign w:val="center"/>
          </w:tcPr>
          <w:p w14:paraId="79C125D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55" w:type="dxa"/>
            <w:vMerge w:val="continue"/>
            <w:vAlign w:val="center"/>
          </w:tcPr>
          <w:p w14:paraId="211EFE75">
            <w:pPr>
              <w:snapToGrid w:val="0"/>
              <w:spacing w:line="360" w:lineRule="auto"/>
              <w:jc w:val="center"/>
              <w:rPr>
                <w:rFonts w:hint="eastAsia" w:ascii="仿宋" w:hAnsi="仿宋" w:eastAsia="仿宋" w:cs="仿宋"/>
                <w:color w:val="auto"/>
                <w:sz w:val="24"/>
                <w:highlight w:val="none"/>
              </w:rPr>
            </w:pPr>
          </w:p>
        </w:tc>
        <w:tc>
          <w:tcPr>
            <w:tcW w:w="5414" w:type="dxa"/>
            <w:vAlign w:val="center"/>
          </w:tcPr>
          <w:p w14:paraId="65D8805E">
            <w:pPr>
              <w:jc w:val="left"/>
              <w:rPr>
                <w:rFonts w:hint="eastAsia" w:ascii="仿宋" w:hAnsi="仿宋" w:eastAsia="仿宋" w:cs="仿宋"/>
                <w:color w:val="auto"/>
                <w:sz w:val="24"/>
                <w:highlight w:val="none"/>
              </w:rPr>
            </w:pPr>
            <w:r>
              <w:rPr>
                <w:rFonts w:hint="eastAsia" w:ascii="宋体" w:hAnsi="宋体" w:cs="宋体"/>
                <w:b w:val="0"/>
                <w:bCs/>
                <w:color w:val="auto"/>
                <w:sz w:val="24"/>
                <w:highlight w:val="none"/>
              </w:rPr>
              <w:t>调解成功并形成调解案卷</w:t>
            </w:r>
            <w:r>
              <w:rPr>
                <w:rFonts w:hint="eastAsia" w:ascii="宋体" w:hAnsi="宋体" w:cs="宋体"/>
                <w:b/>
                <w:bCs w:val="0"/>
                <w:color w:val="auto"/>
                <w:sz w:val="24"/>
                <w:highlight w:val="none"/>
              </w:rPr>
              <w:t>重大型</w:t>
            </w:r>
            <w:r>
              <w:rPr>
                <w:rFonts w:hint="eastAsia" w:ascii="宋体" w:hAnsi="宋体" w:cs="宋体"/>
                <w:b w:val="0"/>
                <w:bCs/>
                <w:color w:val="auto"/>
                <w:sz w:val="24"/>
                <w:highlight w:val="none"/>
              </w:rPr>
              <w:t>（</w:t>
            </w: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eastAsia="zh-CN"/>
              </w:rPr>
              <w:t>重大</w:t>
            </w:r>
            <w:r>
              <w:rPr>
                <w:rFonts w:hint="eastAsia" w:ascii="宋体" w:hAnsi="宋体" w:cs="宋体"/>
                <w:b w:val="0"/>
                <w:bCs w:val="0"/>
                <w:color w:val="auto"/>
                <w:sz w:val="24"/>
                <w:highlight w:val="none"/>
              </w:rPr>
              <w:t>型纠纷：亡人或涉案标的500万元及以上或10人及以上群体性及其他重大纠纷）</w:t>
            </w:r>
          </w:p>
        </w:tc>
        <w:tc>
          <w:tcPr>
            <w:tcW w:w="722" w:type="dxa"/>
            <w:vMerge w:val="continue"/>
            <w:vAlign w:val="center"/>
          </w:tcPr>
          <w:p w14:paraId="03ED6848">
            <w:pPr>
              <w:snapToGrid w:val="0"/>
              <w:spacing w:line="360" w:lineRule="auto"/>
              <w:jc w:val="center"/>
              <w:rPr>
                <w:rFonts w:hint="eastAsia" w:ascii="仿宋" w:hAnsi="仿宋" w:eastAsia="仿宋" w:cs="仿宋"/>
                <w:color w:val="auto"/>
                <w:sz w:val="24"/>
                <w:highlight w:val="none"/>
              </w:rPr>
            </w:pPr>
          </w:p>
        </w:tc>
        <w:tc>
          <w:tcPr>
            <w:tcW w:w="2291" w:type="dxa"/>
            <w:vAlign w:val="center"/>
          </w:tcPr>
          <w:p w14:paraId="19827FE0">
            <w:pPr>
              <w:jc w:val="center"/>
              <w:rPr>
                <w:rFonts w:hint="eastAsia" w:ascii="仿宋" w:hAnsi="仿宋" w:eastAsia="仿宋" w:cs="仿宋"/>
                <w:color w:val="auto"/>
                <w:sz w:val="24"/>
                <w:highlight w:val="none"/>
              </w:rPr>
            </w:pPr>
            <w:r>
              <w:rPr>
                <w:rFonts w:hint="eastAsia" w:ascii="仿宋" w:hAnsi="仿宋" w:eastAsia="仿宋" w:cs="仿宋"/>
                <w:b/>
                <w:bCs/>
                <w:color w:val="auto"/>
                <w:sz w:val="24"/>
                <w:szCs w:val="21"/>
                <w:highlight w:val="none"/>
                <w:u w:val="single"/>
              </w:rPr>
              <w:t xml:space="preserve">    </w:t>
            </w:r>
            <w:r>
              <w:rPr>
                <w:rFonts w:hint="eastAsia" w:ascii="仿宋" w:hAnsi="仿宋" w:eastAsia="仿宋" w:cs="仿宋"/>
                <w:b/>
                <w:bCs/>
                <w:color w:val="auto"/>
                <w:sz w:val="24"/>
                <w:szCs w:val="21"/>
                <w:highlight w:val="none"/>
              </w:rPr>
              <w:t>元/件</w:t>
            </w:r>
          </w:p>
        </w:tc>
        <w:tc>
          <w:tcPr>
            <w:tcW w:w="3698" w:type="dxa"/>
            <w:vMerge w:val="continue"/>
            <w:vAlign w:val="center"/>
          </w:tcPr>
          <w:p w14:paraId="2F55B615">
            <w:pPr>
              <w:snapToGrid w:val="0"/>
              <w:spacing w:line="360" w:lineRule="auto"/>
              <w:jc w:val="center"/>
              <w:rPr>
                <w:rFonts w:hint="eastAsia" w:ascii="仿宋" w:hAnsi="仿宋" w:eastAsia="仿宋" w:cs="仿宋"/>
                <w:color w:val="auto"/>
                <w:sz w:val="24"/>
                <w:highlight w:val="none"/>
              </w:rPr>
            </w:pPr>
          </w:p>
        </w:tc>
      </w:tr>
      <w:tr w14:paraId="6BA22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63" w:type="dxa"/>
            <w:vAlign w:val="center"/>
          </w:tcPr>
          <w:p w14:paraId="3F41BD4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55" w:type="dxa"/>
            <w:vMerge w:val="continue"/>
            <w:vAlign w:val="center"/>
          </w:tcPr>
          <w:p w14:paraId="02152785">
            <w:pPr>
              <w:snapToGrid w:val="0"/>
              <w:spacing w:line="360" w:lineRule="auto"/>
              <w:jc w:val="center"/>
              <w:rPr>
                <w:rFonts w:hint="eastAsia" w:ascii="仿宋" w:hAnsi="仿宋" w:eastAsia="仿宋" w:cs="仿宋"/>
                <w:color w:val="auto"/>
                <w:sz w:val="24"/>
                <w:highlight w:val="none"/>
              </w:rPr>
            </w:pPr>
          </w:p>
        </w:tc>
        <w:tc>
          <w:tcPr>
            <w:tcW w:w="5414" w:type="dxa"/>
            <w:vAlign w:val="center"/>
          </w:tcPr>
          <w:p w14:paraId="77301E14">
            <w:pPr>
              <w:snapToGrid w:val="0"/>
              <w:spacing w:line="312" w:lineRule="auto"/>
              <w:jc w:val="left"/>
              <w:rPr>
                <w:rFonts w:hint="eastAsia" w:ascii="仿宋" w:hAnsi="仿宋" w:eastAsia="仿宋" w:cs="仿宋"/>
                <w:color w:val="auto"/>
                <w:sz w:val="24"/>
                <w:highlight w:val="none"/>
              </w:rPr>
            </w:pPr>
            <w:r>
              <w:rPr>
                <w:rFonts w:hint="eastAsia" w:ascii="宋体" w:hAnsi="宋体" w:cs="宋体"/>
                <w:b w:val="0"/>
                <w:bCs w:val="0"/>
                <w:color w:val="auto"/>
                <w:sz w:val="24"/>
                <w:highlight w:val="none"/>
              </w:rPr>
              <w:t>其他</w:t>
            </w:r>
            <w:r>
              <w:rPr>
                <w:rFonts w:hint="eastAsia" w:ascii="宋体" w:hAnsi="宋体" w:cs="宋体"/>
                <w:b w:val="0"/>
                <w:bCs w:val="0"/>
                <w:color w:val="auto"/>
                <w:sz w:val="24"/>
                <w:highlight w:val="none"/>
                <w:lang w:eastAsia="zh-CN"/>
              </w:rPr>
              <w:t>调解不成功</w:t>
            </w:r>
            <w:r>
              <w:rPr>
                <w:rFonts w:hint="eastAsia" w:ascii="宋体" w:hAnsi="宋体" w:cs="宋体"/>
                <w:b w:val="0"/>
                <w:bCs w:val="0"/>
                <w:color w:val="auto"/>
                <w:sz w:val="24"/>
                <w:highlight w:val="none"/>
              </w:rPr>
              <w:t>案件录入</w:t>
            </w:r>
            <w:r>
              <w:rPr>
                <w:rFonts w:hint="eastAsia" w:ascii="宋体" w:hAnsi="宋体" w:cs="宋体"/>
                <w:b w:val="0"/>
                <w:bCs w:val="0"/>
                <w:color w:val="auto"/>
                <w:sz w:val="24"/>
                <w:highlight w:val="none"/>
                <w:lang w:eastAsia="zh-CN"/>
              </w:rPr>
              <w:t>“浙里调解”</w:t>
            </w:r>
            <w:r>
              <w:rPr>
                <w:rFonts w:hint="eastAsia" w:ascii="宋体" w:hAnsi="宋体" w:cs="宋体"/>
                <w:b w:val="0"/>
                <w:bCs w:val="0"/>
                <w:color w:val="auto"/>
                <w:sz w:val="24"/>
                <w:highlight w:val="none"/>
              </w:rPr>
              <w:t>平台的不超过20元/件。</w:t>
            </w:r>
          </w:p>
        </w:tc>
        <w:tc>
          <w:tcPr>
            <w:tcW w:w="722" w:type="dxa"/>
            <w:vMerge w:val="continue"/>
            <w:vAlign w:val="center"/>
          </w:tcPr>
          <w:p w14:paraId="54452657">
            <w:pPr>
              <w:snapToGrid w:val="0"/>
              <w:spacing w:line="360" w:lineRule="auto"/>
              <w:jc w:val="center"/>
              <w:rPr>
                <w:rFonts w:hint="eastAsia" w:ascii="仿宋" w:hAnsi="仿宋" w:eastAsia="仿宋" w:cs="仿宋"/>
                <w:color w:val="auto"/>
                <w:sz w:val="24"/>
                <w:highlight w:val="none"/>
              </w:rPr>
            </w:pPr>
          </w:p>
        </w:tc>
        <w:tc>
          <w:tcPr>
            <w:tcW w:w="2291" w:type="dxa"/>
            <w:vAlign w:val="center"/>
          </w:tcPr>
          <w:p w14:paraId="12C7E69A">
            <w:pPr>
              <w:jc w:val="center"/>
              <w:rPr>
                <w:rFonts w:hint="eastAsia" w:ascii="仿宋" w:hAnsi="仿宋" w:eastAsia="仿宋" w:cs="仿宋"/>
                <w:color w:val="auto"/>
                <w:sz w:val="24"/>
                <w:highlight w:val="none"/>
              </w:rPr>
            </w:pPr>
            <w:r>
              <w:rPr>
                <w:rFonts w:hint="eastAsia" w:ascii="仿宋" w:hAnsi="仿宋" w:eastAsia="仿宋" w:cs="仿宋"/>
                <w:b/>
                <w:bCs/>
                <w:color w:val="auto"/>
                <w:sz w:val="24"/>
                <w:szCs w:val="21"/>
                <w:highlight w:val="none"/>
                <w:u w:val="single"/>
              </w:rPr>
              <w:t xml:space="preserve">    </w:t>
            </w:r>
            <w:r>
              <w:rPr>
                <w:rFonts w:hint="eastAsia" w:ascii="仿宋" w:hAnsi="仿宋" w:eastAsia="仿宋" w:cs="仿宋"/>
                <w:b/>
                <w:bCs/>
                <w:color w:val="auto"/>
                <w:sz w:val="24"/>
                <w:szCs w:val="21"/>
                <w:highlight w:val="none"/>
              </w:rPr>
              <w:t>元/件</w:t>
            </w:r>
          </w:p>
        </w:tc>
        <w:tc>
          <w:tcPr>
            <w:tcW w:w="3698" w:type="dxa"/>
            <w:vMerge w:val="continue"/>
            <w:vAlign w:val="center"/>
          </w:tcPr>
          <w:p w14:paraId="162CE260">
            <w:pPr>
              <w:snapToGrid w:val="0"/>
              <w:spacing w:line="360" w:lineRule="auto"/>
              <w:jc w:val="center"/>
              <w:rPr>
                <w:rFonts w:hint="eastAsia" w:ascii="仿宋" w:hAnsi="仿宋" w:eastAsia="仿宋" w:cs="仿宋"/>
                <w:color w:val="auto"/>
                <w:sz w:val="24"/>
                <w:highlight w:val="none"/>
              </w:rPr>
            </w:pPr>
          </w:p>
        </w:tc>
      </w:tr>
      <w:tr w14:paraId="4F16F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8754" w:type="dxa"/>
            <w:gridSpan w:val="4"/>
            <w:vAlign w:val="center"/>
          </w:tcPr>
          <w:p w14:paraId="3D171568">
            <w:pPr>
              <w:spacing w:line="360" w:lineRule="auto"/>
              <w:ind w:firstLine="482"/>
              <w:jc w:val="center"/>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szCs w:val="21"/>
                <w:highlight w:val="none"/>
              </w:rPr>
              <w:t>投标单价汇总</w:t>
            </w:r>
            <w:r>
              <w:rPr>
                <w:rFonts w:hint="eastAsia" w:ascii="仿宋" w:hAnsi="仿宋" w:eastAsia="仿宋" w:cs="仿宋"/>
                <w:b/>
                <w:bCs/>
                <w:color w:val="auto"/>
                <w:sz w:val="24"/>
                <w:szCs w:val="21"/>
                <w:highlight w:val="none"/>
                <w:lang w:eastAsia="zh-CN"/>
              </w:rPr>
              <w:t>（</w:t>
            </w:r>
            <w:r>
              <w:rPr>
                <w:rFonts w:hint="eastAsia" w:ascii="仿宋" w:hAnsi="仿宋" w:eastAsia="仿宋" w:cs="仿宋"/>
                <w:b/>
                <w:bCs/>
                <w:color w:val="auto"/>
                <w:sz w:val="24"/>
                <w:szCs w:val="21"/>
                <w:highlight w:val="none"/>
                <w:lang w:val="en-US" w:eastAsia="zh-CN"/>
              </w:rPr>
              <w:t>小写</w:t>
            </w:r>
            <w:r>
              <w:rPr>
                <w:rFonts w:hint="eastAsia" w:ascii="仿宋" w:hAnsi="仿宋" w:eastAsia="仿宋" w:cs="仿宋"/>
                <w:b/>
                <w:bCs/>
                <w:color w:val="auto"/>
                <w:sz w:val="24"/>
                <w:szCs w:val="21"/>
                <w:highlight w:val="none"/>
                <w:lang w:eastAsia="zh-CN"/>
              </w:rPr>
              <w:t>）</w:t>
            </w:r>
          </w:p>
        </w:tc>
        <w:tc>
          <w:tcPr>
            <w:tcW w:w="2291" w:type="dxa"/>
            <w:vAlign w:val="center"/>
          </w:tcPr>
          <w:p w14:paraId="7B348910">
            <w:pPr>
              <w:spacing w:line="360" w:lineRule="auto"/>
              <w:ind w:firstLine="482"/>
              <w:jc w:val="center"/>
              <w:rPr>
                <w:rFonts w:hint="eastAsia" w:ascii="仿宋" w:hAnsi="仿宋" w:eastAsia="仿宋" w:cs="仿宋"/>
                <w:b/>
                <w:color w:val="auto"/>
                <w:sz w:val="24"/>
                <w:highlight w:val="none"/>
              </w:rPr>
            </w:pPr>
          </w:p>
        </w:tc>
        <w:tc>
          <w:tcPr>
            <w:tcW w:w="3698" w:type="dxa"/>
            <w:vMerge w:val="continue"/>
          </w:tcPr>
          <w:p w14:paraId="752BA652">
            <w:pPr>
              <w:spacing w:line="360" w:lineRule="auto"/>
              <w:jc w:val="center"/>
              <w:rPr>
                <w:rFonts w:hint="eastAsia" w:ascii="仿宋" w:hAnsi="仿宋" w:eastAsia="仿宋" w:cs="仿宋"/>
                <w:color w:val="auto"/>
                <w:sz w:val="24"/>
                <w:highlight w:val="none"/>
              </w:rPr>
            </w:pPr>
          </w:p>
        </w:tc>
      </w:tr>
      <w:tr w14:paraId="5D107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754" w:type="dxa"/>
            <w:gridSpan w:val="4"/>
            <w:vAlign w:val="center"/>
          </w:tcPr>
          <w:p w14:paraId="02440221">
            <w:pPr>
              <w:spacing w:line="360" w:lineRule="auto"/>
              <w:ind w:firstLine="482"/>
              <w:jc w:val="center"/>
              <w:rPr>
                <w:rFonts w:hint="eastAsia" w:ascii="仿宋" w:hAnsi="仿宋" w:eastAsia="仿宋" w:cs="仿宋"/>
                <w:b/>
                <w:bCs/>
                <w:color w:val="auto"/>
                <w:sz w:val="24"/>
                <w:highlight w:val="none"/>
              </w:rPr>
            </w:pPr>
            <w:r>
              <w:rPr>
                <w:rFonts w:hint="eastAsia" w:ascii="仿宋" w:hAnsi="仿宋" w:eastAsia="仿宋" w:cs="仿宋"/>
                <w:b/>
                <w:bCs/>
                <w:color w:val="auto"/>
                <w:sz w:val="24"/>
                <w:szCs w:val="21"/>
                <w:highlight w:val="none"/>
                <w:lang w:val="en-US" w:eastAsia="zh-CN"/>
              </w:rPr>
              <w:t>投标</w:t>
            </w:r>
            <w:r>
              <w:rPr>
                <w:rFonts w:hint="eastAsia" w:ascii="仿宋" w:hAnsi="仿宋" w:eastAsia="仿宋" w:cs="仿宋"/>
                <w:b/>
                <w:bCs/>
                <w:color w:val="auto"/>
                <w:sz w:val="24"/>
                <w:szCs w:val="21"/>
                <w:highlight w:val="none"/>
              </w:rPr>
              <w:t>单价汇总</w:t>
            </w:r>
            <w:r>
              <w:rPr>
                <w:rFonts w:hint="eastAsia" w:ascii="仿宋" w:hAnsi="仿宋" w:eastAsia="仿宋" w:cs="仿宋"/>
                <w:b/>
                <w:bCs/>
                <w:color w:val="auto"/>
                <w:sz w:val="24"/>
                <w:highlight w:val="none"/>
              </w:rPr>
              <w:t>（大写）</w:t>
            </w:r>
          </w:p>
        </w:tc>
        <w:tc>
          <w:tcPr>
            <w:tcW w:w="2291" w:type="dxa"/>
            <w:vAlign w:val="center"/>
          </w:tcPr>
          <w:p w14:paraId="6C346FEA">
            <w:pPr>
              <w:spacing w:line="360" w:lineRule="auto"/>
              <w:ind w:firstLine="482"/>
              <w:jc w:val="center"/>
              <w:rPr>
                <w:rFonts w:hint="eastAsia" w:ascii="仿宋" w:hAnsi="仿宋" w:eastAsia="仿宋" w:cs="仿宋"/>
                <w:b/>
                <w:color w:val="auto"/>
                <w:sz w:val="24"/>
                <w:highlight w:val="none"/>
              </w:rPr>
            </w:pPr>
          </w:p>
        </w:tc>
        <w:tc>
          <w:tcPr>
            <w:tcW w:w="3698" w:type="dxa"/>
            <w:vMerge w:val="continue"/>
          </w:tcPr>
          <w:p w14:paraId="55D353C3">
            <w:pPr>
              <w:spacing w:line="360" w:lineRule="auto"/>
              <w:jc w:val="center"/>
              <w:rPr>
                <w:rFonts w:hint="eastAsia" w:ascii="仿宋" w:hAnsi="仿宋" w:eastAsia="仿宋" w:cs="仿宋"/>
                <w:color w:val="auto"/>
                <w:sz w:val="24"/>
                <w:highlight w:val="none"/>
              </w:rPr>
            </w:pPr>
          </w:p>
        </w:tc>
      </w:tr>
    </w:tbl>
    <w:p w14:paraId="5112042D">
      <w:pPr>
        <w:snapToGrid w:val="0"/>
        <w:spacing w:line="360" w:lineRule="auto"/>
        <w:ind w:left="480" w:firstLine="48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5DFD6E69">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1、投标人需按本表格式填写，否则视为投标文件含有采购人不能接受的附加条件，投标无效。</w:t>
      </w:r>
    </w:p>
    <w:p w14:paraId="569919B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删除）部分产品、服务单价为零的，视作已包含在总价中。</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0A3519A1">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382BF1C7">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021CFAC">
      <w:pPr>
        <w:spacing w:line="360" w:lineRule="auto"/>
        <w:ind w:firstLine="482" w:firstLineChars="200"/>
        <w:rPr>
          <w:rFonts w:hint="eastAsia" w:ascii="仿宋" w:hAnsi="仿宋" w:eastAsia="仿宋" w:cs="仿宋"/>
          <w:b/>
          <w:color w:val="auto"/>
          <w:kern w:val="0"/>
          <w:sz w:val="24"/>
          <w:highlight w:val="none"/>
        </w:rPr>
      </w:pPr>
    </w:p>
    <w:p w14:paraId="4B537D90">
      <w:pPr>
        <w:pStyle w:val="803"/>
        <w:keepNext w:val="0"/>
        <w:pageBreakBefore w:val="0"/>
        <w:tabs>
          <w:tab w:val="clear" w:pos="720"/>
        </w:tabs>
        <w:snapToGrid w:val="0"/>
        <w:spacing w:before="120" w:after="120"/>
        <w:ind w:firstLine="482"/>
        <w:outlineLvl w:val="9"/>
        <w:rPr>
          <w:rFonts w:hint="eastAsia" w:ascii="仿宋" w:hAnsi="仿宋" w:eastAsia="仿宋" w:cs="仿宋"/>
          <w:color w:val="auto"/>
          <w:kern w:val="2"/>
          <w:sz w:val="24"/>
          <w:szCs w:val="24"/>
          <w:highlight w:val="none"/>
        </w:rPr>
      </w:pPr>
    </w:p>
    <w:p w14:paraId="1FAF17A6">
      <w:pPr>
        <w:pStyle w:val="803"/>
        <w:keepNext w:val="0"/>
        <w:pageBreakBefore w:val="0"/>
        <w:tabs>
          <w:tab w:val="clear" w:pos="720"/>
        </w:tabs>
        <w:snapToGrid w:val="0"/>
        <w:spacing w:before="120" w:after="120"/>
        <w:ind w:firstLine="482"/>
        <w:outlineLvl w:val="9"/>
        <w:rPr>
          <w:rFonts w:hint="eastAsia" w:ascii="仿宋" w:hAnsi="仿宋" w:eastAsia="仿宋" w:cs="仿宋"/>
          <w:color w:val="auto"/>
          <w:kern w:val="2"/>
          <w:sz w:val="24"/>
          <w:szCs w:val="24"/>
          <w:highlight w:val="none"/>
        </w:rPr>
        <w:sectPr>
          <w:pgSz w:w="16838" w:h="11906" w:orient="landscape"/>
          <w:pgMar w:top="1418" w:right="1247" w:bottom="1418" w:left="1276" w:header="851" w:footer="992" w:gutter="0"/>
          <w:cols w:space="720" w:num="1"/>
          <w:titlePg/>
          <w:docGrid w:linePitch="312" w:charSpace="0"/>
        </w:sectPr>
      </w:pPr>
    </w:p>
    <w:p w14:paraId="6766F792">
      <w:pPr>
        <w:pStyle w:val="803"/>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三、中小企业声明函（如果有）</w:t>
      </w:r>
    </w:p>
    <w:p w14:paraId="5D9C443F">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6E7B9C5">
      <w:pPr>
        <w:pStyle w:val="803"/>
        <w:keepNext w:val="0"/>
        <w:pageBreakBefore w:val="0"/>
        <w:tabs>
          <w:tab w:val="clear" w:pos="720"/>
        </w:tabs>
        <w:snapToGrid w:val="0"/>
        <w:spacing w:before="120" w:after="120"/>
        <w:ind w:firstLine="480"/>
        <w:outlineLvl w:val="9"/>
        <w:rPr>
          <w:rFonts w:hint="eastAsia" w:ascii="仿宋" w:hAnsi="仿宋" w:eastAsia="仿宋" w:cs="仿宋"/>
          <w:b w:val="0"/>
          <w:color w:val="auto"/>
          <w:sz w:val="24"/>
          <w:szCs w:val="24"/>
          <w:highlight w:val="none"/>
        </w:rPr>
      </w:pPr>
    </w:p>
    <w:p w14:paraId="5415A119">
      <w:pPr>
        <w:spacing w:line="360" w:lineRule="auto"/>
        <w:ind w:right="420" w:firstLine="2409" w:firstLineChars="1000"/>
        <w:rPr>
          <w:rFonts w:hint="eastAsia" w:ascii="仿宋" w:hAnsi="仿宋" w:eastAsia="仿宋" w:cs="仿宋"/>
          <w:b/>
          <w:color w:val="auto"/>
          <w:kern w:val="0"/>
          <w:sz w:val="24"/>
          <w:highlight w:val="none"/>
        </w:rPr>
      </w:pPr>
    </w:p>
    <w:p w14:paraId="3615F37E">
      <w:pPr>
        <w:spacing w:line="360" w:lineRule="auto"/>
        <w:ind w:right="420" w:firstLine="2409" w:firstLineChars="1000"/>
        <w:rPr>
          <w:rFonts w:hint="eastAsia" w:ascii="仿宋" w:hAnsi="仿宋" w:eastAsia="仿宋" w:cs="仿宋"/>
          <w:b/>
          <w:color w:val="auto"/>
          <w:kern w:val="0"/>
          <w:sz w:val="24"/>
          <w:highlight w:val="none"/>
        </w:rPr>
      </w:pPr>
    </w:p>
    <w:p w14:paraId="3AE1EB60">
      <w:pPr>
        <w:spacing w:line="360" w:lineRule="auto"/>
        <w:ind w:right="420" w:firstLine="2409" w:firstLineChars="1000"/>
        <w:rPr>
          <w:rFonts w:hint="eastAsia" w:ascii="仿宋" w:hAnsi="仿宋" w:eastAsia="仿宋" w:cs="仿宋"/>
          <w:b/>
          <w:color w:val="auto"/>
          <w:kern w:val="0"/>
          <w:sz w:val="24"/>
          <w:highlight w:val="none"/>
        </w:rPr>
      </w:pPr>
    </w:p>
    <w:p w14:paraId="59DA2B49">
      <w:pPr>
        <w:spacing w:line="360" w:lineRule="auto"/>
        <w:ind w:right="420" w:firstLine="2409" w:firstLineChars="1000"/>
        <w:rPr>
          <w:rFonts w:hint="eastAsia" w:ascii="仿宋" w:hAnsi="仿宋" w:eastAsia="仿宋" w:cs="仿宋"/>
          <w:b/>
          <w:color w:val="auto"/>
          <w:kern w:val="0"/>
          <w:sz w:val="24"/>
          <w:highlight w:val="none"/>
        </w:rPr>
      </w:pPr>
    </w:p>
    <w:p w14:paraId="58BE96F9">
      <w:pPr>
        <w:spacing w:line="360" w:lineRule="auto"/>
        <w:ind w:right="420" w:firstLine="2409" w:firstLineChars="1000"/>
        <w:rPr>
          <w:rFonts w:hint="eastAsia" w:ascii="仿宋" w:hAnsi="仿宋" w:eastAsia="仿宋" w:cs="仿宋"/>
          <w:b/>
          <w:color w:val="auto"/>
          <w:kern w:val="0"/>
          <w:sz w:val="24"/>
          <w:highlight w:val="none"/>
        </w:rPr>
      </w:pPr>
    </w:p>
    <w:p w14:paraId="671D6DB2">
      <w:pPr>
        <w:spacing w:line="360" w:lineRule="auto"/>
        <w:ind w:right="420" w:firstLine="2409" w:firstLineChars="1000"/>
        <w:rPr>
          <w:rFonts w:hint="eastAsia" w:ascii="仿宋" w:hAnsi="仿宋" w:eastAsia="仿宋" w:cs="仿宋"/>
          <w:b/>
          <w:color w:val="auto"/>
          <w:kern w:val="0"/>
          <w:sz w:val="24"/>
          <w:highlight w:val="none"/>
        </w:rPr>
      </w:pPr>
    </w:p>
    <w:p w14:paraId="543AE21C">
      <w:pPr>
        <w:spacing w:line="360" w:lineRule="auto"/>
        <w:ind w:right="420" w:firstLine="2409" w:firstLineChars="1000"/>
        <w:rPr>
          <w:rFonts w:hint="eastAsia" w:ascii="仿宋" w:hAnsi="仿宋" w:eastAsia="仿宋" w:cs="仿宋"/>
          <w:b/>
          <w:color w:val="auto"/>
          <w:kern w:val="0"/>
          <w:sz w:val="24"/>
          <w:highlight w:val="none"/>
        </w:rPr>
      </w:pPr>
    </w:p>
    <w:p w14:paraId="02ECE2C6">
      <w:pPr>
        <w:spacing w:line="360" w:lineRule="auto"/>
        <w:ind w:right="420" w:firstLine="2409" w:firstLineChars="1000"/>
        <w:rPr>
          <w:rFonts w:hint="eastAsia" w:ascii="仿宋" w:hAnsi="仿宋" w:eastAsia="仿宋" w:cs="仿宋"/>
          <w:b/>
          <w:color w:val="auto"/>
          <w:kern w:val="0"/>
          <w:sz w:val="24"/>
          <w:highlight w:val="none"/>
        </w:rPr>
      </w:pPr>
    </w:p>
    <w:p w14:paraId="5A35451F">
      <w:pPr>
        <w:spacing w:line="360" w:lineRule="auto"/>
        <w:ind w:right="420" w:firstLine="2409" w:firstLineChars="1000"/>
        <w:rPr>
          <w:rFonts w:hint="eastAsia" w:ascii="仿宋" w:hAnsi="仿宋" w:eastAsia="仿宋" w:cs="仿宋"/>
          <w:b/>
          <w:color w:val="auto"/>
          <w:kern w:val="0"/>
          <w:sz w:val="24"/>
          <w:highlight w:val="none"/>
        </w:rPr>
      </w:pPr>
    </w:p>
    <w:p w14:paraId="19E88171">
      <w:pPr>
        <w:spacing w:line="360" w:lineRule="auto"/>
        <w:ind w:right="420" w:firstLine="2409" w:firstLineChars="1000"/>
        <w:rPr>
          <w:rFonts w:hint="eastAsia" w:ascii="仿宋" w:hAnsi="仿宋" w:eastAsia="仿宋" w:cs="仿宋"/>
          <w:b/>
          <w:color w:val="auto"/>
          <w:kern w:val="0"/>
          <w:sz w:val="24"/>
          <w:highlight w:val="none"/>
        </w:rPr>
      </w:pPr>
    </w:p>
    <w:p w14:paraId="303EA33F">
      <w:pPr>
        <w:spacing w:line="360" w:lineRule="auto"/>
        <w:ind w:right="420" w:firstLine="2409" w:firstLineChars="1000"/>
        <w:rPr>
          <w:rFonts w:hint="eastAsia" w:ascii="仿宋" w:hAnsi="仿宋" w:eastAsia="仿宋" w:cs="仿宋"/>
          <w:b/>
          <w:color w:val="auto"/>
          <w:kern w:val="0"/>
          <w:sz w:val="24"/>
          <w:highlight w:val="none"/>
        </w:rPr>
      </w:pPr>
    </w:p>
    <w:p w14:paraId="15DBB492">
      <w:pPr>
        <w:spacing w:line="360" w:lineRule="auto"/>
        <w:ind w:right="420" w:firstLine="2409" w:firstLineChars="1000"/>
        <w:rPr>
          <w:rFonts w:hint="eastAsia" w:ascii="仿宋" w:hAnsi="仿宋" w:eastAsia="仿宋" w:cs="仿宋"/>
          <w:b/>
          <w:color w:val="auto"/>
          <w:kern w:val="0"/>
          <w:sz w:val="24"/>
          <w:highlight w:val="none"/>
        </w:rPr>
      </w:pPr>
    </w:p>
    <w:p w14:paraId="4EC317AF">
      <w:pPr>
        <w:spacing w:line="360" w:lineRule="auto"/>
        <w:ind w:right="420" w:firstLine="2409" w:firstLineChars="1000"/>
        <w:rPr>
          <w:rFonts w:hint="eastAsia" w:ascii="仿宋" w:hAnsi="仿宋" w:eastAsia="仿宋" w:cs="仿宋"/>
          <w:b/>
          <w:color w:val="auto"/>
          <w:kern w:val="0"/>
          <w:sz w:val="24"/>
          <w:highlight w:val="none"/>
        </w:rPr>
      </w:pPr>
    </w:p>
    <w:p w14:paraId="31CA98B7">
      <w:pPr>
        <w:spacing w:line="360" w:lineRule="auto"/>
        <w:ind w:right="420" w:firstLine="2409" w:firstLineChars="1000"/>
        <w:rPr>
          <w:rFonts w:hint="eastAsia" w:ascii="仿宋" w:hAnsi="仿宋" w:eastAsia="仿宋" w:cs="仿宋"/>
          <w:b/>
          <w:color w:val="auto"/>
          <w:kern w:val="0"/>
          <w:sz w:val="24"/>
          <w:highlight w:val="none"/>
        </w:rPr>
      </w:pPr>
    </w:p>
    <w:p w14:paraId="1807BE2A">
      <w:pPr>
        <w:spacing w:line="360" w:lineRule="auto"/>
        <w:ind w:right="420" w:firstLine="2409" w:firstLineChars="1000"/>
        <w:rPr>
          <w:rFonts w:hint="eastAsia" w:ascii="仿宋" w:hAnsi="仿宋" w:eastAsia="仿宋" w:cs="仿宋"/>
          <w:b/>
          <w:color w:val="auto"/>
          <w:kern w:val="0"/>
          <w:sz w:val="24"/>
          <w:highlight w:val="none"/>
        </w:rPr>
      </w:pPr>
    </w:p>
    <w:p w14:paraId="3959D4D1">
      <w:pPr>
        <w:spacing w:line="360" w:lineRule="auto"/>
        <w:ind w:right="420" w:firstLine="2409" w:firstLineChars="1000"/>
        <w:rPr>
          <w:rFonts w:hint="eastAsia" w:ascii="仿宋" w:hAnsi="仿宋" w:eastAsia="仿宋" w:cs="仿宋"/>
          <w:b/>
          <w:color w:val="auto"/>
          <w:kern w:val="0"/>
          <w:sz w:val="24"/>
          <w:highlight w:val="none"/>
        </w:rPr>
      </w:pPr>
    </w:p>
    <w:p w14:paraId="2149E6B4">
      <w:pPr>
        <w:pStyle w:val="3"/>
        <w:keepNext w:val="0"/>
        <w:keepLines w:val="0"/>
        <w:pageBreakBefore/>
        <w:widowControl/>
        <w:spacing w:before="100" w:beforeAutospacing="1" w:after="100" w:afterAutospacing="1" w:line="360" w:lineRule="auto"/>
        <w:ind w:left="0" w:firstLine="643"/>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附件</w:t>
      </w:r>
    </w:p>
    <w:p w14:paraId="7FADBE58">
      <w:pPr>
        <w:spacing w:line="360" w:lineRule="auto"/>
        <w:ind w:firstLine="667"/>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014546EF">
      <w:pPr>
        <w:spacing w:line="360" w:lineRule="auto"/>
        <w:ind w:firstLine="506"/>
        <w:jc w:val="center"/>
        <w:rPr>
          <w:rFonts w:hint="eastAsia" w:ascii="仿宋" w:hAnsi="仿宋" w:eastAsia="仿宋" w:cs="仿宋"/>
          <w:b/>
          <w:color w:val="auto"/>
          <w:spacing w:val="6"/>
          <w:sz w:val="24"/>
          <w:highlight w:val="none"/>
        </w:rPr>
      </w:pPr>
      <w:bookmarkStart w:id="469" w:name="OLE_LINK13"/>
      <w:bookmarkStart w:id="470" w:name="OLE_LINK14"/>
      <w:r>
        <w:rPr>
          <w:rFonts w:hint="eastAsia" w:ascii="仿宋" w:hAnsi="仿宋" w:eastAsia="仿宋" w:cs="仿宋"/>
          <w:b/>
          <w:color w:val="auto"/>
          <w:spacing w:val="6"/>
          <w:sz w:val="24"/>
          <w:highlight w:val="none"/>
        </w:rPr>
        <w:t>残疾人福利性单位声明函</w:t>
      </w:r>
    </w:p>
    <w:bookmarkEnd w:id="469"/>
    <w:bookmarkEnd w:id="470"/>
    <w:p w14:paraId="18F52993">
      <w:pPr>
        <w:spacing w:line="360" w:lineRule="auto"/>
        <w:ind w:firstLine="506"/>
        <w:rPr>
          <w:rFonts w:hint="eastAsia" w:ascii="仿宋" w:hAnsi="仿宋" w:eastAsia="仿宋" w:cs="仿宋"/>
          <w:b/>
          <w:color w:val="auto"/>
          <w:spacing w:val="6"/>
          <w:sz w:val="24"/>
          <w:highlight w:val="none"/>
        </w:rPr>
      </w:pPr>
    </w:p>
    <w:p w14:paraId="60EA7F6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8C7513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3D44462E">
      <w:pPr>
        <w:spacing w:line="360" w:lineRule="auto"/>
        <w:ind w:firstLine="480" w:firstLineChars="200"/>
        <w:rPr>
          <w:rFonts w:hint="eastAsia" w:ascii="仿宋" w:hAnsi="仿宋" w:eastAsia="仿宋" w:cs="仿宋"/>
          <w:color w:val="auto"/>
          <w:sz w:val="24"/>
          <w:highlight w:val="none"/>
        </w:rPr>
      </w:pPr>
    </w:p>
    <w:p w14:paraId="0A8AA317">
      <w:pPr>
        <w:spacing w:line="360" w:lineRule="auto"/>
        <w:ind w:firstLine="480" w:firstLineChars="200"/>
        <w:rPr>
          <w:rFonts w:hint="eastAsia" w:ascii="仿宋" w:hAnsi="仿宋" w:eastAsia="仿宋" w:cs="仿宋"/>
          <w:color w:val="auto"/>
          <w:sz w:val="24"/>
          <w:highlight w:val="none"/>
        </w:rPr>
      </w:pPr>
    </w:p>
    <w:p w14:paraId="3DE55191">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7554DD42">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10F9C55C">
      <w:pPr>
        <w:spacing w:line="360" w:lineRule="auto"/>
        <w:ind w:firstLine="480" w:firstLineChars="200"/>
        <w:rPr>
          <w:rFonts w:hint="eastAsia" w:ascii="仿宋" w:hAnsi="仿宋" w:eastAsia="仿宋" w:cs="仿宋"/>
          <w:color w:val="auto"/>
          <w:sz w:val="24"/>
          <w:highlight w:val="none"/>
        </w:rPr>
      </w:pPr>
    </w:p>
    <w:p w14:paraId="419453FE">
      <w:pPr>
        <w:spacing w:line="360" w:lineRule="auto"/>
        <w:ind w:firstLine="480" w:firstLineChars="200"/>
        <w:rPr>
          <w:rFonts w:hint="eastAsia" w:ascii="仿宋" w:hAnsi="仿宋" w:eastAsia="仿宋" w:cs="仿宋"/>
          <w:color w:val="auto"/>
          <w:sz w:val="24"/>
          <w:highlight w:val="none"/>
        </w:rPr>
      </w:pPr>
    </w:p>
    <w:p w14:paraId="33918E9A">
      <w:pPr>
        <w:spacing w:line="360" w:lineRule="auto"/>
        <w:ind w:firstLine="480" w:firstLineChars="200"/>
        <w:rPr>
          <w:rFonts w:hint="eastAsia" w:ascii="仿宋" w:hAnsi="仿宋" w:eastAsia="仿宋" w:cs="仿宋"/>
          <w:color w:val="auto"/>
          <w:sz w:val="24"/>
          <w:highlight w:val="none"/>
        </w:rPr>
      </w:pPr>
    </w:p>
    <w:p w14:paraId="1A77080A">
      <w:pPr>
        <w:spacing w:line="360" w:lineRule="auto"/>
        <w:ind w:firstLine="480" w:firstLineChars="200"/>
        <w:rPr>
          <w:rFonts w:hint="eastAsia" w:ascii="仿宋" w:hAnsi="仿宋" w:eastAsia="仿宋" w:cs="仿宋"/>
          <w:color w:val="auto"/>
          <w:sz w:val="24"/>
          <w:highlight w:val="none"/>
        </w:rPr>
      </w:pPr>
    </w:p>
    <w:p w14:paraId="4B20CAD5">
      <w:pPr>
        <w:spacing w:line="360" w:lineRule="auto"/>
        <w:ind w:firstLine="480" w:firstLineChars="200"/>
        <w:rPr>
          <w:rFonts w:hint="eastAsia" w:ascii="仿宋" w:hAnsi="仿宋" w:eastAsia="仿宋" w:cs="仿宋"/>
          <w:color w:val="auto"/>
          <w:sz w:val="24"/>
          <w:highlight w:val="none"/>
        </w:rPr>
      </w:pPr>
    </w:p>
    <w:p w14:paraId="2D810BEB">
      <w:pPr>
        <w:spacing w:line="360" w:lineRule="auto"/>
        <w:ind w:firstLine="482"/>
        <w:rPr>
          <w:rFonts w:hint="eastAsia" w:ascii="仿宋" w:hAnsi="仿宋" w:eastAsia="仿宋" w:cs="仿宋"/>
          <w:b/>
          <w:color w:val="auto"/>
          <w:sz w:val="24"/>
          <w:highlight w:val="none"/>
        </w:rPr>
      </w:pPr>
    </w:p>
    <w:p w14:paraId="184AA30E">
      <w:pPr>
        <w:spacing w:line="360" w:lineRule="auto"/>
        <w:ind w:firstLine="482"/>
        <w:rPr>
          <w:rFonts w:hint="eastAsia" w:ascii="仿宋" w:hAnsi="仿宋" w:eastAsia="仿宋" w:cs="仿宋"/>
          <w:b/>
          <w:color w:val="auto"/>
          <w:sz w:val="24"/>
          <w:highlight w:val="none"/>
        </w:rPr>
      </w:pPr>
    </w:p>
    <w:p w14:paraId="30A8E1B3">
      <w:pPr>
        <w:spacing w:line="360" w:lineRule="auto"/>
        <w:ind w:firstLine="482"/>
        <w:rPr>
          <w:rFonts w:hint="eastAsia" w:ascii="仿宋" w:hAnsi="仿宋" w:eastAsia="仿宋" w:cs="仿宋"/>
          <w:b/>
          <w:color w:val="auto"/>
          <w:sz w:val="24"/>
          <w:highlight w:val="none"/>
        </w:rPr>
      </w:pPr>
    </w:p>
    <w:p w14:paraId="170B210B">
      <w:pPr>
        <w:spacing w:line="360" w:lineRule="auto"/>
        <w:ind w:firstLine="482"/>
        <w:rPr>
          <w:rFonts w:hint="eastAsia" w:ascii="仿宋" w:hAnsi="仿宋" w:eastAsia="仿宋" w:cs="仿宋"/>
          <w:b/>
          <w:color w:val="auto"/>
          <w:sz w:val="24"/>
          <w:highlight w:val="none"/>
        </w:rPr>
      </w:pPr>
    </w:p>
    <w:p w14:paraId="2988A0D4">
      <w:pPr>
        <w:spacing w:line="360" w:lineRule="auto"/>
        <w:ind w:firstLine="482"/>
        <w:rPr>
          <w:rFonts w:hint="eastAsia" w:ascii="仿宋" w:hAnsi="仿宋" w:eastAsia="仿宋" w:cs="仿宋"/>
          <w:b/>
          <w:color w:val="auto"/>
          <w:sz w:val="24"/>
          <w:highlight w:val="none"/>
        </w:rPr>
      </w:pPr>
    </w:p>
    <w:p w14:paraId="5D3603AB">
      <w:pPr>
        <w:spacing w:line="360" w:lineRule="auto"/>
        <w:ind w:firstLine="482"/>
        <w:rPr>
          <w:rFonts w:hint="eastAsia" w:ascii="仿宋" w:hAnsi="仿宋" w:eastAsia="仿宋" w:cs="仿宋"/>
          <w:b/>
          <w:color w:val="auto"/>
          <w:sz w:val="24"/>
          <w:highlight w:val="none"/>
        </w:rPr>
      </w:pPr>
    </w:p>
    <w:p w14:paraId="30D62AF8">
      <w:pPr>
        <w:spacing w:line="360" w:lineRule="auto"/>
        <w:ind w:firstLine="667"/>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3E7645F4">
      <w:pPr>
        <w:spacing w:line="360" w:lineRule="auto"/>
        <w:ind w:firstLine="506"/>
        <w:jc w:val="center"/>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质疑函范本</w:t>
      </w:r>
    </w:p>
    <w:p w14:paraId="4A1377C8">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642059D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61E22E2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5386C8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B47185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39EA9A0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08C5A2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5E44018">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2D7A73D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3B73663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27D5782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164B744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37FF6996">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7A16A1A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1702EFB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9C1913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2F40BA5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7BCEF6F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36F3FB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2C799D2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522E3BC">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6AB5CF4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3E57402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6BEF34C">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日期：   </w:t>
      </w:r>
    </w:p>
    <w:p w14:paraId="0EC33C4E">
      <w:pPr>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46617E6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1E74DCD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5B99D23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5A8E60F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28BB95E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0FE424E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4C182AD8">
      <w:pPr>
        <w:widowControl/>
        <w:spacing w:line="360" w:lineRule="auto"/>
        <w:ind w:firstLine="480" w:firstLineChars="200"/>
        <w:jc w:val="left"/>
        <w:rPr>
          <w:rFonts w:hint="eastAsia" w:ascii="仿宋" w:hAnsi="仿宋" w:eastAsia="仿宋" w:cs="仿宋"/>
          <w:color w:val="auto"/>
          <w:sz w:val="24"/>
          <w:highlight w:val="none"/>
        </w:rPr>
      </w:pPr>
    </w:p>
    <w:p w14:paraId="6323D75F">
      <w:pPr>
        <w:spacing w:line="360" w:lineRule="auto"/>
        <w:ind w:firstLine="506"/>
        <w:jc w:val="center"/>
        <w:rPr>
          <w:rFonts w:hint="eastAsia" w:ascii="仿宋" w:hAnsi="仿宋" w:eastAsia="仿宋" w:cs="仿宋"/>
          <w:b/>
          <w:color w:val="auto"/>
          <w:spacing w:val="6"/>
          <w:sz w:val="24"/>
          <w:highlight w:val="none"/>
        </w:rPr>
      </w:pPr>
    </w:p>
    <w:p w14:paraId="08B513C3">
      <w:pPr>
        <w:spacing w:line="360" w:lineRule="auto"/>
        <w:ind w:firstLine="506"/>
        <w:jc w:val="center"/>
        <w:rPr>
          <w:rFonts w:hint="eastAsia" w:ascii="仿宋" w:hAnsi="仿宋" w:eastAsia="仿宋" w:cs="仿宋"/>
          <w:b/>
          <w:color w:val="auto"/>
          <w:spacing w:val="6"/>
          <w:sz w:val="24"/>
          <w:highlight w:val="none"/>
        </w:rPr>
      </w:pPr>
    </w:p>
    <w:p w14:paraId="27762020">
      <w:pPr>
        <w:spacing w:line="360" w:lineRule="auto"/>
        <w:ind w:firstLine="506"/>
        <w:jc w:val="center"/>
        <w:rPr>
          <w:rFonts w:hint="eastAsia" w:ascii="仿宋" w:hAnsi="仿宋" w:eastAsia="仿宋" w:cs="仿宋"/>
          <w:b/>
          <w:color w:val="auto"/>
          <w:spacing w:val="6"/>
          <w:sz w:val="24"/>
          <w:highlight w:val="none"/>
        </w:rPr>
      </w:pPr>
    </w:p>
    <w:p w14:paraId="5F5F0982">
      <w:pPr>
        <w:spacing w:line="360" w:lineRule="auto"/>
        <w:ind w:firstLine="506"/>
        <w:jc w:val="center"/>
        <w:rPr>
          <w:rFonts w:hint="eastAsia" w:ascii="仿宋" w:hAnsi="仿宋" w:eastAsia="仿宋" w:cs="仿宋"/>
          <w:b/>
          <w:color w:val="auto"/>
          <w:spacing w:val="6"/>
          <w:sz w:val="24"/>
          <w:highlight w:val="none"/>
        </w:rPr>
      </w:pPr>
    </w:p>
    <w:p w14:paraId="3CF6405E">
      <w:pPr>
        <w:spacing w:line="360" w:lineRule="auto"/>
        <w:ind w:firstLine="506"/>
        <w:jc w:val="center"/>
        <w:rPr>
          <w:rFonts w:hint="eastAsia" w:ascii="仿宋" w:hAnsi="仿宋" w:eastAsia="仿宋" w:cs="仿宋"/>
          <w:b/>
          <w:color w:val="auto"/>
          <w:spacing w:val="6"/>
          <w:sz w:val="24"/>
          <w:highlight w:val="none"/>
        </w:rPr>
      </w:pPr>
    </w:p>
    <w:p w14:paraId="0ED7EA69">
      <w:pPr>
        <w:spacing w:line="360" w:lineRule="auto"/>
        <w:ind w:firstLine="506"/>
        <w:jc w:val="center"/>
        <w:rPr>
          <w:rFonts w:hint="eastAsia" w:ascii="仿宋" w:hAnsi="仿宋" w:eastAsia="仿宋" w:cs="仿宋"/>
          <w:b/>
          <w:color w:val="auto"/>
          <w:spacing w:val="6"/>
          <w:sz w:val="24"/>
          <w:highlight w:val="none"/>
        </w:rPr>
      </w:pPr>
    </w:p>
    <w:p w14:paraId="16A2641F">
      <w:pPr>
        <w:spacing w:line="360" w:lineRule="auto"/>
        <w:ind w:firstLine="506"/>
        <w:jc w:val="center"/>
        <w:rPr>
          <w:rFonts w:hint="eastAsia" w:ascii="仿宋" w:hAnsi="仿宋" w:eastAsia="仿宋" w:cs="仿宋"/>
          <w:b/>
          <w:color w:val="auto"/>
          <w:spacing w:val="6"/>
          <w:sz w:val="24"/>
          <w:highlight w:val="none"/>
        </w:rPr>
      </w:pPr>
    </w:p>
    <w:p w14:paraId="60450CC2">
      <w:pPr>
        <w:spacing w:line="360" w:lineRule="auto"/>
        <w:ind w:firstLine="506"/>
        <w:jc w:val="center"/>
        <w:rPr>
          <w:rFonts w:hint="eastAsia" w:ascii="仿宋" w:hAnsi="仿宋" w:eastAsia="仿宋" w:cs="仿宋"/>
          <w:b/>
          <w:color w:val="auto"/>
          <w:spacing w:val="6"/>
          <w:sz w:val="24"/>
          <w:highlight w:val="none"/>
        </w:rPr>
      </w:pPr>
    </w:p>
    <w:p w14:paraId="1B2580BF">
      <w:pPr>
        <w:spacing w:line="360" w:lineRule="auto"/>
        <w:ind w:firstLine="506"/>
        <w:jc w:val="center"/>
        <w:rPr>
          <w:rFonts w:hint="eastAsia" w:ascii="仿宋" w:hAnsi="仿宋" w:eastAsia="仿宋" w:cs="仿宋"/>
          <w:b/>
          <w:color w:val="auto"/>
          <w:spacing w:val="6"/>
          <w:sz w:val="24"/>
          <w:highlight w:val="none"/>
        </w:rPr>
      </w:pPr>
    </w:p>
    <w:p w14:paraId="2559C848">
      <w:pPr>
        <w:spacing w:line="360" w:lineRule="auto"/>
        <w:ind w:firstLine="506"/>
        <w:jc w:val="center"/>
        <w:rPr>
          <w:rFonts w:hint="eastAsia" w:ascii="仿宋" w:hAnsi="仿宋" w:eastAsia="仿宋" w:cs="仿宋"/>
          <w:b/>
          <w:color w:val="auto"/>
          <w:spacing w:val="6"/>
          <w:sz w:val="24"/>
          <w:highlight w:val="none"/>
        </w:rPr>
      </w:pPr>
    </w:p>
    <w:p w14:paraId="460AAE6C">
      <w:pPr>
        <w:spacing w:line="360" w:lineRule="auto"/>
        <w:ind w:firstLine="506"/>
        <w:jc w:val="center"/>
        <w:rPr>
          <w:rFonts w:hint="eastAsia" w:ascii="仿宋" w:hAnsi="仿宋" w:eastAsia="仿宋" w:cs="仿宋"/>
          <w:b/>
          <w:color w:val="auto"/>
          <w:spacing w:val="6"/>
          <w:sz w:val="24"/>
          <w:highlight w:val="none"/>
        </w:rPr>
      </w:pPr>
    </w:p>
    <w:p w14:paraId="3D4DC433">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E2C754F">
      <w:pPr>
        <w:spacing w:line="360" w:lineRule="auto"/>
        <w:ind w:firstLine="667"/>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5ADBA571">
      <w:pPr>
        <w:spacing w:line="360" w:lineRule="auto"/>
        <w:ind w:firstLine="482"/>
        <w:jc w:val="center"/>
        <w:rPr>
          <w:rFonts w:hint="eastAsia" w:ascii="仿宋" w:hAnsi="仿宋" w:eastAsia="仿宋" w:cs="仿宋"/>
          <w:b/>
          <w:color w:val="auto"/>
          <w:sz w:val="24"/>
          <w:highlight w:val="none"/>
        </w:rPr>
      </w:pPr>
    </w:p>
    <w:p w14:paraId="06C67DEF">
      <w:pPr>
        <w:spacing w:line="360" w:lineRule="auto"/>
        <w:ind w:firstLine="506"/>
        <w:jc w:val="center"/>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投诉书范本</w:t>
      </w:r>
    </w:p>
    <w:p w14:paraId="0AA0A2D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71F9D3C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0531988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F13D2DB">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2EBABBC">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EA10A4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CABD1C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6438849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2B8000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173E0F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245377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0DF232C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BD1492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B6C524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005405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74D8D4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1E90157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69C1E3C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6A720A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EF2823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1A550F4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6F66B5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4B028B0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2BDD554D">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71706BC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07FEEDD">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16B6C0B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076C8D1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515F007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39FE9A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6DD80A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45C60C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69AAA1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41CBBB0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F42124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27691B9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293121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3A8F9E7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8156AE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F90D5E6">
      <w:pPr>
        <w:spacing w:line="360" w:lineRule="auto"/>
        <w:ind w:firstLine="482"/>
        <w:rPr>
          <w:rFonts w:hint="eastAsia" w:ascii="仿宋" w:hAnsi="仿宋" w:eastAsia="仿宋" w:cs="仿宋"/>
          <w:b/>
          <w:color w:val="auto"/>
          <w:sz w:val="24"/>
          <w:highlight w:val="none"/>
        </w:rPr>
      </w:pPr>
    </w:p>
    <w:p w14:paraId="4597B587">
      <w:pPr>
        <w:spacing w:line="360" w:lineRule="auto"/>
        <w:ind w:firstLine="482"/>
        <w:rPr>
          <w:rFonts w:hint="eastAsia" w:ascii="仿宋" w:hAnsi="仿宋" w:eastAsia="仿宋" w:cs="仿宋"/>
          <w:b/>
          <w:color w:val="auto"/>
          <w:sz w:val="24"/>
          <w:highlight w:val="none"/>
        </w:rPr>
      </w:pPr>
    </w:p>
    <w:p w14:paraId="4CD16BF3">
      <w:pPr>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0BC48831">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1002D28A">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05A9657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32F60ED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60C5490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780BE03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0523C80D">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78168A7D">
      <w:pPr>
        <w:spacing w:line="360" w:lineRule="auto"/>
        <w:ind w:firstLine="482"/>
        <w:rPr>
          <w:rFonts w:hint="eastAsia" w:ascii="仿宋" w:hAnsi="仿宋" w:eastAsia="仿宋" w:cs="仿宋"/>
          <w:b/>
          <w:color w:val="auto"/>
          <w:sz w:val="24"/>
          <w:highlight w:val="none"/>
        </w:rPr>
      </w:pPr>
    </w:p>
    <w:p w14:paraId="190DCC89">
      <w:pPr>
        <w:ind w:firstLine="667"/>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7F1A34E8">
      <w:pPr>
        <w:autoSpaceDE w:val="0"/>
        <w:autoSpaceDN w:val="0"/>
        <w:spacing w:line="360" w:lineRule="auto"/>
        <w:ind w:firstLine="667"/>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738C1034">
      <w:pPr>
        <w:spacing w:line="360" w:lineRule="auto"/>
        <w:rPr>
          <w:rFonts w:hint="eastAsia" w:ascii="仿宋" w:hAnsi="仿宋" w:eastAsia="仿宋" w:cs="仿宋"/>
          <w:color w:val="auto"/>
          <w:sz w:val="24"/>
          <w:highlight w:val="none"/>
          <w:u w:val="single"/>
        </w:rPr>
      </w:pPr>
    </w:p>
    <w:p w14:paraId="7287980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杭州市余杭区司法局</w:t>
      </w:r>
      <w:r>
        <w:rPr>
          <w:rFonts w:hint="eastAsia" w:ascii="仿宋" w:hAnsi="仿宋" w:eastAsia="仿宋" w:cs="仿宋"/>
          <w:color w:val="auto"/>
          <w:sz w:val="24"/>
          <w:highlight w:val="none"/>
          <w:u w:val="single"/>
        </w:rPr>
        <w:t xml:space="preserve"> 、海标工程管理有限公司：</w:t>
      </w:r>
    </w:p>
    <w:p w14:paraId="449AC3E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lang w:eastAsia="zh-CN"/>
        </w:rPr>
        <w:t>2025年区级人民调解案件化解服务</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HBZFCG-2025-013</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7513614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6BA35F16">
      <w:pPr>
        <w:spacing w:line="360" w:lineRule="auto"/>
        <w:ind w:firstLine="480"/>
        <w:rPr>
          <w:rFonts w:hint="eastAsia" w:ascii="仿宋" w:hAnsi="仿宋" w:eastAsia="仿宋" w:cs="仿宋"/>
          <w:color w:val="auto"/>
          <w:sz w:val="24"/>
          <w:highlight w:val="none"/>
        </w:rPr>
      </w:pPr>
    </w:p>
    <w:p w14:paraId="43130AFB">
      <w:pPr>
        <w:spacing w:line="360" w:lineRule="auto"/>
        <w:ind w:firstLine="480"/>
        <w:rPr>
          <w:rFonts w:hint="eastAsia" w:ascii="仿宋" w:hAnsi="仿宋" w:eastAsia="仿宋" w:cs="仿宋"/>
          <w:color w:val="auto"/>
          <w:sz w:val="24"/>
          <w:highlight w:val="none"/>
        </w:rPr>
      </w:pPr>
    </w:p>
    <w:p w14:paraId="55042648">
      <w:pPr>
        <w:spacing w:line="360" w:lineRule="auto"/>
        <w:ind w:firstLine="480"/>
        <w:rPr>
          <w:rFonts w:hint="eastAsia" w:ascii="仿宋" w:hAnsi="仿宋" w:eastAsia="仿宋" w:cs="仿宋"/>
          <w:color w:val="auto"/>
          <w:sz w:val="24"/>
          <w:highlight w:val="none"/>
        </w:rPr>
      </w:pPr>
    </w:p>
    <w:p w14:paraId="59A15D6E">
      <w:pPr>
        <w:spacing w:line="360" w:lineRule="auto"/>
        <w:ind w:firstLine="480"/>
        <w:rPr>
          <w:rFonts w:hint="eastAsia" w:ascii="仿宋" w:hAnsi="仿宋" w:eastAsia="仿宋" w:cs="仿宋"/>
          <w:color w:val="auto"/>
          <w:sz w:val="24"/>
          <w:highlight w:val="none"/>
        </w:rPr>
      </w:pPr>
    </w:p>
    <w:p w14:paraId="0CA6E0C2">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380748B1">
      <w:pPr>
        <w:spacing w:line="360" w:lineRule="auto"/>
        <w:ind w:right="1440"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2AA0480">
      <w:pPr>
        <w:spacing w:line="360" w:lineRule="auto"/>
        <w:ind w:firstLine="482"/>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68228D28">
      <w:pPr>
        <w:spacing w:line="360" w:lineRule="auto"/>
        <w:ind w:firstLine="482"/>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矩形 3"/>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3"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c/4wdgAAAAKAQAADwAAAAAAAAABACAAAAAiAAAAZHJz&#10;L2Rvd25yZXYueG1sUEsBAhQAFAAAAAgAh07iQMy/Qc0EAgAALQQAAA4AAAAAAAAAAQAgAAAAJwEA&#10;AGRycy9lMm9Eb2MueG1sUEsFBgAAAAAGAAYAWQEAAJ0FAAAAAA==&#10;">
                <v:fill on="t" focussize="0,0"/>
                <v:stroke color="#000000"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矩形 4"/>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4"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dOwWNgAAAAKAQAADwAAAAAAAAABACAAAAAiAAAAZHJz&#10;L2Rvd25yZXYueG1sUEsBAhQAFAAAAAgAh07iQDEY27MEAgAALQQAAA4AAAAAAAAAAQAgAAAAJwEA&#10;AGRycy9lMm9Eb2MueG1sUEsFBgAAAAAGAAYAWQEAAJ0FAAAAAA==&#10;">
                <v:fill on="t" focussize="0,0"/>
                <v:stroke color="#000000"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61C01781">
      <w:pPr>
        <w:autoSpaceDE w:val="0"/>
        <w:autoSpaceDN w:val="0"/>
        <w:spacing w:line="360" w:lineRule="auto"/>
        <w:ind w:firstLine="506"/>
        <w:jc w:val="center"/>
        <w:rPr>
          <w:rFonts w:hint="eastAsia" w:ascii="仿宋" w:hAnsi="仿宋" w:eastAsia="仿宋" w:cs="仿宋"/>
          <w:b/>
          <w:color w:val="auto"/>
          <w:spacing w:val="6"/>
          <w:sz w:val="24"/>
          <w:highlight w:val="none"/>
        </w:rPr>
      </w:pPr>
    </w:p>
    <w:p w14:paraId="1C4E8287">
      <w:pPr>
        <w:autoSpaceDE w:val="0"/>
        <w:autoSpaceDN w:val="0"/>
        <w:spacing w:line="360" w:lineRule="auto"/>
        <w:ind w:firstLine="506"/>
        <w:jc w:val="center"/>
        <w:rPr>
          <w:rFonts w:hint="eastAsia" w:ascii="仿宋" w:hAnsi="仿宋" w:eastAsia="仿宋" w:cs="仿宋"/>
          <w:b/>
          <w:color w:val="auto"/>
          <w:spacing w:val="6"/>
          <w:sz w:val="24"/>
          <w:highlight w:val="none"/>
        </w:rPr>
      </w:pPr>
    </w:p>
    <w:p w14:paraId="7C051CE4">
      <w:pPr>
        <w:autoSpaceDE w:val="0"/>
        <w:autoSpaceDN w:val="0"/>
        <w:spacing w:line="360" w:lineRule="auto"/>
        <w:ind w:firstLine="506"/>
        <w:jc w:val="center"/>
        <w:rPr>
          <w:rFonts w:hint="eastAsia" w:ascii="仿宋" w:hAnsi="仿宋" w:eastAsia="仿宋" w:cs="仿宋"/>
          <w:b/>
          <w:color w:val="auto"/>
          <w:spacing w:val="6"/>
          <w:sz w:val="24"/>
          <w:highlight w:val="none"/>
        </w:rPr>
      </w:pPr>
    </w:p>
    <w:p w14:paraId="49B336E5">
      <w:pPr>
        <w:autoSpaceDE w:val="0"/>
        <w:autoSpaceDN w:val="0"/>
        <w:spacing w:line="360" w:lineRule="auto"/>
        <w:ind w:firstLine="506"/>
        <w:jc w:val="center"/>
        <w:rPr>
          <w:rFonts w:hint="eastAsia" w:ascii="仿宋" w:hAnsi="仿宋" w:eastAsia="仿宋" w:cs="仿宋"/>
          <w:b/>
          <w:color w:val="auto"/>
          <w:spacing w:val="6"/>
          <w:sz w:val="24"/>
          <w:highlight w:val="none"/>
        </w:rPr>
      </w:pPr>
    </w:p>
    <w:p w14:paraId="7F505AA0">
      <w:pPr>
        <w:autoSpaceDE w:val="0"/>
        <w:autoSpaceDN w:val="0"/>
        <w:spacing w:line="360" w:lineRule="auto"/>
        <w:ind w:firstLine="506"/>
        <w:jc w:val="center"/>
        <w:rPr>
          <w:rFonts w:hint="eastAsia" w:ascii="仿宋" w:hAnsi="仿宋" w:eastAsia="仿宋" w:cs="仿宋"/>
          <w:b/>
          <w:color w:val="auto"/>
          <w:spacing w:val="6"/>
          <w:sz w:val="24"/>
          <w:highlight w:val="none"/>
        </w:rPr>
      </w:pPr>
    </w:p>
    <w:p w14:paraId="3F351B62">
      <w:pPr>
        <w:autoSpaceDE w:val="0"/>
        <w:autoSpaceDN w:val="0"/>
        <w:spacing w:line="360" w:lineRule="auto"/>
        <w:ind w:firstLine="506"/>
        <w:jc w:val="center"/>
        <w:rPr>
          <w:rFonts w:hint="eastAsia" w:ascii="仿宋" w:hAnsi="仿宋" w:eastAsia="仿宋" w:cs="仿宋"/>
          <w:b/>
          <w:color w:val="auto"/>
          <w:spacing w:val="6"/>
          <w:sz w:val="24"/>
          <w:highlight w:val="none"/>
        </w:rPr>
      </w:pPr>
    </w:p>
    <w:p w14:paraId="3A6EC885">
      <w:pPr>
        <w:autoSpaceDE w:val="0"/>
        <w:autoSpaceDN w:val="0"/>
        <w:spacing w:line="360" w:lineRule="auto"/>
        <w:ind w:firstLine="506"/>
        <w:jc w:val="center"/>
        <w:rPr>
          <w:rFonts w:hint="eastAsia" w:ascii="仿宋" w:hAnsi="仿宋" w:eastAsia="仿宋" w:cs="仿宋"/>
          <w:b/>
          <w:color w:val="auto"/>
          <w:spacing w:val="6"/>
          <w:sz w:val="24"/>
          <w:highlight w:val="none"/>
        </w:rPr>
      </w:pPr>
    </w:p>
    <w:p w14:paraId="67677D7D">
      <w:pPr>
        <w:autoSpaceDE w:val="0"/>
        <w:autoSpaceDN w:val="0"/>
        <w:spacing w:line="360" w:lineRule="auto"/>
        <w:ind w:firstLine="506"/>
        <w:jc w:val="center"/>
        <w:rPr>
          <w:rFonts w:hint="eastAsia" w:ascii="仿宋" w:hAnsi="仿宋" w:eastAsia="仿宋" w:cs="仿宋"/>
          <w:b/>
          <w:color w:val="auto"/>
          <w:spacing w:val="6"/>
          <w:sz w:val="24"/>
          <w:highlight w:val="none"/>
        </w:rPr>
      </w:pPr>
    </w:p>
    <w:p w14:paraId="2E7856D4">
      <w:pPr>
        <w:ind w:firstLine="667"/>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062F9AD">
      <w:pPr>
        <w:autoSpaceDE w:val="0"/>
        <w:autoSpaceDN w:val="0"/>
        <w:spacing w:line="360" w:lineRule="auto"/>
        <w:ind w:firstLine="667"/>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2E0DAA08">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585C16EB">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lang w:eastAsia="zh-CN"/>
        </w:rPr>
        <w:t>2025年区级人民调解案件化解服务</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HBZFCG-2025-013</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14:paraId="65B07D63">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78ED9D30">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val="zh-CN"/>
        </w:rPr>
        <w:t>等均对联合投标各方产生约束力。</w:t>
      </w:r>
    </w:p>
    <w:p w14:paraId="632F1A2B">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016C3BE6">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lang w:val="zh-CN"/>
        </w:rPr>
        <w:t>；</w:t>
      </w:r>
    </w:p>
    <w:p w14:paraId="3DF4FC3B">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lang w:val="zh-CN"/>
        </w:rPr>
        <w:t>；</w:t>
      </w:r>
    </w:p>
    <w:p w14:paraId="55E4DE4B">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64E569F8">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52C16691">
      <w:pPr>
        <w:snapToGrid w:val="0"/>
        <w:spacing w:line="360" w:lineRule="auto"/>
        <w:ind w:firstLine="480"/>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471" w:name="_Hlk101131882"/>
      <w:r>
        <w:rPr>
          <w:rFonts w:hint="eastAsia" w:ascii="仿宋" w:hAnsi="仿宋" w:eastAsia="仿宋" w:cs="仿宋"/>
          <w:color w:val="auto"/>
          <w:kern w:val="0"/>
          <w:sz w:val="24"/>
          <w:highlight w:val="none"/>
          <w:u w:val="single"/>
        </w:rPr>
        <w:t>联合体成员X,……</w:t>
      </w:r>
      <w:bookmarkEnd w:id="471"/>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472"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472"/>
      <w:r>
        <w:rPr>
          <w:rFonts w:hint="eastAsia" w:ascii="仿宋" w:hAnsi="仿宋" w:eastAsia="仿宋" w:cs="仿宋"/>
          <w:b/>
          <w:color w:val="auto"/>
          <w:kern w:val="0"/>
          <w:sz w:val="24"/>
          <w:highlight w:val="none"/>
          <w:lang w:val="zh-CN"/>
        </w:rPr>
        <w:t>）</w:t>
      </w:r>
    </w:p>
    <w:p w14:paraId="4A6AA77B">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73"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473"/>
    </w:p>
    <w:p w14:paraId="53BB5085">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22A9B4D1">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7F109BE7">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15D5EF2F">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6FEF699E">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30455188">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05C4212">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BD57E6E">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53CDBF23">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691057AE">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8624041">
      <w:pPr>
        <w:autoSpaceDE w:val="0"/>
        <w:autoSpaceDN w:val="0"/>
        <w:spacing w:line="360" w:lineRule="auto"/>
        <w:ind w:firstLine="506"/>
        <w:jc w:val="center"/>
        <w:rPr>
          <w:rFonts w:hint="eastAsia" w:ascii="仿宋" w:hAnsi="仿宋" w:eastAsia="仿宋" w:cs="仿宋"/>
          <w:b/>
          <w:color w:val="auto"/>
          <w:spacing w:val="6"/>
          <w:sz w:val="24"/>
          <w:highlight w:val="none"/>
        </w:rPr>
      </w:pPr>
    </w:p>
    <w:p w14:paraId="5F8ED0C0">
      <w:pPr>
        <w:autoSpaceDE w:val="0"/>
        <w:autoSpaceDN w:val="0"/>
        <w:spacing w:line="360" w:lineRule="auto"/>
        <w:ind w:firstLine="506"/>
        <w:jc w:val="center"/>
        <w:rPr>
          <w:rFonts w:hint="eastAsia" w:ascii="仿宋" w:hAnsi="仿宋" w:eastAsia="仿宋" w:cs="仿宋"/>
          <w:b/>
          <w:color w:val="auto"/>
          <w:spacing w:val="6"/>
          <w:sz w:val="24"/>
          <w:highlight w:val="none"/>
        </w:rPr>
      </w:pPr>
    </w:p>
    <w:p w14:paraId="69F8743A">
      <w:pPr>
        <w:autoSpaceDE w:val="0"/>
        <w:autoSpaceDN w:val="0"/>
        <w:spacing w:line="360" w:lineRule="auto"/>
        <w:ind w:firstLine="506"/>
        <w:jc w:val="center"/>
        <w:rPr>
          <w:rFonts w:hint="eastAsia" w:ascii="仿宋" w:hAnsi="仿宋" w:eastAsia="仿宋" w:cs="仿宋"/>
          <w:b/>
          <w:color w:val="auto"/>
          <w:spacing w:val="6"/>
          <w:sz w:val="24"/>
          <w:highlight w:val="none"/>
        </w:rPr>
      </w:pPr>
    </w:p>
    <w:p w14:paraId="4C6B7A41">
      <w:pPr>
        <w:autoSpaceDE w:val="0"/>
        <w:autoSpaceDN w:val="0"/>
        <w:spacing w:line="360" w:lineRule="auto"/>
        <w:ind w:firstLine="506"/>
        <w:jc w:val="center"/>
        <w:rPr>
          <w:rFonts w:hint="eastAsia" w:ascii="仿宋" w:hAnsi="仿宋" w:eastAsia="仿宋" w:cs="仿宋"/>
          <w:b/>
          <w:color w:val="auto"/>
          <w:spacing w:val="6"/>
          <w:sz w:val="24"/>
          <w:highlight w:val="none"/>
        </w:rPr>
      </w:pPr>
    </w:p>
    <w:p w14:paraId="6C89FAF6">
      <w:pPr>
        <w:autoSpaceDE w:val="0"/>
        <w:autoSpaceDN w:val="0"/>
        <w:spacing w:line="360" w:lineRule="auto"/>
        <w:ind w:firstLine="506"/>
        <w:jc w:val="center"/>
        <w:rPr>
          <w:rFonts w:hint="eastAsia" w:ascii="仿宋" w:hAnsi="仿宋" w:eastAsia="仿宋" w:cs="仿宋"/>
          <w:b/>
          <w:color w:val="auto"/>
          <w:spacing w:val="6"/>
          <w:sz w:val="24"/>
          <w:highlight w:val="none"/>
        </w:rPr>
      </w:pPr>
    </w:p>
    <w:p w14:paraId="47E02809">
      <w:pPr>
        <w:autoSpaceDE w:val="0"/>
        <w:autoSpaceDN w:val="0"/>
        <w:spacing w:line="360" w:lineRule="auto"/>
        <w:ind w:firstLine="506"/>
        <w:jc w:val="center"/>
        <w:rPr>
          <w:rFonts w:hint="eastAsia" w:ascii="仿宋" w:hAnsi="仿宋" w:eastAsia="仿宋" w:cs="仿宋"/>
          <w:b/>
          <w:color w:val="auto"/>
          <w:spacing w:val="6"/>
          <w:sz w:val="24"/>
          <w:highlight w:val="none"/>
        </w:rPr>
      </w:pPr>
    </w:p>
    <w:p w14:paraId="21246EC0">
      <w:pPr>
        <w:autoSpaceDE w:val="0"/>
        <w:autoSpaceDN w:val="0"/>
        <w:spacing w:line="360" w:lineRule="auto"/>
        <w:ind w:firstLine="506"/>
        <w:jc w:val="center"/>
        <w:rPr>
          <w:rFonts w:hint="eastAsia" w:ascii="仿宋" w:hAnsi="仿宋" w:eastAsia="仿宋" w:cs="仿宋"/>
          <w:b/>
          <w:color w:val="auto"/>
          <w:spacing w:val="6"/>
          <w:sz w:val="24"/>
          <w:highlight w:val="none"/>
        </w:rPr>
      </w:pPr>
    </w:p>
    <w:p w14:paraId="6160C676">
      <w:pPr>
        <w:autoSpaceDE w:val="0"/>
        <w:autoSpaceDN w:val="0"/>
        <w:spacing w:line="360" w:lineRule="auto"/>
        <w:ind w:firstLine="506"/>
        <w:jc w:val="center"/>
        <w:rPr>
          <w:rFonts w:hint="eastAsia" w:ascii="仿宋" w:hAnsi="仿宋" w:eastAsia="仿宋" w:cs="仿宋"/>
          <w:b/>
          <w:color w:val="auto"/>
          <w:spacing w:val="6"/>
          <w:sz w:val="24"/>
          <w:highlight w:val="none"/>
        </w:rPr>
      </w:pPr>
    </w:p>
    <w:p w14:paraId="26E8F363">
      <w:pPr>
        <w:autoSpaceDE w:val="0"/>
        <w:autoSpaceDN w:val="0"/>
        <w:spacing w:line="360" w:lineRule="auto"/>
        <w:ind w:firstLine="506"/>
        <w:jc w:val="center"/>
        <w:rPr>
          <w:rFonts w:hint="eastAsia" w:ascii="仿宋" w:hAnsi="仿宋" w:eastAsia="仿宋" w:cs="仿宋"/>
          <w:b/>
          <w:color w:val="auto"/>
          <w:spacing w:val="6"/>
          <w:sz w:val="24"/>
          <w:highlight w:val="none"/>
        </w:rPr>
      </w:pPr>
    </w:p>
    <w:p w14:paraId="51C5A2D3">
      <w:pPr>
        <w:autoSpaceDE w:val="0"/>
        <w:autoSpaceDN w:val="0"/>
        <w:spacing w:line="360" w:lineRule="auto"/>
        <w:ind w:firstLine="506"/>
        <w:jc w:val="center"/>
        <w:rPr>
          <w:rFonts w:hint="eastAsia" w:ascii="仿宋" w:hAnsi="仿宋" w:eastAsia="仿宋" w:cs="仿宋"/>
          <w:b/>
          <w:color w:val="auto"/>
          <w:spacing w:val="6"/>
          <w:sz w:val="24"/>
          <w:highlight w:val="none"/>
        </w:rPr>
      </w:pPr>
    </w:p>
    <w:p w14:paraId="68B1B12B">
      <w:pPr>
        <w:autoSpaceDE w:val="0"/>
        <w:autoSpaceDN w:val="0"/>
        <w:spacing w:line="360" w:lineRule="auto"/>
        <w:ind w:firstLine="506"/>
        <w:jc w:val="center"/>
        <w:rPr>
          <w:rFonts w:hint="eastAsia" w:ascii="仿宋" w:hAnsi="仿宋" w:eastAsia="仿宋" w:cs="仿宋"/>
          <w:b/>
          <w:color w:val="auto"/>
          <w:spacing w:val="6"/>
          <w:sz w:val="24"/>
          <w:highlight w:val="none"/>
        </w:rPr>
      </w:pPr>
    </w:p>
    <w:p w14:paraId="7981C510">
      <w:pPr>
        <w:autoSpaceDE w:val="0"/>
        <w:autoSpaceDN w:val="0"/>
        <w:spacing w:line="360" w:lineRule="auto"/>
        <w:ind w:firstLine="506"/>
        <w:jc w:val="center"/>
        <w:rPr>
          <w:rFonts w:hint="eastAsia" w:ascii="仿宋" w:hAnsi="仿宋" w:eastAsia="仿宋" w:cs="仿宋"/>
          <w:b/>
          <w:color w:val="auto"/>
          <w:spacing w:val="6"/>
          <w:sz w:val="24"/>
          <w:highlight w:val="none"/>
        </w:rPr>
      </w:pPr>
    </w:p>
    <w:p w14:paraId="34121547">
      <w:pPr>
        <w:autoSpaceDE w:val="0"/>
        <w:autoSpaceDN w:val="0"/>
        <w:spacing w:line="360" w:lineRule="auto"/>
        <w:ind w:firstLine="506"/>
        <w:jc w:val="center"/>
        <w:rPr>
          <w:rFonts w:hint="eastAsia" w:ascii="仿宋" w:hAnsi="仿宋" w:eastAsia="仿宋" w:cs="仿宋"/>
          <w:b/>
          <w:color w:val="auto"/>
          <w:spacing w:val="6"/>
          <w:sz w:val="24"/>
          <w:highlight w:val="none"/>
        </w:rPr>
      </w:pPr>
    </w:p>
    <w:p w14:paraId="45409EEB">
      <w:pPr>
        <w:autoSpaceDE w:val="0"/>
        <w:autoSpaceDN w:val="0"/>
        <w:spacing w:line="360" w:lineRule="auto"/>
        <w:ind w:firstLine="506"/>
        <w:jc w:val="center"/>
        <w:rPr>
          <w:rFonts w:hint="eastAsia" w:ascii="仿宋" w:hAnsi="仿宋" w:eastAsia="仿宋" w:cs="仿宋"/>
          <w:b/>
          <w:color w:val="auto"/>
          <w:spacing w:val="6"/>
          <w:sz w:val="24"/>
          <w:highlight w:val="none"/>
        </w:rPr>
      </w:pPr>
    </w:p>
    <w:p w14:paraId="78D3CAF5">
      <w:pPr>
        <w:autoSpaceDE w:val="0"/>
        <w:autoSpaceDN w:val="0"/>
        <w:spacing w:line="360" w:lineRule="auto"/>
        <w:ind w:firstLine="506"/>
        <w:jc w:val="center"/>
        <w:rPr>
          <w:rFonts w:hint="eastAsia" w:ascii="仿宋" w:hAnsi="仿宋" w:eastAsia="仿宋" w:cs="仿宋"/>
          <w:b/>
          <w:color w:val="auto"/>
          <w:spacing w:val="6"/>
          <w:sz w:val="24"/>
          <w:highlight w:val="none"/>
        </w:rPr>
      </w:pPr>
    </w:p>
    <w:p w14:paraId="4F82989C">
      <w:pPr>
        <w:ind w:firstLine="667"/>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8722E60">
      <w:pPr>
        <w:snapToGrid w:val="0"/>
        <w:spacing w:line="360" w:lineRule="auto"/>
        <w:ind w:firstLine="667"/>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40DFCD8E">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551119FE">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lang w:eastAsia="zh-CN"/>
        </w:rPr>
        <w:t>2025年区级人民调解案件化解服务</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HBZFCG-2025-013</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7792E792">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6BCDDC3F">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2204EB80">
      <w:pPr>
        <w:pStyle w:val="2"/>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194D93D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 xml:space="preserve"> </w:t>
      </w:r>
    </w:p>
    <w:p w14:paraId="3D516554">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6D2B1005">
      <w:pPr>
        <w:snapToGrid w:val="0"/>
        <w:spacing w:line="360" w:lineRule="auto"/>
        <w:ind w:firstLine="480"/>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4B3FE1EB">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6AF44B3D">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4A4479F5">
      <w:pPr>
        <w:snapToGrid w:val="0"/>
        <w:spacing w:line="360" w:lineRule="auto"/>
        <w:ind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w:t>
      </w:r>
    </w:p>
    <w:p w14:paraId="34823295">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6043F0F7">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u w:val="single"/>
        </w:rPr>
        <w:t xml:space="preserve">                                                                                       </w:t>
      </w:r>
    </w:p>
    <w:p w14:paraId="4C4C3B30">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1BB91B10">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u w:val="single"/>
        </w:rPr>
        <w:t xml:space="preserve">                                                                                     </w:t>
      </w:r>
    </w:p>
    <w:p w14:paraId="422FFCA3">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2D461DCF">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u w:val="single"/>
        </w:rPr>
        <w:t xml:space="preserve">                                                                                     </w:t>
      </w:r>
    </w:p>
    <w:p w14:paraId="168D69A0">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23D52DAE">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u w:val="single"/>
        </w:rPr>
        <w:t xml:space="preserve">                                                                                  </w:t>
      </w:r>
    </w:p>
    <w:p w14:paraId="3B23D721">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05CD92B0">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482CCD0A">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47CEED4F">
      <w:pPr>
        <w:snapToGrid w:val="0"/>
        <w:spacing w:line="360" w:lineRule="auto"/>
        <w:ind w:firstLine="5760" w:firstLineChars="24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w:t>
      </w:r>
    </w:p>
    <w:p w14:paraId="344F6CB9">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8174051">
      <w:pPr>
        <w:autoSpaceDE w:val="0"/>
        <w:autoSpaceDN w:val="0"/>
        <w:spacing w:line="360" w:lineRule="auto"/>
        <w:jc w:val="left"/>
        <w:rPr>
          <w:rFonts w:hint="eastAsia" w:ascii="仿宋" w:hAnsi="仿宋" w:eastAsia="仿宋" w:cs="仿宋"/>
          <w:b/>
          <w:color w:val="auto"/>
          <w:spacing w:val="6"/>
          <w:sz w:val="24"/>
          <w:highlight w:val="none"/>
        </w:rPr>
      </w:pPr>
      <w:r>
        <w:rPr>
          <w:rFonts w:hint="eastAsia" w:ascii="仿宋" w:hAnsi="仿宋" w:eastAsia="仿宋" w:cs="仿宋"/>
          <w:color w:val="auto"/>
          <w:sz w:val="24"/>
          <w:highlight w:val="none"/>
        </w:rPr>
        <w:t>注：按本格式和要求提供。</w:t>
      </w:r>
    </w:p>
    <w:p w14:paraId="699D758B">
      <w:pPr>
        <w:autoSpaceDE w:val="0"/>
        <w:autoSpaceDN w:val="0"/>
        <w:spacing w:line="360" w:lineRule="auto"/>
        <w:ind w:firstLine="506"/>
        <w:jc w:val="center"/>
        <w:rPr>
          <w:rFonts w:hint="eastAsia" w:ascii="仿宋" w:hAnsi="仿宋" w:eastAsia="仿宋" w:cs="仿宋"/>
          <w:b/>
          <w:color w:val="auto"/>
          <w:spacing w:val="6"/>
          <w:sz w:val="24"/>
          <w:highlight w:val="none"/>
        </w:rPr>
      </w:pPr>
    </w:p>
    <w:p w14:paraId="77ADDF58">
      <w:pPr>
        <w:autoSpaceDE w:val="0"/>
        <w:autoSpaceDN w:val="0"/>
        <w:spacing w:line="360" w:lineRule="auto"/>
        <w:ind w:firstLine="506"/>
        <w:jc w:val="center"/>
        <w:rPr>
          <w:rFonts w:hint="eastAsia" w:ascii="仿宋" w:hAnsi="仿宋" w:eastAsia="仿宋" w:cs="仿宋"/>
          <w:b/>
          <w:color w:val="auto"/>
          <w:spacing w:val="6"/>
          <w:sz w:val="24"/>
          <w:highlight w:val="none"/>
        </w:rPr>
      </w:pPr>
    </w:p>
    <w:p w14:paraId="53E56598">
      <w:pPr>
        <w:autoSpaceDE w:val="0"/>
        <w:autoSpaceDN w:val="0"/>
        <w:spacing w:line="360" w:lineRule="auto"/>
        <w:ind w:firstLine="506"/>
        <w:jc w:val="center"/>
        <w:rPr>
          <w:rFonts w:hint="eastAsia" w:ascii="仿宋" w:hAnsi="仿宋" w:eastAsia="仿宋" w:cs="仿宋"/>
          <w:b/>
          <w:color w:val="auto"/>
          <w:spacing w:val="6"/>
          <w:sz w:val="24"/>
          <w:highlight w:val="none"/>
        </w:rPr>
      </w:pPr>
    </w:p>
    <w:p w14:paraId="34A9D4B1">
      <w:pPr>
        <w:autoSpaceDE w:val="0"/>
        <w:autoSpaceDN w:val="0"/>
        <w:spacing w:line="360" w:lineRule="auto"/>
        <w:ind w:firstLine="506"/>
        <w:jc w:val="center"/>
        <w:rPr>
          <w:rFonts w:hint="eastAsia" w:ascii="仿宋" w:hAnsi="仿宋" w:eastAsia="仿宋" w:cs="仿宋"/>
          <w:b/>
          <w:color w:val="auto"/>
          <w:spacing w:val="6"/>
          <w:sz w:val="24"/>
          <w:highlight w:val="none"/>
        </w:rPr>
      </w:pPr>
    </w:p>
    <w:p w14:paraId="1A3B8347">
      <w:pPr>
        <w:autoSpaceDE w:val="0"/>
        <w:autoSpaceDN w:val="0"/>
        <w:spacing w:line="360" w:lineRule="auto"/>
        <w:ind w:firstLine="506"/>
        <w:jc w:val="center"/>
        <w:rPr>
          <w:rFonts w:hint="eastAsia" w:ascii="仿宋" w:hAnsi="仿宋" w:eastAsia="仿宋" w:cs="仿宋"/>
          <w:b/>
          <w:color w:val="auto"/>
          <w:spacing w:val="6"/>
          <w:sz w:val="24"/>
          <w:highlight w:val="none"/>
        </w:rPr>
      </w:pPr>
    </w:p>
    <w:p w14:paraId="5695FB0D">
      <w:pPr>
        <w:autoSpaceDE w:val="0"/>
        <w:autoSpaceDN w:val="0"/>
        <w:spacing w:line="360" w:lineRule="auto"/>
        <w:ind w:firstLine="506"/>
        <w:jc w:val="center"/>
        <w:rPr>
          <w:rFonts w:hint="eastAsia" w:ascii="仿宋" w:hAnsi="仿宋" w:eastAsia="仿宋" w:cs="仿宋"/>
          <w:b/>
          <w:color w:val="auto"/>
          <w:spacing w:val="6"/>
          <w:sz w:val="24"/>
          <w:highlight w:val="none"/>
        </w:rPr>
      </w:pPr>
    </w:p>
    <w:p w14:paraId="2CC8CE09">
      <w:pPr>
        <w:autoSpaceDE w:val="0"/>
        <w:autoSpaceDN w:val="0"/>
        <w:spacing w:line="360" w:lineRule="auto"/>
        <w:ind w:firstLine="506"/>
        <w:jc w:val="center"/>
        <w:rPr>
          <w:rFonts w:hint="eastAsia" w:ascii="仿宋" w:hAnsi="仿宋" w:eastAsia="仿宋" w:cs="仿宋"/>
          <w:b/>
          <w:color w:val="auto"/>
          <w:spacing w:val="6"/>
          <w:sz w:val="24"/>
          <w:highlight w:val="none"/>
        </w:rPr>
      </w:pPr>
    </w:p>
    <w:p w14:paraId="763AF052">
      <w:pPr>
        <w:autoSpaceDE w:val="0"/>
        <w:autoSpaceDN w:val="0"/>
        <w:spacing w:line="360" w:lineRule="auto"/>
        <w:ind w:firstLine="506"/>
        <w:jc w:val="center"/>
        <w:rPr>
          <w:rFonts w:hint="eastAsia" w:ascii="仿宋" w:hAnsi="仿宋" w:eastAsia="仿宋" w:cs="仿宋"/>
          <w:b/>
          <w:color w:val="auto"/>
          <w:spacing w:val="6"/>
          <w:sz w:val="24"/>
          <w:highlight w:val="none"/>
        </w:rPr>
      </w:pPr>
    </w:p>
    <w:p w14:paraId="3A4420CB">
      <w:pPr>
        <w:autoSpaceDE w:val="0"/>
        <w:autoSpaceDN w:val="0"/>
        <w:spacing w:line="360" w:lineRule="auto"/>
        <w:ind w:firstLine="506"/>
        <w:jc w:val="center"/>
        <w:rPr>
          <w:rFonts w:hint="eastAsia" w:ascii="仿宋" w:hAnsi="仿宋" w:eastAsia="仿宋" w:cs="仿宋"/>
          <w:b/>
          <w:color w:val="auto"/>
          <w:spacing w:val="6"/>
          <w:sz w:val="24"/>
          <w:highlight w:val="none"/>
        </w:rPr>
      </w:pPr>
    </w:p>
    <w:p w14:paraId="0501DEAA">
      <w:pPr>
        <w:autoSpaceDE w:val="0"/>
        <w:autoSpaceDN w:val="0"/>
        <w:spacing w:line="360" w:lineRule="auto"/>
        <w:ind w:firstLine="506"/>
        <w:jc w:val="center"/>
        <w:rPr>
          <w:rFonts w:hint="eastAsia" w:ascii="仿宋" w:hAnsi="仿宋" w:eastAsia="仿宋" w:cs="仿宋"/>
          <w:b/>
          <w:color w:val="auto"/>
          <w:spacing w:val="6"/>
          <w:sz w:val="24"/>
          <w:highlight w:val="none"/>
        </w:rPr>
      </w:pPr>
    </w:p>
    <w:p w14:paraId="31F10273">
      <w:pPr>
        <w:autoSpaceDE w:val="0"/>
        <w:autoSpaceDN w:val="0"/>
        <w:spacing w:line="360" w:lineRule="auto"/>
        <w:ind w:firstLine="506"/>
        <w:jc w:val="center"/>
        <w:rPr>
          <w:rFonts w:hint="eastAsia" w:ascii="仿宋" w:hAnsi="仿宋" w:eastAsia="仿宋" w:cs="仿宋"/>
          <w:b/>
          <w:color w:val="auto"/>
          <w:spacing w:val="6"/>
          <w:sz w:val="24"/>
          <w:highlight w:val="none"/>
        </w:rPr>
      </w:pPr>
    </w:p>
    <w:p w14:paraId="30F4929B">
      <w:pPr>
        <w:autoSpaceDE w:val="0"/>
        <w:autoSpaceDN w:val="0"/>
        <w:spacing w:line="360" w:lineRule="auto"/>
        <w:ind w:firstLine="506"/>
        <w:jc w:val="center"/>
        <w:rPr>
          <w:rFonts w:hint="eastAsia" w:ascii="仿宋" w:hAnsi="仿宋" w:eastAsia="仿宋" w:cs="仿宋"/>
          <w:b/>
          <w:color w:val="auto"/>
          <w:spacing w:val="6"/>
          <w:sz w:val="24"/>
          <w:highlight w:val="none"/>
        </w:rPr>
      </w:pPr>
    </w:p>
    <w:p w14:paraId="60D44E91">
      <w:pPr>
        <w:ind w:firstLine="643"/>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66766DAF">
      <w:pPr>
        <w:spacing w:line="360" w:lineRule="auto"/>
        <w:ind w:firstLine="643"/>
        <w:jc w:val="left"/>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附件7：中小企业声明函</w:t>
      </w:r>
    </w:p>
    <w:p w14:paraId="368BEB58">
      <w:pPr>
        <w:spacing w:line="360" w:lineRule="auto"/>
        <w:jc w:val="center"/>
        <w:rPr>
          <w:rFonts w:hint="eastAsia" w:ascii="仿宋" w:hAnsi="仿宋" w:eastAsia="仿宋" w:cs="仿宋"/>
          <w:color w:val="auto"/>
          <w:sz w:val="24"/>
          <w:highlight w:val="none"/>
          <w:u w:val="single"/>
        </w:rPr>
      </w:pPr>
    </w:p>
    <w:p w14:paraId="014F5514">
      <w:pPr>
        <w:spacing w:line="360" w:lineRule="auto"/>
        <w:ind w:firstLine="48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中小企业声明函（服务）</w:t>
      </w:r>
    </w:p>
    <w:p w14:paraId="524F5FD6">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DDDF6D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556A863F">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29F0E3B3">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D1E4902">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0F22D3E5">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62A90300">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538155F4">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6B89CCE9">
      <w:pPr>
        <w:spacing w:line="360" w:lineRule="auto"/>
        <w:ind w:firstLine="354" w:firstLineChars="147"/>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从业人员、营业收入、资产总额填报上一年度数据，无上一年度数据的新成立企业可不填报。</w:t>
      </w:r>
    </w:p>
    <w:p w14:paraId="5ABDDBE8">
      <w:pPr>
        <w:spacing w:line="360" w:lineRule="auto"/>
        <w:ind w:right="420"/>
        <w:rPr>
          <w:rFonts w:hint="eastAsia" w:ascii="仿宋" w:hAnsi="仿宋" w:eastAsia="仿宋" w:cs="仿宋"/>
          <w:color w:val="auto"/>
          <w:sz w:val="24"/>
          <w:highlight w:val="none"/>
        </w:rPr>
      </w:pPr>
    </w:p>
    <w:p w14:paraId="4EF8939F">
      <w:pPr>
        <w:spacing w:line="360" w:lineRule="auto"/>
        <w:ind w:firstLine="360" w:firstLineChars="150"/>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w:t>
      </w:r>
      <w:r>
        <w:rPr>
          <w:rFonts w:hint="eastAsia" w:ascii="仿宋" w:hAnsi="仿宋" w:eastAsia="仿宋" w:cs="仿宋"/>
          <w:b/>
          <w:bCs/>
          <w:color w:val="auto"/>
          <w:sz w:val="24"/>
          <w:highlight w:val="none"/>
        </w:rPr>
        <w:t xml:space="preserve"> 注：</w:t>
      </w:r>
    </w:p>
    <w:p w14:paraId="7247A367">
      <w:pPr>
        <w:spacing w:line="360" w:lineRule="auto"/>
        <w:ind w:firstLine="482"/>
        <w:rPr>
          <w:rFonts w:hint="eastAsia" w:ascii="仿宋" w:hAnsi="仿宋" w:eastAsia="仿宋" w:cs="仿宋"/>
          <w:color w:val="auto"/>
          <w:highlight w:val="none"/>
        </w:rPr>
      </w:pPr>
      <w:r>
        <w:rPr>
          <w:rFonts w:hint="eastAsia" w:ascii="仿宋" w:hAnsi="仿宋" w:eastAsia="仿宋" w:cs="仿宋"/>
          <w:b/>
          <w:bCs/>
          <w:color w:val="auto"/>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6F62DFBF">
      <w:pPr>
        <w:spacing w:line="360" w:lineRule="auto"/>
        <w:ind w:right="420"/>
        <w:rPr>
          <w:rFonts w:hint="eastAsia" w:ascii="仿宋" w:hAnsi="仿宋" w:eastAsia="仿宋" w:cs="仿宋"/>
          <w:color w:val="auto"/>
          <w:sz w:val="24"/>
          <w:highlight w:val="none"/>
        </w:rPr>
      </w:pPr>
    </w:p>
    <w:p w14:paraId="41A8D7EC">
      <w:pPr>
        <w:pStyle w:val="24"/>
        <w:ind w:firstLine="480"/>
        <w:rPr>
          <w:rFonts w:hint="eastAsia" w:ascii="仿宋" w:hAnsi="仿宋" w:eastAsia="仿宋" w:cs="仿宋"/>
          <w:b/>
          <w:color w:val="auto"/>
          <w:sz w:val="36"/>
          <w:highlight w:val="none"/>
          <w:lang w:val="en-US"/>
        </w:rPr>
      </w:pPr>
      <w:r>
        <w:rPr>
          <w:rFonts w:hint="eastAsia" w:ascii="仿宋" w:hAnsi="仿宋" w:eastAsia="仿宋" w:cs="仿宋"/>
          <w:bCs/>
          <w:color w:val="auto"/>
          <w:szCs w:val="24"/>
          <w:highlight w:val="none"/>
        </w:rPr>
        <w:br w:type="page"/>
      </w:r>
      <w:r>
        <w:rPr>
          <w:rFonts w:hint="eastAsia" w:ascii="仿宋" w:hAnsi="仿宋" w:eastAsia="仿宋" w:cs="仿宋"/>
          <w:b/>
          <w:color w:val="auto"/>
          <w:sz w:val="36"/>
          <w:highlight w:val="none"/>
          <w:lang w:val="en-US"/>
        </w:rPr>
        <w:t>附件8：</w:t>
      </w:r>
    </w:p>
    <w:p w14:paraId="3BF56868">
      <w:pPr>
        <w:pStyle w:val="24"/>
        <w:ind w:firstLine="723"/>
        <w:jc w:val="center"/>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中小企业划型标准规定</w:t>
      </w:r>
    </w:p>
    <w:p w14:paraId="3C722BD6">
      <w:pPr>
        <w:pStyle w:val="508"/>
        <w:spacing w:line="360" w:lineRule="auto"/>
        <w:ind w:firstLine="504"/>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20430F8F">
      <w:pPr>
        <w:pStyle w:val="508"/>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一、根据《中华人民共和国中小企业促进法》和《</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国务院关于进一步促进中小企业发展的若干意见</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国发〔2009〕36号</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)，制定本规定。</w:t>
      </w:r>
    </w:p>
    <w:p w14:paraId="5559954C">
      <w:pPr>
        <w:pStyle w:val="508"/>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二、中小企业划分为中型、小型、微型三种类型，具体标准根据企业从业人员、营业收入、资产总额等指标，结合行业特点制定。</w:t>
      </w:r>
    </w:p>
    <w:p w14:paraId="4BB7A4DC">
      <w:pPr>
        <w:pStyle w:val="508"/>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006938E">
      <w:pPr>
        <w:pStyle w:val="508"/>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四、各行业划型标准为：</w:t>
      </w:r>
      <w:r>
        <w:rPr>
          <w:rFonts w:hint="eastAsia" w:ascii="仿宋" w:hAnsi="仿宋" w:eastAsia="仿宋" w:cs="仿宋"/>
          <w:color w:val="auto"/>
          <w:spacing w:val="6"/>
          <w:szCs w:val="21"/>
          <w:highlight w:val="none"/>
        </w:rPr>
        <w:br w:type="textWrapping"/>
      </w:r>
    </w:p>
    <w:p w14:paraId="0051A8EB">
      <w:pPr>
        <w:pStyle w:val="508"/>
        <w:adjustRightInd w:val="0"/>
        <w:spacing w:line="360" w:lineRule="auto"/>
        <w:ind w:firstLine="444" w:firstLineChars="200"/>
        <w:jc w:val="both"/>
        <w:rPr>
          <w:rFonts w:hint="eastAsia" w:ascii="仿宋" w:hAnsi="仿宋" w:eastAsia="仿宋" w:cs="仿宋"/>
          <w:color w:val="auto"/>
          <w:spacing w:val="6"/>
          <w:szCs w:val="21"/>
          <w:highlight w:val="none"/>
        </w:rPr>
      </w:pPr>
    </w:p>
    <w:p w14:paraId="6DFE6727">
      <w:pPr>
        <w:pStyle w:val="508"/>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5739CBDD">
      <w:pPr>
        <w:pStyle w:val="508"/>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12D4E95">
      <w:pPr>
        <w:pStyle w:val="508"/>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2508F46">
      <w:pPr>
        <w:pStyle w:val="508"/>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16AC455">
      <w:pPr>
        <w:pStyle w:val="508"/>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17FD004">
      <w:pPr>
        <w:pStyle w:val="508"/>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28469FF">
      <w:pPr>
        <w:pStyle w:val="508"/>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CDB12F1">
      <w:pPr>
        <w:pStyle w:val="508"/>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865BCAD">
      <w:pPr>
        <w:pStyle w:val="508"/>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E37C4DE">
      <w:pPr>
        <w:pStyle w:val="508"/>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EF03A20">
      <w:pPr>
        <w:pStyle w:val="508"/>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BC3B6E5">
      <w:pPr>
        <w:pStyle w:val="24"/>
        <w:ind w:firstLine="444"/>
        <w:rPr>
          <w:rFonts w:hint="eastAsia" w:ascii="仿宋" w:hAnsi="仿宋" w:eastAsia="仿宋" w:cs="仿宋"/>
          <w:b/>
          <w:color w:val="auto"/>
          <w:sz w:val="21"/>
          <w:szCs w:val="21"/>
          <w:highlight w:val="none"/>
        </w:rPr>
      </w:pPr>
      <w:r>
        <w:rPr>
          <w:rFonts w:hint="eastAsia" w:ascii="仿宋" w:hAnsi="仿宋" w:eastAsia="仿宋" w:cs="仿宋"/>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75828AF">
      <w:pPr>
        <w:pStyle w:val="508"/>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FB914D2">
      <w:pPr>
        <w:pStyle w:val="508"/>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ED12124">
      <w:pPr>
        <w:pStyle w:val="508"/>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64298DA">
      <w:pPr>
        <w:pStyle w:val="508"/>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761FFA1C">
      <w:pPr>
        <w:pStyle w:val="508"/>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五、企业类型的划分以统计部门的统计数据为依据。</w:t>
      </w:r>
    </w:p>
    <w:p w14:paraId="4561CF64">
      <w:pPr>
        <w:pStyle w:val="508"/>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六、本规定适用于在中华人民共和国境内依法设立的各类所有制和各种组织形式的企业。个体工商户和本规定以外的行业，参照本规定进行划型。</w:t>
      </w:r>
    </w:p>
    <w:p w14:paraId="27C4B951">
      <w:pPr>
        <w:pStyle w:val="508"/>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49465D19">
      <w:pPr>
        <w:pStyle w:val="508"/>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八、本规定由工业和信息化部、国家统计局会同有关部门根据《国民经济行业分类》修订情况和企业发展变化情况适时修订。</w:t>
      </w:r>
    </w:p>
    <w:p w14:paraId="05885C53">
      <w:pPr>
        <w:pStyle w:val="508"/>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九、本规定由工业和信息化部、国家统计局会同有关部门负责解释。</w:t>
      </w:r>
    </w:p>
    <w:p w14:paraId="467833D7">
      <w:pPr>
        <w:pStyle w:val="508"/>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十、本规定自发布之日起执行，原国家经贸委、原国家计委、财政部和国家统计局2003年颁布的《</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中小企业标准暂行规定</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国经贸中小企[2003]143号</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同时废止。</w:t>
      </w:r>
    </w:p>
    <w:p w14:paraId="725AB1B3">
      <w:pPr>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br w:type="page"/>
      </w:r>
    </w:p>
    <w:p w14:paraId="5FF1FB3F">
      <w:pPr>
        <w:spacing w:line="360" w:lineRule="auto"/>
        <w:jc w:val="left"/>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w:t>
      </w:r>
      <w:r>
        <w:rPr>
          <w:rFonts w:hint="eastAsia" w:ascii="仿宋" w:hAnsi="仿宋" w:eastAsia="仿宋" w:cs="仿宋"/>
          <w:b/>
          <w:color w:val="auto"/>
          <w:sz w:val="36"/>
          <w:szCs w:val="20"/>
          <w:highlight w:val="none"/>
          <w:lang w:val="en-US" w:eastAsia="zh-CN"/>
        </w:rPr>
        <w:t>9</w:t>
      </w:r>
      <w:r>
        <w:rPr>
          <w:rFonts w:hint="eastAsia" w:ascii="仿宋" w:hAnsi="仿宋" w:eastAsia="仿宋" w:cs="仿宋"/>
          <w:b/>
          <w:color w:val="auto"/>
          <w:sz w:val="36"/>
          <w:szCs w:val="20"/>
          <w:highlight w:val="none"/>
        </w:rPr>
        <w:t>（中标后提供）：</w:t>
      </w:r>
    </w:p>
    <w:p w14:paraId="7C02315D">
      <w:pPr>
        <w:jc w:val="center"/>
        <w:rPr>
          <w:rFonts w:hint="eastAsia" w:ascii="仿宋" w:hAnsi="仿宋" w:eastAsia="仿宋" w:cs="仿宋"/>
          <w:b/>
          <w:color w:val="auto"/>
          <w:sz w:val="48"/>
          <w:szCs w:val="48"/>
          <w:highlight w:val="none"/>
        </w:rPr>
      </w:pPr>
    </w:p>
    <w:p w14:paraId="77692899">
      <w:pPr>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承 诺 书</w:t>
      </w:r>
    </w:p>
    <w:p w14:paraId="3F3D4B9B">
      <w:pPr>
        <w:rPr>
          <w:rFonts w:hint="eastAsia" w:ascii="仿宋" w:hAnsi="仿宋" w:eastAsia="仿宋" w:cs="仿宋"/>
          <w:color w:val="auto"/>
          <w:sz w:val="30"/>
          <w:szCs w:val="30"/>
          <w:highlight w:val="none"/>
        </w:rPr>
      </w:pPr>
    </w:p>
    <w:p w14:paraId="75FA72D2">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rPr>
        <w:t>：</w:t>
      </w:r>
    </w:p>
    <w:p w14:paraId="2A30BA86">
      <w:pPr>
        <w:spacing w:line="78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我单位参与投标的</w:t>
      </w:r>
      <w:r>
        <w:rPr>
          <w:rFonts w:hint="eastAsia" w:ascii="仿宋" w:hAnsi="仿宋" w:eastAsia="仿宋" w:cs="仿宋"/>
          <w:color w:val="auto"/>
          <w:sz w:val="30"/>
          <w:szCs w:val="30"/>
          <w:highlight w:val="none"/>
          <w:u w:val="single"/>
        </w:rPr>
        <w:t xml:space="preserve">   （项目名称）   </w:t>
      </w:r>
      <w:r>
        <w:rPr>
          <w:rFonts w:hint="eastAsia" w:ascii="仿宋" w:hAnsi="仿宋" w:eastAsia="仿宋" w:cs="仿宋"/>
          <w:color w:val="auto"/>
          <w:sz w:val="30"/>
          <w:szCs w:val="30"/>
          <w:highlight w:val="none"/>
        </w:rPr>
        <w:t>有幸中标，考虑本项目备案事宜，故由我单位再提供纸质版电子投标文件一式三份（正本一份红章版，副本二份，可为正本复印件）递交给招标代理机构备案，本公司承诺：</w:t>
      </w:r>
    </w:p>
    <w:p w14:paraId="593BC34C">
      <w:pPr>
        <w:spacing w:line="78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本单位提交给招标代理机构备案的</w:t>
      </w:r>
      <w:r>
        <w:rPr>
          <w:rFonts w:hint="eastAsia" w:ascii="仿宋" w:hAnsi="仿宋" w:eastAsia="仿宋" w:cs="仿宋"/>
          <w:color w:val="auto"/>
          <w:sz w:val="30"/>
          <w:szCs w:val="30"/>
          <w:highlight w:val="none"/>
          <w:u w:val="single"/>
        </w:rPr>
        <w:t>投标文件纸质版</w:t>
      </w:r>
      <w:r>
        <w:rPr>
          <w:rFonts w:hint="eastAsia" w:ascii="仿宋" w:hAnsi="仿宋" w:eastAsia="仿宋" w:cs="仿宋"/>
          <w:color w:val="auto"/>
          <w:sz w:val="30"/>
          <w:szCs w:val="30"/>
          <w:highlight w:val="none"/>
        </w:rPr>
        <w:t>与</w:t>
      </w:r>
      <w:r>
        <w:rPr>
          <w:rFonts w:hint="eastAsia" w:ascii="仿宋" w:hAnsi="仿宋" w:eastAsia="仿宋" w:cs="仿宋"/>
          <w:color w:val="auto"/>
          <w:sz w:val="30"/>
          <w:szCs w:val="30"/>
          <w:highlight w:val="none"/>
          <w:u w:val="single"/>
        </w:rPr>
        <w:t>电子投标文件</w:t>
      </w:r>
      <w:r>
        <w:rPr>
          <w:rFonts w:hint="eastAsia" w:ascii="仿宋" w:hAnsi="仿宋" w:eastAsia="仿宋" w:cs="仿宋"/>
          <w:color w:val="auto"/>
          <w:sz w:val="30"/>
          <w:szCs w:val="30"/>
          <w:highlight w:val="none"/>
        </w:rPr>
        <w:t>内容均一致，如不一致导致的任何法律责任</w:t>
      </w:r>
      <w:r>
        <w:rPr>
          <w:rFonts w:hint="eastAsia" w:ascii="仿宋" w:hAnsi="仿宋" w:eastAsia="仿宋" w:cs="仿宋"/>
          <w:color w:val="auto"/>
          <w:sz w:val="30"/>
          <w:szCs w:val="30"/>
          <w:highlight w:val="none"/>
          <w:lang w:eastAsia="zh-CN"/>
        </w:rPr>
        <w:t>自负</w:t>
      </w:r>
      <w:r>
        <w:rPr>
          <w:rFonts w:hint="eastAsia" w:ascii="仿宋" w:hAnsi="仿宋" w:eastAsia="仿宋" w:cs="仿宋"/>
          <w:color w:val="auto"/>
          <w:sz w:val="30"/>
          <w:szCs w:val="30"/>
          <w:highlight w:val="none"/>
        </w:rPr>
        <w:t>。特此承诺！</w:t>
      </w:r>
    </w:p>
    <w:p w14:paraId="35C609DF">
      <w:pPr>
        <w:spacing w:line="780" w:lineRule="exact"/>
        <w:ind w:firstLine="450" w:firstLineChars="150"/>
        <w:rPr>
          <w:rFonts w:hint="eastAsia" w:ascii="仿宋" w:hAnsi="仿宋" w:eastAsia="仿宋" w:cs="仿宋"/>
          <w:color w:val="auto"/>
          <w:sz w:val="30"/>
          <w:szCs w:val="30"/>
          <w:highlight w:val="none"/>
        </w:rPr>
      </w:pPr>
    </w:p>
    <w:p w14:paraId="7E48FE31">
      <w:pPr>
        <w:spacing w:line="780" w:lineRule="exact"/>
        <w:rPr>
          <w:rFonts w:hint="eastAsia" w:ascii="仿宋" w:hAnsi="仿宋" w:eastAsia="仿宋" w:cs="仿宋"/>
          <w:color w:val="auto"/>
          <w:sz w:val="30"/>
          <w:szCs w:val="30"/>
          <w:highlight w:val="none"/>
        </w:rPr>
      </w:pPr>
    </w:p>
    <w:p w14:paraId="56BD8AB2">
      <w:pPr>
        <w:spacing w:line="780" w:lineRule="exact"/>
        <w:rPr>
          <w:rFonts w:hint="eastAsia" w:ascii="仿宋" w:hAnsi="仿宋" w:eastAsia="仿宋" w:cs="仿宋"/>
          <w:color w:val="auto"/>
          <w:sz w:val="30"/>
          <w:szCs w:val="30"/>
          <w:highlight w:val="none"/>
        </w:rPr>
      </w:pPr>
    </w:p>
    <w:p w14:paraId="2B3D700B">
      <w:pPr>
        <w:spacing w:line="780" w:lineRule="exact"/>
        <w:jc w:val="righ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投标人名称（盖公章）：</w:t>
      </w:r>
    </w:p>
    <w:p w14:paraId="662D64A2">
      <w:pPr>
        <w:pStyle w:val="508"/>
        <w:adjustRightInd w:val="0"/>
        <w:spacing w:line="360" w:lineRule="auto"/>
        <w:ind w:firstLine="600" w:firstLineChars="200"/>
        <w:jc w:val="right"/>
        <w:rPr>
          <w:rFonts w:hint="eastAsia" w:ascii="仿宋" w:hAnsi="仿宋" w:eastAsia="仿宋" w:cs="仿宋"/>
          <w:color w:val="auto"/>
          <w:spacing w:val="6"/>
          <w:szCs w:val="21"/>
          <w:highlight w:val="none"/>
        </w:rPr>
      </w:pPr>
      <w:r>
        <w:rPr>
          <w:rFonts w:hint="eastAsia" w:ascii="仿宋" w:hAnsi="仿宋" w:eastAsia="仿宋" w:cs="仿宋"/>
          <w:color w:val="auto"/>
          <w:sz w:val="30"/>
          <w:szCs w:val="30"/>
          <w:highlight w:val="none"/>
        </w:rPr>
        <w:t>202</w:t>
      </w: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rPr>
        <w:t>年   月   日</w:t>
      </w:r>
    </w:p>
    <w:p w14:paraId="72CF410A">
      <w:pPr>
        <w:pStyle w:val="590"/>
        <w:ind w:firstLine="480"/>
        <w:rPr>
          <w:rFonts w:hint="eastAsia" w:ascii="仿宋" w:hAnsi="仿宋" w:eastAsia="仿宋" w:cs="仿宋"/>
          <w:color w:val="auto"/>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ˎ̥">
    <w:altName w:val="微软雅黑"/>
    <w:panose1 w:val="00000000000000000000"/>
    <w:charset w:val="00"/>
    <w:family w:val="roman"/>
    <w:pitch w:val="default"/>
    <w:sig w:usb0="00000000" w:usb1="00000000" w:usb2="00000000" w:usb3="00000000" w:csb0="00040001" w:csb1="0000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MS Sans Serif">
    <w:altName w:val="Segoe Print"/>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华文中宋">
    <w:altName w:val="宋体"/>
    <w:panose1 w:val="02010600040101010101"/>
    <w:charset w:val="86"/>
    <w:family w:val="auto"/>
    <w:pitch w:val="default"/>
    <w:sig w:usb0="00000000" w:usb1="00000000" w:usb2="00000000" w:usb3="00000000" w:csb0="0004009F" w:csb1="DFD7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7A"/>
    <w:family w:val="swiss"/>
    <w:pitch w:val="default"/>
    <w:sig w:usb0="00000000" w:usb1="00000000" w:usb2="0000003F" w:usb3="00000000" w:csb0="603F01FF" w:csb1="FFFF0000"/>
  </w:font>
  <w:font w:name="Arial Narrow">
    <w:altName w:val="Arial"/>
    <w:panose1 w:val="020B0606020202030204"/>
    <w:charset w:val="00"/>
    <w:family w:val="swiss"/>
    <w:pitch w:val="default"/>
    <w:sig w:usb0="00000000" w:usb1="00000000" w:usb2="00000000" w:usb3="00000000" w:csb0="2000009F" w:csb1="DFD70000"/>
  </w:font>
  <w:font w:name="Helvetica">
    <w:altName w:val="Arial"/>
    <w:panose1 w:val="020B0504020202030204"/>
    <w:charset w:val="00"/>
    <w:family w:val="swiss"/>
    <w:pitch w:val="default"/>
    <w:sig w:usb0="00000000" w:usb1="00000000" w:usb2="00000000" w:usb3="00000000" w:csb0="00000093" w:csb1="00000000"/>
  </w:font>
  <w:font w:name="等线">
    <w:panose1 w:val="02010600030101010101"/>
    <w:charset w:val="86"/>
    <w:family w:val="auto"/>
    <w:pitch w:val="default"/>
    <w:sig w:usb0="A00002BF" w:usb1="38CF7CFA" w:usb2="00000016" w:usb3="00000000" w:csb0="0004000F" w:csb1="00000000"/>
  </w:font>
  <w:font w:name="Aldine401 BT">
    <w:altName w:val="Segoe Print"/>
    <w:panose1 w:val="00000000000000000000"/>
    <w:charset w:val="00"/>
    <w:family w:val="roman"/>
    <w:pitch w:val="default"/>
    <w:sig w:usb0="00000000" w:usb1="00000000" w:usb2="00000000" w:usb3="00000000" w:csb0="00000011" w:csb1="00000000"/>
  </w:font>
  <w:font w:name="FHLHE E+ Futura Bk">
    <w:altName w:val="宋体"/>
    <w:panose1 w:val="00000000000000000000"/>
    <w:charset w:val="86"/>
    <w:family w:val="swiss"/>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PingFang SC">
    <w:altName w:val="微软雅黑"/>
    <w:panose1 w:val="00000000000000000000"/>
    <w:charset w:val="00"/>
    <w:family w:val="modern"/>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3A94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EA651">
    <w:pPr>
      <w:pStyle w:val="42"/>
      <w:ind w:firstLine="36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104</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73E734CD"/>
  <w:p w14:paraId="6086F6AD"/>
  <w:p w14:paraId="330B3558"/>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51CFC">
    <w:pPr>
      <w:pStyle w:val="42"/>
      <w:framePr w:wrap="around" w:vAnchor="text" w:hAnchor="margin" w:xAlign="right" w:y="1"/>
      <w:ind w:firstLine="360"/>
      <w:rPr>
        <w:rStyle w:val="74"/>
      </w:rPr>
    </w:pPr>
    <w:r>
      <w:fldChar w:fldCharType="begin"/>
    </w:r>
    <w:r>
      <w:rPr>
        <w:rStyle w:val="74"/>
      </w:rPr>
      <w:instrText xml:space="preserve">PAGE  </w:instrText>
    </w:r>
    <w:r>
      <w:fldChar w:fldCharType="end"/>
    </w:r>
  </w:p>
  <w:p w14:paraId="4B08533F">
    <w:pPr>
      <w:pStyle w:val="42"/>
      <w:ind w:right="360" w:firstLine="360"/>
    </w:pPr>
  </w:p>
  <w:p w14:paraId="21B12B76"/>
  <w:p w14:paraId="63D83D57"/>
  <w:p w14:paraId="0674DC4B"/>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D0D93">
    <w:pPr>
      <w:pStyle w:val="42"/>
      <w:ind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104</w:t>
    </w:r>
    <w:r>
      <w:rPr>
        <w:rFonts w:hint="eastAsia" w:ascii="仿宋_GB2312" w:eastAsia="仿宋_GB2312"/>
        <w:kern w:val="0"/>
        <w:szCs w:val="21"/>
      </w:rPr>
      <w:fldChar w:fldCharType="end"/>
    </w:r>
    <w:bookmarkStart w:id="474" w:name="_Toc91899912"/>
    <w:bookmarkStart w:id="475" w:name="_Toc36110187"/>
    <w:bookmarkStart w:id="476" w:name="_Toc164085800"/>
    <w:bookmarkStart w:id="477" w:name="_Toc131845147"/>
    <w:r>
      <w:rPr>
        <w:rFonts w:hint="eastAsia" w:ascii="仿宋_GB2312" w:eastAsia="仿宋_GB2312"/>
        <w:kern w:val="0"/>
        <w:szCs w:val="21"/>
      </w:rPr>
      <w:t xml:space="preserve"> 页</w:t>
    </w:r>
    <w:bookmarkEnd w:id="474"/>
    <w:bookmarkEnd w:id="475"/>
    <w:bookmarkEnd w:id="476"/>
    <w:bookmarkEnd w:id="477"/>
  </w:p>
  <w:p w14:paraId="33D5058E"/>
  <w:p w14:paraId="1386CFD4"/>
  <w:p w14:paraId="501CA20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00D70">
    <w:pPr>
      <w:pStyle w:val="42"/>
      <w:framePr w:wrap="around" w:vAnchor="text" w:hAnchor="margin" w:xAlign="right" w:y="1"/>
      <w:rPr>
        <w:rStyle w:val="74"/>
      </w:rPr>
    </w:pPr>
    <w:r>
      <w:fldChar w:fldCharType="begin"/>
    </w:r>
    <w:r>
      <w:rPr>
        <w:rStyle w:val="74"/>
      </w:rPr>
      <w:instrText xml:space="preserve">PAGE  </w:instrText>
    </w:r>
    <w:r>
      <w:fldChar w:fldCharType="end"/>
    </w:r>
  </w:p>
  <w:p w14:paraId="63B8F2A5">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0AE2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AD665">
    <w:pPr>
      <w:pStyle w:val="42"/>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7FD1BB">
                          <w:pPr>
                            <w:pStyle w:val="42"/>
                          </w:pPr>
                          <w:r>
                            <w:fldChar w:fldCharType="begin"/>
                          </w:r>
                          <w:r>
                            <w:instrText xml:space="preserve"> PAGE  \* MERGEFORMAT </w:instrText>
                          </w:r>
                          <w:r>
                            <w:fldChar w:fldCharType="separate"/>
                          </w:r>
                          <w:r>
                            <w:t>24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437FD1BB">
                    <w:pPr>
                      <w:pStyle w:val="42"/>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86EE4">
    <w:pPr>
      <w:pStyle w:val="4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0D43EF">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8</w:t>
                          </w:r>
                          <w:r>
                            <w:rPr>
                              <w:rFonts w:hint="eastAsia"/>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sh/JjIAQAAmQMAAA4AAAAAAAAAAQAgAAAAHgEAAGRycy9lMm9Eb2Mu&#10;eG1sUEsFBgAAAAAGAAYAWQEAAFgFAAAAAA==&#10;">
              <v:fill on="f" focussize="0,0"/>
              <v:stroke on="f"/>
              <v:imagedata o:title=""/>
              <o:lock v:ext="edit" aspectratio="f"/>
              <v:textbox inset="0mm,0mm,0mm,0mm" style="mso-fit-shape-to-text:t;">
                <w:txbxContent>
                  <w:p w14:paraId="570D43EF">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8</w:t>
                    </w:r>
                    <w:r>
                      <w:rPr>
                        <w:rFonts w:hint="eastAsia"/>
                        <w:sz w:val="18"/>
                      </w:rPr>
                      <w:fldChar w:fldCharType="end"/>
                    </w:r>
                    <w:r>
                      <w:rPr>
                        <w:rFonts w:hint="eastAsia"/>
                        <w:sz w:val="18"/>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248D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104</w:t>
    </w:r>
    <w:r>
      <w:rPr>
        <w:rFonts w:hint="eastAsia" w:ascii="仿宋_GB2312" w:eastAsia="仿宋_GB2312"/>
        <w:kern w:val="0"/>
      </w:rPr>
      <w:fldChar w:fldCharType="end"/>
    </w:r>
    <w:r>
      <w:rPr>
        <w:rFonts w:hint="eastAsia" w:ascii="仿宋_GB2312" w:eastAsia="仿宋_GB2312"/>
        <w:kern w:val="0"/>
      </w:rPr>
      <w:t xml:space="preserve"> 页</w:t>
    </w:r>
  </w:p>
  <w:p w14:paraId="6373A06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C295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104</w:t>
    </w:r>
    <w:r>
      <w:rPr>
        <w:rFonts w:hint="eastAsia" w:ascii="仿宋_GB2312" w:eastAsia="仿宋_GB2312"/>
        <w:kern w:val="0"/>
      </w:rPr>
      <w:fldChar w:fldCharType="end"/>
    </w:r>
    <w:r>
      <w:rPr>
        <w:rFonts w:hint="eastAsia" w:ascii="仿宋_GB2312" w:eastAsia="仿宋_GB2312"/>
        <w:kern w:val="0"/>
      </w:rPr>
      <w:t xml:space="preserve"> 页</w:t>
    </w:r>
  </w:p>
  <w:p w14:paraId="3E86554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ECFE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104</w:t>
    </w:r>
    <w:r>
      <w:rPr>
        <w:rFonts w:hint="eastAsia" w:ascii="仿宋_GB2312" w:eastAsia="仿宋_GB2312"/>
        <w:kern w:val="0"/>
      </w:rPr>
      <w:fldChar w:fldCharType="end"/>
    </w:r>
    <w:r>
      <w:rPr>
        <w:rFonts w:hint="eastAsia" w:ascii="仿宋_GB2312" w:eastAsia="仿宋_GB2312"/>
        <w:kern w:val="0"/>
      </w:rPr>
      <w:t xml:space="preserve"> 页</w:t>
    </w:r>
  </w:p>
  <w:p w14:paraId="6F0CFAD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EBF2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104</w:t>
    </w:r>
    <w:r>
      <w:rPr>
        <w:rFonts w:hint="eastAsia" w:ascii="仿宋_GB2312" w:eastAsia="仿宋_GB2312"/>
        <w:kern w:val="0"/>
      </w:rPr>
      <w:fldChar w:fldCharType="end"/>
    </w:r>
    <w:r>
      <w:rPr>
        <w:rFonts w:hint="eastAsia" w:ascii="仿宋_GB2312" w:eastAsia="仿宋_GB2312"/>
        <w:kern w:val="0"/>
      </w:rPr>
      <w:t xml:space="preserve"> 页</w:t>
    </w:r>
  </w:p>
  <w:p w14:paraId="5A5ADF2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DC49C">
    <w:pPr>
      <w:pStyle w:val="43"/>
      <w:pBdr>
        <w:bottom w:val="single" w:color="auto" w:sz="6" w:space="0"/>
      </w:pBdr>
      <w:tabs>
        <w:tab w:val="center" w:pos="4535"/>
        <w:tab w:val="right" w:pos="9070"/>
        <w:tab w:val="clear" w:pos="4153"/>
        <w:tab w:val="clear" w:pos="8306"/>
      </w:tabs>
      <w:jc w:val="right"/>
    </w:pPr>
    <w:r>
      <w:drawing>
        <wp:inline distT="0" distB="0" distL="114300" distR="114300">
          <wp:extent cx="661670" cy="501015"/>
          <wp:effectExtent l="0" t="0" r="5080" b="13335"/>
          <wp:docPr id="4"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rPr>
        <w:lang w:val="zh-CN"/>
      </w:rPr>
      <w:t></w:t>
    </w:r>
    <w:r>
      <w:tab/>
    </w:r>
    <w:r>
      <w:rPr>
        <w:lang w:val="zh-CN"/>
      </w:rPr>
      <w:t></w:t>
    </w:r>
    <w:r>
      <w:tab/>
    </w:r>
    <w:r>
      <w:rPr>
        <w:rFonts w:hint="eastAsia"/>
      </w:rPr>
      <w:t>海标工程管理有限公司采购招标文件</w:t>
    </w:r>
  </w:p>
  <w:p w14:paraId="6FD47385">
    <w:pPr>
      <w:pStyle w:val="62"/>
      <w:tabs>
        <w:tab w:val="center" w:pos="4535"/>
        <w:tab w:val="right" w:pos="9070"/>
      </w:tabs>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CD1E2">
    <w:pPr>
      <w:pStyle w:val="43"/>
      <w:jc w:val="both"/>
      <w:rPr>
        <w:rFonts w:ascii="仿宋_GB2312" w:eastAsia="仿宋_GB2312"/>
        <w:b/>
        <w:i/>
        <w:iCs/>
        <w:u w:val="single"/>
      </w:rPr>
    </w:pPr>
    <w:r>
      <w:drawing>
        <wp:inline distT="0" distB="0" distL="114300" distR="114300">
          <wp:extent cx="661670" cy="501015"/>
          <wp:effectExtent l="0" t="0" r="5080" b="13335"/>
          <wp:docPr id="3"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rPr>
        <w:lang w:val="zh-CN"/>
      </w:rPr>
      <w:t></w:t>
    </w:r>
    <w:r>
      <w:rPr>
        <w:rFonts w:hint="eastAsia"/>
        <w:lang w:val="en-US" w:eastAsia="zh-CN"/>
      </w:rPr>
      <w:t xml:space="preserve">   </w:t>
    </w:r>
    <w:r>
      <w:tab/>
    </w:r>
    <w:r>
      <w:rPr>
        <w:rFonts w:hint="eastAsia"/>
        <w:lang w:val="en-US" w:eastAsia="zh-CN"/>
      </w:rPr>
      <w:t xml:space="preserve">                                    </w:t>
    </w:r>
    <w:r>
      <w:rPr>
        <w:rFonts w:hint="eastAsia"/>
      </w:rPr>
      <w:t xml:space="preserve">   </w:t>
    </w:r>
    <w:r>
      <w:rPr>
        <w:lang w:val="zh-CN"/>
      </w:rPr>
      <w:t></w:t>
    </w:r>
    <w:r>
      <w:tab/>
    </w:r>
    <w:r>
      <w:rPr>
        <w:rFonts w:hint="eastAsia"/>
      </w:rPr>
      <w:t>海标工程管理有限公司采购招标文件</w:t>
    </w:r>
  </w:p>
  <w:p w14:paraId="1DEE2E98"/>
  <w:p w14:paraId="1CC09C4C"/>
  <w:p w14:paraId="1CA789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009B8">
    <w:pPr>
      <w:pStyle w:val="43"/>
      <w:pBdr>
        <w:bottom w:val="single" w:color="auto" w:sz="6" w:space="0"/>
      </w:pBdr>
      <w:tabs>
        <w:tab w:val="center" w:pos="4535"/>
        <w:tab w:val="right" w:pos="9070"/>
        <w:tab w:val="clear" w:pos="4153"/>
        <w:tab w:val="clear" w:pos="8306"/>
      </w:tabs>
      <w:jc w:val="right"/>
    </w:pPr>
    <w:r>
      <w:drawing>
        <wp:inline distT="0" distB="0" distL="114300" distR="114300">
          <wp:extent cx="661670" cy="501015"/>
          <wp:effectExtent l="0" t="0" r="5080" b="13335"/>
          <wp:docPr id="6"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rPr>
        <w:lang w:val="zh-CN"/>
      </w:rPr>
      <w:t></w:t>
    </w:r>
    <w:r>
      <w:tab/>
    </w:r>
    <w:r>
      <w:rPr>
        <w:lang w:val="zh-CN"/>
      </w:rPr>
      <w:t></w:t>
    </w:r>
    <w:r>
      <w:tab/>
    </w:r>
    <w:r>
      <w:rPr>
        <w:rFonts w:hint="eastAsia"/>
      </w:rPr>
      <w:t>海标工程管理有限公司采购招标文件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97657">
    <w:pPr>
      <w:pStyle w:val="43"/>
      <w:pBdr>
        <w:bottom w:val="single" w:color="auto" w:sz="6" w:space="4"/>
      </w:pBdr>
      <w:jc w:val="right"/>
    </w:pPr>
    <w:r>
      <w:t></w:t>
    </w:r>
    <w:r>
      <w:rPr>
        <w:rFonts w:hint="eastAsia"/>
      </w:rPr>
      <w:t xml:space="preserve">         </w:t>
    </w:r>
  </w:p>
  <w:p w14:paraId="20AA9E5A">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3D24D">
    <w:pPr>
      <w:pStyle w:val="43"/>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F84E3">
    <w:pPr>
      <w:pStyle w:val="43"/>
      <w:rPr>
        <w:rFonts w:ascii="仿宋_GB2312" w:eastAsia="仿宋_GB2312"/>
        <w:b/>
        <w:i/>
        <w:u w:val="single"/>
      </w:rPr>
    </w:pPr>
    <w:r>
      <w:t></w:t>
    </w:r>
    <w:r>
      <w:rPr>
        <w:rFonts w:hint="eastAsia"/>
      </w:rPr>
      <w:t xml:space="preserve">                                                  </w:t>
    </w:r>
    <w:r>
      <w:t>杭州市政府采购公开招标文件</w:t>
    </w:r>
  </w:p>
  <w:p w14:paraId="79F43A4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54A22">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DE728">
    <w:pPr>
      <w:pStyle w:val="43"/>
      <w:jc w:val="right"/>
      <w:rPr>
        <w:rFonts w:ascii="仿宋_GB2312" w:eastAsia="仿宋_GB2312"/>
        <w:b/>
        <w:i/>
        <w:u w:val="single"/>
      </w:rPr>
    </w:pPr>
    <w:r>
      <w:rPr>
        <w:rFonts w:hint="eastAsia"/>
      </w:rPr>
      <w:t xml:space="preserve">                                  </w:t>
    </w:r>
    <w:r>
      <w:t>杭州市政府采购公开招标文件</w:t>
    </w:r>
  </w:p>
  <w:p w14:paraId="26766C07">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BD52B">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7C631">
    <w:pPr>
      <w:pStyle w:val="43"/>
      <w:jc w:val="both"/>
      <w:rPr>
        <w:rFonts w:ascii="仿宋_GB2312" w:eastAsia="仿宋_GB2312"/>
        <w:b/>
        <w:i/>
        <w:iCs/>
        <w:u w:val="single"/>
      </w:rPr>
    </w:pPr>
    <w:r>
      <w:drawing>
        <wp:inline distT="0" distB="0" distL="114300" distR="114300">
          <wp:extent cx="661670" cy="501015"/>
          <wp:effectExtent l="0" t="0" r="5080" b="13335"/>
          <wp:docPr id="5"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rPr>
        <w:lang w:val="zh-CN"/>
      </w:rPr>
      <w:t></w:t>
    </w:r>
    <w:r>
      <w:rPr>
        <w:rFonts w:hint="eastAsia"/>
        <w:lang w:val="en-US" w:eastAsia="zh-CN"/>
      </w:rPr>
      <w:t xml:space="preserve">   </w:t>
    </w:r>
    <w:r>
      <w:tab/>
    </w:r>
    <w:r>
      <w:rPr>
        <w:rFonts w:hint="eastAsia"/>
        <w:lang w:val="en-US" w:eastAsia="zh-CN"/>
      </w:rPr>
      <w:t xml:space="preserve">                                    </w:t>
    </w:r>
    <w:r>
      <w:rPr>
        <w:rFonts w:hint="eastAsia"/>
      </w:rPr>
      <w:t xml:space="preserve">   </w:t>
    </w:r>
    <w:r>
      <w:rPr>
        <w:lang w:val="zh-CN"/>
      </w:rPr>
      <w:t></w:t>
    </w:r>
    <w:r>
      <w:tab/>
    </w:r>
    <w:r>
      <w:rPr>
        <w:rFonts w:hint="eastAsia"/>
      </w:rPr>
      <w:t>海标工程管理有限公司采购招标文件</w:t>
    </w:r>
  </w:p>
  <w:p w14:paraId="1DC6A754"/>
  <w:p w14:paraId="0BF963D7"/>
  <w:p w14:paraId="5901CD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70A5C8"/>
    <w:multiLevelType w:val="singleLevel"/>
    <w:tmpl w:val="C070A5C8"/>
    <w:lvl w:ilvl="0" w:tentative="0">
      <w:start w:val="1"/>
      <w:numFmt w:val="decimal"/>
      <w:suff w:val="space"/>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178BD29B"/>
    <w:multiLevelType w:val="singleLevel"/>
    <w:tmpl w:val="178BD29B"/>
    <w:lvl w:ilvl="0" w:tentative="0">
      <w:start w:val="1"/>
      <w:numFmt w:val="chineseCounting"/>
      <w:suff w:val="nothing"/>
      <w:lvlText w:val="%1、"/>
      <w:lvlJc w:val="left"/>
      <w:pPr>
        <w:ind w:left="-2"/>
      </w:pPr>
      <w:rPr>
        <w:rFonts w:hint="eastAsia"/>
      </w:rPr>
    </w:lvl>
  </w:abstractNum>
  <w:abstractNum w:abstractNumId="3">
    <w:nsid w:val="6600DC02"/>
    <w:multiLevelType w:val="singleLevel"/>
    <w:tmpl w:val="6600DC02"/>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27A7C"/>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AD1"/>
    <w:rsid w:val="00083E07"/>
    <w:rsid w:val="00084A3E"/>
    <w:rsid w:val="00084D27"/>
    <w:rsid w:val="00084ED6"/>
    <w:rsid w:val="0008580E"/>
    <w:rsid w:val="00085A0E"/>
    <w:rsid w:val="00085C4F"/>
    <w:rsid w:val="00086EFD"/>
    <w:rsid w:val="00086F8A"/>
    <w:rsid w:val="00087031"/>
    <w:rsid w:val="000878B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69B"/>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19EC"/>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0DF8"/>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77AC4"/>
    <w:rsid w:val="002802A5"/>
    <w:rsid w:val="00280CFB"/>
    <w:rsid w:val="00280D24"/>
    <w:rsid w:val="002815C4"/>
    <w:rsid w:val="00281BCB"/>
    <w:rsid w:val="00281C76"/>
    <w:rsid w:val="0028316D"/>
    <w:rsid w:val="00283296"/>
    <w:rsid w:val="002857E2"/>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0AD"/>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3D4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49B"/>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4C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59AF"/>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374"/>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43F"/>
    <w:rsid w:val="00406745"/>
    <w:rsid w:val="0040674B"/>
    <w:rsid w:val="00406B32"/>
    <w:rsid w:val="00406CCB"/>
    <w:rsid w:val="004074FA"/>
    <w:rsid w:val="00407A56"/>
    <w:rsid w:val="00407FB7"/>
    <w:rsid w:val="00407FCC"/>
    <w:rsid w:val="0041035A"/>
    <w:rsid w:val="00410E76"/>
    <w:rsid w:val="004112D1"/>
    <w:rsid w:val="004113C9"/>
    <w:rsid w:val="00411D1E"/>
    <w:rsid w:val="00411DF2"/>
    <w:rsid w:val="004120DF"/>
    <w:rsid w:val="004126B5"/>
    <w:rsid w:val="004127C7"/>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1DB3"/>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457"/>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B766C"/>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8FD"/>
    <w:rsid w:val="0052091D"/>
    <w:rsid w:val="005212F4"/>
    <w:rsid w:val="00521908"/>
    <w:rsid w:val="005224BC"/>
    <w:rsid w:val="00522928"/>
    <w:rsid w:val="00522FF1"/>
    <w:rsid w:val="005235D8"/>
    <w:rsid w:val="00523946"/>
    <w:rsid w:val="0052397A"/>
    <w:rsid w:val="00524C2E"/>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E9E"/>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7D"/>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0B8"/>
    <w:rsid w:val="00617EFC"/>
    <w:rsid w:val="00620055"/>
    <w:rsid w:val="00620336"/>
    <w:rsid w:val="006204B3"/>
    <w:rsid w:val="006204C2"/>
    <w:rsid w:val="00620815"/>
    <w:rsid w:val="006212D3"/>
    <w:rsid w:val="00621639"/>
    <w:rsid w:val="006226C0"/>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4DE9"/>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759"/>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3DD"/>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6FD"/>
    <w:rsid w:val="008052CE"/>
    <w:rsid w:val="008058D0"/>
    <w:rsid w:val="0080638D"/>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0CF"/>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4C41"/>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0602"/>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0BE7"/>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2E7E"/>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2B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8C9"/>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C4F"/>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1E4E"/>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3DF"/>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E7583"/>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6F6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8A5"/>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0C40"/>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0A5"/>
    <w:rsid w:val="00DE12F1"/>
    <w:rsid w:val="00DE1A9D"/>
    <w:rsid w:val="00DE1CB1"/>
    <w:rsid w:val="00DE2073"/>
    <w:rsid w:val="00DE2A77"/>
    <w:rsid w:val="00DE30AC"/>
    <w:rsid w:val="00DE38D1"/>
    <w:rsid w:val="00DE4106"/>
    <w:rsid w:val="00DE466B"/>
    <w:rsid w:val="00DE48F4"/>
    <w:rsid w:val="00DE5563"/>
    <w:rsid w:val="00DE5C19"/>
    <w:rsid w:val="00DE5D48"/>
    <w:rsid w:val="00DE6182"/>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1B2A"/>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5E1E"/>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306"/>
    <w:rsid w:val="00EE499F"/>
    <w:rsid w:val="00EE56E2"/>
    <w:rsid w:val="00EE5FCD"/>
    <w:rsid w:val="00EE63BF"/>
    <w:rsid w:val="00EE6D45"/>
    <w:rsid w:val="00EE6E89"/>
    <w:rsid w:val="00EF0D4B"/>
    <w:rsid w:val="00EF0FE6"/>
    <w:rsid w:val="00EF1130"/>
    <w:rsid w:val="00EF1432"/>
    <w:rsid w:val="00EF1511"/>
    <w:rsid w:val="00EF1F01"/>
    <w:rsid w:val="00EF1F50"/>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21"/>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9A1"/>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AD8"/>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104EA"/>
    <w:rsid w:val="01236AFB"/>
    <w:rsid w:val="01672697"/>
    <w:rsid w:val="019F7441"/>
    <w:rsid w:val="01AD2923"/>
    <w:rsid w:val="01B37585"/>
    <w:rsid w:val="01D55165"/>
    <w:rsid w:val="01DF6BF8"/>
    <w:rsid w:val="01EC2C57"/>
    <w:rsid w:val="025F0711"/>
    <w:rsid w:val="026B2E25"/>
    <w:rsid w:val="0270061D"/>
    <w:rsid w:val="02824D4D"/>
    <w:rsid w:val="02994853"/>
    <w:rsid w:val="02B16677"/>
    <w:rsid w:val="02D36DFE"/>
    <w:rsid w:val="02DC4B10"/>
    <w:rsid w:val="02DD76CE"/>
    <w:rsid w:val="02F36323"/>
    <w:rsid w:val="02F5619C"/>
    <w:rsid w:val="03176A9B"/>
    <w:rsid w:val="0326446A"/>
    <w:rsid w:val="032D5555"/>
    <w:rsid w:val="03654679"/>
    <w:rsid w:val="036634D2"/>
    <w:rsid w:val="03747A3A"/>
    <w:rsid w:val="03893C74"/>
    <w:rsid w:val="03911568"/>
    <w:rsid w:val="03A311F9"/>
    <w:rsid w:val="03CC5ECA"/>
    <w:rsid w:val="03D718E8"/>
    <w:rsid w:val="03DD35E4"/>
    <w:rsid w:val="03E35AEF"/>
    <w:rsid w:val="03FF3601"/>
    <w:rsid w:val="04076900"/>
    <w:rsid w:val="041A5A3B"/>
    <w:rsid w:val="04212517"/>
    <w:rsid w:val="042311BA"/>
    <w:rsid w:val="042B157A"/>
    <w:rsid w:val="042F5435"/>
    <w:rsid w:val="048F763B"/>
    <w:rsid w:val="04902B3F"/>
    <w:rsid w:val="049F330E"/>
    <w:rsid w:val="04A9250C"/>
    <w:rsid w:val="04AA775C"/>
    <w:rsid w:val="04AF1889"/>
    <w:rsid w:val="04F66F48"/>
    <w:rsid w:val="04F81A95"/>
    <w:rsid w:val="05177476"/>
    <w:rsid w:val="05251E14"/>
    <w:rsid w:val="05334457"/>
    <w:rsid w:val="05A01112"/>
    <w:rsid w:val="05A16594"/>
    <w:rsid w:val="05A7762D"/>
    <w:rsid w:val="05D252BA"/>
    <w:rsid w:val="05E41A4E"/>
    <w:rsid w:val="060E5941"/>
    <w:rsid w:val="06110FAF"/>
    <w:rsid w:val="06493CA7"/>
    <w:rsid w:val="065A6178"/>
    <w:rsid w:val="066F1CF3"/>
    <w:rsid w:val="0676641E"/>
    <w:rsid w:val="06930BB8"/>
    <w:rsid w:val="069F5975"/>
    <w:rsid w:val="06C30126"/>
    <w:rsid w:val="07245D42"/>
    <w:rsid w:val="07264C62"/>
    <w:rsid w:val="072E0AA7"/>
    <w:rsid w:val="074A3B33"/>
    <w:rsid w:val="07705CC0"/>
    <w:rsid w:val="0779354C"/>
    <w:rsid w:val="07AD651A"/>
    <w:rsid w:val="08061376"/>
    <w:rsid w:val="083B1502"/>
    <w:rsid w:val="08400A92"/>
    <w:rsid w:val="08452D77"/>
    <w:rsid w:val="086401F8"/>
    <w:rsid w:val="08751CAA"/>
    <w:rsid w:val="08760957"/>
    <w:rsid w:val="08796DAB"/>
    <w:rsid w:val="087E4C40"/>
    <w:rsid w:val="08852948"/>
    <w:rsid w:val="08A871D0"/>
    <w:rsid w:val="08C2409F"/>
    <w:rsid w:val="08D66AD6"/>
    <w:rsid w:val="08DA33A3"/>
    <w:rsid w:val="08E5759D"/>
    <w:rsid w:val="08E80F13"/>
    <w:rsid w:val="090360D7"/>
    <w:rsid w:val="090E0B90"/>
    <w:rsid w:val="092C1DDE"/>
    <w:rsid w:val="09335624"/>
    <w:rsid w:val="09362D29"/>
    <w:rsid w:val="093B7E06"/>
    <w:rsid w:val="0944690F"/>
    <w:rsid w:val="09535675"/>
    <w:rsid w:val="095F057D"/>
    <w:rsid w:val="09642282"/>
    <w:rsid w:val="09733572"/>
    <w:rsid w:val="09750C0F"/>
    <w:rsid w:val="09772C16"/>
    <w:rsid w:val="098353B5"/>
    <w:rsid w:val="09A92330"/>
    <w:rsid w:val="09B06B87"/>
    <w:rsid w:val="09C13146"/>
    <w:rsid w:val="09D771D4"/>
    <w:rsid w:val="09E04166"/>
    <w:rsid w:val="0A1C0718"/>
    <w:rsid w:val="0A3E7710"/>
    <w:rsid w:val="0A5B7E63"/>
    <w:rsid w:val="0A773A3A"/>
    <w:rsid w:val="0AA374A5"/>
    <w:rsid w:val="0AAB7649"/>
    <w:rsid w:val="0ABC5606"/>
    <w:rsid w:val="0AC736EC"/>
    <w:rsid w:val="0AFF6EA3"/>
    <w:rsid w:val="0B237BF9"/>
    <w:rsid w:val="0B30404E"/>
    <w:rsid w:val="0B4C6C14"/>
    <w:rsid w:val="0B547599"/>
    <w:rsid w:val="0B631A88"/>
    <w:rsid w:val="0B683D45"/>
    <w:rsid w:val="0B73117E"/>
    <w:rsid w:val="0B7F3F11"/>
    <w:rsid w:val="0B884417"/>
    <w:rsid w:val="0BBD4E32"/>
    <w:rsid w:val="0BF6188C"/>
    <w:rsid w:val="0BF73C91"/>
    <w:rsid w:val="0C170175"/>
    <w:rsid w:val="0C254F67"/>
    <w:rsid w:val="0C281F69"/>
    <w:rsid w:val="0C300E1D"/>
    <w:rsid w:val="0C571A41"/>
    <w:rsid w:val="0C5C1171"/>
    <w:rsid w:val="0C5E1CBC"/>
    <w:rsid w:val="0C615B50"/>
    <w:rsid w:val="0C8445DA"/>
    <w:rsid w:val="0C87121B"/>
    <w:rsid w:val="0C882A07"/>
    <w:rsid w:val="0CC007F7"/>
    <w:rsid w:val="0CC617AC"/>
    <w:rsid w:val="0CD06C45"/>
    <w:rsid w:val="0CE618DF"/>
    <w:rsid w:val="0CFE707A"/>
    <w:rsid w:val="0D063BDA"/>
    <w:rsid w:val="0D08375F"/>
    <w:rsid w:val="0D184CFB"/>
    <w:rsid w:val="0D232DCD"/>
    <w:rsid w:val="0D2377B7"/>
    <w:rsid w:val="0D4A7419"/>
    <w:rsid w:val="0D827401"/>
    <w:rsid w:val="0D84094E"/>
    <w:rsid w:val="0D8A00E9"/>
    <w:rsid w:val="0D8D589E"/>
    <w:rsid w:val="0DA01C73"/>
    <w:rsid w:val="0DD63300"/>
    <w:rsid w:val="0DED2FCB"/>
    <w:rsid w:val="0DF50604"/>
    <w:rsid w:val="0DF702FE"/>
    <w:rsid w:val="0E060E51"/>
    <w:rsid w:val="0E4B57D1"/>
    <w:rsid w:val="0E5604B2"/>
    <w:rsid w:val="0E6D5D79"/>
    <w:rsid w:val="0E9D0089"/>
    <w:rsid w:val="0EB803EE"/>
    <w:rsid w:val="0EC47A69"/>
    <w:rsid w:val="0EC77DB6"/>
    <w:rsid w:val="0EF94D4B"/>
    <w:rsid w:val="0F183673"/>
    <w:rsid w:val="0F2F360E"/>
    <w:rsid w:val="0F4958DC"/>
    <w:rsid w:val="0F515DF7"/>
    <w:rsid w:val="0F596BA8"/>
    <w:rsid w:val="0F6248D2"/>
    <w:rsid w:val="0F693536"/>
    <w:rsid w:val="0F7B0511"/>
    <w:rsid w:val="0F7B76D9"/>
    <w:rsid w:val="0F816ACD"/>
    <w:rsid w:val="0F9832DB"/>
    <w:rsid w:val="0FBF3FD2"/>
    <w:rsid w:val="0FBF7FF3"/>
    <w:rsid w:val="10240C99"/>
    <w:rsid w:val="10646583"/>
    <w:rsid w:val="107824C1"/>
    <w:rsid w:val="107D4B15"/>
    <w:rsid w:val="108A3C80"/>
    <w:rsid w:val="109E6C9D"/>
    <w:rsid w:val="10B96EAB"/>
    <w:rsid w:val="10C26171"/>
    <w:rsid w:val="10DA645D"/>
    <w:rsid w:val="10E51AC5"/>
    <w:rsid w:val="10F33360"/>
    <w:rsid w:val="10FC16EA"/>
    <w:rsid w:val="110F1D40"/>
    <w:rsid w:val="11266F33"/>
    <w:rsid w:val="114F75F0"/>
    <w:rsid w:val="11610054"/>
    <w:rsid w:val="11625F1D"/>
    <w:rsid w:val="11732BD8"/>
    <w:rsid w:val="118963A1"/>
    <w:rsid w:val="11C6522A"/>
    <w:rsid w:val="11E104CC"/>
    <w:rsid w:val="11E20309"/>
    <w:rsid w:val="11EE7D79"/>
    <w:rsid w:val="12001E46"/>
    <w:rsid w:val="1206219D"/>
    <w:rsid w:val="120D7717"/>
    <w:rsid w:val="12105979"/>
    <w:rsid w:val="12176D07"/>
    <w:rsid w:val="12255233"/>
    <w:rsid w:val="12530213"/>
    <w:rsid w:val="127723A9"/>
    <w:rsid w:val="12781A7D"/>
    <w:rsid w:val="12862074"/>
    <w:rsid w:val="12883966"/>
    <w:rsid w:val="129E45B4"/>
    <w:rsid w:val="12C2081B"/>
    <w:rsid w:val="12D81596"/>
    <w:rsid w:val="12DD5483"/>
    <w:rsid w:val="12F06155"/>
    <w:rsid w:val="13072A44"/>
    <w:rsid w:val="1331204B"/>
    <w:rsid w:val="13454F88"/>
    <w:rsid w:val="135F4BE2"/>
    <w:rsid w:val="139B1A0A"/>
    <w:rsid w:val="139D25C7"/>
    <w:rsid w:val="139F6FB4"/>
    <w:rsid w:val="13B81E24"/>
    <w:rsid w:val="13BF3CE4"/>
    <w:rsid w:val="141008D8"/>
    <w:rsid w:val="14125FE6"/>
    <w:rsid w:val="146D271E"/>
    <w:rsid w:val="14982588"/>
    <w:rsid w:val="149A5AD9"/>
    <w:rsid w:val="14A7619D"/>
    <w:rsid w:val="14C52A4A"/>
    <w:rsid w:val="14D709D0"/>
    <w:rsid w:val="150536C3"/>
    <w:rsid w:val="150C1963"/>
    <w:rsid w:val="151447A0"/>
    <w:rsid w:val="154A6454"/>
    <w:rsid w:val="15762120"/>
    <w:rsid w:val="163C2E84"/>
    <w:rsid w:val="16564D90"/>
    <w:rsid w:val="16A257AE"/>
    <w:rsid w:val="16A8729C"/>
    <w:rsid w:val="16B33777"/>
    <w:rsid w:val="16BC70A7"/>
    <w:rsid w:val="16C24C15"/>
    <w:rsid w:val="16C6339E"/>
    <w:rsid w:val="16E178E4"/>
    <w:rsid w:val="17060C1B"/>
    <w:rsid w:val="172F2D79"/>
    <w:rsid w:val="173233DF"/>
    <w:rsid w:val="17557BEF"/>
    <w:rsid w:val="175F3E17"/>
    <w:rsid w:val="177003DD"/>
    <w:rsid w:val="17AD069D"/>
    <w:rsid w:val="17D349C1"/>
    <w:rsid w:val="17EA6D96"/>
    <w:rsid w:val="18090EA0"/>
    <w:rsid w:val="181A12FF"/>
    <w:rsid w:val="181E3DA1"/>
    <w:rsid w:val="18286288"/>
    <w:rsid w:val="1830729E"/>
    <w:rsid w:val="18405602"/>
    <w:rsid w:val="1870062C"/>
    <w:rsid w:val="18817102"/>
    <w:rsid w:val="18830A15"/>
    <w:rsid w:val="18852B28"/>
    <w:rsid w:val="188B5321"/>
    <w:rsid w:val="18910E95"/>
    <w:rsid w:val="19181A3A"/>
    <w:rsid w:val="191C46B1"/>
    <w:rsid w:val="192166BD"/>
    <w:rsid w:val="19433FC0"/>
    <w:rsid w:val="19454761"/>
    <w:rsid w:val="19932372"/>
    <w:rsid w:val="199A0518"/>
    <w:rsid w:val="19A20DD5"/>
    <w:rsid w:val="19AE03F1"/>
    <w:rsid w:val="19C00D76"/>
    <w:rsid w:val="19DF3A01"/>
    <w:rsid w:val="1A025464"/>
    <w:rsid w:val="1A071A03"/>
    <w:rsid w:val="1A1F16AE"/>
    <w:rsid w:val="1A316C0F"/>
    <w:rsid w:val="1A3B5C77"/>
    <w:rsid w:val="1A6770D3"/>
    <w:rsid w:val="1A984BAD"/>
    <w:rsid w:val="1AB8220E"/>
    <w:rsid w:val="1ABF7F3C"/>
    <w:rsid w:val="1AE4166C"/>
    <w:rsid w:val="1AF06CFB"/>
    <w:rsid w:val="1AF11B8D"/>
    <w:rsid w:val="1B11359C"/>
    <w:rsid w:val="1B2A271F"/>
    <w:rsid w:val="1B4B660F"/>
    <w:rsid w:val="1B530544"/>
    <w:rsid w:val="1B713184"/>
    <w:rsid w:val="1BA209CF"/>
    <w:rsid w:val="1BB4777D"/>
    <w:rsid w:val="1BD75AB8"/>
    <w:rsid w:val="1C0459C2"/>
    <w:rsid w:val="1C0F7519"/>
    <w:rsid w:val="1C1B3B4A"/>
    <w:rsid w:val="1C88086E"/>
    <w:rsid w:val="1C8E7BC6"/>
    <w:rsid w:val="1CF1594B"/>
    <w:rsid w:val="1D266CE1"/>
    <w:rsid w:val="1D291FE4"/>
    <w:rsid w:val="1D3963AF"/>
    <w:rsid w:val="1D4B3D09"/>
    <w:rsid w:val="1D6A673C"/>
    <w:rsid w:val="1D7501E7"/>
    <w:rsid w:val="1D9247AE"/>
    <w:rsid w:val="1DA81F72"/>
    <w:rsid w:val="1DB567EC"/>
    <w:rsid w:val="1DBA6273"/>
    <w:rsid w:val="1DC31AF1"/>
    <w:rsid w:val="1DD377A6"/>
    <w:rsid w:val="1DF51A98"/>
    <w:rsid w:val="1E062289"/>
    <w:rsid w:val="1E2A528A"/>
    <w:rsid w:val="1E3D060F"/>
    <w:rsid w:val="1E3F7D2E"/>
    <w:rsid w:val="1E4134E4"/>
    <w:rsid w:val="1E5062B3"/>
    <w:rsid w:val="1E523514"/>
    <w:rsid w:val="1E6831E0"/>
    <w:rsid w:val="1E6E5A3B"/>
    <w:rsid w:val="1E714A66"/>
    <w:rsid w:val="1E802593"/>
    <w:rsid w:val="1E8B6156"/>
    <w:rsid w:val="1E9623BB"/>
    <w:rsid w:val="1EA703CC"/>
    <w:rsid w:val="1EB7330C"/>
    <w:rsid w:val="1EC41FC5"/>
    <w:rsid w:val="1EE95587"/>
    <w:rsid w:val="1F0A0FF3"/>
    <w:rsid w:val="1F316F2E"/>
    <w:rsid w:val="1F5771FF"/>
    <w:rsid w:val="1FD52DD5"/>
    <w:rsid w:val="1FE1203F"/>
    <w:rsid w:val="1FE868A9"/>
    <w:rsid w:val="1FF72CF2"/>
    <w:rsid w:val="20034907"/>
    <w:rsid w:val="20120B0E"/>
    <w:rsid w:val="20173E4B"/>
    <w:rsid w:val="202A4636"/>
    <w:rsid w:val="204E48BC"/>
    <w:rsid w:val="208921B3"/>
    <w:rsid w:val="20973DEB"/>
    <w:rsid w:val="20B26522"/>
    <w:rsid w:val="20B44310"/>
    <w:rsid w:val="20F20207"/>
    <w:rsid w:val="21024A33"/>
    <w:rsid w:val="21050673"/>
    <w:rsid w:val="211116EB"/>
    <w:rsid w:val="214967B1"/>
    <w:rsid w:val="216133FC"/>
    <w:rsid w:val="21D56769"/>
    <w:rsid w:val="21D614D1"/>
    <w:rsid w:val="21D6767E"/>
    <w:rsid w:val="21E25450"/>
    <w:rsid w:val="21E52EF3"/>
    <w:rsid w:val="21FB5D7B"/>
    <w:rsid w:val="22015E94"/>
    <w:rsid w:val="2203199B"/>
    <w:rsid w:val="220B1C3D"/>
    <w:rsid w:val="221D1D20"/>
    <w:rsid w:val="22317971"/>
    <w:rsid w:val="22334A87"/>
    <w:rsid w:val="223E5BEA"/>
    <w:rsid w:val="227C1D21"/>
    <w:rsid w:val="22950C35"/>
    <w:rsid w:val="22BE6801"/>
    <w:rsid w:val="22E36EEC"/>
    <w:rsid w:val="22E948D4"/>
    <w:rsid w:val="23182F96"/>
    <w:rsid w:val="23244DE0"/>
    <w:rsid w:val="233500BF"/>
    <w:rsid w:val="23377FF7"/>
    <w:rsid w:val="2346454C"/>
    <w:rsid w:val="2355768F"/>
    <w:rsid w:val="23582CDC"/>
    <w:rsid w:val="235F406A"/>
    <w:rsid w:val="2364421D"/>
    <w:rsid w:val="236B425F"/>
    <w:rsid w:val="23836192"/>
    <w:rsid w:val="23901F29"/>
    <w:rsid w:val="239C0061"/>
    <w:rsid w:val="23B908A4"/>
    <w:rsid w:val="23E95BEF"/>
    <w:rsid w:val="23FD0064"/>
    <w:rsid w:val="245375B0"/>
    <w:rsid w:val="24642C0A"/>
    <w:rsid w:val="247C660B"/>
    <w:rsid w:val="248F748F"/>
    <w:rsid w:val="24975894"/>
    <w:rsid w:val="24B22173"/>
    <w:rsid w:val="24B57F51"/>
    <w:rsid w:val="24B95AD9"/>
    <w:rsid w:val="24BE24DA"/>
    <w:rsid w:val="24C47F5C"/>
    <w:rsid w:val="24CA5E5B"/>
    <w:rsid w:val="24CF5825"/>
    <w:rsid w:val="24D663E6"/>
    <w:rsid w:val="24D77F2B"/>
    <w:rsid w:val="24F44C86"/>
    <w:rsid w:val="2500362B"/>
    <w:rsid w:val="255A0F8D"/>
    <w:rsid w:val="258B00E2"/>
    <w:rsid w:val="25A917A6"/>
    <w:rsid w:val="25BE27CC"/>
    <w:rsid w:val="25F74A5C"/>
    <w:rsid w:val="2628662C"/>
    <w:rsid w:val="262D45DE"/>
    <w:rsid w:val="266876DA"/>
    <w:rsid w:val="26843F14"/>
    <w:rsid w:val="26871DC8"/>
    <w:rsid w:val="268D24CB"/>
    <w:rsid w:val="269B7AAF"/>
    <w:rsid w:val="26A53EF9"/>
    <w:rsid w:val="26A94201"/>
    <w:rsid w:val="26AC274F"/>
    <w:rsid w:val="26EC0FC9"/>
    <w:rsid w:val="26F94DF5"/>
    <w:rsid w:val="27044A29"/>
    <w:rsid w:val="271D34C8"/>
    <w:rsid w:val="27227E4A"/>
    <w:rsid w:val="27322BA1"/>
    <w:rsid w:val="276142BF"/>
    <w:rsid w:val="276E23D6"/>
    <w:rsid w:val="27783712"/>
    <w:rsid w:val="27907362"/>
    <w:rsid w:val="27A023F9"/>
    <w:rsid w:val="27A630D2"/>
    <w:rsid w:val="27C11E07"/>
    <w:rsid w:val="28333E1D"/>
    <w:rsid w:val="28454BD6"/>
    <w:rsid w:val="28455253"/>
    <w:rsid w:val="28551971"/>
    <w:rsid w:val="285B1C53"/>
    <w:rsid w:val="2871658D"/>
    <w:rsid w:val="289F7086"/>
    <w:rsid w:val="28C01F29"/>
    <w:rsid w:val="28C32028"/>
    <w:rsid w:val="28CB21A2"/>
    <w:rsid w:val="28CC490F"/>
    <w:rsid w:val="28DE40AA"/>
    <w:rsid w:val="29345E77"/>
    <w:rsid w:val="294C65AD"/>
    <w:rsid w:val="296576F6"/>
    <w:rsid w:val="29806583"/>
    <w:rsid w:val="298B3C4C"/>
    <w:rsid w:val="29F26D24"/>
    <w:rsid w:val="2A15033F"/>
    <w:rsid w:val="2A1662C1"/>
    <w:rsid w:val="2A1C7367"/>
    <w:rsid w:val="2A1C7979"/>
    <w:rsid w:val="2A2815FA"/>
    <w:rsid w:val="2A3B0766"/>
    <w:rsid w:val="2A402579"/>
    <w:rsid w:val="2A6603D4"/>
    <w:rsid w:val="2A6D6092"/>
    <w:rsid w:val="2A7D76B4"/>
    <w:rsid w:val="2B193698"/>
    <w:rsid w:val="2B3F0281"/>
    <w:rsid w:val="2B404781"/>
    <w:rsid w:val="2B417007"/>
    <w:rsid w:val="2B437463"/>
    <w:rsid w:val="2B6B06FC"/>
    <w:rsid w:val="2B7807EE"/>
    <w:rsid w:val="2BA50BF7"/>
    <w:rsid w:val="2BAD6332"/>
    <w:rsid w:val="2BBF00EC"/>
    <w:rsid w:val="2BC37CFD"/>
    <w:rsid w:val="2BD5237F"/>
    <w:rsid w:val="2BE536CE"/>
    <w:rsid w:val="2BE758D9"/>
    <w:rsid w:val="2C09049E"/>
    <w:rsid w:val="2C0A653C"/>
    <w:rsid w:val="2C0F50D6"/>
    <w:rsid w:val="2C191F85"/>
    <w:rsid w:val="2C5948F1"/>
    <w:rsid w:val="2C884632"/>
    <w:rsid w:val="2CE82D6F"/>
    <w:rsid w:val="2CFE7EE0"/>
    <w:rsid w:val="2D343236"/>
    <w:rsid w:val="2DD15014"/>
    <w:rsid w:val="2DDD404B"/>
    <w:rsid w:val="2DE03FF9"/>
    <w:rsid w:val="2DE97352"/>
    <w:rsid w:val="2DF72DE4"/>
    <w:rsid w:val="2E001109"/>
    <w:rsid w:val="2E0220AF"/>
    <w:rsid w:val="2E4B082A"/>
    <w:rsid w:val="2E5D4E86"/>
    <w:rsid w:val="2E5D790B"/>
    <w:rsid w:val="2E6219F5"/>
    <w:rsid w:val="2E693FEF"/>
    <w:rsid w:val="2E8B0409"/>
    <w:rsid w:val="2E9A3C18"/>
    <w:rsid w:val="2E9B7E59"/>
    <w:rsid w:val="2EBB0FEE"/>
    <w:rsid w:val="2EBE7F6C"/>
    <w:rsid w:val="2EC63002"/>
    <w:rsid w:val="2EE10029"/>
    <w:rsid w:val="2F0A6B38"/>
    <w:rsid w:val="2F27636B"/>
    <w:rsid w:val="2F946CCB"/>
    <w:rsid w:val="2F9D2355"/>
    <w:rsid w:val="2FC0170E"/>
    <w:rsid w:val="2FD25781"/>
    <w:rsid w:val="2FDC745C"/>
    <w:rsid w:val="2FDE505B"/>
    <w:rsid w:val="2FFA3A98"/>
    <w:rsid w:val="2FFD7934"/>
    <w:rsid w:val="306453B6"/>
    <w:rsid w:val="306C26A5"/>
    <w:rsid w:val="30733ACD"/>
    <w:rsid w:val="308C3862"/>
    <w:rsid w:val="309379D8"/>
    <w:rsid w:val="30A270F7"/>
    <w:rsid w:val="30DF1478"/>
    <w:rsid w:val="30EC586F"/>
    <w:rsid w:val="30F66DBB"/>
    <w:rsid w:val="31083F93"/>
    <w:rsid w:val="31163769"/>
    <w:rsid w:val="31234354"/>
    <w:rsid w:val="314550B7"/>
    <w:rsid w:val="31500A45"/>
    <w:rsid w:val="31750EFD"/>
    <w:rsid w:val="31880C30"/>
    <w:rsid w:val="319C6071"/>
    <w:rsid w:val="31AC537E"/>
    <w:rsid w:val="31E3679B"/>
    <w:rsid w:val="31E732FD"/>
    <w:rsid w:val="31FD1952"/>
    <w:rsid w:val="32517576"/>
    <w:rsid w:val="325342F8"/>
    <w:rsid w:val="3262736D"/>
    <w:rsid w:val="32821B23"/>
    <w:rsid w:val="32856642"/>
    <w:rsid w:val="32943604"/>
    <w:rsid w:val="329E1117"/>
    <w:rsid w:val="32BE5C2C"/>
    <w:rsid w:val="32DC21EC"/>
    <w:rsid w:val="32ED7F9D"/>
    <w:rsid w:val="32FB6478"/>
    <w:rsid w:val="33032140"/>
    <w:rsid w:val="33263B3F"/>
    <w:rsid w:val="335669EB"/>
    <w:rsid w:val="336963EB"/>
    <w:rsid w:val="33816EEB"/>
    <w:rsid w:val="339418AD"/>
    <w:rsid w:val="33997124"/>
    <w:rsid w:val="33A37FA3"/>
    <w:rsid w:val="33B67334"/>
    <w:rsid w:val="33EB55CD"/>
    <w:rsid w:val="33EC4C02"/>
    <w:rsid w:val="340D2360"/>
    <w:rsid w:val="3410665D"/>
    <w:rsid w:val="34211214"/>
    <w:rsid w:val="34236B9D"/>
    <w:rsid w:val="34237336"/>
    <w:rsid w:val="342E63AB"/>
    <w:rsid w:val="343C56C0"/>
    <w:rsid w:val="34596234"/>
    <w:rsid w:val="34950E68"/>
    <w:rsid w:val="34986E94"/>
    <w:rsid w:val="34AE71CD"/>
    <w:rsid w:val="34AF62C9"/>
    <w:rsid w:val="34CB4388"/>
    <w:rsid w:val="34E645EB"/>
    <w:rsid w:val="34E672C0"/>
    <w:rsid w:val="34FA6E12"/>
    <w:rsid w:val="352925FC"/>
    <w:rsid w:val="354D7158"/>
    <w:rsid w:val="356619F8"/>
    <w:rsid w:val="358D5588"/>
    <w:rsid w:val="359776DB"/>
    <w:rsid w:val="35A4105B"/>
    <w:rsid w:val="35CC72C9"/>
    <w:rsid w:val="361C248C"/>
    <w:rsid w:val="36213401"/>
    <w:rsid w:val="363A3B40"/>
    <w:rsid w:val="365302AE"/>
    <w:rsid w:val="365537B1"/>
    <w:rsid w:val="36607A0A"/>
    <w:rsid w:val="366E227C"/>
    <w:rsid w:val="366F2E0D"/>
    <w:rsid w:val="367B6A5C"/>
    <w:rsid w:val="36A74ADA"/>
    <w:rsid w:val="36AD60D5"/>
    <w:rsid w:val="36B224F9"/>
    <w:rsid w:val="36C52D11"/>
    <w:rsid w:val="36EC0CC9"/>
    <w:rsid w:val="371B243A"/>
    <w:rsid w:val="371E0F33"/>
    <w:rsid w:val="37322871"/>
    <w:rsid w:val="373F410B"/>
    <w:rsid w:val="37523A4D"/>
    <w:rsid w:val="375E22F4"/>
    <w:rsid w:val="37662F9B"/>
    <w:rsid w:val="3793246B"/>
    <w:rsid w:val="37DB6ECC"/>
    <w:rsid w:val="37EB1F18"/>
    <w:rsid w:val="37EE7094"/>
    <w:rsid w:val="38152550"/>
    <w:rsid w:val="38296C89"/>
    <w:rsid w:val="383002EB"/>
    <w:rsid w:val="38455560"/>
    <w:rsid w:val="38586797"/>
    <w:rsid w:val="386B0CDD"/>
    <w:rsid w:val="388F0AF6"/>
    <w:rsid w:val="38A15575"/>
    <w:rsid w:val="38AC7765"/>
    <w:rsid w:val="38B970EE"/>
    <w:rsid w:val="38BC0149"/>
    <w:rsid w:val="38D87D1C"/>
    <w:rsid w:val="39636459"/>
    <w:rsid w:val="396B7F6C"/>
    <w:rsid w:val="39A2421E"/>
    <w:rsid w:val="39B417A9"/>
    <w:rsid w:val="39DF43AD"/>
    <w:rsid w:val="39FC5695"/>
    <w:rsid w:val="3A006D8E"/>
    <w:rsid w:val="3A0E4C4C"/>
    <w:rsid w:val="3A325BDD"/>
    <w:rsid w:val="3A3651E5"/>
    <w:rsid w:val="3A3A2CE3"/>
    <w:rsid w:val="3A5829AD"/>
    <w:rsid w:val="3A6649E1"/>
    <w:rsid w:val="3A744481"/>
    <w:rsid w:val="3A8C7BEF"/>
    <w:rsid w:val="3A906246"/>
    <w:rsid w:val="3AA1137B"/>
    <w:rsid w:val="3AC42F59"/>
    <w:rsid w:val="3ACE7FFB"/>
    <w:rsid w:val="3B102253"/>
    <w:rsid w:val="3B143534"/>
    <w:rsid w:val="3B2349B7"/>
    <w:rsid w:val="3B392F9B"/>
    <w:rsid w:val="3B616CFF"/>
    <w:rsid w:val="3B6259F6"/>
    <w:rsid w:val="3B6C6D0D"/>
    <w:rsid w:val="3B871A39"/>
    <w:rsid w:val="3B8763FC"/>
    <w:rsid w:val="3B8C57C0"/>
    <w:rsid w:val="3B976654"/>
    <w:rsid w:val="3BC01EFC"/>
    <w:rsid w:val="3BCA786A"/>
    <w:rsid w:val="3BD14D90"/>
    <w:rsid w:val="3BD31E2F"/>
    <w:rsid w:val="3BDB4052"/>
    <w:rsid w:val="3BF15831"/>
    <w:rsid w:val="3C105946"/>
    <w:rsid w:val="3C471448"/>
    <w:rsid w:val="3C5F759A"/>
    <w:rsid w:val="3C6C525A"/>
    <w:rsid w:val="3C7C75E3"/>
    <w:rsid w:val="3CA408E8"/>
    <w:rsid w:val="3CA54D8C"/>
    <w:rsid w:val="3CCE23CB"/>
    <w:rsid w:val="3CD17D17"/>
    <w:rsid w:val="3CF60D92"/>
    <w:rsid w:val="3D1E68EC"/>
    <w:rsid w:val="3D3C7F39"/>
    <w:rsid w:val="3D440F09"/>
    <w:rsid w:val="3D4504A0"/>
    <w:rsid w:val="3D4772C0"/>
    <w:rsid w:val="3D8734BB"/>
    <w:rsid w:val="3D9A11D4"/>
    <w:rsid w:val="3DA16D89"/>
    <w:rsid w:val="3DA364BE"/>
    <w:rsid w:val="3DAA0180"/>
    <w:rsid w:val="3DE041CB"/>
    <w:rsid w:val="3DFB10CA"/>
    <w:rsid w:val="3E0D48F6"/>
    <w:rsid w:val="3E105D74"/>
    <w:rsid w:val="3E1868B4"/>
    <w:rsid w:val="3E1D3826"/>
    <w:rsid w:val="3E377251"/>
    <w:rsid w:val="3E42664B"/>
    <w:rsid w:val="3E5A7334"/>
    <w:rsid w:val="3E7B5D6B"/>
    <w:rsid w:val="3E843E66"/>
    <w:rsid w:val="3E863059"/>
    <w:rsid w:val="3E8C68AA"/>
    <w:rsid w:val="3E8F51FE"/>
    <w:rsid w:val="3E926F87"/>
    <w:rsid w:val="3E9A59DE"/>
    <w:rsid w:val="3EAF4836"/>
    <w:rsid w:val="3EC33DFA"/>
    <w:rsid w:val="3F060E16"/>
    <w:rsid w:val="3F1D1096"/>
    <w:rsid w:val="3F2F0234"/>
    <w:rsid w:val="3F487C50"/>
    <w:rsid w:val="3F4C2F2D"/>
    <w:rsid w:val="3F4C7741"/>
    <w:rsid w:val="3F6363FE"/>
    <w:rsid w:val="3F6A5FB5"/>
    <w:rsid w:val="3F756B8F"/>
    <w:rsid w:val="3F95482B"/>
    <w:rsid w:val="3FA90D41"/>
    <w:rsid w:val="400B7EEB"/>
    <w:rsid w:val="4019356B"/>
    <w:rsid w:val="40592157"/>
    <w:rsid w:val="406E1CAE"/>
    <w:rsid w:val="407D1B7C"/>
    <w:rsid w:val="409B2AA2"/>
    <w:rsid w:val="40A0133A"/>
    <w:rsid w:val="40C31A53"/>
    <w:rsid w:val="40FF545D"/>
    <w:rsid w:val="410067C8"/>
    <w:rsid w:val="410F5B71"/>
    <w:rsid w:val="412169AB"/>
    <w:rsid w:val="41237893"/>
    <w:rsid w:val="4151103E"/>
    <w:rsid w:val="418F0D2A"/>
    <w:rsid w:val="419865C3"/>
    <w:rsid w:val="41A86B47"/>
    <w:rsid w:val="41C42BF4"/>
    <w:rsid w:val="41C537DA"/>
    <w:rsid w:val="41D01505"/>
    <w:rsid w:val="41D8350E"/>
    <w:rsid w:val="41DD5D1C"/>
    <w:rsid w:val="41EE72BB"/>
    <w:rsid w:val="41FD2C96"/>
    <w:rsid w:val="42022339"/>
    <w:rsid w:val="421D53C4"/>
    <w:rsid w:val="42417305"/>
    <w:rsid w:val="42474939"/>
    <w:rsid w:val="424C3C57"/>
    <w:rsid w:val="42613FF3"/>
    <w:rsid w:val="42660D96"/>
    <w:rsid w:val="428667D2"/>
    <w:rsid w:val="42C22B17"/>
    <w:rsid w:val="42CD1CE0"/>
    <w:rsid w:val="42E1381E"/>
    <w:rsid w:val="42ED6459"/>
    <w:rsid w:val="42FE58DD"/>
    <w:rsid w:val="430805CF"/>
    <w:rsid w:val="43174B3D"/>
    <w:rsid w:val="434B790E"/>
    <w:rsid w:val="4360274F"/>
    <w:rsid w:val="4369300C"/>
    <w:rsid w:val="43977AB6"/>
    <w:rsid w:val="43A3342B"/>
    <w:rsid w:val="43C113B5"/>
    <w:rsid w:val="43C77C27"/>
    <w:rsid w:val="43DE09EE"/>
    <w:rsid w:val="43EA39CC"/>
    <w:rsid w:val="44002FAD"/>
    <w:rsid w:val="440F77DD"/>
    <w:rsid w:val="44174342"/>
    <w:rsid w:val="449101DD"/>
    <w:rsid w:val="44A771C7"/>
    <w:rsid w:val="44C456D6"/>
    <w:rsid w:val="44C50FE3"/>
    <w:rsid w:val="44DA4549"/>
    <w:rsid w:val="44DE1391"/>
    <w:rsid w:val="451A3E3D"/>
    <w:rsid w:val="451B225C"/>
    <w:rsid w:val="452410C9"/>
    <w:rsid w:val="45317DFB"/>
    <w:rsid w:val="453E5D7D"/>
    <w:rsid w:val="456D3CE4"/>
    <w:rsid w:val="4579042C"/>
    <w:rsid w:val="457F0571"/>
    <w:rsid w:val="45851176"/>
    <w:rsid w:val="45C63B94"/>
    <w:rsid w:val="460E7DA5"/>
    <w:rsid w:val="463F7FFF"/>
    <w:rsid w:val="46422483"/>
    <w:rsid w:val="4651388E"/>
    <w:rsid w:val="46560EA5"/>
    <w:rsid w:val="4659254A"/>
    <w:rsid w:val="465B0637"/>
    <w:rsid w:val="465E3F0D"/>
    <w:rsid w:val="466435C2"/>
    <w:rsid w:val="466A16E6"/>
    <w:rsid w:val="46787D0F"/>
    <w:rsid w:val="46841EB6"/>
    <w:rsid w:val="46893F2B"/>
    <w:rsid w:val="4691012F"/>
    <w:rsid w:val="46C4686E"/>
    <w:rsid w:val="46DC584E"/>
    <w:rsid w:val="46E42955"/>
    <w:rsid w:val="46E93AC7"/>
    <w:rsid w:val="476B0980"/>
    <w:rsid w:val="477B778F"/>
    <w:rsid w:val="478203EC"/>
    <w:rsid w:val="47B025FA"/>
    <w:rsid w:val="47B32CB9"/>
    <w:rsid w:val="47B5127A"/>
    <w:rsid w:val="47E95088"/>
    <w:rsid w:val="4809698F"/>
    <w:rsid w:val="4811697D"/>
    <w:rsid w:val="481422EF"/>
    <w:rsid w:val="482C2169"/>
    <w:rsid w:val="48742673"/>
    <w:rsid w:val="487A3E25"/>
    <w:rsid w:val="488B5503"/>
    <w:rsid w:val="48937E21"/>
    <w:rsid w:val="489932CB"/>
    <w:rsid w:val="489A0361"/>
    <w:rsid w:val="48B94FF3"/>
    <w:rsid w:val="48DB50DD"/>
    <w:rsid w:val="48E37AAB"/>
    <w:rsid w:val="48FD4B4C"/>
    <w:rsid w:val="490A68E0"/>
    <w:rsid w:val="491055FE"/>
    <w:rsid w:val="495F5B3E"/>
    <w:rsid w:val="496164DE"/>
    <w:rsid w:val="496F77D7"/>
    <w:rsid w:val="497654FD"/>
    <w:rsid w:val="4984282A"/>
    <w:rsid w:val="499D5953"/>
    <w:rsid w:val="49B03EC5"/>
    <w:rsid w:val="49B64211"/>
    <w:rsid w:val="49E56AF9"/>
    <w:rsid w:val="49EA4168"/>
    <w:rsid w:val="49F6167F"/>
    <w:rsid w:val="4A064FA0"/>
    <w:rsid w:val="4A0D4D0D"/>
    <w:rsid w:val="4A16615C"/>
    <w:rsid w:val="4A4424D7"/>
    <w:rsid w:val="4AB82D0F"/>
    <w:rsid w:val="4AEB7664"/>
    <w:rsid w:val="4AFD7C19"/>
    <w:rsid w:val="4AFE2097"/>
    <w:rsid w:val="4B0567D1"/>
    <w:rsid w:val="4B236AAE"/>
    <w:rsid w:val="4B28664A"/>
    <w:rsid w:val="4B3E611B"/>
    <w:rsid w:val="4B707271"/>
    <w:rsid w:val="4B9739F7"/>
    <w:rsid w:val="4BEE2503"/>
    <w:rsid w:val="4C094780"/>
    <w:rsid w:val="4C101AF6"/>
    <w:rsid w:val="4C245A30"/>
    <w:rsid w:val="4C520360"/>
    <w:rsid w:val="4C596AD0"/>
    <w:rsid w:val="4C653BF0"/>
    <w:rsid w:val="4CB55159"/>
    <w:rsid w:val="4CB6685F"/>
    <w:rsid w:val="4CB9218D"/>
    <w:rsid w:val="4CC367FE"/>
    <w:rsid w:val="4CCD4891"/>
    <w:rsid w:val="4D077F3C"/>
    <w:rsid w:val="4D123355"/>
    <w:rsid w:val="4D2A3B31"/>
    <w:rsid w:val="4D312C52"/>
    <w:rsid w:val="4D6D60D4"/>
    <w:rsid w:val="4D8602C2"/>
    <w:rsid w:val="4D905305"/>
    <w:rsid w:val="4D964A72"/>
    <w:rsid w:val="4D9C1254"/>
    <w:rsid w:val="4DD52FF7"/>
    <w:rsid w:val="4DE6535D"/>
    <w:rsid w:val="4DE77186"/>
    <w:rsid w:val="4E1C4782"/>
    <w:rsid w:val="4E52289A"/>
    <w:rsid w:val="4E646EC9"/>
    <w:rsid w:val="4E793892"/>
    <w:rsid w:val="4E800872"/>
    <w:rsid w:val="4EC569ED"/>
    <w:rsid w:val="4ED50EA1"/>
    <w:rsid w:val="4EE51543"/>
    <w:rsid w:val="4EEC050C"/>
    <w:rsid w:val="4EF53E96"/>
    <w:rsid w:val="4EFA2BDD"/>
    <w:rsid w:val="4F104EC3"/>
    <w:rsid w:val="4F421CD5"/>
    <w:rsid w:val="4F47354A"/>
    <w:rsid w:val="4F824AB9"/>
    <w:rsid w:val="4F911C54"/>
    <w:rsid w:val="4FA97718"/>
    <w:rsid w:val="4FB82756"/>
    <w:rsid w:val="4FCF4FD5"/>
    <w:rsid w:val="4FE625E0"/>
    <w:rsid w:val="5021480F"/>
    <w:rsid w:val="50485234"/>
    <w:rsid w:val="50624940"/>
    <w:rsid w:val="50842909"/>
    <w:rsid w:val="50962ECB"/>
    <w:rsid w:val="50A42E38"/>
    <w:rsid w:val="50A4577F"/>
    <w:rsid w:val="50B73D1F"/>
    <w:rsid w:val="50BD5BC9"/>
    <w:rsid w:val="50C11EEE"/>
    <w:rsid w:val="50D35260"/>
    <w:rsid w:val="50E97CFC"/>
    <w:rsid w:val="50FA4028"/>
    <w:rsid w:val="510D65B7"/>
    <w:rsid w:val="511157AB"/>
    <w:rsid w:val="5142540C"/>
    <w:rsid w:val="514C786D"/>
    <w:rsid w:val="515B2086"/>
    <w:rsid w:val="518832C8"/>
    <w:rsid w:val="519D3C50"/>
    <w:rsid w:val="51A0432A"/>
    <w:rsid w:val="51A86090"/>
    <w:rsid w:val="51B11685"/>
    <w:rsid w:val="51B7396D"/>
    <w:rsid w:val="51E8779D"/>
    <w:rsid w:val="51F30453"/>
    <w:rsid w:val="51FD48CA"/>
    <w:rsid w:val="521A722A"/>
    <w:rsid w:val="522566F6"/>
    <w:rsid w:val="522E4CC3"/>
    <w:rsid w:val="52410C5B"/>
    <w:rsid w:val="5244713B"/>
    <w:rsid w:val="524612F1"/>
    <w:rsid w:val="52470D8A"/>
    <w:rsid w:val="52615633"/>
    <w:rsid w:val="526F4DE4"/>
    <w:rsid w:val="52977FD4"/>
    <w:rsid w:val="529E1C09"/>
    <w:rsid w:val="52A25790"/>
    <w:rsid w:val="52A96B6F"/>
    <w:rsid w:val="52B45975"/>
    <w:rsid w:val="52D941BD"/>
    <w:rsid w:val="52D94AA4"/>
    <w:rsid w:val="52EA3A62"/>
    <w:rsid w:val="52EF249C"/>
    <w:rsid w:val="52F50BB8"/>
    <w:rsid w:val="53097272"/>
    <w:rsid w:val="530F33D5"/>
    <w:rsid w:val="5325232B"/>
    <w:rsid w:val="532760A3"/>
    <w:rsid w:val="53544462"/>
    <w:rsid w:val="53645199"/>
    <w:rsid w:val="5397158E"/>
    <w:rsid w:val="54013861"/>
    <w:rsid w:val="54487265"/>
    <w:rsid w:val="544D6070"/>
    <w:rsid w:val="54605E1E"/>
    <w:rsid w:val="548775A4"/>
    <w:rsid w:val="54A92AE8"/>
    <w:rsid w:val="54B3506A"/>
    <w:rsid w:val="54C92C61"/>
    <w:rsid w:val="54CA0D16"/>
    <w:rsid w:val="54CF5376"/>
    <w:rsid w:val="54DD4057"/>
    <w:rsid w:val="54E7490F"/>
    <w:rsid w:val="54F77CF7"/>
    <w:rsid w:val="5501720B"/>
    <w:rsid w:val="550764A4"/>
    <w:rsid w:val="550B2BF6"/>
    <w:rsid w:val="551D6D2B"/>
    <w:rsid w:val="55214EB5"/>
    <w:rsid w:val="55364EFD"/>
    <w:rsid w:val="555D4828"/>
    <w:rsid w:val="556209BE"/>
    <w:rsid w:val="55747B81"/>
    <w:rsid w:val="557A4C8B"/>
    <w:rsid w:val="558931E1"/>
    <w:rsid w:val="55923347"/>
    <w:rsid w:val="55925180"/>
    <w:rsid w:val="55983B1B"/>
    <w:rsid w:val="55A8376B"/>
    <w:rsid w:val="55DB0E2F"/>
    <w:rsid w:val="55DC29B6"/>
    <w:rsid w:val="55DD4241"/>
    <w:rsid w:val="55F0410E"/>
    <w:rsid w:val="56114643"/>
    <w:rsid w:val="562459D0"/>
    <w:rsid w:val="5648259F"/>
    <w:rsid w:val="566B6D1E"/>
    <w:rsid w:val="56AE1F43"/>
    <w:rsid w:val="56B22127"/>
    <w:rsid w:val="56CE0A22"/>
    <w:rsid w:val="56FEA661"/>
    <w:rsid w:val="57032A2C"/>
    <w:rsid w:val="57065C67"/>
    <w:rsid w:val="570F5219"/>
    <w:rsid w:val="57233025"/>
    <w:rsid w:val="574014E1"/>
    <w:rsid w:val="575D12B5"/>
    <w:rsid w:val="57610A87"/>
    <w:rsid w:val="577B1140"/>
    <w:rsid w:val="577B7F21"/>
    <w:rsid w:val="577F181B"/>
    <w:rsid w:val="57921984"/>
    <w:rsid w:val="579737F0"/>
    <w:rsid w:val="57AB7B30"/>
    <w:rsid w:val="57AF5251"/>
    <w:rsid w:val="57B26373"/>
    <w:rsid w:val="57B63F04"/>
    <w:rsid w:val="57CD20C2"/>
    <w:rsid w:val="57D675AB"/>
    <w:rsid w:val="57D95FDD"/>
    <w:rsid w:val="57E52089"/>
    <w:rsid w:val="57FE314A"/>
    <w:rsid w:val="580469B3"/>
    <w:rsid w:val="58111B8A"/>
    <w:rsid w:val="583A7BD1"/>
    <w:rsid w:val="58917D2F"/>
    <w:rsid w:val="5894085C"/>
    <w:rsid w:val="58AD7819"/>
    <w:rsid w:val="58AE4F0C"/>
    <w:rsid w:val="58B550E8"/>
    <w:rsid w:val="58B85899"/>
    <w:rsid w:val="58E363A9"/>
    <w:rsid w:val="58ED7447"/>
    <w:rsid w:val="58F073E9"/>
    <w:rsid w:val="59481887"/>
    <w:rsid w:val="595E1678"/>
    <w:rsid w:val="596D5BD4"/>
    <w:rsid w:val="597E3DD8"/>
    <w:rsid w:val="59AE2100"/>
    <w:rsid w:val="59D73B80"/>
    <w:rsid w:val="59F80043"/>
    <w:rsid w:val="5A09252F"/>
    <w:rsid w:val="5A0B2778"/>
    <w:rsid w:val="5A0C7DA1"/>
    <w:rsid w:val="5A2A7C7B"/>
    <w:rsid w:val="5A3E2560"/>
    <w:rsid w:val="5A5D3B6E"/>
    <w:rsid w:val="5A637A76"/>
    <w:rsid w:val="5A66794F"/>
    <w:rsid w:val="5A6D33BA"/>
    <w:rsid w:val="5A792B1F"/>
    <w:rsid w:val="5A874767"/>
    <w:rsid w:val="5A9A5A7D"/>
    <w:rsid w:val="5AA85BE2"/>
    <w:rsid w:val="5AAD6F28"/>
    <w:rsid w:val="5AB72D62"/>
    <w:rsid w:val="5ACE7BF9"/>
    <w:rsid w:val="5AD63A24"/>
    <w:rsid w:val="5AE55E93"/>
    <w:rsid w:val="5AEB02CA"/>
    <w:rsid w:val="5B084A0C"/>
    <w:rsid w:val="5B1F3B03"/>
    <w:rsid w:val="5B2E1A1D"/>
    <w:rsid w:val="5B6A70B3"/>
    <w:rsid w:val="5B7C624E"/>
    <w:rsid w:val="5B7C6858"/>
    <w:rsid w:val="5B843A1C"/>
    <w:rsid w:val="5B873E3F"/>
    <w:rsid w:val="5BAD3F20"/>
    <w:rsid w:val="5BE659D3"/>
    <w:rsid w:val="5BEC1C38"/>
    <w:rsid w:val="5C02690E"/>
    <w:rsid w:val="5C084598"/>
    <w:rsid w:val="5C196DA7"/>
    <w:rsid w:val="5C2A048C"/>
    <w:rsid w:val="5C531CB7"/>
    <w:rsid w:val="5C80234E"/>
    <w:rsid w:val="5C853E3A"/>
    <w:rsid w:val="5C8A680C"/>
    <w:rsid w:val="5C9B540C"/>
    <w:rsid w:val="5CBD35D4"/>
    <w:rsid w:val="5CCC49CC"/>
    <w:rsid w:val="5D0C4701"/>
    <w:rsid w:val="5D0F0395"/>
    <w:rsid w:val="5D221076"/>
    <w:rsid w:val="5D397964"/>
    <w:rsid w:val="5D3C274B"/>
    <w:rsid w:val="5D3C6BEF"/>
    <w:rsid w:val="5D5A391C"/>
    <w:rsid w:val="5D5F10C0"/>
    <w:rsid w:val="5D5F28DD"/>
    <w:rsid w:val="5D891B7B"/>
    <w:rsid w:val="5DA12EF6"/>
    <w:rsid w:val="5DAD38EE"/>
    <w:rsid w:val="5DB34682"/>
    <w:rsid w:val="5DCC3193"/>
    <w:rsid w:val="5DDE1A54"/>
    <w:rsid w:val="5DE35818"/>
    <w:rsid w:val="5E006862"/>
    <w:rsid w:val="5E0207B9"/>
    <w:rsid w:val="5E18282C"/>
    <w:rsid w:val="5E1834A1"/>
    <w:rsid w:val="5E261785"/>
    <w:rsid w:val="5E4A7017"/>
    <w:rsid w:val="5E552BBA"/>
    <w:rsid w:val="5E5B30A5"/>
    <w:rsid w:val="5E611C10"/>
    <w:rsid w:val="5E7A0F3F"/>
    <w:rsid w:val="5EBF3F02"/>
    <w:rsid w:val="5EC55E0B"/>
    <w:rsid w:val="5ED255ED"/>
    <w:rsid w:val="5EDC21AD"/>
    <w:rsid w:val="5EFC7377"/>
    <w:rsid w:val="5F06174D"/>
    <w:rsid w:val="5F3A3602"/>
    <w:rsid w:val="5F45733B"/>
    <w:rsid w:val="5F49114F"/>
    <w:rsid w:val="5F6277C6"/>
    <w:rsid w:val="5F6D0B1D"/>
    <w:rsid w:val="5F73441E"/>
    <w:rsid w:val="5F8D0B82"/>
    <w:rsid w:val="5FC33DAA"/>
    <w:rsid w:val="5FC44C79"/>
    <w:rsid w:val="5FCC5339"/>
    <w:rsid w:val="5FE27823"/>
    <w:rsid w:val="5FE34A5B"/>
    <w:rsid w:val="5FFE1E36"/>
    <w:rsid w:val="60040DF5"/>
    <w:rsid w:val="600541E1"/>
    <w:rsid w:val="60232584"/>
    <w:rsid w:val="602C7934"/>
    <w:rsid w:val="607330CE"/>
    <w:rsid w:val="60771CEC"/>
    <w:rsid w:val="60825176"/>
    <w:rsid w:val="609F2AC4"/>
    <w:rsid w:val="60A96DF9"/>
    <w:rsid w:val="60AA20C1"/>
    <w:rsid w:val="60FA2EE8"/>
    <w:rsid w:val="61054A27"/>
    <w:rsid w:val="610A52BC"/>
    <w:rsid w:val="611D2366"/>
    <w:rsid w:val="61421856"/>
    <w:rsid w:val="615227C4"/>
    <w:rsid w:val="615F4C5A"/>
    <w:rsid w:val="61654E3F"/>
    <w:rsid w:val="616C7377"/>
    <w:rsid w:val="6182292A"/>
    <w:rsid w:val="61854A58"/>
    <w:rsid w:val="619F7F92"/>
    <w:rsid w:val="61AA449F"/>
    <w:rsid w:val="61AD1FCB"/>
    <w:rsid w:val="61F94C26"/>
    <w:rsid w:val="62000E56"/>
    <w:rsid w:val="62127771"/>
    <w:rsid w:val="621A6DD3"/>
    <w:rsid w:val="623E0D13"/>
    <w:rsid w:val="62456545"/>
    <w:rsid w:val="624F3E49"/>
    <w:rsid w:val="62632286"/>
    <w:rsid w:val="627C4C22"/>
    <w:rsid w:val="62885958"/>
    <w:rsid w:val="62E7170F"/>
    <w:rsid w:val="62F40B65"/>
    <w:rsid w:val="62FC2CFE"/>
    <w:rsid w:val="63024505"/>
    <w:rsid w:val="635600A5"/>
    <w:rsid w:val="63585E05"/>
    <w:rsid w:val="635B1DB5"/>
    <w:rsid w:val="63711FED"/>
    <w:rsid w:val="63880DDC"/>
    <w:rsid w:val="638D750D"/>
    <w:rsid w:val="63A96B34"/>
    <w:rsid w:val="63AC6CC0"/>
    <w:rsid w:val="63C74D38"/>
    <w:rsid w:val="63E44975"/>
    <w:rsid w:val="64055776"/>
    <w:rsid w:val="641A5B2A"/>
    <w:rsid w:val="64240056"/>
    <w:rsid w:val="64307051"/>
    <w:rsid w:val="64374502"/>
    <w:rsid w:val="643E143A"/>
    <w:rsid w:val="64491666"/>
    <w:rsid w:val="64637041"/>
    <w:rsid w:val="647A1DAB"/>
    <w:rsid w:val="64835103"/>
    <w:rsid w:val="648B6EEF"/>
    <w:rsid w:val="64942E6C"/>
    <w:rsid w:val="64A245A7"/>
    <w:rsid w:val="64C158BF"/>
    <w:rsid w:val="64CE2EAA"/>
    <w:rsid w:val="64EA6F30"/>
    <w:rsid w:val="653C3090"/>
    <w:rsid w:val="658253BB"/>
    <w:rsid w:val="65854376"/>
    <w:rsid w:val="658767BE"/>
    <w:rsid w:val="65892531"/>
    <w:rsid w:val="658D6606"/>
    <w:rsid w:val="65B456E9"/>
    <w:rsid w:val="65B83E75"/>
    <w:rsid w:val="65DB34E2"/>
    <w:rsid w:val="65F94B59"/>
    <w:rsid w:val="65FB38DF"/>
    <w:rsid w:val="66195831"/>
    <w:rsid w:val="662E75B1"/>
    <w:rsid w:val="66342C2E"/>
    <w:rsid w:val="663E784C"/>
    <w:rsid w:val="66486ECB"/>
    <w:rsid w:val="66650523"/>
    <w:rsid w:val="66777468"/>
    <w:rsid w:val="668B6A45"/>
    <w:rsid w:val="6692787F"/>
    <w:rsid w:val="67011F07"/>
    <w:rsid w:val="670A2C3F"/>
    <w:rsid w:val="672F3F24"/>
    <w:rsid w:val="673E055F"/>
    <w:rsid w:val="67551CE3"/>
    <w:rsid w:val="675E2E21"/>
    <w:rsid w:val="676034DA"/>
    <w:rsid w:val="67A22552"/>
    <w:rsid w:val="67B22DCC"/>
    <w:rsid w:val="67BE71AA"/>
    <w:rsid w:val="67D90273"/>
    <w:rsid w:val="67DE5875"/>
    <w:rsid w:val="67E55852"/>
    <w:rsid w:val="67EB1AB4"/>
    <w:rsid w:val="67FA1285"/>
    <w:rsid w:val="68490412"/>
    <w:rsid w:val="68551F4F"/>
    <w:rsid w:val="68740992"/>
    <w:rsid w:val="687C10C9"/>
    <w:rsid w:val="688318BB"/>
    <w:rsid w:val="68840C16"/>
    <w:rsid w:val="68872541"/>
    <w:rsid w:val="68876EFB"/>
    <w:rsid w:val="68884654"/>
    <w:rsid w:val="689B4205"/>
    <w:rsid w:val="689F444F"/>
    <w:rsid w:val="68B96DBB"/>
    <w:rsid w:val="68C25135"/>
    <w:rsid w:val="68CA2805"/>
    <w:rsid w:val="68E937A3"/>
    <w:rsid w:val="68F62348"/>
    <w:rsid w:val="691664E5"/>
    <w:rsid w:val="692F47D3"/>
    <w:rsid w:val="693C468A"/>
    <w:rsid w:val="693E15D3"/>
    <w:rsid w:val="69627681"/>
    <w:rsid w:val="69761D0D"/>
    <w:rsid w:val="6977531D"/>
    <w:rsid w:val="69872FA0"/>
    <w:rsid w:val="699345C0"/>
    <w:rsid w:val="69CC2BFF"/>
    <w:rsid w:val="69FA23B9"/>
    <w:rsid w:val="69FD55B8"/>
    <w:rsid w:val="6A0B1C62"/>
    <w:rsid w:val="6A1A23AB"/>
    <w:rsid w:val="6A2406C8"/>
    <w:rsid w:val="6A266C5C"/>
    <w:rsid w:val="6A4E0C27"/>
    <w:rsid w:val="6A576E16"/>
    <w:rsid w:val="6A7A7A4A"/>
    <w:rsid w:val="6A835E5D"/>
    <w:rsid w:val="6AD541DF"/>
    <w:rsid w:val="6ADE0BD1"/>
    <w:rsid w:val="6AE96859"/>
    <w:rsid w:val="6B147746"/>
    <w:rsid w:val="6B24787C"/>
    <w:rsid w:val="6B320C62"/>
    <w:rsid w:val="6B3A77B8"/>
    <w:rsid w:val="6B573233"/>
    <w:rsid w:val="6B596BBE"/>
    <w:rsid w:val="6B5B6274"/>
    <w:rsid w:val="6B826114"/>
    <w:rsid w:val="6B935D53"/>
    <w:rsid w:val="6C196F71"/>
    <w:rsid w:val="6C226FCB"/>
    <w:rsid w:val="6C290BCE"/>
    <w:rsid w:val="6C31226F"/>
    <w:rsid w:val="6C552F0B"/>
    <w:rsid w:val="6C8C67B7"/>
    <w:rsid w:val="6C9D744C"/>
    <w:rsid w:val="6CE16E6B"/>
    <w:rsid w:val="6D167928"/>
    <w:rsid w:val="6D26299B"/>
    <w:rsid w:val="6D326E35"/>
    <w:rsid w:val="6D3B3907"/>
    <w:rsid w:val="6D4772EC"/>
    <w:rsid w:val="6D9078AF"/>
    <w:rsid w:val="6DAA3FEF"/>
    <w:rsid w:val="6DC0172B"/>
    <w:rsid w:val="6DCB690C"/>
    <w:rsid w:val="6DD41A5B"/>
    <w:rsid w:val="6DD836B7"/>
    <w:rsid w:val="6DF43C2E"/>
    <w:rsid w:val="6DF51CA3"/>
    <w:rsid w:val="6DFB3020"/>
    <w:rsid w:val="6DFE45FE"/>
    <w:rsid w:val="6E573394"/>
    <w:rsid w:val="6E8335BD"/>
    <w:rsid w:val="6E8E12EF"/>
    <w:rsid w:val="6E972936"/>
    <w:rsid w:val="6EB71E86"/>
    <w:rsid w:val="6EC95E08"/>
    <w:rsid w:val="6ED446C5"/>
    <w:rsid w:val="6F194FEF"/>
    <w:rsid w:val="6F1B37A3"/>
    <w:rsid w:val="6F2A7D94"/>
    <w:rsid w:val="6F60676D"/>
    <w:rsid w:val="6F7A1F50"/>
    <w:rsid w:val="6F8331F1"/>
    <w:rsid w:val="6F9957DB"/>
    <w:rsid w:val="6FAE1A09"/>
    <w:rsid w:val="6FBD3F60"/>
    <w:rsid w:val="6FD75BF8"/>
    <w:rsid w:val="6FE611BF"/>
    <w:rsid w:val="70486773"/>
    <w:rsid w:val="707723D0"/>
    <w:rsid w:val="709C1A26"/>
    <w:rsid w:val="70F5661B"/>
    <w:rsid w:val="70FA674D"/>
    <w:rsid w:val="71360107"/>
    <w:rsid w:val="713B688E"/>
    <w:rsid w:val="718A3256"/>
    <w:rsid w:val="719F13E2"/>
    <w:rsid w:val="71BA64CE"/>
    <w:rsid w:val="71D43752"/>
    <w:rsid w:val="71F1796A"/>
    <w:rsid w:val="72154626"/>
    <w:rsid w:val="72262B5D"/>
    <w:rsid w:val="72283FF7"/>
    <w:rsid w:val="722B2DE0"/>
    <w:rsid w:val="722E7212"/>
    <w:rsid w:val="72395053"/>
    <w:rsid w:val="723A0474"/>
    <w:rsid w:val="725923E4"/>
    <w:rsid w:val="72864BF7"/>
    <w:rsid w:val="729023FC"/>
    <w:rsid w:val="72AF5B76"/>
    <w:rsid w:val="72B556A2"/>
    <w:rsid w:val="730317BE"/>
    <w:rsid w:val="732E4058"/>
    <w:rsid w:val="73397A01"/>
    <w:rsid w:val="73685A65"/>
    <w:rsid w:val="73785C5C"/>
    <w:rsid w:val="73C0646E"/>
    <w:rsid w:val="73CD7B7E"/>
    <w:rsid w:val="73F25E01"/>
    <w:rsid w:val="73FF4479"/>
    <w:rsid w:val="74082FD3"/>
    <w:rsid w:val="742222F5"/>
    <w:rsid w:val="74367A9C"/>
    <w:rsid w:val="74476126"/>
    <w:rsid w:val="74706664"/>
    <w:rsid w:val="747F3682"/>
    <w:rsid w:val="749C4185"/>
    <w:rsid w:val="74F052E2"/>
    <w:rsid w:val="75067759"/>
    <w:rsid w:val="751002ED"/>
    <w:rsid w:val="752E6DCD"/>
    <w:rsid w:val="75502DDF"/>
    <w:rsid w:val="7551380D"/>
    <w:rsid w:val="75600BE5"/>
    <w:rsid w:val="75631A34"/>
    <w:rsid w:val="7564475C"/>
    <w:rsid w:val="75653AF5"/>
    <w:rsid w:val="75745D3F"/>
    <w:rsid w:val="757F6A15"/>
    <w:rsid w:val="7583797F"/>
    <w:rsid w:val="7596337E"/>
    <w:rsid w:val="75A2116D"/>
    <w:rsid w:val="75B23A9A"/>
    <w:rsid w:val="75BE243F"/>
    <w:rsid w:val="75BF6404"/>
    <w:rsid w:val="75D20F1D"/>
    <w:rsid w:val="75DA2C18"/>
    <w:rsid w:val="75F2562F"/>
    <w:rsid w:val="75F54412"/>
    <w:rsid w:val="76041DAB"/>
    <w:rsid w:val="761D08E0"/>
    <w:rsid w:val="765D347C"/>
    <w:rsid w:val="76826699"/>
    <w:rsid w:val="76835978"/>
    <w:rsid w:val="76C87133"/>
    <w:rsid w:val="76CD08D5"/>
    <w:rsid w:val="76DB4B92"/>
    <w:rsid w:val="76DF2D92"/>
    <w:rsid w:val="76FD013A"/>
    <w:rsid w:val="77052AA4"/>
    <w:rsid w:val="770B5767"/>
    <w:rsid w:val="77136511"/>
    <w:rsid w:val="77226D00"/>
    <w:rsid w:val="77340A39"/>
    <w:rsid w:val="77351FD0"/>
    <w:rsid w:val="77373422"/>
    <w:rsid w:val="77472422"/>
    <w:rsid w:val="77737FC6"/>
    <w:rsid w:val="777F31F2"/>
    <w:rsid w:val="7785045D"/>
    <w:rsid w:val="77881F27"/>
    <w:rsid w:val="77D1700D"/>
    <w:rsid w:val="77EC04CC"/>
    <w:rsid w:val="7809377A"/>
    <w:rsid w:val="780A658D"/>
    <w:rsid w:val="78203BB8"/>
    <w:rsid w:val="78767001"/>
    <w:rsid w:val="78775729"/>
    <w:rsid w:val="78860201"/>
    <w:rsid w:val="78A42DB0"/>
    <w:rsid w:val="78A656AB"/>
    <w:rsid w:val="78B2245C"/>
    <w:rsid w:val="78D14237"/>
    <w:rsid w:val="78DB3308"/>
    <w:rsid w:val="78DD498A"/>
    <w:rsid w:val="78E172CC"/>
    <w:rsid w:val="78EA1D1F"/>
    <w:rsid w:val="7904172F"/>
    <w:rsid w:val="790F7E27"/>
    <w:rsid w:val="79260B03"/>
    <w:rsid w:val="792A231A"/>
    <w:rsid w:val="79316829"/>
    <w:rsid w:val="796755F7"/>
    <w:rsid w:val="797E66A9"/>
    <w:rsid w:val="798518A4"/>
    <w:rsid w:val="79A97383"/>
    <w:rsid w:val="79E27E8B"/>
    <w:rsid w:val="79F850CE"/>
    <w:rsid w:val="79FD443C"/>
    <w:rsid w:val="7A057D3D"/>
    <w:rsid w:val="7A064F65"/>
    <w:rsid w:val="7A0F14BB"/>
    <w:rsid w:val="7A100D8F"/>
    <w:rsid w:val="7A1D1975"/>
    <w:rsid w:val="7A252783"/>
    <w:rsid w:val="7A3E5150"/>
    <w:rsid w:val="7A4670D6"/>
    <w:rsid w:val="7A534B63"/>
    <w:rsid w:val="7A615382"/>
    <w:rsid w:val="7A67303B"/>
    <w:rsid w:val="7A7E5EC2"/>
    <w:rsid w:val="7AAB1D04"/>
    <w:rsid w:val="7ABA4368"/>
    <w:rsid w:val="7AC30558"/>
    <w:rsid w:val="7AD05746"/>
    <w:rsid w:val="7B09796A"/>
    <w:rsid w:val="7B257FFD"/>
    <w:rsid w:val="7B273D20"/>
    <w:rsid w:val="7B343476"/>
    <w:rsid w:val="7B3D087F"/>
    <w:rsid w:val="7B5A2978"/>
    <w:rsid w:val="7B5A7E4C"/>
    <w:rsid w:val="7B667AF9"/>
    <w:rsid w:val="7B7468F8"/>
    <w:rsid w:val="7B8507AF"/>
    <w:rsid w:val="7B8A492B"/>
    <w:rsid w:val="7BA2069C"/>
    <w:rsid w:val="7BB9410A"/>
    <w:rsid w:val="7BD52536"/>
    <w:rsid w:val="7BEE0103"/>
    <w:rsid w:val="7BF344C5"/>
    <w:rsid w:val="7C057575"/>
    <w:rsid w:val="7C0A0FE4"/>
    <w:rsid w:val="7C254906"/>
    <w:rsid w:val="7C3435EB"/>
    <w:rsid w:val="7C424AD8"/>
    <w:rsid w:val="7C53287A"/>
    <w:rsid w:val="7C590818"/>
    <w:rsid w:val="7C7C10F6"/>
    <w:rsid w:val="7C853BEA"/>
    <w:rsid w:val="7C881368"/>
    <w:rsid w:val="7CDD2D69"/>
    <w:rsid w:val="7CE27788"/>
    <w:rsid w:val="7CF77FE5"/>
    <w:rsid w:val="7D0C32F1"/>
    <w:rsid w:val="7D0F408D"/>
    <w:rsid w:val="7D1E37C3"/>
    <w:rsid w:val="7D491C6C"/>
    <w:rsid w:val="7D5429C0"/>
    <w:rsid w:val="7D6E6D43"/>
    <w:rsid w:val="7D7635FF"/>
    <w:rsid w:val="7D7B5785"/>
    <w:rsid w:val="7D8D1888"/>
    <w:rsid w:val="7DB57A34"/>
    <w:rsid w:val="7DE60973"/>
    <w:rsid w:val="7DE7321B"/>
    <w:rsid w:val="7DEE13E8"/>
    <w:rsid w:val="7DEF0916"/>
    <w:rsid w:val="7DFA5FDE"/>
    <w:rsid w:val="7E1E5218"/>
    <w:rsid w:val="7E5A5758"/>
    <w:rsid w:val="7E747B3F"/>
    <w:rsid w:val="7E9A4E1F"/>
    <w:rsid w:val="7EA7723A"/>
    <w:rsid w:val="7EF56FBB"/>
    <w:rsid w:val="7F0768EB"/>
    <w:rsid w:val="7F143BEC"/>
    <w:rsid w:val="7F386C79"/>
    <w:rsid w:val="7F715AF2"/>
    <w:rsid w:val="7F886E69"/>
    <w:rsid w:val="7F92388E"/>
    <w:rsid w:val="7FE05AF6"/>
    <w:rsid w:val="7FEA2E88"/>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03"/>
    <w:autoRedefine/>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1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187"/>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43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99"/>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444"/>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25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408"/>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41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371"/>
    <w:autoRedefine/>
    <w:qFormat/>
    <w:uiPriority w:val="0"/>
    <w:pPr>
      <w:shd w:val="clear" w:color="auto" w:fill="000080"/>
    </w:pPr>
  </w:style>
  <w:style w:type="paragraph" w:styleId="19">
    <w:name w:val="annotation text"/>
    <w:basedOn w:val="1"/>
    <w:link w:val="277"/>
    <w:autoRedefine/>
    <w:qFormat/>
    <w:uiPriority w:val="0"/>
    <w:pPr>
      <w:jc w:val="left"/>
    </w:pPr>
  </w:style>
  <w:style w:type="paragraph" w:styleId="20">
    <w:name w:val="Salutation"/>
    <w:basedOn w:val="1"/>
    <w:next w:val="1"/>
    <w:link w:val="192"/>
    <w:autoRedefine/>
    <w:qFormat/>
    <w:uiPriority w:val="0"/>
    <w:rPr>
      <w:rFonts w:ascii="仿宋_GB2312" w:eastAsia="仿宋_GB2312"/>
      <w:sz w:val="28"/>
      <w:szCs w:val="20"/>
    </w:rPr>
  </w:style>
  <w:style w:type="paragraph" w:styleId="21">
    <w:name w:val="Body Text 3"/>
    <w:basedOn w:val="1"/>
    <w:link w:val="269"/>
    <w:autoRedefine/>
    <w:qFormat/>
    <w:uiPriority w:val="0"/>
    <w:pPr>
      <w:jc w:val="center"/>
    </w:pPr>
    <w:rPr>
      <w:szCs w:val="20"/>
    </w:rPr>
  </w:style>
  <w:style w:type="paragraph" w:styleId="22">
    <w:name w:val="List Bullet 3"/>
    <w:basedOn w:val="1"/>
    <w:autoRedefine/>
    <w:qFormat/>
    <w:uiPriority w:val="0"/>
    <w:pPr>
      <w:snapToGrid w:val="0"/>
      <w:spacing w:line="360" w:lineRule="auto"/>
      <w:ind w:left="360" w:right="238" w:hanging="360"/>
      <w:contextualSpacing/>
    </w:pPr>
    <w:rPr>
      <w:sz w:val="24"/>
    </w:rPr>
  </w:style>
  <w:style w:type="paragraph" w:styleId="23">
    <w:name w:val="Body Text"/>
    <w:basedOn w:val="1"/>
    <w:next w:val="24"/>
    <w:link w:val="405"/>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264"/>
    <w:autoRedefine/>
    <w:qFormat/>
    <w:uiPriority w:val="0"/>
    <w:pPr>
      <w:ind w:firstLine="420"/>
    </w:pPr>
    <w:rPr>
      <w:rFonts w:ascii="Times New Roman" w:hAnsi="Calibri" w:cs="Times New Roman"/>
      <w:snapToGrid/>
      <w:szCs w:val="20"/>
    </w:rPr>
  </w:style>
  <w:style w:type="paragraph" w:styleId="25">
    <w:name w:val="toc 6"/>
    <w:basedOn w:val="1"/>
    <w:next w:val="1"/>
    <w:autoRedefine/>
    <w:qFormat/>
    <w:uiPriority w:val="0"/>
    <w:pPr>
      <w:ind w:left="2100" w:leftChars="1000"/>
    </w:pPr>
  </w:style>
  <w:style w:type="paragraph" w:styleId="26">
    <w:name w:val="Body Text Indent"/>
    <w:basedOn w:val="1"/>
    <w:next w:val="27"/>
    <w:link w:val="353"/>
    <w:autoRedefine/>
    <w:qFormat/>
    <w:uiPriority w:val="0"/>
    <w:pPr>
      <w:spacing w:line="480" w:lineRule="exact"/>
      <w:ind w:firstLine="480" w:firstLineChars="200"/>
    </w:pPr>
    <w:rPr>
      <w:rFonts w:ascii="宋体" w:hAnsi="宋体"/>
      <w:sz w:val="24"/>
    </w:rPr>
  </w:style>
  <w:style w:type="paragraph" w:styleId="27">
    <w:name w:val="Body Text First Indent 2"/>
    <w:basedOn w:val="26"/>
    <w:next w:val="1"/>
    <w:link w:val="147"/>
    <w:autoRedefine/>
    <w:qFormat/>
    <w:uiPriority w:val="0"/>
    <w:pPr>
      <w:adjustRightInd/>
      <w:spacing w:after="120" w:line="240" w:lineRule="auto"/>
      <w:ind w:left="420" w:leftChars="200" w:firstLine="210"/>
    </w:pPr>
    <w:rPr>
      <w:rFonts w:ascii="Times New Roman" w:hAnsi="Times New Roman"/>
      <w:sz w:val="21"/>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330"/>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223"/>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93"/>
    <w:autoRedefine/>
    <w:qFormat/>
    <w:uiPriority w:val="0"/>
    <w:pPr>
      <w:ind w:left="100" w:leftChars="2500"/>
    </w:pPr>
    <w:rPr>
      <w:rFonts w:ascii="宋体"/>
      <w:sz w:val="24"/>
      <w:szCs w:val="21"/>
      <w:lang w:val="zh-CN"/>
    </w:rPr>
  </w:style>
  <w:style w:type="paragraph" w:styleId="39">
    <w:name w:val="Body Text Indent 2"/>
    <w:basedOn w:val="1"/>
    <w:link w:val="286"/>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188"/>
    <w:autoRedefine/>
    <w:qFormat/>
    <w:uiPriority w:val="0"/>
    <w:rPr>
      <w:lang w:val="zh-CN"/>
    </w:rPr>
  </w:style>
  <w:style w:type="paragraph" w:styleId="41">
    <w:name w:val="Balloon Text"/>
    <w:basedOn w:val="1"/>
    <w:link w:val="342"/>
    <w:autoRedefine/>
    <w:qFormat/>
    <w:uiPriority w:val="0"/>
    <w:rPr>
      <w:sz w:val="18"/>
      <w:szCs w:val="18"/>
    </w:rPr>
  </w:style>
  <w:style w:type="paragraph" w:styleId="42">
    <w:name w:val="footer"/>
    <w:basedOn w:val="1"/>
    <w:link w:val="280"/>
    <w:autoRedefine/>
    <w:qFormat/>
    <w:uiPriority w:val="0"/>
    <w:pPr>
      <w:tabs>
        <w:tab w:val="center" w:pos="4153"/>
        <w:tab w:val="right" w:pos="8306"/>
      </w:tabs>
      <w:snapToGrid w:val="0"/>
      <w:jc w:val="left"/>
    </w:pPr>
    <w:rPr>
      <w:sz w:val="18"/>
      <w:szCs w:val="18"/>
    </w:rPr>
  </w:style>
  <w:style w:type="paragraph" w:styleId="43">
    <w:name w:val="header"/>
    <w:basedOn w:val="1"/>
    <w:next w:val="44"/>
    <w:link w:val="26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Quote1"/>
    <w:basedOn w:val="1"/>
    <w:next w:val="1"/>
    <w:qFormat/>
    <w:uiPriority w:val="99"/>
    <w:pPr>
      <w:widowControl/>
      <w:wordWrap w:val="0"/>
      <w:spacing w:before="200" w:after="160"/>
      <w:ind w:left="864" w:right="864"/>
      <w:jc w:val="center"/>
    </w:pPr>
    <w:rPr>
      <w:rFonts w:ascii="宋体"/>
      <w:i/>
      <w:color w:val="404040"/>
    </w:rPr>
  </w:style>
  <w:style w:type="paragraph" w:styleId="45">
    <w:name w:val="Signature"/>
    <w:basedOn w:val="1"/>
    <w:link w:val="299"/>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0"/>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link w:val="24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5"/>
    <w:link w:val="262"/>
    <w:autoRedefine/>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next w:val="56"/>
    <w:link w:val="352"/>
    <w:autoRedefine/>
    <w:qFormat/>
    <w:uiPriority w:val="0"/>
    <w:pPr>
      <w:spacing w:line="360" w:lineRule="auto"/>
      <w:ind w:firstLine="420"/>
    </w:pPr>
    <w:rPr>
      <w:sz w:val="24"/>
      <w:szCs w:val="20"/>
    </w:rPr>
  </w:style>
  <w:style w:type="paragraph" w:customStyle="1" w:styleId="56">
    <w:name w:val="目录 92"/>
    <w:next w:val="1"/>
    <w:qFormat/>
    <w:uiPriority w:val="0"/>
    <w:pPr>
      <w:wordWrap w:val="0"/>
      <w:ind w:left="2975"/>
      <w:jc w:val="both"/>
    </w:pPr>
    <w:rPr>
      <w:rFonts w:ascii="Times New Roman" w:hAnsi="Times New Roman" w:eastAsia="宋体" w:cs="Times New Roman"/>
      <w:sz w:val="21"/>
      <w:lang w:val="en-US" w:eastAsia="zh-CN" w:bidi="ar-SA"/>
    </w:rPr>
  </w:style>
  <w:style w:type="paragraph" w:styleId="57">
    <w:name w:val="toc 2"/>
    <w:basedOn w:val="1"/>
    <w:next w:val="1"/>
    <w:autoRedefine/>
    <w:qFormat/>
    <w:uiPriority w:val="0"/>
    <w:pPr>
      <w:ind w:left="420" w:leftChars="200"/>
    </w:pPr>
  </w:style>
  <w:style w:type="paragraph" w:styleId="58">
    <w:name w:val="toc 9"/>
    <w:basedOn w:val="1"/>
    <w:next w:val="1"/>
    <w:autoRedefine/>
    <w:qFormat/>
    <w:uiPriority w:val="0"/>
    <w:pPr>
      <w:ind w:left="3360" w:leftChars="1600"/>
    </w:pPr>
  </w:style>
  <w:style w:type="paragraph" w:styleId="59">
    <w:name w:val="Body Text 2"/>
    <w:basedOn w:val="1"/>
    <w:link w:val="441"/>
    <w:autoRedefine/>
    <w:qFormat/>
    <w:uiPriority w:val="0"/>
    <w:pPr>
      <w:spacing w:after="120" w:line="480" w:lineRule="auto"/>
    </w:pPr>
  </w:style>
  <w:style w:type="paragraph" w:styleId="60">
    <w:name w:val="HTML Preformatted"/>
    <w:basedOn w:val="1"/>
    <w:link w:val="25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62">
    <w:name w:val="Title"/>
    <w:basedOn w:val="1"/>
    <w:next w:val="1"/>
    <w:link w:val="284"/>
    <w:autoRedefine/>
    <w:qFormat/>
    <w:uiPriority w:val="0"/>
    <w:pPr>
      <w:widowControl/>
      <w:overflowPunct w:val="0"/>
      <w:autoSpaceDE w:val="0"/>
      <w:autoSpaceDN w:val="0"/>
      <w:jc w:val="center"/>
      <w:textAlignment w:val="baseline"/>
    </w:pPr>
    <w:rPr>
      <w:b/>
      <w:kern w:val="0"/>
      <w:sz w:val="24"/>
      <w:szCs w:val="20"/>
      <w:lang w:val="en-GB"/>
    </w:rPr>
  </w:style>
  <w:style w:type="paragraph" w:styleId="63">
    <w:name w:val="annotation subject"/>
    <w:basedOn w:val="19"/>
    <w:next w:val="19"/>
    <w:link w:val="355"/>
    <w:autoRedefine/>
    <w:qFormat/>
    <w:uiPriority w:val="0"/>
    <w:rPr>
      <w:b/>
      <w:bCs/>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autoRedefine/>
    <w:qFormat/>
    <w:uiPriority w:val="0"/>
    <w:pPr>
      <w:widowControl w:val="0"/>
      <w:jc w:val="both"/>
    </w:p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tcPr>
      <w:shd w:val="clear" w:color="auto" w:fill="auto"/>
    </w:tcPr>
    <w:tblStylePr w:type="firstRow">
      <w:tblPr/>
      <w:tcPr>
        <w:tcBorders>
          <w:top w:val="nil"/>
          <w:left w:val="nil"/>
          <w:bottom w:val="single" w:color="auto"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0"/>
    <w:rPr>
      <w:rFonts w:ascii="Times New Roman" w:hAnsi="Times New Roman" w:eastAsia="宋体" w:cs="Times New Roman"/>
      <w:b/>
      <w:bCs/>
    </w:rPr>
  </w:style>
  <w:style w:type="character" w:styleId="73">
    <w:name w:val="endnote reference"/>
    <w:autoRedefine/>
    <w:qFormat/>
    <w:uiPriority w:val="0"/>
    <w:rPr>
      <w:rFonts w:ascii="Times New Roman" w:hAnsi="Times New Roman" w:eastAsia="宋体" w:cs="Times New Roman"/>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0"/>
    <w:rPr>
      <w:rFonts w:ascii="Arial" w:hAnsi="Arial" w:eastAsia="黑体" w:cs="Arial"/>
      <w:snapToGrid w:val="0"/>
      <w:color w:val="000000"/>
      <w:kern w:val="0"/>
      <w:sz w:val="18"/>
      <w:szCs w:val="18"/>
      <w:u w:val="none"/>
    </w:rPr>
  </w:style>
  <w:style w:type="character" w:styleId="76">
    <w:name w:val="Emphasis"/>
    <w:autoRedefine/>
    <w:qFormat/>
    <w:uiPriority w:val="0"/>
    <w:rPr>
      <w:rFonts w:ascii="Times New Roman" w:hAnsi="Times New Roman" w:eastAsia="宋体" w:cs="Times New Roman"/>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0"/>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0"/>
    <w:rPr>
      <w:rFonts w:ascii="Times New Roman" w:hAnsi="Times New Roman" w:eastAsia="宋体" w:cs="Times New Roman"/>
      <w:sz w:val="21"/>
      <w:szCs w:val="21"/>
    </w:rPr>
  </w:style>
  <w:style w:type="character" w:styleId="81">
    <w:name w:val="HTML Sample"/>
    <w:basedOn w:val="71"/>
    <w:autoRedefine/>
    <w:qFormat/>
    <w:uiPriority w:val="0"/>
    <w:rPr>
      <w:rFonts w:ascii="Courier New" w:hAnsi="Courier New" w:eastAsia="宋体" w:cs="Times New Roman"/>
    </w:rPr>
  </w:style>
  <w:style w:type="paragraph" w:customStyle="1" w:styleId="82">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3">
    <w:name w:val="Default"/>
    <w:link w:val="27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4">
    <w:name w:val="正文文本首行缩进 2"/>
    <w:basedOn w:val="26"/>
    <w:autoRedefine/>
    <w:qFormat/>
    <w:uiPriority w:val="0"/>
    <w:pPr>
      <w:spacing w:line="200" w:lineRule="atLeast"/>
      <w:ind w:firstLine="420"/>
    </w:pPr>
    <w:rPr>
      <w:rFonts w:hAnsi="Courier New"/>
      <w:spacing w:val="-4"/>
      <w:sz w:val="18"/>
    </w:rPr>
  </w:style>
  <w:style w:type="character" w:customStyle="1" w:styleId="85">
    <w:name w:val="Char Char121"/>
    <w:autoRedefine/>
    <w:qFormat/>
    <w:uiPriority w:val="0"/>
    <w:rPr>
      <w:rFonts w:ascii="仿宋_GB2312" w:hAnsi="Times New Roman" w:eastAsia="仿宋_GB2312" w:cs="Times New Roman"/>
      <w:b/>
      <w:bCs/>
      <w:kern w:val="2"/>
      <w:sz w:val="24"/>
      <w:szCs w:val="24"/>
      <w:lang w:val="zh-CN" w:eastAsia="zh-CN" w:bidi="ar-SA"/>
    </w:rPr>
  </w:style>
  <w:style w:type="character" w:customStyle="1" w:styleId="86">
    <w:name w:val="正文文本缩进 Char2"/>
    <w:autoRedefine/>
    <w:qFormat/>
    <w:uiPriority w:val="0"/>
    <w:rPr>
      <w:rFonts w:ascii="Times New Roman" w:hAnsi="Times New Roman" w:eastAsia="宋体" w:cs="Times New Roman"/>
      <w:snapToGrid w:val="0"/>
      <w:kern w:val="0"/>
      <w:szCs w:val="24"/>
    </w:rPr>
  </w:style>
  <w:style w:type="character" w:customStyle="1" w:styleId="87">
    <w:name w:val="页脚 Char"/>
    <w:autoRedefine/>
    <w:qFormat/>
    <w:uiPriority w:val="0"/>
    <w:rPr>
      <w:rFonts w:ascii="Times New Roman" w:hAnsi="Times New Roman" w:eastAsia="仿宋_GB2312" w:cs="Times New Roman"/>
      <w:kern w:val="2"/>
      <w:sz w:val="18"/>
      <w:lang w:val="en-US" w:eastAsia="zh-CN"/>
    </w:rPr>
  </w:style>
  <w:style w:type="character" w:customStyle="1" w:styleId="88">
    <w:name w:val="myp1111"/>
    <w:autoRedefine/>
    <w:qFormat/>
    <w:uiPriority w:val="0"/>
    <w:rPr>
      <w:rFonts w:hint="default" w:ascii="ˎ̥" w:hAnsi="ˎ̥" w:eastAsia="宋体" w:cs="Times New Roman"/>
      <w:color w:val="000000"/>
      <w:sz w:val="20"/>
      <w:szCs w:val="20"/>
      <w:u w:val="none"/>
    </w:rPr>
  </w:style>
  <w:style w:type="character" w:customStyle="1" w:styleId="89">
    <w:name w:val="5正文 Char"/>
    <w:link w:val="90"/>
    <w:autoRedefine/>
    <w:qFormat/>
    <w:uiPriority w:val="0"/>
    <w:rPr>
      <w:rFonts w:ascii="仿宋_GB2312" w:hAnsi="微软雅黑" w:eastAsia="仿宋_GB2312" w:cs="Times New Roman"/>
      <w:sz w:val="28"/>
      <w:szCs w:val="21"/>
    </w:rPr>
  </w:style>
  <w:style w:type="paragraph" w:customStyle="1" w:styleId="90">
    <w:name w:val="5正文"/>
    <w:basedOn w:val="1"/>
    <w:link w:val="8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91">
    <w:name w:val="tw4winJump"/>
    <w:autoRedefine/>
    <w:qFormat/>
    <w:uiPriority w:val="0"/>
    <w:rPr>
      <w:rFonts w:ascii="Courier New" w:hAnsi="Courier New" w:eastAsia="宋体" w:cs="Courier New"/>
      <w:color w:val="008080"/>
      <w:lang w:val="en-US" w:eastAsia="zh-CN"/>
    </w:rPr>
  </w:style>
  <w:style w:type="character" w:customStyle="1" w:styleId="92">
    <w:name w:val="哈哈正文 Char"/>
    <w:link w:val="93"/>
    <w:autoRedefine/>
    <w:qFormat/>
    <w:uiPriority w:val="0"/>
    <w:rPr>
      <w:rFonts w:ascii="宋体" w:hAnsi="宋体" w:eastAsia="宋体" w:cs="Times New Roman"/>
      <w:kern w:val="2"/>
      <w:sz w:val="24"/>
      <w:lang w:bidi="ar-SA"/>
    </w:rPr>
  </w:style>
  <w:style w:type="paragraph" w:customStyle="1" w:styleId="93">
    <w:name w:val="哈哈正文"/>
    <w:basedOn w:val="1"/>
    <w:link w:val="92"/>
    <w:autoRedefine/>
    <w:qFormat/>
    <w:uiPriority w:val="0"/>
    <w:pPr>
      <w:adjustRightInd/>
      <w:spacing w:line="360" w:lineRule="auto"/>
      <w:ind w:firstLine="200" w:firstLineChars="200"/>
    </w:pPr>
    <w:rPr>
      <w:rFonts w:ascii="宋体" w:hAnsi="宋体"/>
      <w:sz w:val="24"/>
      <w:szCs w:val="20"/>
    </w:rPr>
  </w:style>
  <w:style w:type="character" w:customStyle="1" w:styleId="94">
    <w:name w:val="pt141"/>
    <w:autoRedefine/>
    <w:qFormat/>
    <w:uiPriority w:val="0"/>
    <w:rPr>
      <w:rFonts w:ascii="Times New Roman" w:hAnsi="Times New Roman" w:eastAsia="宋体" w:cs="Times New Roman"/>
      <w:color w:val="330066"/>
      <w:sz w:val="22"/>
      <w:szCs w:val="22"/>
    </w:rPr>
  </w:style>
  <w:style w:type="character" w:customStyle="1" w:styleId="95">
    <w:name w:val="Char Char1211"/>
    <w:autoRedefine/>
    <w:qFormat/>
    <w:uiPriority w:val="0"/>
    <w:rPr>
      <w:rFonts w:ascii="仿宋_GB2312" w:hAnsi="Times New Roman" w:eastAsia="仿宋_GB2312" w:cs="Times New Roman"/>
      <w:b/>
      <w:bCs/>
      <w:kern w:val="2"/>
      <w:sz w:val="24"/>
      <w:szCs w:val="24"/>
      <w:lang w:val="zh-CN" w:eastAsia="zh-CN" w:bidi="ar-SA"/>
    </w:rPr>
  </w:style>
  <w:style w:type="character" w:customStyle="1" w:styleId="96">
    <w:name w:val="tw4winMark"/>
    <w:autoRedefine/>
    <w:qFormat/>
    <w:uiPriority w:val="0"/>
    <w:rPr>
      <w:rFonts w:ascii="Courier New" w:hAnsi="Courier New" w:eastAsia="宋体" w:cs="Courier New"/>
      <w:vanish/>
      <w:color w:val="800080"/>
      <w:sz w:val="24"/>
      <w:szCs w:val="24"/>
      <w:vertAlign w:val="subscript"/>
    </w:rPr>
  </w:style>
  <w:style w:type="character" w:customStyle="1" w:styleId="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8">
    <w:name w:val="带编号样式 Char"/>
    <w:autoRedefine/>
    <w:qFormat/>
    <w:uiPriority w:val="0"/>
    <w:rPr>
      <w:rFonts w:ascii="仿宋_GB2312" w:hAnsi="Times New Roman" w:eastAsia="仿宋_GB2312" w:cs="Times New Roman"/>
      <w:color w:val="000000"/>
      <w:sz w:val="24"/>
      <w:lang w:bidi="ar-SA"/>
    </w:rPr>
  </w:style>
  <w:style w:type="character" w:customStyle="1" w:styleId="99">
    <w:name w:val="Ò³Ã¼ Char Char"/>
    <w:autoRedefine/>
    <w:qFormat/>
    <w:uiPriority w:val="0"/>
    <w:rPr>
      <w:rFonts w:ascii="Times New Roman" w:hAnsi="Times New Roman" w:eastAsia="宋体" w:cs="Times New Roman"/>
      <w:kern w:val="2"/>
      <w:sz w:val="18"/>
      <w:lang w:val="en-US" w:eastAsia="zh-CN" w:bidi="ar-SA"/>
    </w:rPr>
  </w:style>
  <w:style w:type="character" w:customStyle="1" w:styleId="100">
    <w:name w:val="正文（缩进2汉字） Char"/>
    <w:link w:val="101"/>
    <w:autoRedefine/>
    <w:qFormat/>
    <w:uiPriority w:val="0"/>
    <w:rPr>
      <w:rFonts w:ascii="宋体" w:hAnsi="Times New Roman" w:eastAsia="宋体" w:cs="Times New Roman"/>
    </w:rPr>
  </w:style>
  <w:style w:type="paragraph" w:customStyle="1" w:styleId="101">
    <w:name w:val="正文（缩进2汉字）"/>
    <w:basedOn w:val="1"/>
    <w:link w:val="100"/>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02">
    <w:name w:val="纯文本 Char2"/>
    <w:autoRedefine/>
    <w:qFormat/>
    <w:uiPriority w:val="0"/>
    <w:rPr>
      <w:rFonts w:ascii="宋体" w:hAnsi="Courier New" w:eastAsia="宋体" w:cs="Courier New"/>
    </w:rPr>
  </w:style>
  <w:style w:type="character" w:customStyle="1" w:styleId="103">
    <w:name w:val="正文 编号 Char"/>
    <w:autoRedefine/>
    <w:qFormat/>
    <w:uiPriority w:val="0"/>
    <w:rPr>
      <w:rFonts w:ascii="仿宋_GB2312" w:hAnsi="仿宋_GB2312" w:eastAsia="仿宋_GB2312" w:cs="Times New Roman"/>
      <w:kern w:val="2"/>
      <w:sz w:val="24"/>
      <w:lang w:bidi="ar-SA"/>
    </w:rPr>
  </w:style>
  <w:style w:type="character" w:customStyle="1" w:styleId="104">
    <w:name w:val="方案正文 Char"/>
    <w:autoRedefine/>
    <w:qFormat/>
    <w:uiPriority w:val="0"/>
    <w:rPr>
      <w:rFonts w:ascii="仿宋_GB2312" w:hAnsi="Times New Roman" w:eastAsia="仿宋_GB2312" w:cs="Times New Roman"/>
      <w:b/>
      <w:color w:val="000000"/>
      <w:kern w:val="2"/>
      <w:sz w:val="24"/>
      <w:lang w:val="en-US" w:eastAsia="zh-CN" w:bidi="ar-SA"/>
    </w:rPr>
  </w:style>
  <w:style w:type="character" w:customStyle="1" w:styleId="105">
    <w:name w:val="无间隔 字符"/>
    <w:link w:val="106"/>
    <w:autoRedefine/>
    <w:qFormat/>
    <w:uiPriority w:val="0"/>
    <w:rPr>
      <w:rFonts w:ascii="Times New Roman" w:hAnsi="Times New Roman" w:eastAsia="宋体" w:cs="Times New Roman"/>
      <w:kern w:val="2"/>
      <w:sz w:val="21"/>
      <w:szCs w:val="22"/>
    </w:rPr>
  </w:style>
  <w:style w:type="paragraph" w:styleId="106">
    <w:name w:val="No Spacing"/>
    <w:basedOn w:val="1"/>
    <w:link w:val="105"/>
    <w:autoRedefine/>
    <w:qFormat/>
    <w:uiPriority w:val="0"/>
    <w:rPr>
      <w:szCs w:val="22"/>
    </w:rPr>
  </w:style>
  <w:style w:type="character" w:customStyle="1" w:styleId="107">
    <w:name w:val="标书表格字体格式 Char"/>
    <w:autoRedefine/>
    <w:qFormat/>
    <w:uiPriority w:val="0"/>
    <w:rPr>
      <w:rFonts w:ascii="Times New Roman" w:hAnsi="Times New Roman" w:eastAsia="宋体" w:cs="Times New Roman"/>
      <w:kern w:val="2"/>
      <w:sz w:val="21"/>
      <w:szCs w:val="24"/>
      <w:lang w:bidi="ar-SA"/>
    </w:rPr>
  </w:style>
  <w:style w:type="character" w:customStyle="1" w:styleId="108">
    <w:name w:val="正文文本 字符1"/>
    <w:autoRedefine/>
    <w:qFormat/>
    <w:uiPriority w:val="0"/>
    <w:rPr>
      <w:rFonts w:ascii="Calibri" w:hAnsi="Calibri" w:eastAsia="黑体" w:cs="Arial"/>
      <w:snapToGrid w:val="0"/>
      <w:kern w:val="2"/>
      <w:sz w:val="28"/>
      <w:szCs w:val="21"/>
    </w:rPr>
  </w:style>
  <w:style w:type="character" w:customStyle="1" w:styleId="109">
    <w:name w:val="样式6 Char"/>
    <w:autoRedefine/>
    <w:qFormat/>
    <w:uiPriority w:val="0"/>
    <w:rPr>
      <w:rFonts w:ascii="仿宋_GB2312" w:hAnsi="宋体" w:eastAsia="仿宋_GB2312" w:cs="Times New Roman"/>
      <w:b/>
      <w:bCs/>
      <w:kern w:val="2"/>
      <w:sz w:val="24"/>
      <w:szCs w:val="24"/>
      <w:lang w:val="en-US" w:eastAsia="zh-CN" w:bidi="ar-SA"/>
    </w:rPr>
  </w:style>
  <w:style w:type="character" w:customStyle="1" w:styleId="110">
    <w:name w:val="Char Char81"/>
    <w:autoRedefine/>
    <w:qFormat/>
    <w:uiPriority w:val="0"/>
    <w:rPr>
      <w:rFonts w:ascii="Times New Roman" w:hAnsi="Times New Roman" w:eastAsia="宋体" w:cs="Times New Roman"/>
      <w:b/>
      <w:sz w:val="24"/>
      <w:lang w:val="en-GB" w:eastAsia="zh-CN"/>
    </w:rPr>
  </w:style>
  <w:style w:type="character" w:customStyle="1" w:styleId="111">
    <w:name w:val="md"/>
    <w:basedOn w:val="71"/>
    <w:autoRedefine/>
    <w:qFormat/>
    <w:uiPriority w:val="0"/>
    <w:rPr>
      <w:rFonts w:ascii="Arial" w:hAnsi="Arial" w:eastAsia="黑体" w:cs="Arial"/>
      <w:snapToGrid w:val="0"/>
      <w:kern w:val="0"/>
      <w:szCs w:val="21"/>
    </w:rPr>
  </w:style>
  <w:style w:type="character" w:customStyle="1" w:styleId="112">
    <w:name w:val="Char Char33"/>
    <w:autoRedefine/>
    <w:qFormat/>
    <w:uiPriority w:val="0"/>
    <w:rPr>
      <w:rFonts w:ascii="Arial" w:hAnsi="Arial" w:eastAsia="黑体" w:cs="Times New Roman"/>
      <w:b/>
      <w:kern w:val="1"/>
      <w:sz w:val="24"/>
      <w:szCs w:val="24"/>
    </w:rPr>
  </w:style>
  <w:style w:type="character" w:customStyle="1" w:styleId="113">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114">
    <w:name w:val="style1"/>
    <w:autoRedefine/>
    <w:qFormat/>
    <w:uiPriority w:val="0"/>
    <w:rPr>
      <w:rFonts w:ascii="Arial" w:hAnsi="Arial" w:eastAsia="黑体" w:cs="Arial"/>
      <w:snapToGrid w:val="0"/>
      <w:kern w:val="0"/>
      <w:szCs w:val="21"/>
    </w:rPr>
  </w:style>
  <w:style w:type="character" w:customStyle="1" w:styleId="115">
    <w:name w:val="Char Char9"/>
    <w:autoRedefine/>
    <w:qFormat/>
    <w:uiPriority w:val="0"/>
    <w:rPr>
      <w:rFonts w:ascii="Times New Roman" w:hAnsi="Times New Roman" w:eastAsia="宋体" w:cs="Times New Roman"/>
      <w:kern w:val="2"/>
      <w:sz w:val="18"/>
      <w:szCs w:val="18"/>
      <w:lang w:val="en-US" w:eastAsia="zh-CN" w:bidi="ar-SA"/>
    </w:rPr>
  </w:style>
  <w:style w:type="character" w:customStyle="1" w:styleId="116">
    <w:name w:val="zbggtop11 style5"/>
    <w:autoRedefine/>
    <w:qFormat/>
    <w:uiPriority w:val="0"/>
    <w:rPr>
      <w:rFonts w:ascii="Arial" w:hAnsi="Arial" w:eastAsia="黑体" w:cs="Arial"/>
      <w:snapToGrid w:val="0"/>
      <w:kern w:val="0"/>
      <w:szCs w:val="21"/>
    </w:rPr>
  </w:style>
  <w:style w:type="character" w:customStyle="1" w:styleId="117">
    <w:name w:val="公文正文 Char"/>
    <w:autoRedefine/>
    <w:qFormat/>
    <w:uiPriority w:val="0"/>
    <w:rPr>
      <w:rFonts w:ascii="仿宋_GB2312" w:hAnsi="Times New Roman" w:eastAsia="仿宋_GB2312" w:cs="Times New Roman"/>
      <w:kern w:val="2"/>
      <w:sz w:val="24"/>
      <w:szCs w:val="24"/>
      <w:lang w:val="en-US" w:eastAsia="zh-CN" w:bidi="ar-SA"/>
    </w:rPr>
  </w:style>
  <w:style w:type="character" w:customStyle="1" w:styleId="118">
    <w:name w:val="c7 style3"/>
    <w:autoRedefine/>
    <w:qFormat/>
    <w:uiPriority w:val="0"/>
    <w:rPr>
      <w:rFonts w:ascii="Times New Roman" w:hAnsi="Times New Roman" w:eastAsia="宋体" w:cs="Times New Roman"/>
    </w:rPr>
  </w:style>
  <w:style w:type="character" w:customStyle="1" w:styleId="119">
    <w:name w:val="mdeck"/>
    <w:autoRedefine/>
    <w:qFormat/>
    <w:uiPriority w:val="0"/>
    <w:rPr>
      <w:rFonts w:ascii="仿宋_GB2312" w:hAnsi="Times New Roman" w:eastAsia="微软雅黑" w:cs="Times New Roman"/>
      <w:b/>
      <w:kern w:val="2"/>
      <w:sz w:val="32"/>
      <w:szCs w:val="32"/>
      <w:lang w:val="en-US" w:eastAsia="zh-CN" w:bidi="ar-SA"/>
    </w:rPr>
  </w:style>
  <w:style w:type="character" w:customStyle="1" w:styleId="120">
    <w:name w:val="正文文本缩进 2 Char1"/>
    <w:autoRedefine/>
    <w:qFormat/>
    <w:uiPriority w:val="0"/>
    <w:rPr>
      <w:rFonts w:ascii="Times New Roman" w:hAnsi="Times New Roman" w:eastAsia="宋体" w:cs="Times New Roman"/>
      <w:szCs w:val="24"/>
    </w:rPr>
  </w:style>
  <w:style w:type="character" w:customStyle="1" w:styleId="121">
    <w:name w:val="gray6"/>
    <w:basedOn w:val="71"/>
    <w:autoRedefine/>
    <w:qFormat/>
    <w:uiPriority w:val="0"/>
    <w:rPr>
      <w:rFonts w:ascii="Arial" w:hAnsi="Arial" w:eastAsia="黑体" w:cs="Arial"/>
      <w:snapToGrid w:val="0"/>
      <w:kern w:val="0"/>
      <w:szCs w:val="21"/>
    </w:rPr>
  </w:style>
  <w:style w:type="character" w:customStyle="1" w:styleId="122">
    <w:name w:val="PI Char1"/>
    <w:autoRedefine/>
    <w:qFormat/>
    <w:uiPriority w:val="0"/>
    <w:rPr>
      <w:rFonts w:ascii="宋体" w:hAnsi="宋体" w:eastAsia="宋体" w:cs="Times New Roman"/>
      <w:kern w:val="2"/>
      <w:sz w:val="24"/>
      <w:szCs w:val="24"/>
    </w:rPr>
  </w:style>
  <w:style w:type="character" w:customStyle="1" w:styleId="123">
    <w:name w:val="正文1 Char"/>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124">
    <w:name w:val="正文首行缩进两字 Char"/>
    <w:autoRedefine/>
    <w:qFormat/>
    <w:uiPriority w:val="0"/>
    <w:rPr>
      <w:rFonts w:ascii="Times New Roman" w:hAnsi="Times New Roman" w:eastAsia="宋体" w:cs="Times New Roman"/>
      <w:sz w:val="24"/>
      <w:szCs w:val="24"/>
      <w:lang w:val="en-US" w:eastAsia="zh-CN" w:bidi="ar-SA"/>
    </w:rPr>
  </w:style>
  <w:style w:type="character" w:customStyle="1" w:styleId="125">
    <w:name w:val="Char Char24"/>
    <w:autoRedefine/>
    <w:qFormat/>
    <w:uiPriority w:val="0"/>
    <w:rPr>
      <w:rFonts w:ascii="Times New Roman" w:hAnsi="Times New Roman" w:eastAsia="宋体" w:cs="Times New Roman"/>
      <w:kern w:val="1"/>
      <w:sz w:val="21"/>
    </w:rPr>
  </w:style>
  <w:style w:type="character" w:customStyle="1" w:styleId="126">
    <w:name w:val="HTML 预设格式 Char1"/>
    <w:autoRedefine/>
    <w:qFormat/>
    <w:uiPriority w:val="0"/>
    <w:rPr>
      <w:rFonts w:ascii="Courier New" w:hAnsi="Courier New" w:eastAsia="宋体" w:cs="Courier New"/>
      <w:sz w:val="20"/>
      <w:szCs w:val="20"/>
    </w:rPr>
  </w:style>
  <w:style w:type="character" w:customStyle="1" w:styleId="127">
    <w:name w:val="公文正文 Char Char"/>
    <w:link w:val="128"/>
    <w:autoRedefine/>
    <w:qFormat/>
    <w:uiPriority w:val="0"/>
    <w:rPr>
      <w:rFonts w:ascii="仿宋_GB2312" w:hAnsi="Times New Roman" w:eastAsia="仿宋_GB2312" w:cs="Times New Roman"/>
      <w:kern w:val="2"/>
      <w:sz w:val="24"/>
      <w:szCs w:val="24"/>
    </w:rPr>
  </w:style>
  <w:style w:type="paragraph" w:customStyle="1" w:styleId="128">
    <w:name w:val="公文正文"/>
    <w:basedOn w:val="1"/>
    <w:link w:val="127"/>
    <w:autoRedefine/>
    <w:qFormat/>
    <w:uiPriority w:val="0"/>
    <w:pPr>
      <w:adjustRightInd/>
      <w:spacing w:before="156" w:line="360" w:lineRule="auto"/>
      <w:ind w:firstLine="360" w:firstLineChars="200"/>
    </w:pPr>
    <w:rPr>
      <w:rFonts w:ascii="仿宋_GB2312" w:eastAsia="仿宋_GB2312"/>
      <w:sz w:val="24"/>
    </w:rPr>
  </w:style>
  <w:style w:type="character" w:customStyle="1" w:styleId="129">
    <w:name w:val="标书正文格式 Char"/>
    <w:autoRedefine/>
    <w:qFormat/>
    <w:uiPriority w:val="0"/>
    <w:rPr>
      <w:rFonts w:ascii="Times New Roman" w:hAnsi="Times New Roman" w:eastAsia="楷体_GB2312" w:cs="Times New Roman"/>
      <w:kern w:val="2"/>
      <w:sz w:val="24"/>
      <w:szCs w:val="24"/>
      <w:lang w:bidi="ar-SA"/>
    </w:rPr>
  </w:style>
  <w:style w:type="character" w:customStyle="1" w:styleId="130">
    <w:name w:val="Char Char15"/>
    <w:autoRedefine/>
    <w:qFormat/>
    <w:uiPriority w:val="0"/>
    <w:rPr>
      <w:rFonts w:ascii="宋体" w:hAnsi="宋体" w:eastAsia="宋体" w:cs="Times New Roman"/>
      <w:kern w:val="1"/>
      <w:sz w:val="21"/>
    </w:rPr>
  </w:style>
  <w:style w:type="character" w:customStyle="1" w:styleId="131">
    <w:name w:val="question-title2"/>
    <w:autoRedefine/>
    <w:qFormat/>
    <w:uiPriority w:val="0"/>
    <w:rPr>
      <w:rFonts w:ascii="Arial" w:hAnsi="Arial" w:eastAsia="黑体" w:cs="Arial"/>
      <w:snapToGrid w:val="0"/>
      <w:kern w:val="0"/>
      <w:szCs w:val="21"/>
    </w:rPr>
  </w:style>
  <w:style w:type="character" w:customStyle="1" w:styleId="132">
    <w:name w:val="Char Char25"/>
    <w:autoRedefine/>
    <w:qFormat/>
    <w:uiPriority w:val="0"/>
    <w:rPr>
      <w:rFonts w:ascii="宋体" w:hAnsi="宋体" w:eastAsia="宋体" w:cs="Times New Roman"/>
      <w:kern w:val="1"/>
      <w:sz w:val="24"/>
      <w:lang w:val="zh-CN"/>
    </w:rPr>
  </w:style>
  <w:style w:type="character" w:customStyle="1" w:styleId="133">
    <w:name w:val="标题 3 Char2"/>
    <w:autoRedefine/>
    <w:qFormat/>
    <w:uiPriority w:val="0"/>
    <w:rPr>
      <w:rFonts w:ascii="Times New Roman" w:hAnsi="Times New Roman" w:eastAsia="宋体" w:cs="Times New Roman"/>
      <w:b/>
      <w:bCs/>
      <w:kern w:val="2"/>
      <w:sz w:val="32"/>
      <w:szCs w:val="32"/>
      <w:lang w:val="en-US" w:eastAsia="zh-CN" w:bidi="ar-SA"/>
    </w:rPr>
  </w:style>
  <w:style w:type="character" w:customStyle="1" w:styleId="134">
    <w:name w:val="Char Char211"/>
    <w:autoRedefine/>
    <w:qFormat/>
    <w:uiPriority w:val="0"/>
    <w:rPr>
      <w:rFonts w:ascii="Times New Roman" w:hAnsi="Times New Roman" w:eastAsia="宋体" w:cs="Times New Roman"/>
      <w:b/>
      <w:bCs/>
      <w:kern w:val="2"/>
      <w:sz w:val="21"/>
      <w:szCs w:val="24"/>
      <w:lang w:val="en-US" w:eastAsia="zh-CN" w:bidi="ar-SA"/>
    </w:rPr>
  </w:style>
  <w:style w:type="character" w:customStyle="1" w:styleId="135">
    <w:name w:val="页眉 Char"/>
    <w:autoRedefine/>
    <w:qFormat/>
    <w:uiPriority w:val="0"/>
    <w:rPr>
      <w:rFonts w:ascii="Times New Roman" w:hAnsi="Times New Roman" w:eastAsia="仿宋_GB2312" w:cs="Times New Roman"/>
      <w:kern w:val="2"/>
      <w:sz w:val="18"/>
      <w:lang w:val="en-US" w:eastAsia="zh-CN"/>
    </w:rPr>
  </w:style>
  <w:style w:type="character" w:customStyle="1" w:styleId="136">
    <w:name w:val="Char Char30"/>
    <w:autoRedefine/>
    <w:qFormat/>
    <w:uiPriority w:val="0"/>
    <w:rPr>
      <w:rFonts w:ascii="Arial" w:hAnsi="Arial" w:eastAsia="黑体" w:cs="Times New Roman"/>
      <w:kern w:val="1"/>
      <w:sz w:val="21"/>
      <w:szCs w:val="21"/>
    </w:rPr>
  </w:style>
  <w:style w:type="character" w:customStyle="1" w:styleId="137">
    <w:name w:val="纯文本 Char1"/>
    <w:link w:val="138"/>
    <w:autoRedefine/>
    <w:qFormat/>
    <w:uiPriority w:val="0"/>
    <w:rPr>
      <w:rFonts w:ascii="宋体" w:hAnsi="Courier New" w:eastAsia="宋体" w:cs="Times New Roman"/>
    </w:rPr>
  </w:style>
  <w:style w:type="paragraph" w:customStyle="1" w:styleId="138">
    <w:name w:val="纯文本1"/>
    <w:basedOn w:val="1"/>
    <w:link w:val="137"/>
    <w:autoRedefine/>
    <w:qFormat/>
    <w:uiPriority w:val="0"/>
    <w:pPr>
      <w:adjustRightInd/>
    </w:pPr>
    <w:rPr>
      <w:rFonts w:ascii="宋体" w:hAnsi="Courier New"/>
      <w:kern w:val="0"/>
      <w:sz w:val="20"/>
      <w:szCs w:val="20"/>
    </w:rPr>
  </w:style>
  <w:style w:type="character" w:customStyle="1" w:styleId="139">
    <w:name w:val="正文段 Char"/>
    <w:link w:val="140"/>
    <w:autoRedefine/>
    <w:qFormat/>
    <w:uiPriority w:val="0"/>
    <w:rPr>
      <w:rFonts w:ascii="Times New Roman" w:hAnsi="Times New Roman" w:eastAsia="宋体" w:cs="Times New Roman"/>
      <w:sz w:val="24"/>
    </w:rPr>
  </w:style>
  <w:style w:type="paragraph" w:customStyle="1" w:styleId="140">
    <w:name w:val="正文段"/>
    <w:basedOn w:val="1"/>
    <w:link w:val="139"/>
    <w:autoRedefine/>
    <w:qFormat/>
    <w:uiPriority w:val="0"/>
    <w:pPr>
      <w:widowControl/>
      <w:snapToGrid w:val="0"/>
      <w:spacing w:after="156" w:afterLines="50"/>
      <w:ind w:firstLine="200" w:firstLineChars="200"/>
    </w:pPr>
    <w:rPr>
      <w:kern w:val="0"/>
      <w:sz w:val="24"/>
      <w:szCs w:val="20"/>
    </w:rPr>
  </w:style>
  <w:style w:type="character" w:customStyle="1" w:styleId="141">
    <w:name w:val="正文缩进 字符"/>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142">
    <w:name w:val="正文说明 Char"/>
    <w:link w:val="143"/>
    <w:autoRedefine/>
    <w:qFormat/>
    <w:uiPriority w:val="0"/>
    <w:rPr>
      <w:rFonts w:ascii="Times New Roman" w:hAnsi="Times New Roman" w:eastAsia="宋体" w:cs="Times New Roman"/>
      <w:sz w:val="24"/>
      <w:szCs w:val="24"/>
    </w:rPr>
  </w:style>
  <w:style w:type="paragraph" w:customStyle="1" w:styleId="143">
    <w:name w:val="正文说明"/>
    <w:basedOn w:val="1"/>
    <w:link w:val="142"/>
    <w:autoRedefine/>
    <w:qFormat/>
    <w:uiPriority w:val="0"/>
    <w:pPr>
      <w:adjustRightInd/>
      <w:spacing w:line="360" w:lineRule="auto"/>
    </w:pPr>
    <w:rPr>
      <w:kern w:val="0"/>
      <w:sz w:val="24"/>
    </w:rPr>
  </w:style>
  <w:style w:type="character" w:customStyle="1" w:styleId="144">
    <w:name w:val="批注框文本 字符"/>
    <w:autoRedefine/>
    <w:qFormat/>
    <w:uiPriority w:val="0"/>
    <w:rPr>
      <w:rFonts w:ascii="Arial" w:hAnsi="Arial" w:eastAsia="黑体" w:cs="Arial"/>
      <w:snapToGrid w:val="0"/>
      <w:kern w:val="0"/>
      <w:sz w:val="18"/>
      <w:szCs w:val="18"/>
    </w:rPr>
  </w:style>
  <w:style w:type="character" w:customStyle="1" w:styleId="145">
    <w:name w:val="Char Char17"/>
    <w:autoRedefine/>
    <w:qFormat/>
    <w:uiPriority w:val="0"/>
    <w:rPr>
      <w:rFonts w:ascii="Times New Roman" w:hAnsi="Times New Roman" w:eastAsia="仿宋_GB2312" w:cs="Times New Roman"/>
      <w:sz w:val="24"/>
    </w:rPr>
  </w:style>
  <w:style w:type="character" w:customStyle="1" w:styleId="146">
    <w:name w:val="h Char1"/>
    <w:autoRedefine/>
    <w:qFormat/>
    <w:uiPriority w:val="0"/>
    <w:rPr>
      <w:rFonts w:ascii="Times New Roman" w:hAnsi="Times New Roman" w:eastAsia="宋体" w:cs="Times New Roman"/>
      <w:sz w:val="18"/>
      <w:szCs w:val="18"/>
    </w:rPr>
  </w:style>
  <w:style w:type="character" w:customStyle="1" w:styleId="147">
    <w:name w:val="正文首行缩进 2 字符"/>
    <w:link w:val="27"/>
    <w:autoRedefine/>
    <w:qFormat/>
    <w:uiPriority w:val="0"/>
    <w:rPr>
      <w:rFonts w:ascii="宋体" w:hAnsi="宋体" w:eastAsia="宋体" w:cs="Times New Roman"/>
      <w:kern w:val="2"/>
      <w:sz w:val="21"/>
      <w:szCs w:val="24"/>
    </w:rPr>
  </w:style>
  <w:style w:type="character" w:customStyle="1" w:styleId="148">
    <w:name w:val="正文缩进 字符1"/>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149">
    <w:name w:val="二级标题 Char Char"/>
    <w:autoRedefine/>
    <w:qFormat/>
    <w:uiPriority w:val="0"/>
    <w:rPr>
      <w:rFonts w:ascii="宋体" w:hAnsi="宋体" w:eastAsia="宋体" w:cs="Times New Roman"/>
      <w:b/>
      <w:snapToGrid w:val="0"/>
      <w:kern w:val="2"/>
      <w:sz w:val="24"/>
      <w:szCs w:val="24"/>
      <w:lang w:val="en-US" w:eastAsia="zh-CN" w:bidi="ar-SA"/>
    </w:rPr>
  </w:style>
  <w:style w:type="character" w:customStyle="1" w:styleId="150">
    <w:name w:val="hui"/>
    <w:basedOn w:val="71"/>
    <w:autoRedefine/>
    <w:qFormat/>
    <w:uiPriority w:val="0"/>
    <w:rPr>
      <w:rFonts w:ascii="Arial" w:hAnsi="Arial" w:eastAsia="黑体" w:cs="Arial"/>
      <w:snapToGrid w:val="0"/>
      <w:kern w:val="0"/>
      <w:szCs w:val="21"/>
    </w:rPr>
  </w:style>
  <w:style w:type="character" w:customStyle="1" w:styleId="151">
    <w:name w:val="Bold"/>
    <w:autoRedefine/>
    <w:qFormat/>
    <w:uiPriority w:val="0"/>
    <w:rPr>
      <w:rFonts w:ascii="Arial" w:hAnsi="Arial" w:eastAsia="黑体" w:cs="Times New Roman"/>
      <w:b/>
      <w:kern w:val="2"/>
      <w:sz w:val="32"/>
      <w:szCs w:val="32"/>
      <w:lang w:val="en-US" w:eastAsia="zh-CN" w:bidi="ar-SA"/>
    </w:rPr>
  </w:style>
  <w:style w:type="character" w:customStyle="1" w:styleId="152">
    <w:name w:val="样式 样式 标题 4h4H4Fab-4T5Ref Heading 1rh1Heading sqlsect 1.2.3.... +... Char"/>
    <w:link w:val="153"/>
    <w:autoRedefine/>
    <w:qFormat/>
    <w:uiPriority w:val="0"/>
    <w:rPr>
      <w:rFonts w:ascii="微软雅黑" w:hAnsi="微软雅黑" w:eastAsia="微软雅黑" w:cs="Times New Roman"/>
      <w:b/>
      <w:bCs/>
      <w:kern w:val="2"/>
      <w:sz w:val="24"/>
      <w:szCs w:val="28"/>
    </w:rPr>
  </w:style>
  <w:style w:type="paragraph" w:customStyle="1" w:styleId="153">
    <w:name w:val="样式 样式 标题 4h4H4Fab-4T5Ref Heading 1rh1Heading sqlsect 1.2.3.... +..."/>
    <w:basedOn w:val="154"/>
    <w:link w:val="152"/>
    <w:autoRedefine/>
    <w:qFormat/>
    <w:uiPriority w:val="0"/>
    <w:pPr>
      <w:tabs>
        <w:tab w:val="left" w:pos="2356"/>
      </w:tabs>
    </w:pPr>
    <w:rPr>
      <w:rFonts w:ascii="Times New Roman" w:hAnsi="Times New Roman" w:eastAsia="宋体"/>
    </w:rPr>
  </w:style>
  <w:style w:type="paragraph" w:customStyle="1" w:styleId="154">
    <w:name w:val="样式 标题 4h4H4Fab-4T5Ref Heading 1rh1Heading sqlsect 1.2.3...."/>
    <w:basedOn w:val="6"/>
    <w:link w:val="20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155">
    <w:name w:val="正文2 Char Char"/>
    <w:link w:val="156"/>
    <w:autoRedefine/>
    <w:qFormat/>
    <w:uiPriority w:val="0"/>
    <w:rPr>
      <w:rFonts w:ascii="Times New Roman" w:hAnsi="Times New Roman" w:eastAsia="宋体" w:cs="Times New Roman"/>
      <w:kern w:val="2"/>
      <w:sz w:val="24"/>
      <w:lang w:val="en-US" w:eastAsia="zh-CN" w:bidi="ar-SA"/>
    </w:rPr>
  </w:style>
  <w:style w:type="paragraph" w:customStyle="1" w:styleId="156">
    <w:name w:val="正文2"/>
    <w:basedOn w:val="157"/>
    <w:link w:val="155"/>
    <w:autoRedefine/>
    <w:qFormat/>
    <w:uiPriority w:val="0"/>
    <w:pPr>
      <w:spacing w:before="156" w:line="360" w:lineRule="auto"/>
      <w:ind w:firstLine="510" w:firstLineChars="200"/>
    </w:pPr>
    <w:rPr>
      <w:sz w:val="24"/>
      <w:szCs w:val="20"/>
    </w:rPr>
  </w:style>
  <w:style w:type="paragraph" w:customStyle="1" w:styleId="157">
    <w:name w:val="正文11"/>
    <w:next w:val="158"/>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jc w:val="both"/>
    </w:pPr>
    <w:rPr>
      <w:rFonts w:ascii="Times New Roman" w:hAnsi="Times New Roman" w:eastAsia="宋体" w:cs="Times New Roman"/>
      <w:b/>
      <w:lang w:val="en-US" w:eastAsia="zh-CN" w:bidi="ar-SA"/>
    </w:rPr>
  </w:style>
  <w:style w:type="paragraph" w:customStyle="1" w:styleId="158">
    <w:name w:val="标题 21"/>
    <w:basedOn w:val="159"/>
    <w:next w:val="159"/>
    <w:autoRedefine/>
    <w:qFormat/>
    <w:uiPriority w:val="0"/>
    <w:pPr>
      <w:keepNext/>
      <w:keepLines/>
      <w:tabs>
        <w:tab w:val="left" w:pos="706"/>
        <w:tab w:val="right" w:leader="dot" w:pos="8268"/>
      </w:tabs>
      <w:ind w:left="106" w:firstLine="454"/>
      <w:outlineLvl w:val="1"/>
    </w:pPr>
    <w:rPr>
      <w:rFonts w:ascii="Arial" w:hAnsi="Arial" w:eastAsia="??"/>
      <w:b/>
      <w:bCs/>
      <w:szCs w:val="32"/>
    </w:rPr>
  </w:style>
  <w:style w:type="paragraph" w:customStyle="1" w:styleId="159">
    <w:name w:val="正文1"/>
    <w:basedOn w:val="34"/>
    <w:next w:val="158"/>
    <w:autoRedefine/>
    <w:qFormat/>
    <w:uiPriority w:val="0"/>
    <w:pPr>
      <w:ind w:left="0" w:leftChars="0" w:firstLine="480" w:firstLineChars="200"/>
    </w:pPr>
    <w:rPr>
      <w:rFonts w:ascii="仿宋_GB2312" w:hAnsi="Courier New" w:eastAsia="仿宋_GB2312"/>
      <w:kern w:val="28"/>
      <w:sz w:val="24"/>
    </w:rPr>
  </w:style>
  <w:style w:type="character" w:customStyle="1" w:styleId="160">
    <w:name w:val="Char Char611"/>
    <w:autoRedefine/>
    <w:qFormat/>
    <w:uiPriority w:val="0"/>
    <w:rPr>
      <w:rFonts w:ascii="Times New Roman" w:hAnsi="Times New Roman" w:eastAsia="宋体" w:cs="Times New Roman"/>
      <w:kern w:val="2"/>
      <w:sz w:val="21"/>
      <w:szCs w:val="24"/>
      <w:lang w:val="en-US" w:eastAsia="zh-CN" w:bidi="ar-SA"/>
    </w:rPr>
  </w:style>
  <w:style w:type="character" w:customStyle="1" w:styleId="161">
    <w:name w:val="图名 Char"/>
    <w:autoRedefine/>
    <w:qFormat/>
    <w:uiPriority w:val="0"/>
    <w:rPr>
      <w:rFonts w:ascii="Arial" w:hAnsi="Arial" w:eastAsia="黑体" w:cs="Times New Roman"/>
      <w:kern w:val="2"/>
      <w:sz w:val="24"/>
      <w:szCs w:val="24"/>
      <w:lang w:val="en-US" w:eastAsia="zh-CN" w:bidi="ar-SA"/>
    </w:rPr>
  </w:style>
  <w:style w:type="character" w:customStyle="1" w:styleId="162">
    <w:name w:val="Char Char82"/>
    <w:autoRedefine/>
    <w:qFormat/>
    <w:uiPriority w:val="0"/>
    <w:rPr>
      <w:rFonts w:ascii="Times New Roman" w:hAnsi="Times New Roman" w:eastAsia="宋体" w:cs="Times New Roman"/>
      <w:b/>
      <w:sz w:val="24"/>
      <w:lang w:val="en-GB" w:eastAsia="zh-CN"/>
    </w:rPr>
  </w:style>
  <w:style w:type="character" w:customStyle="1" w:styleId="163">
    <w:name w:val="哈哈正文 Char Char"/>
    <w:autoRedefine/>
    <w:qFormat/>
    <w:uiPriority w:val="0"/>
    <w:rPr>
      <w:rFonts w:ascii="宋体" w:hAnsi="宋体" w:eastAsia="宋体" w:cs="宋体"/>
      <w:kern w:val="2"/>
      <w:sz w:val="24"/>
      <w:lang w:val="en-US" w:eastAsia="zh-CN" w:bidi="ar-SA"/>
    </w:rPr>
  </w:style>
  <w:style w:type="character" w:customStyle="1" w:styleId="164">
    <w:name w:val="Used by Word for text of Help footnotes Char Char1"/>
    <w:autoRedefine/>
    <w:qFormat/>
    <w:uiPriority w:val="0"/>
    <w:rPr>
      <w:rFonts w:ascii="Times New Roman" w:hAnsi="Times New Roman" w:eastAsia="宋体" w:cs="Times New Roman"/>
      <w:color w:val="0000FF"/>
      <w:sz w:val="21"/>
    </w:rPr>
  </w:style>
  <w:style w:type="character" w:customStyle="1" w:styleId="165">
    <w:name w:val="Char Char72"/>
    <w:autoRedefine/>
    <w:qFormat/>
    <w:uiPriority w:val="0"/>
    <w:rPr>
      <w:rFonts w:ascii="Times New Roman" w:hAnsi="Times New Roman" w:eastAsia="宋体" w:cs="Times New Roman"/>
      <w:kern w:val="2"/>
      <w:sz w:val="21"/>
      <w:szCs w:val="24"/>
      <w:lang w:val="en-US" w:eastAsia="zh-CN" w:bidi="ar-SA"/>
    </w:rPr>
  </w:style>
  <w:style w:type="character" w:customStyle="1" w:styleId="166">
    <w:name w:val="页眉 字符1"/>
    <w:autoRedefine/>
    <w:qFormat/>
    <w:uiPriority w:val="0"/>
    <w:rPr>
      <w:rFonts w:ascii="Times New Roman" w:hAnsi="Times New Roman" w:eastAsia="宋体" w:cs="Times New Roman"/>
      <w:kern w:val="2"/>
      <w:sz w:val="18"/>
      <w:szCs w:val="18"/>
    </w:rPr>
  </w:style>
  <w:style w:type="character" w:customStyle="1" w:styleId="167">
    <w:name w:val="Char Char52"/>
    <w:autoRedefine/>
    <w:qFormat/>
    <w:uiPriority w:val="0"/>
    <w:rPr>
      <w:rFonts w:ascii="宋体" w:hAnsi="Courier New" w:eastAsia="宋体" w:cs="Times New Roman"/>
      <w:kern w:val="2"/>
      <w:sz w:val="21"/>
      <w:lang w:val="en-US" w:eastAsia="zh-CN"/>
    </w:rPr>
  </w:style>
  <w:style w:type="character" w:customStyle="1" w:styleId="168">
    <w:name w:val="content"/>
    <w:autoRedefine/>
    <w:qFormat/>
    <w:uiPriority w:val="0"/>
    <w:rPr>
      <w:rFonts w:ascii="Times New Roman" w:hAnsi="Times New Roman" w:eastAsia="宋体" w:cs="Times New Roman"/>
    </w:rPr>
  </w:style>
  <w:style w:type="character" w:customStyle="1" w:styleId="169">
    <w:name w:val="正文文本 3 Char1"/>
    <w:autoRedefine/>
    <w:qFormat/>
    <w:uiPriority w:val="0"/>
    <w:rPr>
      <w:rFonts w:ascii="Times New Roman" w:hAnsi="Times New Roman" w:eastAsia="宋体" w:cs="Times New Roman"/>
      <w:sz w:val="16"/>
      <w:szCs w:val="16"/>
    </w:rPr>
  </w:style>
  <w:style w:type="character" w:customStyle="1" w:styleId="170">
    <w:name w:val="副标题 Char1"/>
    <w:autoRedefine/>
    <w:qFormat/>
    <w:uiPriority w:val="0"/>
    <w:rPr>
      <w:rFonts w:ascii="Cambria" w:hAnsi="Cambria" w:eastAsia="宋体" w:cs="Times New Roman"/>
      <w:b/>
      <w:bCs/>
      <w:snapToGrid w:val="0"/>
      <w:kern w:val="28"/>
      <w:sz w:val="32"/>
      <w:szCs w:val="32"/>
    </w:rPr>
  </w:style>
  <w:style w:type="character" w:customStyle="1" w:styleId="171">
    <w:name w:val="font61"/>
    <w:autoRedefine/>
    <w:qFormat/>
    <w:uiPriority w:val="0"/>
    <w:rPr>
      <w:rFonts w:hint="eastAsia" w:ascii="仿宋" w:hAnsi="仿宋" w:eastAsia="仿宋" w:cs="仿宋"/>
      <w:color w:val="000000"/>
      <w:sz w:val="20"/>
      <w:szCs w:val="20"/>
      <w:u w:val="none"/>
    </w:rPr>
  </w:style>
  <w:style w:type="character" w:customStyle="1" w:styleId="172">
    <w:name w:val="批注文字 字符"/>
    <w:autoRedefine/>
    <w:qFormat/>
    <w:uiPriority w:val="0"/>
    <w:rPr>
      <w:rFonts w:ascii="Arial" w:hAnsi="Arial" w:eastAsia="黑体" w:cs="Arial"/>
      <w:snapToGrid w:val="0"/>
      <w:kern w:val="0"/>
      <w:szCs w:val="21"/>
    </w:rPr>
  </w:style>
  <w:style w:type="character" w:customStyle="1" w:styleId="173">
    <w:name w:val="列表段落 字符"/>
    <w:autoRedefine/>
    <w:qFormat/>
    <w:uiPriority w:val="0"/>
    <w:rPr>
      <w:rFonts w:ascii="Times New Roman" w:hAnsi="Times New Roman" w:eastAsia="宋体" w:cs="Times New Roman"/>
    </w:rPr>
  </w:style>
  <w:style w:type="character" w:customStyle="1" w:styleId="174">
    <w:name w:val="hei16b1"/>
    <w:autoRedefine/>
    <w:qFormat/>
    <w:uiPriority w:val="0"/>
    <w:rPr>
      <w:rFonts w:hint="default" w:ascii="Arial" w:hAnsi="Arial" w:eastAsia="宋体" w:cs="Arial"/>
      <w:b/>
      <w:bCs/>
      <w:color w:val="000000"/>
      <w:sz w:val="24"/>
      <w:szCs w:val="24"/>
    </w:rPr>
  </w:style>
  <w:style w:type="character" w:customStyle="1" w:styleId="17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76">
    <w:name w:val="unnamed31"/>
    <w:autoRedefine/>
    <w:qFormat/>
    <w:uiPriority w:val="0"/>
    <w:rPr>
      <w:rFonts w:ascii="Tahoma" w:hAnsi="Tahoma" w:eastAsia="宋体" w:cs="Times New Roman"/>
      <w:b/>
      <w:kern w:val="2"/>
      <w:sz w:val="24"/>
      <w:szCs w:val="32"/>
      <w:u w:val="none"/>
      <w:lang w:val="en-US" w:eastAsia="zh-CN" w:bidi="ar-SA"/>
    </w:rPr>
  </w:style>
  <w:style w:type="character" w:customStyle="1" w:styleId="177">
    <w:name w:val="标题 4 Char1"/>
    <w:autoRedefine/>
    <w:qFormat/>
    <w:uiPriority w:val="0"/>
    <w:rPr>
      <w:rFonts w:ascii="Cambria" w:hAnsi="Cambria" w:eastAsia="宋体" w:cs="Times New Roman"/>
      <w:b/>
      <w:bCs/>
      <w:kern w:val="2"/>
      <w:sz w:val="28"/>
      <w:szCs w:val="28"/>
    </w:rPr>
  </w:style>
  <w:style w:type="character" w:customStyle="1" w:styleId="178">
    <w:name w:val="正文 项目 Char"/>
    <w:autoRedefine/>
    <w:qFormat/>
    <w:uiPriority w:val="0"/>
    <w:rPr>
      <w:rFonts w:ascii="仿宋_GB2312" w:hAnsi="仿宋_GB2312" w:eastAsia="仿宋_GB2312" w:cs="Times New Roman"/>
      <w:kern w:val="2"/>
      <w:sz w:val="24"/>
      <w:lang w:bidi="ar-SA"/>
    </w:rPr>
  </w:style>
  <w:style w:type="character" w:customStyle="1" w:styleId="179">
    <w:name w:val="正文非缩进 Char"/>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180">
    <w:name w:val="标题 Char1"/>
    <w:autoRedefine/>
    <w:qFormat/>
    <w:uiPriority w:val="0"/>
    <w:rPr>
      <w:rFonts w:ascii="Cambria" w:hAnsi="Cambria" w:eastAsia="宋体" w:cs="Times New Roman"/>
      <w:b/>
      <w:bCs/>
      <w:sz w:val="32"/>
      <w:szCs w:val="32"/>
      <w:lang w:bidi="ar-SA"/>
    </w:rPr>
  </w:style>
  <w:style w:type="character" w:customStyle="1" w:styleId="181">
    <w:name w:val="页眉 Char1"/>
    <w:autoRedefine/>
    <w:qFormat/>
    <w:uiPriority w:val="0"/>
    <w:rPr>
      <w:rFonts w:ascii="Times New Roman" w:hAnsi="Times New Roman" w:eastAsia="宋体" w:cs="Times New Roman"/>
      <w:kern w:val="2"/>
      <w:sz w:val="18"/>
      <w:szCs w:val="18"/>
      <w:lang w:val="en-US" w:eastAsia="zh-CN" w:bidi="ar-SA"/>
    </w:rPr>
  </w:style>
  <w:style w:type="character" w:customStyle="1" w:styleId="182">
    <w:name w:val="表格名称[858D7CFB-ED40-4347-BF05-701D383B685F]"/>
    <w:link w:val="183"/>
    <w:autoRedefine/>
    <w:qFormat/>
    <w:uiPriority w:val="0"/>
    <w:rPr>
      <w:rFonts w:ascii="Times New Roman" w:hAnsi="Times New Roman" w:eastAsia="宋体" w:cs="Times New Roman"/>
      <w:sz w:val="32"/>
    </w:rPr>
  </w:style>
  <w:style w:type="paragraph" w:customStyle="1" w:styleId="183">
    <w:name w:val="表格名称"/>
    <w:basedOn w:val="2"/>
    <w:link w:val="18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4">
    <w:name w:val="Char Char22"/>
    <w:autoRedefine/>
    <w:qFormat/>
    <w:uiPriority w:val="0"/>
    <w:rPr>
      <w:rFonts w:ascii="宋体" w:hAnsi="宋体" w:eastAsia="宋体" w:cs="Times New Roman"/>
      <w:kern w:val="1"/>
      <w:sz w:val="24"/>
      <w:szCs w:val="24"/>
    </w:rPr>
  </w:style>
  <w:style w:type="character" w:customStyle="1" w:styleId="185">
    <w:name w:val="Char Char10"/>
    <w:autoRedefine/>
    <w:qFormat/>
    <w:uiPriority w:val="0"/>
    <w:rPr>
      <w:rFonts w:ascii="宋体" w:hAnsi="宋体" w:eastAsia="宋体" w:cs="Times New Roman"/>
      <w:kern w:val="2"/>
      <w:sz w:val="21"/>
      <w:szCs w:val="24"/>
      <w:lang w:val="en-US" w:eastAsia="zh-CN"/>
    </w:rPr>
  </w:style>
  <w:style w:type="character" w:customStyle="1" w:styleId="186">
    <w:name w:val="Char Char21"/>
    <w:autoRedefine/>
    <w:qFormat/>
    <w:uiPriority w:val="0"/>
    <w:rPr>
      <w:rFonts w:ascii="宋体" w:hAnsi="宋体" w:eastAsia="宋体" w:cs="Times New Roman"/>
      <w:kern w:val="1"/>
      <w:sz w:val="24"/>
      <w:szCs w:val="21"/>
      <w:lang w:val="zh-CN"/>
    </w:rPr>
  </w:style>
  <w:style w:type="character" w:customStyle="1" w:styleId="187">
    <w:name w:val="标题 5 字符"/>
    <w:link w:val="7"/>
    <w:autoRedefine/>
    <w:qFormat/>
    <w:uiPriority w:val="0"/>
    <w:rPr>
      <w:rFonts w:ascii="Times New Roman" w:hAnsi="Times New Roman" w:eastAsia="宋体" w:cs="Times New Roman"/>
      <w:b/>
      <w:bCs/>
      <w:kern w:val="2"/>
      <w:sz w:val="28"/>
      <w:szCs w:val="28"/>
    </w:rPr>
  </w:style>
  <w:style w:type="character" w:customStyle="1" w:styleId="188">
    <w:name w:val="尾注文本 字符"/>
    <w:link w:val="40"/>
    <w:autoRedefine/>
    <w:qFormat/>
    <w:uiPriority w:val="0"/>
    <w:rPr>
      <w:rFonts w:ascii="Times New Roman" w:hAnsi="Times New Roman" w:eastAsia="宋体" w:cs="Times New Roman"/>
      <w:kern w:val="2"/>
      <w:sz w:val="21"/>
      <w:szCs w:val="24"/>
      <w:lang w:val="zh-CN"/>
    </w:rPr>
  </w:style>
  <w:style w:type="character" w:customStyle="1" w:styleId="189">
    <w:name w:val="Char Char4"/>
    <w:autoRedefine/>
    <w:qFormat/>
    <w:uiPriority w:val="0"/>
    <w:rPr>
      <w:rFonts w:ascii="Times New Roman" w:hAnsi="Times New Roman" w:eastAsia="宋体" w:cs="Times New Roman"/>
      <w:b/>
      <w:sz w:val="24"/>
      <w:lang w:val="en-GB" w:eastAsia="zh-CN" w:bidi="ar-SA"/>
    </w:rPr>
  </w:style>
  <w:style w:type="character" w:customStyle="1" w:styleId="190">
    <w:name w:val="unnamed11"/>
    <w:autoRedefine/>
    <w:qFormat/>
    <w:uiPriority w:val="0"/>
    <w:rPr>
      <w:rFonts w:ascii="Times New Roman" w:hAnsi="Times New Roman" w:eastAsia="宋体" w:cs="Times New Roman"/>
      <w:sz w:val="20"/>
      <w:szCs w:val="20"/>
    </w:rPr>
  </w:style>
  <w:style w:type="character" w:customStyle="1" w:styleId="191">
    <w:name w:val="标题 Char"/>
    <w:autoRedefine/>
    <w:qFormat/>
    <w:uiPriority w:val="0"/>
    <w:rPr>
      <w:rFonts w:ascii="Times New Roman" w:hAnsi="Times New Roman" w:eastAsia="宋体" w:cs="Times New Roman"/>
      <w:b/>
      <w:sz w:val="24"/>
      <w:lang w:val="en-GB" w:eastAsia="zh-CN" w:bidi="ar-SA"/>
    </w:rPr>
  </w:style>
  <w:style w:type="character" w:customStyle="1" w:styleId="192">
    <w:name w:val="称呼 字符"/>
    <w:link w:val="20"/>
    <w:autoRedefine/>
    <w:qFormat/>
    <w:uiPriority w:val="0"/>
    <w:rPr>
      <w:rFonts w:ascii="仿宋_GB2312" w:hAnsi="Times New Roman" w:eastAsia="仿宋_GB2312" w:cs="Times New Roman"/>
      <w:kern w:val="2"/>
      <w:sz w:val="28"/>
    </w:rPr>
  </w:style>
  <w:style w:type="character" w:customStyle="1" w:styleId="193">
    <w:name w:val="日期 字符"/>
    <w:link w:val="38"/>
    <w:autoRedefine/>
    <w:qFormat/>
    <w:uiPriority w:val="0"/>
    <w:rPr>
      <w:rFonts w:ascii="宋体" w:hAnsi="Times New Roman" w:eastAsia="宋体" w:cs="Times New Roman"/>
      <w:kern w:val="2"/>
      <w:sz w:val="24"/>
      <w:szCs w:val="21"/>
      <w:lang w:val="zh-CN"/>
    </w:rPr>
  </w:style>
  <w:style w:type="character" w:customStyle="1" w:styleId="194">
    <w:name w:val="Char Char32"/>
    <w:autoRedefine/>
    <w:qFormat/>
    <w:uiPriority w:val="0"/>
    <w:rPr>
      <w:rFonts w:ascii="Times New Roman" w:hAnsi="Times New Roman" w:eastAsia="宋体" w:cs="Times New Roman"/>
      <w:b/>
      <w:kern w:val="1"/>
      <w:sz w:val="24"/>
      <w:szCs w:val="24"/>
    </w:rPr>
  </w:style>
  <w:style w:type="character" w:customStyle="1" w:styleId="195">
    <w:name w:val="Char Char37"/>
    <w:autoRedefine/>
    <w:qFormat/>
    <w:uiPriority w:val="0"/>
    <w:rPr>
      <w:rFonts w:ascii="Times New Roman" w:hAnsi="Times New Roman" w:eastAsia="宋体" w:cs="Times New Roman"/>
      <w:b/>
      <w:kern w:val="1"/>
      <w:sz w:val="44"/>
      <w:szCs w:val="44"/>
    </w:rPr>
  </w:style>
  <w:style w:type="character" w:customStyle="1" w:styleId="196">
    <w:name w:val="标书1 Char"/>
    <w:autoRedefine/>
    <w:qFormat/>
    <w:uiPriority w:val="0"/>
    <w:rPr>
      <w:rFonts w:ascii="Times New Roman" w:hAnsi="Times New Roman" w:eastAsia="宋体" w:cs="Times New Roman"/>
      <w:b/>
      <w:bCs/>
      <w:kern w:val="44"/>
      <w:sz w:val="44"/>
      <w:szCs w:val="44"/>
      <w:lang w:val="en-US" w:eastAsia="zh-CN" w:bidi="ar-SA"/>
    </w:rPr>
  </w:style>
  <w:style w:type="character" w:customStyle="1" w:styleId="197">
    <w:name w:val="font71"/>
    <w:basedOn w:val="71"/>
    <w:autoRedefine/>
    <w:qFormat/>
    <w:uiPriority w:val="0"/>
    <w:rPr>
      <w:rFonts w:hint="eastAsia" w:ascii="宋体" w:hAnsi="宋体" w:eastAsia="宋体" w:cs="宋体"/>
      <w:color w:val="000000"/>
      <w:sz w:val="22"/>
      <w:szCs w:val="22"/>
      <w:u w:val="none"/>
    </w:rPr>
  </w:style>
  <w:style w:type="character" w:customStyle="1" w:styleId="198">
    <w:name w:val="Char Char71"/>
    <w:autoRedefine/>
    <w:qFormat/>
    <w:uiPriority w:val="0"/>
    <w:rPr>
      <w:rFonts w:ascii="Times New Roman" w:hAnsi="Times New Roman" w:eastAsia="宋体" w:cs="Times New Roman"/>
      <w:kern w:val="2"/>
      <w:sz w:val="21"/>
      <w:szCs w:val="24"/>
      <w:lang w:val="en-US" w:eastAsia="zh-CN" w:bidi="ar-SA"/>
    </w:rPr>
  </w:style>
  <w:style w:type="character" w:customStyle="1" w:styleId="199">
    <w:name w:val="font91"/>
    <w:autoRedefine/>
    <w:qFormat/>
    <w:uiPriority w:val="0"/>
    <w:rPr>
      <w:rFonts w:hint="eastAsia" w:ascii="仿宋" w:hAnsi="仿宋" w:eastAsia="仿宋" w:cs="仿宋"/>
      <w:color w:val="000000"/>
      <w:sz w:val="22"/>
      <w:szCs w:val="22"/>
      <w:u w:val="none"/>
    </w:rPr>
  </w:style>
  <w:style w:type="character" w:customStyle="1" w:styleId="200">
    <w:name w:val="正文文本 2 Char"/>
    <w:autoRedefine/>
    <w:qFormat/>
    <w:uiPriority w:val="0"/>
    <w:rPr>
      <w:rFonts w:ascii="Times New Roman" w:hAnsi="Times New Roman" w:eastAsia="宋体" w:cs="Times New Roman"/>
      <w:kern w:val="2"/>
      <w:sz w:val="21"/>
      <w:szCs w:val="24"/>
      <w:lang w:val="en-US" w:eastAsia="zh-CN" w:bidi="ar-SA"/>
    </w:rPr>
  </w:style>
  <w:style w:type="character" w:customStyle="1" w:styleId="201">
    <w:name w:val="blue1"/>
    <w:basedOn w:val="71"/>
    <w:autoRedefine/>
    <w:qFormat/>
    <w:uiPriority w:val="0"/>
    <w:rPr>
      <w:rFonts w:ascii="Arial" w:hAnsi="Arial" w:eastAsia="黑体" w:cs="Arial"/>
      <w:snapToGrid w:val="0"/>
      <w:kern w:val="0"/>
      <w:szCs w:val="21"/>
    </w:rPr>
  </w:style>
  <w:style w:type="character" w:customStyle="1" w:styleId="202">
    <w:name w:val="样式 标题 4h4H4Fab-4T5Ref Heading 1rh1Heading sqlsect 1.2.3.... Char"/>
    <w:link w:val="154"/>
    <w:autoRedefine/>
    <w:qFormat/>
    <w:uiPriority w:val="0"/>
    <w:rPr>
      <w:rFonts w:ascii="微软雅黑" w:hAnsi="微软雅黑" w:eastAsia="微软雅黑" w:cs="Times New Roman"/>
      <w:b/>
      <w:bCs/>
      <w:kern w:val="2"/>
      <w:sz w:val="24"/>
      <w:szCs w:val="28"/>
    </w:rPr>
  </w:style>
  <w:style w:type="character" w:customStyle="1" w:styleId="203">
    <w:name w:val="edui-unclickable"/>
    <w:autoRedefine/>
    <w:qFormat/>
    <w:uiPriority w:val="0"/>
    <w:rPr>
      <w:rFonts w:ascii="Times New Roman" w:hAnsi="Times New Roman" w:eastAsia="宋体" w:cs="Times New Roman"/>
      <w:color w:val="808080"/>
    </w:rPr>
  </w:style>
  <w:style w:type="character" w:customStyle="1" w:styleId="204">
    <w:name w:val="ksfind_class_select1"/>
    <w:basedOn w:val="71"/>
    <w:autoRedefine/>
    <w:qFormat/>
    <w:uiPriority w:val="0"/>
    <w:rPr>
      <w:rFonts w:ascii="Times New Roman" w:hAnsi="Times New Roman" w:eastAsia="宋体" w:cs="Times New Roman"/>
      <w:color w:val="000000"/>
      <w:shd w:val="clear" w:color="auto" w:fill="EFD200"/>
    </w:rPr>
  </w:style>
  <w:style w:type="character" w:customStyle="1" w:styleId="205">
    <w:name w:val="edui-clickable2"/>
    <w:autoRedefine/>
    <w:qFormat/>
    <w:uiPriority w:val="0"/>
    <w:rPr>
      <w:rFonts w:ascii="Times New Roman" w:hAnsi="Times New Roman" w:eastAsia="宋体" w:cs="Times New Roman"/>
      <w:color w:val="0000FF"/>
      <w:u w:val="single"/>
    </w:rPr>
  </w:style>
  <w:style w:type="character" w:customStyle="1" w:styleId="206">
    <w:name w:val="H5 Char"/>
    <w:autoRedefine/>
    <w:qFormat/>
    <w:uiPriority w:val="0"/>
    <w:rPr>
      <w:rFonts w:ascii="Times New Roman" w:hAnsi="Times New Roman" w:eastAsia="宋体" w:cs="Times New Roman"/>
      <w:b/>
      <w:bCs/>
      <w:kern w:val="2"/>
      <w:sz w:val="28"/>
      <w:szCs w:val="28"/>
    </w:rPr>
  </w:style>
  <w:style w:type="character" w:customStyle="1" w:styleId="207">
    <w:name w:val="tw4winError"/>
    <w:autoRedefine/>
    <w:qFormat/>
    <w:uiPriority w:val="0"/>
    <w:rPr>
      <w:rFonts w:ascii="Courier New" w:hAnsi="Courier New" w:eastAsia="宋体" w:cs="Courier New"/>
      <w:color w:val="00FF00"/>
      <w:sz w:val="40"/>
      <w:szCs w:val="40"/>
    </w:rPr>
  </w:style>
  <w:style w:type="character" w:customStyle="1" w:styleId="208">
    <w:name w:val="Char Char5"/>
    <w:autoRedefine/>
    <w:qFormat/>
    <w:uiPriority w:val="0"/>
    <w:rPr>
      <w:rFonts w:ascii="宋体" w:hAnsi="Courier New" w:eastAsia="宋体" w:cs="Times New Roman"/>
      <w:kern w:val="2"/>
      <w:sz w:val="21"/>
      <w:lang w:val="en-US" w:eastAsia="zh-CN"/>
    </w:rPr>
  </w:style>
  <w:style w:type="character" w:customStyle="1" w:styleId="209">
    <w:name w:val="t21"/>
    <w:autoRedefine/>
    <w:qFormat/>
    <w:uiPriority w:val="0"/>
    <w:rPr>
      <w:rFonts w:ascii="仿宋_GB2312" w:hAnsi="Times New Roman" w:eastAsia="微软雅黑" w:cs="Times New Roman"/>
      <w:b/>
      <w:kern w:val="2"/>
      <w:sz w:val="23"/>
      <w:szCs w:val="23"/>
      <w:lang w:val="en-US" w:eastAsia="zh-CN" w:bidi="ar-SA"/>
    </w:rPr>
  </w:style>
  <w:style w:type="character" w:customStyle="1" w:styleId="210">
    <w:name w:val="font01"/>
    <w:autoRedefine/>
    <w:qFormat/>
    <w:uiPriority w:val="0"/>
    <w:rPr>
      <w:rFonts w:hint="eastAsia" w:ascii="微软雅黑" w:hAnsi="微软雅黑" w:eastAsia="微软雅黑" w:cs="微软雅黑"/>
      <w:color w:val="000000"/>
      <w:sz w:val="20"/>
      <w:szCs w:val="20"/>
      <w:u w:val="none"/>
    </w:rPr>
  </w:style>
  <w:style w:type="character" w:customStyle="1" w:styleId="211">
    <w:name w:val="H6 Char"/>
    <w:autoRedefine/>
    <w:qFormat/>
    <w:uiPriority w:val="0"/>
    <w:rPr>
      <w:rFonts w:ascii="Arial" w:hAnsi="Arial" w:eastAsia="黑体" w:cs="Times New Roman"/>
      <w:b/>
      <w:bCs/>
      <w:kern w:val="2"/>
      <w:sz w:val="24"/>
      <w:szCs w:val="24"/>
    </w:rPr>
  </w:style>
  <w:style w:type="character" w:customStyle="1" w:styleId="212">
    <w:name w:val="Char Char91"/>
    <w:autoRedefine/>
    <w:qFormat/>
    <w:uiPriority w:val="0"/>
    <w:rPr>
      <w:rFonts w:ascii="Times New Roman" w:hAnsi="Times New Roman" w:eastAsia="宋体" w:cs="Times New Roman"/>
      <w:kern w:val="2"/>
      <w:sz w:val="18"/>
      <w:szCs w:val="18"/>
      <w:lang w:val="en-US" w:eastAsia="zh-CN" w:bidi="ar-SA"/>
    </w:rPr>
  </w:style>
  <w:style w:type="character" w:customStyle="1" w:styleId="213">
    <w:name w:val="param-name"/>
    <w:autoRedefine/>
    <w:qFormat/>
    <w:uiPriority w:val="0"/>
    <w:rPr>
      <w:rFonts w:ascii="Arial" w:hAnsi="Arial" w:eastAsia="黑体" w:cs="Arial"/>
      <w:snapToGrid w:val="0"/>
      <w:kern w:val="0"/>
      <w:szCs w:val="21"/>
    </w:rPr>
  </w:style>
  <w:style w:type="character" w:customStyle="1" w:styleId="214">
    <w:name w:val="Char Char11"/>
    <w:autoRedefine/>
    <w:qFormat/>
    <w:uiPriority w:val="0"/>
    <w:rPr>
      <w:rFonts w:ascii="宋体" w:hAnsi="宋体" w:eastAsia="宋体" w:cs="Times New Roman"/>
      <w:b/>
      <w:kern w:val="2"/>
      <w:sz w:val="24"/>
      <w:szCs w:val="24"/>
      <w:lang w:val="en-US" w:eastAsia="zh-CN" w:bidi="ar-SA"/>
    </w:rPr>
  </w:style>
  <w:style w:type="character" w:customStyle="1" w:styleId="215">
    <w:name w:val="ca-131"/>
    <w:autoRedefine/>
    <w:qFormat/>
    <w:uiPriority w:val="0"/>
    <w:rPr>
      <w:rFonts w:hint="eastAsia" w:ascii="仿宋_GB2312" w:hAnsi="Times New Roman" w:eastAsia="仿宋_GB2312" w:cs="Times New Roman"/>
      <w:b/>
      <w:bCs/>
      <w:color w:val="000000"/>
      <w:spacing w:val="-20"/>
      <w:sz w:val="24"/>
      <w:szCs w:val="24"/>
    </w:rPr>
  </w:style>
  <w:style w:type="character" w:customStyle="1" w:styleId="216">
    <w:name w:val="Char Char14"/>
    <w:autoRedefine/>
    <w:qFormat/>
    <w:uiPriority w:val="0"/>
    <w:rPr>
      <w:rFonts w:ascii="黑体" w:hAnsi="黑体" w:eastAsia="黑体" w:cs="Times New Roman"/>
    </w:rPr>
  </w:style>
  <w:style w:type="character" w:customStyle="1" w:styleId="217">
    <w:name w:val="Char Char212"/>
    <w:autoRedefine/>
    <w:qFormat/>
    <w:uiPriority w:val="0"/>
    <w:rPr>
      <w:rFonts w:ascii="Times New Roman" w:hAnsi="Times New Roman" w:eastAsia="宋体" w:cs="Times New Roman"/>
      <w:b/>
      <w:bCs/>
      <w:kern w:val="2"/>
      <w:sz w:val="21"/>
      <w:szCs w:val="24"/>
      <w:lang w:val="en-US" w:eastAsia="zh-CN" w:bidi="ar-SA"/>
    </w:rPr>
  </w:style>
  <w:style w:type="character" w:customStyle="1" w:styleId="21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219">
    <w:name w:val="zbggmain style9"/>
    <w:autoRedefine/>
    <w:qFormat/>
    <w:uiPriority w:val="0"/>
    <w:rPr>
      <w:rFonts w:ascii="Times New Roman" w:hAnsi="Times New Roman" w:eastAsia="宋体" w:cs="Times New Roman"/>
    </w:rPr>
  </w:style>
  <w:style w:type="character" w:customStyle="1" w:styleId="220">
    <w:name w:val="段落 Char Char"/>
    <w:link w:val="221"/>
    <w:autoRedefine/>
    <w:qFormat/>
    <w:uiPriority w:val="0"/>
    <w:rPr>
      <w:rFonts w:ascii="宋体" w:hAnsi="宋体" w:eastAsia="宋体" w:cs="Times New Roman"/>
      <w:sz w:val="24"/>
    </w:rPr>
  </w:style>
  <w:style w:type="paragraph" w:customStyle="1" w:styleId="221">
    <w:name w:val="段落"/>
    <w:basedOn w:val="1"/>
    <w:link w:val="220"/>
    <w:autoRedefine/>
    <w:qFormat/>
    <w:uiPriority w:val="0"/>
    <w:pPr>
      <w:adjustRightInd/>
      <w:spacing w:line="360" w:lineRule="auto"/>
      <w:ind w:firstLine="480" w:firstLineChars="200"/>
    </w:pPr>
    <w:rPr>
      <w:rFonts w:ascii="宋体" w:hAnsi="宋体"/>
      <w:kern w:val="0"/>
      <w:sz w:val="24"/>
      <w:szCs w:val="20"/>
    </w:rPr>
  </w:style>
  <w:style w:type="character" w:customStyle="1" w:styleId="222">
    <w:name w:val="Footer-Even Char1"/>
    <w:autoRedefine/>
    <w:qFormat/>
    <w:uiPriority w:val="0"/>
    <w:rPr>
      <w:rFonts w:ascii="Times New Roman" w:hAnsi="Times New Roman" w:eastAsia="宋体" w:cs="Times New Roman"/>
      <w:kern w:val="2"/>
      <w:sz w:val="18"/>
      <w:szCs w:val="18"/>
      <w:lang w:val="en-US" w:eastAsia="zh-CN" w:bidi="ar-SA"/>
    </w:rPr>
  </w:style>
  <w:style w:type="character" w:customStyle="1" w:styleId="223">
    <w:name w:val="纯文本 字符1"/>
    <w:link w:val="35"/>
    <w:autoRedefine/>
    <w:qFormat/>
    <w:uiPriority w:val="0"/>
    <w:rPr>
      <w:rFonts w:ascii="宋体" w:hAnsi="Courier New" w:eastAsia="宋体" w:cs="Arial"/>
      <w:snapToGrid w:val="0"/>
      <w:kern w:val="2"/>
      <w:sz w:val="21"/>
      <w:szCs w:val="21"/>
      <w:lang w:val="en-US" w:eastAsia="zh-CN" w:bidi="ar-SA"/>
    </w:rPr>
  </w:style>
  <w:style w:type="character" w:customStyle="1" w:styleId="224">
    <w:name w:val="Char Char102"/>
    <w:autoRedefine/>
    <w:qFormat/>
    <w:uiPriority w:val="0"/>
    <w:rPr>
      <w:rFonts w:ascii="宋体" w:hAnsi="宋体" w:eastAsia="宋体" w:cs="Times New Roman"/>
      <w:kern w:val="2"/>
      <w:sz w:val="21"/>
      <w:szCs w:val="24"/>
      <w:lang w:val="en-US" w:eastAsia="zh-CN"/>
    </w:rPr>
  </w:style>
  <w:style w:type="character" w:customStyle="1" w:styleId="225">
    <w:name w:val="Char Char3"/>
    <w:autoRedefine/>
    <w:qFormat/>
    <w:uiPriority w:val="0"/>
    <w:rPr>
      <w:rFonts w:ascii="Times New Roman" w:hAnsi="Times New Roman" w:eastAsia="宋体" w:cs="Times New Roman"/>
      <w:kern w:val="2"/>
      <w:sz w:val="21"/>
      <w:szCs w:val="24"/>
      <w:lang w:val="en-US" w:eastAsia="zh-CN" w:bidi="ar-SA"/>
    </w:rPr>
  </w:style>
  <w:style w:type="character" w:customStyle="1" w:styleId="226">
    <w:name w:val="正文首行缩进 Char Char Char Char Char Char1"/>
    <w:autoRedefine/>
    <w:qFormat/>
    <w:uiPriority w:val="0"/>
    <w:rPr>
      <w:rFonts w:ascii="宋体" w:hAnsi="Times New Roman" w:eastAsia="宋体" w:cs="Times New Roman"/>
      <w:kern w:val="2"/>
      <w:sz w:val="24"/>
      <w:szCs w:val="24"/>
      <w:lang w:val="zh-CN" w:bidi="ar-SA"/>
    </w:rPr>
  </w:style>
  <w:style w:type="character" w:customStyle="1" w:styleId="227">
    <w:name w:val="Char Char"/>
    <w:autoRedefine/>
    <w:qFormat/>
    <w:uiPriority w:val="0"/>
    <w:rPr>
      <w:rFonts w:ascii="宋体" w:hAnsi="Courier New" w:eastAsia="宋体" w:cs="Times New Roman"/>
      <w:kern w:val="2"/>
      <w:sz w:val="21"/>
      <w:lang w:val="en-US" w:eastAsia="zh-CN" w:bidi="ar-SA"/>
    </w:rPr>
  </w:style>
  <w:style w:type="character" w:customStyle="1" w:styleId="228">
    <w:name w:val="myp11"/>
    <w:autoRedefine/>
    <w:qFormat/>
    <w:uiPriority w:val="0"/>
    <w:rPr>
      <w:rFonts w:ascii="仿宋_GB2312" w:hAnsi="Times New Roman" w:eastAsia="微软雅黑" w:cs="Times New Roman"/>
      <w:b/>
      <w:kern w:val="2"/>
      <w:sz w:val="32"/>
      <w:szCs w:val="32"/>
      <w:lang w:val="en-US" w:eastAsia="zh-CN" w:bidi="ar-SA"/>
    </w:rPr>
  </w:style>
  <w:style w:type="character" w:customStyle="1" w:styleId="229">
    <w:name w:val="No Spacing Char"/>
    <w:link w:val="230"/>
    <w:autoRedefine/>
    <w:qFormat/>
    <w:uiPriority w:val="0"/>
    <w:rPr>
      <w:rFonts w:ascii="Times New Roman" w:hAnsi="Times New Roman" w:eastAsia="宋体" w:cs="Times New Roman"/>
      <w:sz w:val="22"/>
      <w:szCs w:val="22"/>
      <w:lang w:val="en-US" w:eastAsia="zh-CN" w:bidi="ar-SA"/>
    </w:rPr>
  </w:style>
  <w:style w:type="paragraph" w:customStyle="1" w:styleId="230">
    <w:name w:val="无间隔1"/>
    <w:link w:val="229"/>
    <w:autoRedefine/>
    <w:qFormat/>
    <w:uiPriority w:val="0"/>
    <w:rPr>
      <w:rFonts w:ascii="Times New Roman" w:hAnsi="Times New Roman" w:eastAsia="宋体" w:cs="Times New Roman"/>
      <w:sz w:val="22"/>
      <w:szCs w:val="22"/>
      <w:lang w:val="en-US" w:eastAsia="zh-CN" w:bidi="ar-SA"/>
    </w:rPr>
  </w:style>
  <w:style w:type="character" w:customStyle="1" w:styleId="231">
    <w:name w:val="普通文字 Char Char1"/>
    <w:autoRedefine/>
    <w:qFormat/>
    <w:uiPriority w:val="0"/>
    <w:rPr>
      <w:rFonts w:ascii="宋体" w:hAnsi="Courier New" w:eastAsia="宋体" w:cs="Times New Roman"/>
      <w:kern w:val="2"/>
      <w:sz w:val="21"/>
    </w:rPr>
  </w:style>
  <w:style w:type="character" w:customStyle="1" w:styleId="232">
    <w:name w:val="交叉引用"/>
    <w:autoRedefine/>
    <w:qFormat/>
    <w:uiPriority w:val="0"/>
    <w:rPr>
      <w:rFonts w:ascii="Arial" w:hAnsi="Arial" w:eastAsia="黑体" w:cs="Times New Roman"/>
      <w:snapToGrid w:val="0"/>
      <w:color w:val="0000FF"/>
      <w:kern w:val="0"/>
      <w:sz w:val="20"/>
      <w:szCs w:val="21"/>
      <w:u w:val="single"/>
      <w:lang w:val="en-US" w:eastAsia="zh-CN"/>
    </w:rPr>
  </w:style>
  <w:style w:type="character" w:customStyle="1" w:styleId="233">
    <w:name w:val="正文文字缩进 2 Char Char"/>
    <w:autoRedefine/>
    <w:qFormat/>
    <w:uiPriority w:val="0"/>
    <w:rPr>
      <w:rFonts w:ascii="宋体" w:hAnsi="Times New Roman" w:eastAsia="宋体" w:cs="Times New Roman"/>
      <w:sz w:val="28"/>
    </w:rPr>
  </w:style>
  <w:style w:type="character" w:customStyle="1" w:styleId="234">
    <w:name w:val="Normal Indent Char Char"/>
    <w:autoRedefine/>
    <w:qFormat/>
    <w:uiPriority w:val="0"/>
    <w:rPr>
      <w:rFonts w:ascii="Times New Roman" w:hAnsi="Times New Roman" w:eastAsia="宋体" w:cs="Times New Roman"/>
      <w:kern w:val="2"/>
      <w:sz w:val="21"/>
      <w:lang w:val="en-US" w:eastAsia="zh-CN" w:bidi="ar-SA"/>
    </w:rPr>
  </w:style>
  <w:style w:type="character" w:customStyle="1" w:styleId="235">
    <w:name w:val="样式7 Char"/>
    <w:autoRedefine/>
    <w:qFormat/>
    <w:uiPriority w:val="0"/>
    <w:rPr>
      <w:rFonts w:ascii="仿宋_GB2312" w:hAnsi="仿宋" w:eastAsia="仿宋_GB2312" w:cs="Times New Roman"/>
      <w:b/>
      <w:kern w:val="2"/>
      <w:sz w:val="24"/>
      <w:szCs w:val="24"/>
    </w:rPr>
  </w:style>
  <w:style w:type="character" w:customStyle="1" w:styleId="236">
    <w:name w:val="普通文字 Char3"/>
    <w:autoRedefine/>
    <w:qFormat/>
    <w:uiPriority w:val="0"/>
    <w:rPr>
      <w:rFonts w:ascii="宋体" w:hAnsi="Courier New" w:eastAsia="宋体" w:cs="Times New Roman"/>
      <w:kern w:val="2"/>
      <w:sz w:val="21"/>
      <w:lang w:val="en-US" w:eastAsia="zh-CN" w:bidi="ar-SA"/>
    </w:rPr>
  </w:style>
  <w:style w:type="character" w:customStyle="1" w:styleId="237">
    <w:name w:val="Char Char7"/>
    <w:autoRedefine/>
    <w:qFormat/>
    <w:uiPriority w:val="0"/>
    <w:rPr>
      <w:rFonts w:ascii="Times New Roman" w:hAnsi="Times New Roman" w:eastAsia="宋体" w:cs="Times New Roman"/>
      <w:kern w:val="2"/>
      <w:sz w:val="21"/>
      <w:szCs w:val="24"/>
      <w:lang w:val="en-US" w:eastAsia="zh-CN" w:bidi="ar-SA"/>
    </w:rPr>
  </w:style>
  <w:style w:type="character" w:customStyle="1" w:styleId="238">
    <w:name w:val="文本正文 Char Char"/>
    <w:autoRedefine/>
    <w:qFormat/>
    <w:uiPriority w:val="0"/>
    <w:rPr>
      <w:rFonts w:ascii="Times New Roman" w:hAnsi="Times New Roman" w:eastAsia="宋体" w:cs="Times New Roman"/>
      <w:sz w:val="24"/>
      <w:lang w:bidi="ar-SA"/>
    </w:rPr>
  </w:style>
  <w:style w:type="character" w:customStyle="1" w:styleId="239">
    <w:name w:val="首行缩进 Char"/>
    <w:autoRedefine/>
    <w:qFormat/>
    <w:uiPriority w:val="0"/>
    <w:rPr>
      <w:rFonts w:ascii="宋体" w:hAnsi="Times New Roman" w:eastAsia="宋体" w:cs="Times New Roman"/>
      <w:kern w:val="2"/>
      <w:sz w:val="24"/>
      <w:lang w:val="en-US" w:eastAsia="zh-CN" w:bidi="ar-SA"/>
    </w:rPr>
  </w:style>
  <w:style w:type="character" w:customStyle="1" w:styleId="240">
    <w:name w:val="副标题 字符"/>
    <w:link w:val="50"/>
    <w:autoRedefine/>
    <w:qFormat/>
    <w:uiPriority w:val="0"/>
    <w:rPr>
      <w:rFonts w:ascii="Arial" w:hAnsi="Arial" w:eastAsia="隶书" w:cs="Times New Roman"/>
      <w:b/>
      <w:bCs/>
      <w:kern w:val="28"/>
      <w:sz w:val="44"/>
      <w:szCs w:val="32"/>
      <w:lang w:val="en-US" w:eastAsia="zh-CN" w:bidi="ar-SA"/>
    </w:rPr>
  </w:style>
  <w:style w:type="character" w:customStyle="1" w:styleId="241">
    <w:name w:val="正文1 Char1"/>
    <w:autoRedefine/>
    <w:qFormat/>
    <w:uiPriority w:val="0"/>
    <w:rPr>
      <w:rFonts w:ascii="仿宋_GB2312" w:hAnsi="Courier New" w:eastAsia="仿宋_GB2312" w:cs="Times New Roman"/>
      <w:kern w:val="28"/>
      <w:sz w:val="24"/>
      <w:szCs w:val="24"/>
      <w:lang w:val="en-US" w:eastAsia="zh-CN"/>
    </w:rPr>
  </w:style>
  <w:style w:type="character" w:customStyle="1" w:styleId="242">
    <w:name w:val="dandyren_title1"/>
    <w:autoRedefine/>
    <w:qFormat/>
    <w:uiPriority w:val="0"/>
    <w:rPr>
      <w:rFonts w:ascii="Times New Roman" w:hAnsi="Times New Roman" w:eastAsia="宋体" w:cs="Times New Roman"/>
      <w:b/>
      <w:bCs/>
      <w:color w:val="FF6633"/>
      <w:sz w:val="18"/>
      <w:szCs w:val="18"/>
    </w:rPr>
  </w:style>
  <w:style w:type="character" w:customStyle="1" w:styleId="243">
    <w:name w:val="仿宋正文 Char"/>
    <w:link w:val="244"/>
    <w:autoRedefine/>
    <w:qFormat/>
    <w:uiPriority w:val="0"/>
    <w:rPr>
      <w:rFonts w:ascii="仿宋_GB2312" w:hAnsi="Times New Roman" w:eastAsia="仿宋_GB2312" w:cs="Times New Roman"/>
      <w:kern w:val="2"/>
      <w:sz w:val="24"/>
      <w:lang w:val="en-US" w:eastAsia="zh-CN" w:bidi="ar-SA"/>
    </w:rPr>
  </w:style>
  <w:style w:type="paragraph" w:customStyle="1" w:styleId="244">
    <w:name w:val="仿宋正文"/>
    <w:basedOn w:val="1"/>
    <w:link w:val="243"/>
    <w:autoRedefine/>
    <w:qFormat/>
    <w:uiPriority w:val="0"/>
    <w:pPr>
      <w:adjustRightInd/>
      <w:spacing w:line="360" w:lineRule="auto"/>
      <w:ind w:firstLine="480" w:firstLineChars="200"/>
    </w:pPr>
    <w:rPr>
      <w:rFonts w:ascii="仿宋_GB2312" w:eastAsia="仿宋_GB2312"/>
      <w:sz w:val="24"/>
      <w:szCs w:val="20"/>
    </w:rPr>
  </w:style>
  <w:style w:type="character" w:customStyle="1" w:styleId="245">
    <w:name w:val="Char Char411"/>
    <w:autoRedefine/>
    <w:qFormat/>
    <w:uiPriority w:val="0"/>
    <w:rPr>
      <w:rFonts w:ascii="Times New Roman" w:hAnsi="Times New Roman" w:eastAsia="宋体" w:cs="Times New Roman"/>
      <w:b/>
      <w:sz w:val="24"/>
      <w:lang w:val="en-GB" w:eastAsia="zh-CN" w:bidi="ar-SA"/>
    </w:rPr>
  </w:style>
  <w:style w:type="character" w:customStyle="1" w:styleId="246">
    <w:name w:val="Char Char29"/>
    <w:autoRedefine/>
    <w:qFormat/>
    <w:uiPriority w:val="0"/>
    <w:rPr>
      <w:rFonts w:ascii="Arial" w:hAnsi="Arial" w:eastAsia="微软雅黑" w:cs="Times New Roman"/>
      <w:b/>
      <w:kern w:val="1"/>
      <w:sz w:val="44"/>
      <w:szCs w:val="32"/>
      <w:lang w:val="en-US" w:eastAsia="zh-CN" w:bidi="ar-SA"/>
    </w:rPr>
  </w:style>
  <w:style w:type="character" w:customStyle="1" w:styleId="247">
    <w:name w:val="Heading 7 Char"/>
    <w:autoRedefine/>
    <w:qFormat/>
    <w:uiPriority w:val="0"/>
    <w:rPr>
      <w:rFonts w:ascii="宋体" w:hAnsi="宋体" w:eastAsia="宋体" w:cs="Times New Roman"/>
      <w:b/>
      <w:bCs/>
      <w:kern w:val="2"/>
      <w:sz w:val="24"/>
      <w:szCs w:val="24"/>
      <w:lang w:val="en-US" w:eastAsia="zh-CN" w:bidi="ar-SA"/>
    </w:rPr>
  </w:style>
  <w:style w:type="character" w:customStyle="1" w:styleId="248">
    <w:name w:val="h3 Char"/>
    <w:autoRedefine/>
    <w:qFormat/>
    <w:uiPriority w:val="0"/>
    <w:rPr>
      <w:rFonts w:ascii="Times New Roman" w:hAnsi="Times New Roman" w:eastAsia="宋体" w:cs="Times New Roman"/>
      <w:b/>
      <w:kern w:val="2"/>
      <w:sz w:val="32"/>
      <w:lang w:val="en-US" w:eastAsia="zh-CN" w:bidi="ar-SA"/>
    </w:rPr>
  </w:style>
  <w:style w:type="character" w:customStyle="1" w:styleId="249">
    <w:name w:val="font21"/>
    <w:basedOn w:val="71"/>
    <w:autoRedefine/>
    <w:qFormat/>
    <w:uiPriority w:val="0"/>
    <w:rPr>
      <w:rFonts w:hint="eastAsia" w:ascii="宋体" w:hAnsi="宋体" w:eastAsia="宋体" w:cs="Times New Roman"/>
      <w:kern w:val="2"/>
      <w:sz w:val="28"/>
      <w:szCs w:val="28"/>
      <w:lang w:val="en-US" w:eastAsia="zh-CN" w:bidi="ar-SA"/>
    </w:rPr>
  </w:style>
  <w:style w:type="character" w:customStyle="1" w:styleId="250">
    <w:name w:val="标题 9 字符"/>
    <w:link w:val="11"/>
    <w:autoRedefine/>
    <w:qFormat/>
    <w:uiPriority w:val="0"/>
    <w:rPr>
      <w:rFonts w:ascii="Arial" w:hAnsi="Arial" w:eastAsia="黑体" w:cs="Times New Roman"/>
      <w:kern w:val="2"/>
      <w:sz w:val="21"/>
      <w:szCs w:val="21"/>
    </w:rPr>
  </w:style>
  <w:style w:type="character" w:customStyle="1" w:styleId="251">
    <w:name w:val="Char Char101"/>
    <w:autoRedefine/>
    <w:qFormat/>
    <w:uiPriority w:val="0"/>
    <w:rPr>
      <w:rFonts w:ascii="宋体" w:hAnsi="宋体" w:eastAsia="宋体" w:cs="Times New Roman"/>
      <w:kern w:val="2"/>
      <w:sz w:val="21"/>
      <w:szCs w:val="24"/>
      <w:lang w:val="en-US" w:eastAsia="zh-CN"/>
    </w:rPr>
  </w:style>
  <w:style w:type="character" w:customStyle="1" w:styleId="252">
    <w:name w:val="HTML 预设格式 字符"/>
    <w:link w:val="60"/>
    <w:autoRedefine/>
    <w:qFormat/>
    <w:uiPriority w:val="0"/>
    <w:rPr>
      <w:rFonts w:ascii="黑体" w:hAnsi="Courier New" w:eastAsia="黑体" w:cs="Times New Roman"/>
    </w:rPr>
  </w:style>
  <w:style w:type="character" w:customStyle="1" w:styleId="253">
    <w:name w:val="Char Char311"/>
    <w:autoRedefine/>
    <w:qFormat/>
    <w:uiPriority w:val="0"/>
    <w:rPr>
      <w:rFonts w:ascii="Times New Roman" w:hAnsi="Times New Roman" w:eastAsia="宋体" w:cs="Times New Roman"/>
      <w:kern w:val="2"/>
      <w:sz w:val="21"/>
      <w:szCs w:val="24"/>
      <w:lang w:val="en-US" w:eastAsia="zh-CN" w:bidi="ar-SA"/>
    </w:rPr>
  </w:style>
  <w:style w:type="character" w:customStyle="1" w:styleId="254">
    <w:name w:val="Heading 1 Char"/>
    <w:autoRedefine/>
    <w:qFormat/>
    <w:uiPriority w:val="0"/>
    <w:rPr>
      <w:rFonts w:ascii="Times New Roman" w:hAnsi="Times New Roman" w:eastAsia="黑体" w:cs="Times New Roman"/>
      <w:b/>
      <w:kern w:val="0"/>
      <w:sz w:val="24"/>
      <w:szCs w:val="24"/>
    </w:rPr>
  </w:style>
  <w:style w:type="character" w:customStyle="1" w:styleId="255">
    <w:name w:val="Char Char36"/>
    <w:autoRedefine/>
    <w:qFormat/>
    <w:uiPriority w:val="0"/>
    <w:rPr>
      <w:rFonts w:ascii="仿宋_GB2312" w:hAnsi="仿宋_GB2312" w:eastAsia="仿宋_GB2312" w:cs="Arial"/>
      <w:b/>
      <w:kern w:val="1"/>
      <w:sz w:val="32"/>
      <w:szCs w:val="32"/>
      <w:lang w:val="zh-CN" w:eastAsia="zh-CN" w:bidi="ar-SA"/>
    </w:rPr>
  </w:style>
  <w:style w:type="character" w:customStyle="1" w:styleId="256">
    <w:name w:val="标题 4 字符"/>
    <w:autoRedefine/>
    <w:qFormat/>
    <w:uiPriority w:val="0"/>
    <w:rPr>
      <w:rFonts w:ascii="等线 Light" w:hAnsi="等线 Light" w:eastAsia="等线 Light" w:cs="Times New Roman"/>
      <w:b/>
      <w:bCs/>
      <w:snapToGrid w:val="0"/>
      <w:kern w:val="0"/>
      <w:sz w:val="28"/>
      <w:szCs w:val="28"/>
    </w:rPr>
  </w:style>
  <w:style w:type="character" w:customStyle="1" w:styleId="257">
    <w:name w:val="U_正文 Char"/>
    <w:link w:val="258"/>
    <w:autoRedefine/>
    <w:qFormat/>
    <w:uiPriority w:val="0"/>
    <w:rPr>
      <w:rFonts w:ascii="Times New Roman" w:hAnsi="Times New Roman" w:eastAsia="宋体" w:cs="Times New Roman"/>
      <w:sz w:val="24"/>
      <w:szCs w:val="24"/>
    </w:rPr>
  </w:style>
  <w:style w:type="paragraph" w:customStyle="1" w:styleId="258">
    <w:name w:val="U_正文"/>
    <w:basedOn w:val="1"/>
    <w:link w:val="257"/>
    <w:autoRedefine/>
    <w:qFormat/>
    <w:uiPriority w:val="0"/>
    <w:pPr>
      <w:adjustRightInd/>
      <w:spacing w:beforeLines="20" w:afterLines="20" w:line="300" w:lineRule="auto"/>
      <w:ind w:firstLine="200" w:firstLineChars="200"/>
    </w:pPr>
    <w:rPr>
      <w:kern w:val="0"/>
      <w:sz w:val="24"/>
    </w:rPr>
  </w:style>
  <w:style w:type="character" w:customStyle="1" w:styleId="259">
    <w:name w:val="tw4winTerm"/>
    <w:autoRedefine/>
    <w:qFormat/>
    <w:uiPriority w:val="0"/>
    <w:rPr>
      <w:rFonts w:ascii="Times New Roman" w:hAnsi="Times New Roman" w:eastAsia="宋体" w:cs="Times New Roman"/>
      <w:color w:val="0000FF"/>
    </w:rPr>
  </w:style>
  <w:style w:type="character" w:customStyle="1" w:styleId="260">
    <w:name w:val="正文文本缩进 Char1"/>
    <w:autoRedefine/>
    <w:qFormat/>
    <w:uiPriority w:val="0"/>
    <w:rPr>
      <w:rFonts w:ascii="Calibri" w:hAnsi="Calibri" w:eastAsia="宋体" w:cs="Times New Roman"/>
      <w:sz w:val="28"/>
    </w:rPr>
  </w:style>
  <w:style w:type="character" w:customStyle="1" w:styleId="261">
    <w:name w:val="页眉 字符2"/>
    <w:link w:val="43"/>
    <w:autoRedefine/>
    <w:qFormat/>
    <w:uiPriority w:val="0"/>
    <w:rPr>
      <w:rFonts w:ascii="Times New Roman" w:hAnsi="Times New Roman" w:eastAsia="宋体" w:cs="Times New Roman"/>
      <w:kern w:val="2"/>
      <w:sz w:val="18"/>
      <w:szCs w:val="18"/>
    </w:rPr>
  </w:style>
  <w:style w:type="character" w:customStyle="1" w:styleId="262">
    <w:name w:val="脚注文本 字符"/>
    <w:link w:val="53"/>
    <w:autoRedefine/>
    <w:qFormat/>
    <w:uiPriority w:val="0"/>
    <w:rPr>
      <w:rFonts w:ascii="Times New Roman" w:hAnsi="Times New Roman" w:eastAsia="宋体" w:cs="Times New Roman"/>
      <w:color w:val="0000FF"/>
      <w:sz w:val="21"/>
    </w:rPr>
  </w:style>
  <w:style w:type="character" w:customStyle="1" w:styleId="263">
    <w:name w:val="正文 项目2 Char"/>
    <w:basedOn w:val="178"/>
    <w:autoRedefine/>
    <w:qFormat/>
    <w:uiPriority w:val="0"/>
    <w:rPr>
      <w:rFonts w:ascii="仿宋_GB2312" w:hAnsi="仿宋_GB2312" w:eastAsia="仿宋_GB2312" w:cs="Times New Roman"/>
      <w:kern w:val="2"/>
      <w:sz w:val="24"/>
      <w:lang w:bidi="ar-SA"/>
    </w:rPr>
  </w:style>
  <w:style w:type="character" w:customStyle="1" w:styleId="264">
    <w:name w:val="正文首行缩进 字符"/>
    <w:link w:val="24"/>
    <w:autoRedefine/>
    <w:qFormat/>
    <w:uiPriority w:val="0"/>
    <w:rPr>
      <w:rFonts w:ascii="宋体" w:hAnsi="Times New Roman" w:eastAsia="宋体" w:cs="Times New Roman"/>
      <w:kern w:val="2"/>
      <w:sz w:val="24"/>
      <w:lang w:val="zh-CN"/>
    </w:rPr>
  </w:style>
  <w:style w:type="character" w:customStyle="1" w:styleId="265">
    <w:name w:val="批注框文本 Char1"/>
    <w:autoRedefine/>
    <w:qFormat/>
    <w:uiPriority w:val="0"/>
    <w:rPr>
      <w:rFonts w:ascii="Times New Roman" w:hAnsi="Times New Roman" w:eastAsia="宋体" w:cs="Times New Roman"/>
      <w:sz w:val="18"/>
      <w:szCs w:val="18"/>
    </w:rPr>
  </w:style>
  <w:style w:type="character" w:customStyle="1" w:styleId="266">
    <w:name w:val="dectext1"/>
    <w:autoRedefine/>
    <w:qFormat/>
    <w:uiPriority w:val="0"/>
    <w:rPr>
      <w:rFonts w:ascii="宋体" w:hAnsi="宋体" w:eastAsia="宋体" w:cs="Times New Roman"/>
      <w:color w:val="333333"/>
      <w:sz w:val="21"/>
      <w:szCs w:val="21"/>
      <w:u w:val="none"/>
    </w:rPr>
  </w:style>
  <w:style w:type="character" w:customStyle="1" w:styleId="267">
    <w:name w:val="样式 宋体"/>
    <w:autoRedefine/>
    <w:qFormat/>
    <w:uiPriority w:val="0"/>
    <w:rPr>
      <w:rFonts w:ascii="宋体" w:hAnsi="宋体" w:eastAsia="宋体" w:cs="Times New Roman"/>
      <w:sz w:val="24"/>
    </w:rPr>
  </w:style>
  <w:style w:type="character" w:customStyle="1" w:styleId="268">
    <w:name w:val="message1"/>
    <w:autoRedefine/>
    <w:qFormat/>
    <w:uiPriority w:val="0"/>
    <w:rPr>
      <w:rFonts w:hint="default" w:ascii="Tahoma" w:hAnsi="Tahoma" w:eastAsia="宋体" w:cs="Tahoma"/>
      <w:sz w:val="18"/>
      <w:szCs w:val="18"/>
    </w:rPr>
  </w:style>
  <w:style w:type="character" w:customStyle="1" w:styleId="269">
    <w:name w:val="正文文本 3 字符"/>
    <w:link w:val="21"/>
    <w:autoRedefine/>
    <w:qFormat/>
    <w:uiPriority w:val="0"/>
    <w:rPr>
      <w:rFonts w:ascii="Times New Roman" w:hAnsi="Times New Roman" w:eastAsia="宋体" w:cs="Times New Roman"/>
      <w:kern w:val="2"/>
      <w:sz w:val="21"/>
    </w:rPr>
  </w:style>
  <w:style w:type="character" w:customStyle="1" w:styleId="270">
    <w:name w:val="正文样式 Char"/>
    <w:link w:val="271"/>
    <w:autoRedefine/>
    <w:qFormat/>
    <w:uiPriority w:val="0"/>
    <w:rPr>
      <w:rFonts w:ascii="Calibri" w:hAnsi="Calibri" w:eastAsia="宋体" w:cs="Times New Roman"/>
      <w:sz w:val="24"/>
      <w:szCs w:val="24"/>
    </w:rPr>
  </w:style>
  <w:style w:type="paragraph" w:customStyle="1" w:styleId="271">
    <w:name w:val="正文样式"/>
    <w:basedOn w:val="1"/>
    <w:link w:val="270"/>
    <w:autoRedefine/>
    <w:qFormat/>
    <w:uiPriority w:val="0"/>
    <w:pPr>
      <w:adjustRightInd/>
      <w:spacing w:line="360" w:lineRule="auto"/>
      <w:ind w:firstLine="480" w:firstLineChars="200"/>
    </w:pPr>
    <w:rPr>
      <w:kern w:val="0"/>
      <w:sz w:val="24"/>
    </w:rPr>
  </w:style>
  <w:style w:type="character" w:customStyle="1" w:styleId="272">
    <w:name w:val="Default Char"/>
    <w:link w:val="83"/>
    <w:autoRedefine/>
    <w:qFormat/>
    <w:uiPriority w:val="0"/>
    <w:rPr>
      <w:rFonts w:ascii="仿宋_GB2312" w:hAnsi="Times New Roman" w:eastAsia="仿宋_GB2312" w:cs="仿宋_GB2312"/>
      <w:color w:val="000000"/>
      <w:sz w:val="24"/>
      <w:szCs w:val="24"/>
      <w:lang w:val="en-US" w:eastAsia="zh-CN" w:bidi="ar-SA"/>
    </w:rPr>
  </w:style>
  <w:style w:type="character" w:customStyle="1" w:styleId="273">
    <w:name w:val="表格 Char Char"/>
    <w:autoRedefine/>
    <w:qFormat/>
    <w:uiPriority w:val="0"/>
    <w:rPr>
      <w:rFonts w:ascii="宋体" w:hAnsi="宋体" w:eastAsia="宋体" w:cs="Times New Roman"/>
      <w:lang w:bidi="ar-SA"/>
    </w:rPr>
  </w:style>
  <w:style w:type="character" w:customStyle="1" w:styleId="274">
    <w:name w:val="标题 2 Char"/>
    <w:autoRedefine/>
    <w:qFormat/>
    <w:uiPriority w:val="0"/>
    <w:rPr>
      <w:rFonts w:ascii="Arial" w:hAnsi="Arial" w:eastAsia="黑体" w:cs="Times New Roman"/>
      <w:b/>
      <w:kern w:val="2"/>
      <w:sz w:val="32"/>
      <w:lang w:val="en-US" w:eastAsia="zh-CN"/>
    </w:rPr>
  </w:style>
  <w:style w:type="character" w:customStyle="1" w:styleId="275">
    <w:name w:val="正文（绿盟科技） Char"/>
    <w:link w:val="276"/>
    <w:autoRedefine/>
    <w:qFormat/>
    <w:uiPriority w:val="0"/>
    <w:rPr>
      <w:rFonts w:ascii="Arial" w:hAnsi="Arial" w:eastAsia="宋体" w:cs="Times New Roman"/>
      <w:sz w:val="21"/>
      <w:szCs w:val="21"/>
    </w:rPr>
  </w:style>
  <w:style w:type="paragraph" w:customStyle="1" w:styleId="276">
    <w:name w:val="正文（绿盟科技）"/>
    <w:link w:val="275"/>
    <w:autoRedefine/>
    <w:qFormat/>
    <w:uiPriority w:val="0"/>
    <w:pPr>
      <w:spacing w:line="300" w:lineRule="auto"/>
    </w:pPr>
    <w:rPr>
      <w:rFonts w:ascii="Arial" w:hAnsi="Arial" w:eastAsia="宋体" w:cs="Times New Roman"/>
      <w:sz w:val="21"/>
      <w:szCs w:val="21"/>
      <w:lang w:val="en-US" w:eastAsia="zh-CN" w:bidi="ar-SA"/>
    </w:rPr>
  </w:style>
  <w:style w:type="character" w:customStyle="1" w:styleId="277">
    <w:name w:val="批注文字 字符1"/>
    <w:link w:val="19"/>
    <w:autoRedefine/>
    <w:qFormat/>
    <w:uiPriority w:val="0"/>
    <w:rPr>
      <w:rFonts w:ascii="Times New Roman" w:hAnsi="Times New Roman" w:eastAsia="宋体" w:cs="Times New Roman"/>
      <w:kern w:val="2"/>
      <w:sz w:val="21"/>
      <w:szCs w:val="24"/>
    </w:rPr>
  </w:style>
  <w:style w:type="character" w:customStyle="1" w:styleId="278">
    <w:name w:val="正文首行缩进 2 Char1"/>
    <w:autoRedefine/>
    <w:qFormat/>
    <w:uiPriority w:val="0"/>
    <w:rPr>
      <w:rFonts w:ascii="Times New Roman" w:hAnsi="Times New Roman" w:eastAsia="宋体" w:cs="Times New Roman"/>
      <w:kern w:val="2"/>
      <w:sz w:val="24"/>
      <w:szCs w:val="24"/>
    </w:rPr>
  </w:style>
  <w:style w:type="character" w:customStyle="1" w:styleId="279">
    <w:name w:val="f141"/>
    <w:autoRedefine/>
    <w:qFormat/>
    <w:uiPriority w:val="0"/>
    <w:rPr>
      <w:rFonts w:ascii="Tahoma" w:hAnsi="Tahoma" w:eastAsia="宋体" w:cs="Times New Roman"/>
      <w:b/>
      <w:kern w:val="2"/>
      <w:sz w:val="21"/>
      <w:szCs w:val="21"/>
      <w:lang w:val="en-US" w:eastAsia="zh-CN" w:bidi="ar-SA"/>
    </w:rPr>
  </w:style>
  <w:style w:type="character" w:customStyle="1" w:styleId="280">
    <w:name w:val="页脚 字符2"/>
    <w:link w:val="42"/>
    <w:autoRedefine/>
    <w:qFormat/>
    <w:uiPriority w:val="0"/>
    <w:rPr>
      <w:rFonts w:ascii="Times New Roman" w:hAnsi="Times New Roman" w:eastAsia="宋体" w:cs="Times New Roman"/>
      <w:kern w:val="2"/>
      <w:sz w:val="18"/>
      <w:szCs w:val="18"/>
    </w:rPr>
  </w:style>
  <w:style w:type="character" w:customStyle="1" w:styleId="281">
    <w:name w:val="正文文本 2 字符"/>
    <w:autoRedefine/>
    <w:qFormat/>
    <w:uiPriority w:val="0"/>
    <w:rPr>
      <w:rFonts w:ascii="Arial" w:hAnsi="Arial" w:eastAsia="宋体" w:cs="Times New Roman"/>
      <w:kern w:val="2"/>
      <w:sz w:val="24"/>
      <w:szCs w:val="24"/>
      <w:lang w:val="en-US" w:eastAsia="zh-CN" w:bidi="ar-SA"/>
    </w:rPr>
  </w:style>
  <w:style w:type="character" w:customStyle="1" w:styleId="282">
    <w:name w:val="批注文字 Char"/>
    <w:autoRedefine/>
    <w:qFormat/>
    <w:uiPriority w:val="0"/>
    <w:rPr>
      <w:rFonts w:ascii="Times New Roman" w:hAnsi="Times New Roman" w:eastAsia="宋体" w:cs="Times New Roman"/>
      <w:kern w:val="2"/>
      <w:sz w:val="21"/>
      <w:szCs w:val="24"/>
    </w:rPr>
  </w:style>
  <w:style w:type="character" w:customStyle="1" w:styleId="283">
    <w:name w:val="h Char Char"/>
    <w:autoRedefine/>
    <w:qFormat/>
    <w:uiPriority w:val="0"/>
    <w:rPr>
      <w:rFonts w:ascii="Times New Roman" w:hAnsi="Times New Roman" w:eastAsia="宋体" w:cs="Times New Roman"/>
      <w:kern w:val="2"/>
      <w:sz w:val="18"/>
      <w:lang w:val="en-US" w:eastAsia="zh-CN" w:bidi="ar-SA"/>
    </w:rPr>
  </w:style>
  <w:style w:type="character" w:customStyle="1" w:styleId="284">
    <w:name w:val="标题 字符"/>
    <w:link w:val="62"/>
    <w:autoRedefine/>
    <w:qFormat/>
    <w:uiPriority w:val="0"/>
    <w:rPr>
      <w:rFonts w:ascii="Times New Roman" w:hAnsi="Times New Roman" w:eastAsia="宋体" w:cs="Times New Roman"/>
      <w:b/>
      <w:sz w:val="24"/>
      <w:lang w:val="en-GB"/>
    </w:rPr>
  </w:style>
  <w:style w:type="character" w:customStyle="1" w:styleId="285">
    <w:name w:val="maywed421"/>
    <w:autoRedefine/>
    <w:qFormat/>
    <w:uiPriority w:val="0"/>
    <w:rPr>
      <w:rFonts w:ascii="Times New Roman" w:hAnsi="Times New Roman" w:eastAsia="宋体" w:cs="Times New Roman"/>
      <w:color w:val="366FB6"/>
      <w:u w:val="none"/>
    </w:rPr>
  </w:style>
  <w:style w:type="character" w:customStyle="1" w:styleId="286">
    <w:name w:val="正文文本缩进 2 字符"/>
    <w:link w:val="39"/>
    <w:autoRedefine/>
    <w:qFormat/>
    <w:uiPriority w:val="0"/>
    <w:rPr>
      <w:rFonts w:ascii="宋体" w:hAnsi="Times New Roman" w:eastAsia="宋体" w:cs="Times New Roman"/>
      <w:sz w:val="28"/>
    </w:rPr>
  </w:style>
  <w:style w:type="character" w:customStyle="1" w:styleId="287">
    <w:name w:val="15"/>
    <w:autoRedefine/>
    <w:qFormat/>
    <w:uiPriority w:val="0"/>
    <w:rPr>
      <w:rFonts w:hint="default" w:ascii="Calibri" w:hAnsi="Calibri" w:eastAsia="宋体" w:cs="Times New Roman"/>
      <w:color w:val="0000FF"/>
      <w:u w:val="single"/>
    </w:rPr>
  </w:style>
  <w:style w:type="character" w:customStyle="1" w:styleId="28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89">
    <w:name w:val="页脚 Char1"/>
    <w:autoRedefine/>
    <w:qFormat/>
    <w:uiPriority w:val="0"/>
    <w:rPr>
      <w:rFonts w:ascii="Times New Roman" w:hAnsi="Times New Roman" w:eastAsia="宋体" w:cs="Times New Roman"/>
      <w:kern w:val="2"/>
      <w:sz w:val="18"/>
      <w:szCs w:val="18"/>
      <w:lang w:val="en-US" w:eastAsia="zh-CN" w:bidi="ar-SA"/>
    </w:rPr>
  </w:style>
  <w:style w:type="character" w:customStyle="1" w:styleId="290">
    <w:name w:val="Char Char34"/>
    <w:autoRedefine/>
    <w:qFormat/>
    <w:uiPriority w:val="0"/>
    <w:rPr>
      <w:rFonts w:ascii="Times New Roman" w:hAnsi="Times New Roman" w:eastAsia="宋体" w:cs="Times New Roman"/>
      <w:b/>
      <w:kern w:val="1"/>
      <w:sz w:val="28"/>
      <w:szCs w:val="28"/>
    </w:rPr>
  </w:style>
  <w:style w:type="character" w:customStyle="1" w:styleId="291">
    <w:name w:val="Header Char"/>
    <w:autoRedefine/>
    <w:qFormat/>
    <w:uiPriority w:val="0"/>
    <w:rPr>
      <w:rFonts w:ascii="Times New Roman" w:hAnsi="Times New Roman" w:eastAsia="宋体" w:cs="Times New Roman"/>
      <w:kern w:val="2"/>
      <w:sz w:val="18"/>
      <w:szCs w:val="18"/>
      <w:lang w:val="en-US" w:eastAsia="zh-CN" w:bidi="ar-SA"/>
    </w:rPr>
  </w:style>
  <w:style w:type="character" w:customStyle="1" w:styleId="292">
    <w:name w:val="Char Char35"/>
    <w:autoRedefine/>
    <w:qFormat/>
    <w:uiPriority w:val="0"/>
    <w:rPr>
      <w:rFonts w:ascii="Arial" w:hAnsi="Arial" w:eastAsia="黑体" w:cs="Times New Roman"/>
      <w:b/>
      <w:kern w:val="1"/>
      <w:sz w:val="28"/>
      <w:szCs w:val="28"/>
      <w:lang w:val="zh-CN"/>
    </w:rPr>
  </w:style>
  <w:style w:type="character" w:customStyle="1" w:styleId="293">
    <w:name w:val="Char Char19"/>
    <w:autoRedefine/>
    <w:qFormat/>
    <w:uiPriority w:val="0"/>
    <w:rPr>
      <w:rFonts w:ascii="宋体" w:hAnsi="宋体" w:eastAsia="宋体" w:cs="Times New Roman"/>
      <w:i/>
      <w:sz w:val="24"/>
      <w:szCs w:val="24"/>
    </w:rPr>
  </w:style>
  <w:style w:type="character" w:customStyle="1" w:styleId="294">
    <w:name w:val="Char Char28"/>
    <w:autoRedefine/>
    <w:qFormat/>
    <w:uiPriority w:val="0"/>
    <w:rPr>
      <w:rFonts w:ascii="仿宋_GB2312" w:hAnsi="仿宋_GB2312" w:eastAsia="仿宋_GB2312" w:cs="Times New Roman"/>
      <w:kern w:val="1"/>
      <w:sz w:val="28"/>
    </w:rPr>
  </w:style>
  <w:style w:type="character" w:customStyle="1" w:styleId="295">
    <w:name w:val="pt9"/>
    <w:autoRedefine/>
    <w:qFormat/>
    <w:uiPriority w:val="0"/>
    <w:rPr>
      <w:rFonts w:ascii="仿宋_GB2312" w:hAnsi="Times New Roman" w:eastAsia="微软雅黑" w:cs="Times New Roman"/>
      <w:b/>
      <w:kern w:val="2"/>
      <w:sz w:val="32"/>
      <w:szCs w:val="32"/>
      <w:lang w:val="en-US" w:eastAsia="zh-CN" w:bidi="ar-SA"/>
    </w:rPr>
  </w:style>
  <w:style w:type="character" w:customStyle="1" w:styleId="296">
    <w:name w:val="font81"/>
    <w:autoRedefine/>
    <w:qFormat/>
    <w:uiPriority w:val="0"/>
    <w:rPr>
      <w:rFonts w:ascii="微软雅黑" w:hAnsi="微软雅黑" w:eastAsia="微软雅黑" w:cs="微软雅黑"/>
      <w:color w:val="000000"/>
      <w:sz w:val="20"/>
      <w:szCs w:val="20"/>
      <w:u w:val="none"/>
    </w:rPr>
  </w:style>
  <w:style w:type="character" w:customStyle="1" w:styleId="297">
    <w:name w:val="apple-style-span"/>
    <w:autoRedefine/>
    <w:qFormat/>
    <w:uiPriority w:val="0"/>
    <w:rPr>
      <w:rFonts w:ascii="Arial" w:hAnsi="Arial" w:eastAsia="黑体" w:cs="Arial"/>
      <w:snapToGrid w:val="0"/>
      <w:kern w:val="0"/>
      <w:szCs w:val="21"/>
    </w:rPr>
  </w:style>
  <w:style w:type="character" w:customStyle="1" w:styleId="298">
    <w:name w:val="样式2 Char"/>
    <w:autoRedefine/>
    <w:qFormat/>
    <w:uiPriority w:val="0"/>
    <w:rPr>
      <w:rFonts w:ascii="仿宋_GB2312" w:hAnsi="仿宋" w:eastAsia="仿宋_GB2312" w:cs="仿宋_GB2312"/>
      <w:b/>
      <w:bCs/>
      <w:sz w:val="32"/>
      <w:szCs w:val="30"/>
      <w:lang w:val="zh-CN"/>
    </w:rPr>
  </w:style>
  <w:style w:type="character" w:customStyle="1" w:styleId="299">
    <w:name w:val="签名 字符"/>
    <w:link w:val="45"/>
    <w:autoRedefine/>
    <w:qFormat/>
    <w:uiPriority w:val="0"/>
    <w:rPr>
      <w:rFonts w:ascii="Times New Roman" w:hAnsi="Times New Roman" w:eastAsia="仿宋_GB2312" w:cs="Times New Roman"/>
      <w:sz w:val="24"/>
    </w:rPr>
  </w:style>
  <w:style w:type="character" w:customStyle="1" w:styleId="300">
    <w:name w:val="large1"/>
    <w:autoRedefine/>
    <w:qFormat/>
    <w:uiPriority w:val="0"/>
    <w:rPr>
      <w:rFonts w:hint="eastAsia" w:ascii="宋体" w:hAnsi="宋体" w:eastAsia="宋体" w:cs="Times New Roman"/>
      <w:sz w:val="21"/>
      <w:szCs w:val="21"/>
    </w:rPr>
  </w:style>
  <w:style w:type="character" w:customStyle="1" w:styleId="301">
    <w:name w:val="正文缩进 Char3"/>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302">
    <w:name w:val="未用 Char"/>
    <w:autoRedefine/>
    <w:qFormat/>
    <w:uiPriority w:val="0"/>
    <w:rPr>
      <w:rFonts w:ascii="Arial" w:hAnsi="Arial" w:eastAsia="黑体" w:cs="Times New Roman"/>
      <w:kern w:val="2"/>
      <w:sz w:val="21"/>
      <w:szCs w:val="21"/>
      <w:lang w:val="en-US" w:eastAsia="zh-CN" w:bidi="ar-SA"/>
    </w:rPr>
  </w:style>
  <w:style w:type="character" w:customStyle="1" w:styleId="303">
    <w:name w:val="标题 1 字符"/>
    <w:autoRedefine/>
    <w:qFormat/>
    <w:uiPriority w:val="0"/>
    <w:rPr>
      <w:rFonts w:ascii="Arial" w:hAnsi="Arial" w:eastAsia="黑体" w:cs="Arial"/>
      <w:b/>
      <w:bCs/>
      <w:snapToGrid w:val="0"/>
      <w:kern w:val="44"/>
      <w:sz w:val="44"/>
      <w:szCs w:val="44"/>
    </w:rPr>
  </w:style>
  <w:style w:type="character" w:customStyle="1" w:styleId="304">
    <w:name w:val="3级 Char"/>
    <w:link w:val="305"/>
    <w:autoRedefine/>
    <w:qFormat/>
    <w:uiPriority w:val="0"/>
    <w:rPr>
      <w:rFonts w:ascii="宋体" w:hAnsi="宋体" w:eastAsia="宋体" w:cs="Times New Roman"/>
      <w:b/>
      <w:bCs/>
      <w:snapToGrid/>
      <w:sz w:val="28"/>
    </w:rPr>
  </w:style>
  <w:style w:type="paragraph" w:customStyle="1" w:styleId="305">
    <w:name w:val="3级"/>
    <w:basedOn w:val="306"/>
    <w:link w:val="304"/>
    <w:autoRedefine/>
    <w:qFormat/>
    <w:uiPriority w:val="0"/>
    <w:pPr>
      <w:ind w:left="0" w:right="466" w:firstLine="288"/>
    </w:pPr>
    <w:rPr>
      <w:rFonts w:ascii="Times New Roman" w:hAnsi="宋体"/>
      <w:snapToGrid/>
    </w:rPr>
  </w:style>
  <w:style w:type="paragraph" w:customStyle="1" w:styleId="306">
    <w:name w:val="样式 标题 3h33rd level3BOD 0H3l3CTHeading 3 - oldLevel 3 He..."/>
    <w:basedOn w:val="4"/>
    <w:autoRedefine/>
    <w:qFormat/>
    <w:uiPriority w:val="0"/>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307">
    <w:name w:val="样式5 Char"/>
    <w:autoRedefine/>
    <w:qFormat/>
    <w:uiPriority w:val="0"/>
    <w:rPr>
      <w:rFonts w:ascii="仿宋_GB2312" w:hAnsi="仿宋" w:eastAsia="仿宋_GB2312" w:cs="Times New Roman"/>
      <w:kern w:val="2"/>
      <w:sz w:val="24"/>
      <w:szCs w:val="24"/>
    </w:rPr>
  </w:style>
  <w:style w:type="character" w:customStyle="1" w:styleId="308">
    <w:name w:val="Char Char2"/>
    <w:autoRedefine/>
    <w:qFormat/>
    <w:uiPriority w:val="0"/>
    <w:rPr>
      <w:rFonts w:ascii="Times New Roman" w:hAnsi="Times New Roman" w:eastAsia="宋体" w:cs="Times New Roman"/>
      <w:b/>
      <w:bCs/>
      <w:kern w:val="2"/>
      <w:sz w:val="21"/>
      <w:szCs w:val="24"/>
      <w:lang w:val="en-US" w:eastAsia="zh-CN" w:bidi="ar-SA"/>
    </w:rPr>
  </w:style>
  <w:style w:type="character" w:customStyle="1" w:styleId="309">
    <w:name w:val="b11_01b Char"/>
    <w:link w:val="310"/>
    <w:autoRedefine/>
    <w:qFormat/>
    <w:uiPriority w:val="0"/>
    <w:rPr>
      <w:rFonts w:ascii="Verdana" w:hAnsi="Verdana" w:eastAsia="宋体" w:cs="Times New Roman"/>
      <w:b/>
      <w:bCs/>
      <w:color w:val="4A82CA"/>
      <w:sz w:val="17"/>
      <w:szCs w:val="17"/>
    </w:rPr>
  </w:style>
  <w:style w:type="paragraph" w:customStyle="1" w:styleId="310">
    <w:name w:val="b11_01b"/>
    <w:basedOn w:val="1"/>
    <w:next w:val="1"/>
    <w:link w:val="30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11">
    <w:name w:val="*正文 Char"/>
    <w:link w:val="312"/>
    <w:autoRedefine/>
    <w:qFormat/>
    <w:uiPriority w:val="0"/>
    <w:rPr>
      <w:rFonts w:ascii="宋体" w:hAnsi="宋体" w:eastAsia="宋体" w:cs="Times New Roman"/>
      <w:sz w:val="24"/>
    </w:rPr>
  </w:style>
  <w:style w:type="paragraph" w:customStyle="1" w:styleId="312">
    <w:name w:val="*正文"/>
    <w:basedOn w:val="1"/>
    <w:link w:val="311"/>
    <w:autoRedefine/>
    <w:qFormat/>
    <w:uiPriority w:val="0"/>
    <w:pPr>
      <w:snapToGrid w:val="0"/>
      <w:spacing w:line="360" w:lineRule="auto"/>
      <w:ind w:firstLine="482"/>
      <w:jc w:val="left"/>
    </w:pPr>
    <w:rPr>
      <w:rFonts w:ascii="宋体" w:hAnsi="宋体"/>
      <w:kern w:val="0"/>
      <w:sz w:val="24"/>
      <w:szCs w:val="20"/>
    </w:rPr>
  </w:style>
  <w:style w:type="character" w:customStyle="1" w:styleId="313">
    <w:name w:val="标题 2 Char Char"/>
    <w:autoRedefine/>
    <w:qFormat/>
    <w:uiPriority w:val="0"/>
    <w:rPr>
      <w:rFonts w:ascii="楷体_GB2312" w:hAnsi="Arial" w:eastAsia="楷体_GB2312" w:cs="Times New Roman"/>
      <w:b/>
      <w:bCs/>
      <w:kern w:val="2"/>
      <w:sz w:val="24"/>
      <w:szCs w:val="32"/>
      <w:lang w:val="en-US" w:eastAsia="zh-CN" w:bidi="ar-SA"/>
    </w:rPr>
  </w:style>
  <w:style w:type="character" w:customStyle="1" w:styleId="314">
    <w:name w:val="文档结构图 字符1"/>
    <w:autoRedefine/>
    <w:qFormat/>
    <w:uiPriority w:val="0"/>
    <w:rPr>
      <w:rFonts w:ascii="宋体" w:hAnsi="Calibri" w:eastAsia="黑体" w:cs="Arial"/>
      <w:snapToGrid w:val="0"/>
      <w:kern w:val="2"/>
      <w:sz w:val="18"/>
      <w:szCs w:val="18"/>
    </w:rPr>
  </w:style>
  <w:style w:type="character" w:customStyle="1" w:styleId="315">
    <w:name w:val="标题 6 Char1"/>
    <w:autoRedefine/>
    <w:qFormat/>
    <w:uiPriority w:val="0"/>
    <w:rPr>
      <w:rFonts w:ascii="Arial" w:hAnsi="Arial" w:eastAsia="黑体" w:cs="Times New Roman"/>
      <w:b/>
      <w:sz w:val="24"/>
      <w:szCs w:val="20"/>
      <w:lang w:bidi="ar-SA"/>
    </w:rPr>
  </w:style>
  <w:style w:type="character" w:customStyle="1" w:styleId="316">
    <w:name w:val="gf正文1 Char"/>
    <w:autoRedefine/>
    <w:qFormat/>
    <w:uiPriority w:val="0"/>
    <w:rPr>
      <w:rFonts w:ascii="宋体" w:hAnsi="宋体" w:eastAsia="宋体" w:cs="宋体"/>
      <w:kern w:val="2"/>
      <w:sz w:val="24"/>
      <w:szCs w:val="24"/>
      <w:lang w:val="en-US" w:eastAsia="zh-CN" w:bidi="ar-SA"/>
    </w:rPr>
  </w:style>
  <w:style w:type="character" w:customStyle="1" w:styleId="317">
    <w:name w:val="文档结构图 Char"/>
    <w:autoRedefine/>
    <w:qFormat/>
    <w:uiPriority w:val="0"/>
    <w:rPr>
      <w:rFonts w:ascii="Times New Roman" w:hAnsi="Times New Roman" w:eastAsia="宋体" w:cs="Times New Roman"/>
      <w:kern w:val="2"/>
      <w:sz w:val="21"/>
      <w:szCs w:val="24"/>
      <w:lang w:val="en-US" w:eastAsia="zh-CN" w:bidi="ar-SA"/>
    </w:rPr>
  </w:style>
  <w:style w:type="character" w:customStyle="1" w:styleId="318">
    <w:name w:val="纯文本 Char Char Char"/>
    <w:autoRedefine/>
    <w:qFormat/>
    <w:uiPriority w:val="0"/>
    <w:rPr>
      <w:rFonts w:ascii="宋体" w:hAnsi="Courier New" w:eastAsia="宋体" w:cs="Times New Roman"/>
      <w:kern w:val="2"/>
      <w:sz w:val="21"/>
      <w:lang w:val="en-US" w:eastAsia="zh-CN" w:bidi="ar-SA"/>
    </w:rPr>
  </w:style>
  <w:style w:type="character" w:customStyle="1" w:styleId="319">
    <w:name w:val="标题 4 字符1"/>
    <w:link w:val="6"/>
    <w:autoRedefine/>
    <w:qFormat/>
    <w:uiPriority w:val="0"/>
    <w:rPr>
      <w:rFonts w:ascii="Arial" w:hAnsi="Arial" w:eastAsia="黑体" w:cs="Times New Roman"/>
      <w:b/>
      <w:bCs/>
      <w:kern w:val="2"/>
      <w:sz w:val="28"/>
      <w:szCs w:val="28"/>
      <w:lang w:val="zh-CN"/>
    </w:rPr>
  </w:style>
  <w:style w:type="character" w:customStyle="1" w:styleId="320">
    <w:name w:val="Normal Indent Char"/>
    <w:autoRedefine/>
    <w:qFormat/>
    <w:uiPriority w:val="0"/>
    <w:rPr>
      <w:rFonts w:ascii="Calibri" w:hAnsi="Calibri" w:eastAsia="宋体" w:cs="黑体"/>
      <w:snapToGrid w:val="0"/>
      <w:kern w:val="2"/>
      <w:sz w:val="24"/>
      <w:szCs w:val="22"/>
      <w:lang w:val="en-US" w:eastAsia="zh-CN" w:bidi="ar-SA"/>
    </w:rPr>
  </w:style>
  <w:style w:type="character" w:customStyle="1" w:styleId="321">
    <w:name w:val="链接"/>
    <w:autoRedefine/>
    <w:qFormat/>
    <w:uiPriority w:val="0"/>
    <w:rPr>
      <w:rFonts w:ascii="Times New Roman" w:hAnsi="Times New Roman" w:eastAsia="宋体" w:cs="Times New Roman"/>
      <w:color w:val="0000FF"/>
      <w:sz w:val="21"/>
      <w:szCs w:val="21"/>
      <w:u w:val="single"/>
    </w:rPr>
  </w:style>
  <w:style w:type="character" w:customStyle="1" w:styleId="322">
    <w:name w:val="Char Char161"/>
    <w:autoRedefine/>
    <w:qFormat/>
    <w:uiPriority w:val="0"/>
    <w:rPr>
      <w:rFonts w:ascii="Times New Roman" w:hAnsi="Times New Roman" w:eastAsia="宋体" w:cs="Times New Roman"/>
      <w:b/>
      <w:kern w:val="2"/>
      <w:sz w:val="32"/>
      <w:lang w:val="en-US" w:eastAsia="zh-CN"/>
    </w:rPr>
  </w:style>
  <w:style w:type="character" w:customStyle="1" w:styleId="323">
    <w:name w:val="表正文 Char3"/>
    <w:autoRedefine/>
    <w:qFormat/>
    <w:uiPriority w:val="0"/>
    <w:rPr>
      <w:rFonts w:ascii="Times New Roman" w:hAnsi="Times New Roman" w:eastAsia="宋体" w:cs="Times New Roman"/>
    </w:rPr>
  </w:style>
  <w:style w:type="character" w:customStyle="1" w:styleId="324">
    <w:name w:val="Char Char20"/>
    <w:autoRedefine/>
    <w:qFormat/>
    <w:uiPriority w:val="0"/>
    <w:rPr>
      <w:rFonts w:ascii="Times New Roman" w:hAnsi="Times New Roman" w:eastAsia="宋体" w:cs="Times New Roman"/>
      <w:kern w:val="1"/>
      <w:sz w:val="24"/>
    </w:rPr>
  </w:style>
  <w:style w:type="character" w:customStyle="1" w:styleId="325">
    <w:name w:val="shadow11"/>
    <w:autoRedefine/>
    <w:qFormat/>
    <w:uiPriority w:val="0"/>
    <w:rPr>
      <w:rFonts w:ascii="Times New Roman" w:hAnsi="Times New Roman" w:eastAsia="宋体" w:cs="Times New Roman"/>
      <w:color w:val="000000"/>
      <w:sz w:val="21"/>
    </w:rPr>
  </w:style>
  <w:style w:type="character" w:customStyle="1" w:styleId="326">
    <w:name w:val="big1"/>
    <w:autoRedefine/>
    <w:qFormat/>
    <w:uiPriority w:val="0"/>
    <w:rPr>
      <w:rFonts w:hint="eastAsia" w:ascii="宋体" w:hAnsi="宋体" w:eastAsia="宋体" w:cs="Times New Roman"/>
      <w:color w:val="333333"/>
      <w:sz w:val="22"/>
      <w:szCs w:val="22"/>
    </w:rPr>
  </w:style>
  <w:style w:type="character" w:customStyle="1" w:styleId="327">
    <w:name w:val="正文首行缩进 Char Char Char Char Char"/>
    <w:autoRedefine/>
    <w:qFormat/>
    <w:uiPriority w:val="0"/>
    <w:rPr>
      <w:rFonts w:ascii="宋体" w:hAnsi="Times New Roman" w:eastAsia="宋体" w:cs="Times New Roman"/>
      <w:kern w:val="2"/>
      <w:sz w:val="24"/>
      <w:lang w:val="zh-CN"/>
    </w:rPr>
  </w:style>
  <w:style w:type="character" w:customStyle="1" w:styleId="328">
    <w:name w:val="Char Char61"/>
    <w:autoRedefine/>
    <w:qFormat/>
    <w:uiPriority w:val="0"/>
    <w:rPr>
      <w:rFonts w:ascii="Times New Roman" w:hAnsi="Times New Roman" w:eastAsia="宋体" w:cs="Times New Roman"/>
      <w:kern w:val="2"/>
      <w:sz w:val="21"/>
      <w:szCs w:val="24"/>
      <w:lang w:val="en-US" w:eastAsia="zh-CN" w:bidi="ar-SA"/>
    </w:rPr>
  </w:style>
  <w:style w:type="character" w:customStyle="1" w:styleId="329">
    <w:name w:val="h3 Char1"/>
    <w:autoRedefine/>
    <w:qFormat/>
    <w:uiPriority w:val="0"/>
    <w:rPr>
      <w:rFonts w:ascii="Times New Roman" w:hAnsi="Times New Roman" w:eastAsia="宋体" w:cs="Times New Roman"/>
      <w:b/>
      <w:bCs/>
      <w:kern w:val="2"/>
      <w:sz w:val="32"/>
      <w:szCs w:val="32"/>
      <w:lang w:bidi="ar-SA"/>
    </w:rPr>
  </w:style>
  <w:style w:type="character" w:customStyle="1" w:styleId="330">
    <w:name w:val="HTML 地址 字符"/>
    <w:link w:val="32"/>
    <w:autoRedefine/>
    <w:qFormat/>
    <w:uiPriority w:val="0"/>
    <w:rPr>
      <w:rFonts w:ascii="宋体" w:hAnsi="宋体" w:eastAsia="宋体" w:cs="Times New Roman"/>
      <w:i/>
      <w:iCs/>
      <w:sz w:val="24"/>
      <w:szCs w:val="24"/>
    </w:rPr>
  </w:style>
  <w:style w:type="character" w:customStyle="1" w:styleId="331">
    <w:name w:val="标书1 Char1"/>
    <w:autoRedefine/>
    <w:qFormat/>
    <w:uiPriority w:val="0"/>
    <w:rPr>
      <w:rFonts w:ascii="Times New Roman" w:hAnsi="Times New Roman" w:eastAsia="宋体" w:cs="Times New Roman"/>
      <w:b/>
      <w:bCs/>
      <w:kern w:val="44"/>
      <w:sz w:val="44"/>
      <w:szCs w:val="44"/>
      <w:lang w:val="en-US" w:eastAsia="zh-CN" w:bidi="ar-SA"/>
    </w:rPr>
  </w:style>
  <w:style w:type="character" w:customStyle="1" w:styleId="332">
    <w:name w:val="页眉 字符"/>
    <w:autoRedefine/>
    <w:qFormat/>
    <w:uiPriority w:val="0"/>
    <w:rPr>
      <w:rFonts w:ascii="Times New Roman" w:hAnsi="Times New Roman" w:eastAsia="宋体" w:cs="Times New Roman"/>
      <w:kern w:val="2"/>
      <w:sz w:val="18"/>
      <w:szCs w:val="18"/>
    </w:rPr>
  </w:style>
  <w:style w:type="character" w:customStyle="1" w:styleId="333">
    <w:name w:val="style91"/>
    <w:autoRedefine/>
    <w:qFormat/>
    <w:uiPriority w:val="0"/>
    <w:rPr>
      <w:rFonts w:ascii="Times New Roman" w:hAnsi="Times New Roman" w:eastAsia="宋体" w:cs="Times New Roman"/>
      <w:color w:val="333333"/>
    </w:rPr>
  </w:style>
  <w:style w:type="character" w:customStyle="1" w:styleId="334">
    <w:name w:val="冯广丽 Char"/>
    <w:link w:val="335"/>
    <w:autoRedefine/>
    <w:qFormat/>
    <w:uiPriority w:val="0"/>
    <w:rPr>
      <w:rFonts w:ascii="宋体" w:hAnsi="宋体" w:eastAsia="宋体" w:cs="Times New Roman"/>
      <w:kern w:val="2"/>
      <w:sz w:val="24"/>
      <w:szCs w:val="22"/>
    </w:rPr>
  </w:style>
  <w:style w:type="paragraph" w:customStyle="1" w:styleId="335">
    <w:name w:val="冯广丽"/>
    <w:basedOn w:val="1"/>
    <w:link w:val="334"/>
    <w:autoRedefine/>
    <w:qFormat/>
    <w:uiPriority w:val="0"/>
    <w:pPr>
      <w:adjustRightInd/>
      <w:spacing w:line="360" w:lineRule="auto"/>
      <w:ind w:firstLine="480" w:firstLineChars="200"/>
    </w:pPr>
    <w:rPr>
      <w:rFonts w:ascii="宋体" w:hAnsi="宋体"/>
      <w:sz w:val="24"/>
      <w:szCs w:val="22"/>
    </w:rPr>
  </w:style>
  <w:style w:type="character" w:customStyle="1" w:styleId="336">
    <w:name w:val="冯 Char"/>
    <w:link w:val="337"/>
    <w:autoRedefine/>
    <w:qFormat/>
    <w:uiPriority w:val="0"/>
    <w:rPr>
      <w:rFonts w:ascii="宋体" w:hAnsi="宋体" w:eastAsia="宋体" w:cs="Times New Roman"/>
      <w:color w:val="000000"/>
      <w:sz w:val="24"/>
      <w:szCs w:val="24"/>
    </w:rPr>
  </w:style>
  <w:style w:type="paragraph" w:customStyle="1" w:styleId="337">
    <w:name w:val="冯"/>
    <w:basedOn w:val="1"/>
    <w:link w:val="33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338">
    <w:name w:val="tw4winExternal"/>
    <w:autoRedefine/>
    <w:qFormat/>
    <w:uiPriority w:val="0"/>
    <w:rPr>
      <w:rFonts w:ascii="Courier New" w:hAnsi="Courier New" w:eastAsia="宋体" w:cs="Courier New"/>
      <w:color w:val="808080"/>
      <w:lang w:val="en-US" w:eastAsia="zh-CN"/>
    </w:rPr>
  </w:style>
  <w:style w:type="character" w:customStyle="1" w:styleId="339">
    <w:name w:val="副标题 Char2"/>
    <w:autoRedefine/>
    <w:qFormat/>
    <w:uiPriority w:val="0"/>
    <w:rPr>
      <w:rFonts w:ascii="Cambria" w:hAnsi="Cambria" w:eastAsia="宋体" w:cs="Times New Roman"/>
      <w:b/>
      <w:bCs/>
      <w:snapToGrid w:val="0"/>
      <w:kern w:val="28"/>
      <w:sz w:val="32"/>
      <w:szCs w:val="32"/>
    </w:rPr>
  </w:style>
  <w:style w:type="character" w:customStyle="1" w:styleId="340">
    <w:name w:val="Balloon Text Char"/>
    <w:autoRedefine/>
    <w:qFormat/>
    <w:uiPriority w:val="0"/>
    <w:rPr>
      <w:rFonts w:ascii="Times New Roman" w:hAnsi="Times New Roman" w:eastAsia="宋体" w:cs="Times New Roman"/>
      <w:kern w:val="2"/>
      <w:sz w:val="18"/>
      <w:szCs w:val="18"/>
      <w:lang w:val="en-US" w:eastAsia="zh-CN" w:bidi="ar-SA"/>
    </w:rPr>
  </w:style>
  <w:style w:type="character" w:customStyle="1" w:styleId="341">
    <w:name w:val="日期 Char1"/>
    <w:autoRedefine/>
    <w:qFormat/>
    <w:uiPriority w:val="0"/>
    <w:rPr>
      <w:rFonts w:ascii="Times New Roman" w:hAnsi="Times New Roman" w:eastAsia="宋体" w:cs="Times New Roman"/>
      <w:szCs w:val="24"/>
    </w:rPr>
  </w:style>
  <w:style w:type="character" w:customStyle="1" w:styleId="342">
    <w:name w:val="批注框文本 字符1"/>
    <w:link w:val="41"/>
    <w:autoRedefine/>
    <w:qFormat/>
    <w:uiPriority w:val="0"/>
    <w:rPr>
      <w:rFonts w:ascii="Times New Roman" w:hAnsi="Times New Roman" w:eastAsia="宋体" w:cs="Times New Roman"/>
      <w:kern w:val="2"/>
      <w:sz w:val="18"/>
      <w:szCs w:val="18"/>
    </w:rPr>
  </w:style>
  <w:style w:type="character" w:customStyle="1" w:styleId="343">
    <w:name w:val="Used by Word for text of Help footnotes Char Char"/>
    <w:autoRedefine/>
    <w:qFormat/>
    <w:uiPriority w:val="0"/>
    <w:rPr>
      <w:rFonts w:ascii="Times New Roman" w:hAnsi="Times New Roman" w:eastAsia="宋体" w:cs="Times New Roman"/>
      <w:sz w:val="20"/>
      <w:szCs w:val="20"/>
    </w:rPr>
  </w:style>
  <w:style w:type="character" w:customStyle="1" w:styleId="344">
    <w:name w:val="样式4 Char"/>
    <w:autoRedefine/>
    <w:qFormat/>
    <w:uiPriority w:val="0"/>
    <w:rPr>
      <w:rFonts w:ascii="仿宋_GB2312" w:hAnsi="仿宋" w:eastAsia="仿宋_GB2312" w:cs="Times New Roman"/>
      <w:b/>
      <w:kern w:val="2"/>
      <w:sz w:val="32"/>
      <w:szCs w:val="32"/>
      <w:lang w:bidi="ar-SA"/>
    </w:rPr>
  </w:style>
  <w:style w:type="character" w:customStyle="1" w:styleId="345">
    <w:name w:val="标准文本 Char Char"/>
    <w:link w:val="346"/>
    <w:autoRedefine/>
    <w:qFormat/>
    <w:uiPriority w:val="0"/>
    <w:rPr>
      <w:rFonts w:ascii="Times New Roman" w:hAnsi="Times New Roman" w:eastAsia="宋体" w:cs="宋体"/>
      <w:kern w:val="2"/>
      <w:sz w:val="24"/>
    </w:rPr>
  </w:style>
  <w:style w:type="paragraph" w:customStyle="1" w:styleId="346">
    <w:name w:val="标准文本"/>
    <w:basedOn w:val="1"/>
    <w:link w:val="345"/>
    <w:autoRedefine/>
    <w:qFormat/>
    <w:uiPriority w:val="0"/>
    <w:pPr>
      <w:adjustRightInd/>
      <w:spacing w:line="360" w:lineRule="auto"/>
      <w:ind w:firstLine="480" w:firstLineChars="200"/>
    </w:pPr>
    <w:rPr>
      <w:rFonts w:cs="宋体"/>
      <w:sz w:val="24"/>
      <w:szCs w:val="20"/>
    </w:rPr>
  </w:style>
  <w:style w:type="character" w:customStyle="1" w:styleId="347">
    <w:name w:val="Body Text(ch) Char Char"/>
    <w:autoRedefine/>
    <w:qFormat/>
    <w:uiPriority w:val="0"/>
    <w:rPr>
      <w:rFonts w:ascii="宋体" w:hAnsi="Times New Roman" w:eastAsia="宋体" w:cs="Times New Roman"/>
      <w:kern w:val="2"/>
      <w:sz w:val="24"/>
      <w:szCs w:val="21"/>
      <w:lang w:val="zh-CN"/>
    </w:rPr>
  </w:style>
  <w:style w:type="character" w:customStyle="1" w:styleId="348">
    <w:name w:val="Document Map Char"/>
    <w:autoRedefine/>
    <w:qFormat/>
    <w:uiPriority w:val="0"/>
    <w:rPr>
      <w:rFonts w:ascii="Times New Roman" w:hAnsi="Times New Roman" w:eastAsia="宋体" w:cs="Times New Roman"/>
      <w:kern w:val="2"/>
      <w:sz w:val="21"/>
      <w:szCs w:val="24"/>
      <w:lang w:val="en-US" w:eastAsia="zh-CN" w:bidi="ar-SA"/>
    </w:rPr>
  </w:style>
  <w:style w:type="character" w:customStyle="1" w:styleId="349">
    <w:name w:val="Char Char18"/>
    <w:autoRedefine/>
    <w:qFormat/>
    <w:uiPriority w:val="0"/>
    <w:rPr>
      <w:rFonts w:ascii="宋体" w:hAnsi="宋体" w:eastAsia="宋体" w:cs="Times New Roman"/>
      <w:sz w:val="28"/>
    </w:rPr>
  </w:style>
  <w:style w:type="character" w:customStyle="1" w:styleId="350">
    <w:name w:val="Char Char23"/>
    <w:autoRedefine/>
    <w:qFormat/>
    <w:uiPriority w:val="0"/>
    <w:rPr>
      <w:rFonts w:ascii="Times New Roman" w:hAnsi="Times New Roman" w:eastAsia="宋体" w:cs="Times New Roman"/>
      <w:color w:val="0000FF"/>
      <w:sz w:val="21"/>
    </w:rPr>
  </w:style>
  <w:style w:type="character" w:customStyle="1" w:styleId="351">
    <w:name w:val="16"/>
    <w:autoRedefine/>
    <w:qFormat/>
    <w:uiPriority w:val="0"/>
    <w:rPr>
      <w:rFonts w:hint="eastAsia" w:ascii="宋体" w:hAnsi="宋体" w:eastAsia="宋体" w:cs="Times New Roman"/>
      <w:color w:val="000000"/>
      <w:sz w:val="20"/>
      <w:szCs w:val="20"/>
    </w:rPr>
  </w:style>
  <w:style w:type="character" w:customStyle="1" w:styleId="352">
    <w:name w:val="正文文本缩进 3 字符"/>
    <w:link w:val="55"/>
    <w:autoRedefine/>
    <w:qFormat/>
    <w:uiPriority w:val="0"/>
    <w:rPr>
      <w:rFonts w:ascii="Times New Roman" w:hAnsi="Times New Roman" w:eastAsia="宋体" w:cs="Times New Roman"/>
      <w:kern w:val="2"/>
      <w:sz w:val="24"/>
    </w:rPr>
  </w:style>
  <w:style w:type="character" w:customStyle="1" w:styleId="353">
    <w:name w:val="正文文本缩进 字符1"/>
    <w:link w:val="26"/>
    <w:autoRedefine/>
    <w:qFormat/>
    <w:uiPriority w:val="0"/>
    <w:rPr>
      <w:rFonts w:ascii="宋体" w:hAnsi="宋体" w:eastAsia="宋体" w:cs="Times New Roman"/>
      <w:kern w:val="2"/>
      <w:sz w:val="24"/>
      <w:szCs w:val="24"/>
    </w:rPr>
  </w:style>
  <w:style w:type="character" w:customStyle="1" w:styleId="354">
    <w:name w:val="表正文 Char1"/>
    <w:autoRedefine/>
    <w:qFormat/>
    <w:uiPriority w:val="0"/>
    <w:rPr>
      <w:rFonts w:ascii="宋体" w:hAnsi="Times New Roman" w:eastAsia="宋体" w:cs="Times New Roman"/>
      <w:snapToGrid w:val="0"/>
      <w:color w:val="000000"/>
      <w:kern w:val="28"/>
      <w:sz w:val="28"/>
    </w:rPr>
  </w:style>
  <w:style w:type="character" w:customStyle="1" w:styleId="355">
    <w:name w:val="批注主题 字符"/>
    <w:link w:val="63"/>
    <w:autoRedefine/>
    <w:qFormat/>
    <w:uiPriority w:val="0"/>
    <w:rPr>
      <w:rFonts w:ascii="Times New Roman" w:hAnsi="Times New Roman" w:eastAsia="宋体" w:cs="Times New Roman"/>
      <w:b/>
      <w:bCs/>
      <w:kern w:val="2"/>
      <w:sz w:val="21"/>
      <w:szCs w:val="24"/>
    </w:rPr>
  </w:style>
  <w:style w:type="character" w:customStyle="1" w:styleId="356">
    <w:name w:val="批注主题 Char"/>
    <w:autoRedefine/>
    <w:qFormat/>
    <w:uiPriority w:val="0"/>
    <w:rPr>
      <w:rFonts w:ascii="Times New Roman" w:hAnsi="Times New Roman" w:eastAsia="宋体" w:cs="Times New Roman"/>
      <w:b/>
      <w:bCs/>
      <w:kern w:val="2"/>
      <w:sz w:val="21"/>
      <w:szCs w:val="24"/>
      <w:lang w:val="en-US" w:eastAsia="zh-CN" w:bidi="ar-SA"/>
    </w:rPr>
  </w:style>
  <w:style w:type="character" w:customStyle="1" w:styleId="357">
    <w:name w:val="页脚 字符1"/>
    <w:autoRedefine/>
    <w:qFormat/>
    <w:uiPriority w:val="0"/>
    <w:rPr>
      <w:rFonts w:ascii="Times New Roman" w:hAnsi="Times New Roman" w:eastAsia="宋体" w:cs="Times New Roman"/>
      <w:kern w:val="2"/>
      <w:sz w:val="18"/>
      <w:szCs w:val="18"/>
    </w:rPr>
  </w:style>
  <w:style w:type="character" w:customStyle="1" w:styleId="358">
    <w:name w:val="Table Text Char1"/>
    <w:autoRedefine/>
    <w:qFormat/>
    <w:uiPriority w:val="0"/>
    <w:rPr>
      <w:rFonts w:ascii="Times New Roman" w:hAnsi="Times New Roman" w:eastAsia="宋体" w:cs="Times New Roman"/>
      <w:sz w:val="24"/>
      <w:szCs w:val="24"/>
      <w:lang w:val="en-US" w:eastAsia="zh-CN" w:bidi="ar-SA"/>
    </w:rPr>
  </w:style>
  <w:style w:type="character" w:customStyle="1" w:styleId="359">
    <w:name w:val="列出段落 Char1"/>
    <w:link w:val="360"/>
    <w:autoRedefine/>
    <w:qFormat/>
    <w:uiPriority w:val="0"/>
    <w:rPr>
      <w:rFonts w:ascii="Calibri" w:hAnsi="Calibri" w:eastAsia="宋体" w:cs="Times New Roman"/>
      <w:sz w:val="24"/>
      <w:lang w:eastAsia="en-US"/>
    </w:rPr>
  </w:style>
  <w:style w:type="paragraph" w:customStyle="1" w:styleId="360">
    <w:name w:val="列表1"/>
    <w:basedOn w:val="1"/>
    <w:next w:val="361"/>
    <w:link w:val="359"/>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361">
    <w:name w:val="List Paragraph"/>
    <w:basedOn w:val="1"/>
    <w:autoRedefine/>
    <w:qFormat/>
    <w:uiPriority w:val="0"/>
    <w:pPr>
      <w:spacing w:line="360" w:lineRule="auto"/>
      <w:ind w:firstLine="200" w:firstLineChars="200"/>
    </w:pPr>
    <w:rPr>
      <w:rFonts w:eastAsia="楷体_GB2312" w:cs="Lucida Sans"/>
      <w:sz w:val="24"/>
    </w:rPr>
  </w:style>
  <w:style w:type="character" w:customStyle="1" w:styleId="362">
    <w:name w:val="样式3 Char"/>
    <w:basedOn w:val="298"/>
    <w:autoRedefine/>
    <w:qFormat/>
    <w:uiPriority w:val="0"/>
    <w:rPr>
      <w:rFonts w:ascii="仿宋_GB2312" w:hAnsi="仿宋" w:eastAsia="仿宋_GB2312" w:cs="仿宋_GB2312"/>
      <w:sz w:val="32"/>
      <w:szCs w:val="30"/>
      <w:lang w:val="zh-CN"/>
    </w:rPr>
  </w:style>
  <w:style w:type="character" w:customStyle="1" w:styleId="363">
    <w:name w:val="普通文字 Char1 Char"/>
    <w:autoRedefine/>
    <w:qFormat/>
    <w:uiPriority w:val="0"/>
    <w:rPr>
      <w:rFonts w:ascii="宋体" w:hAnsi="Courier New" w:eastAsia="宋体" w:cs="Times New Roman"/>
      <w:kern w:val="2"/>
      <w:sz w:val="21"/>
      <w:szCs w:val="24"/>
      <w:lang w:val="en-US" w:eastAsia="zh-CN" w:bidi="ar-SA"/>
    </w:rPr>
  </w:style>
  <w:style w:type="character" w:customStyle="1" w:styleId="364">
    <w:name w:val="正文文本 Char"/>
    <w:autoRedefine/>
    <w:qFormat/>
    <w:uiPriority w:val="0"/>
    <w:rPr>
      <w:rFonts w:ascii="Times New Roman" w:hAnsi="Times New Roman" w:eastAsia="宋体" w:cs="Times New Roman"/>
      <w:kern w:val="2"/>
      <w:sz w:val="24"/>
      <w:szCs w:val="24"/>
      <w:lang w:val="en-US" w:eastAsia="zh-CN" w:bidi="ar-SA"/>
    </w:rPr>
  </w:style>
  <w:style w:type="character" w:customStyle="1" w:styleId="365">
    <w:name w:val="批注文字 Char2"/>
    <w:autoRedefine/>
    <w:qFormat/>
    <w:uiPriority w:val="0"/>
    <w:rPr>
      <w:rFonts w:ascii="Times New Roman" w:hAnsi="Times New Roman" w:eastAsia="宋体" w:cs="Times New Roman"/>
      <w:snapToGrid w:val="0"/>
      <w:kern w:val="0"/>
      <w:szCs w:val="24"/>
    </w:rPr>
  </w:style>
  <w:style w:type="character" w:customStyle="1" w:styleId="366">
    <w:name w:val="正文2 Char"/>
    <w:autoRedefine/>
    <w:qFormat/>
    <w:uiPriority w:val="0"/>
    <w:rPr>
      <w:rFonts w:ascii="Times New Roman" w:hAnsi="Times New Roman" w:eastAsia="宋体" w:cs="Times New Roman"/>
      <w:kern w:val="2"/>
      <w:sz w:val="24"/>
      <w:lang w:val="en-US" w:eastAsia="zh-CN" w:bidi="ar-SA"/>
    </w:rPr>
  </w:style>
  <w:style w:type="character" w:customStyle="1" w:styleId="367">
    <w:name w:val="纯文本 Char_0"/>
    <w:link w:val="368"/>
    <w:autoRedefine/>
    <w:qFormat/>
    <w:uiPriority w:val="0"/>
    <w:rPr>
      <w:rFonts w:ascii="宋体" w:hAnsi="Courier New" w:eastAsia="宋体" w:cs="Times New Roman"/>
      <w:kern w:val="2"/>
      <w:sz w:val="21"/>
      <w:szCs w:val="21"/>
      <w:lang w:val="en-US" w:eastAsia="zh-CN"/>
    </w:rPr>
  </w:style>
  <w:style w:type="paragraph" w:customStyle="1" w:styleId="368">
    <w:name w:val="纯文本_0_0"/>
    <w:basedOn w:val="369"/>
    <w:link w:val="367"/>
    <w:autoRedefine/>
    <w:qFormat/>
    <w:uiPriority w:val="0"/>
    <w:rPr>
      <w:rFonts w:ascii="宋体" w:hAnsi="Courier New"/>
      <w:szCs w:val="21"/>
    </w:rPr>
  </w:style>
  <w:style w:type="paragraph" w:customStyle="1" w:styleId="36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70">
    <w:name w:val="Char Char27"/>
    <w:autoRedefine/>
    <w:qFormat/>
    <w:uiPriority w:val="0"/>
    <w:rPr>
      <w:rFonts w:ascii="宋体" w:hAnsi="宋体" w:eastAsia="宋体" w:cs="Times New Roman"/>
      <w:color w:val="000000"/>
      <w:kern w:val="1"/>
      <w:sz w:val="28"/>
      <w:lang w:val="en-US" w:eastAsia="zh-CN" w:bidi="ar-SA"/>
    </w:rPr>
  </w:style>
  <w:style w:type="character" w:customStyle="1" w:styleId="371">
    <w:name w:val="文档结构图 字符"/>
    <w:link w:val="18"/>
    <w:autoRedefine/>
    <w:qFormat/>
    <w:uiPriority w:val="0"/>
    <w:rPr>
      <w:rFonts w:ascii="Times New Roman" w:hAnsi="Times New Roman" w:eastAsia="宋体" w:cs="Times New Roman"/>
      <w:kern w:val="2"/>
      <w:sz w:val="21"/>
      <w:szCs w:val="24"/>
      <w:shd w:val="clear" w:color="auto" w:fill="000080"/>
    </w:rPr>
  </w:style>
  <w:style w:type="character" w:customStyle="1" w:styleId="372">
    <w:name w:val="gf正文1 Char Char"/>
    <w:link w:val="373"/>
    <w:autoRedefine/>
    <w:qFormat/>
    <w:uiPriority w:val="0"/>
    <w:rPr>
      <w:rFonts w:ascii="宋体" w:hAnsi="宋体" w:eastAsia="宋体" w:cs="宋体"/>
      <w:kern w:val="2"/>
      <w:sz w:val="24"/>
      <w:szCs w:val="24"/>
    </w:rPr>
  </w:style>
  <w:style w:type="paragraph" w:customStyle="1" w:styleId="373">
    <w:name w:val="gf正文1"/>
    <w:basedOn w:val="1"/>
    <w:link w:val="37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374">
    <w:name w:val="Item List Char"/>
    <w:link w:val="375"/>
    <w:autoRedefine/>
    <w:qFormat/>
    <w:uiPriority w:val="0"/>
    <w:rPr>
      <w:rFonts w:ascii="Arial" w:hAnsi="Times New Roman" w:eastAsia="宋体" w:cs="Times New Roman"/>
      <w:bCs/>
      <w:sz w:val="21"/>
      <w:szCs w:val="21"/>
      <w:lang w:val="en-US" w:eastAsia="zh-CN" w:bidi="ar-SA"/>
    </w:rPr>
  </w:style>
  <w:style w:type="paragraph" w:customStyle="1" w:styleId="375">
    <w:name w:val="Item List"/>
    <w:link w:val="37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76">
    <w:name w:val="my正文 Char"/>
    <w:link w:val="377"/>
    <w:autoRedefine/>
    <w:qFormat/>
    <w:uiPriority w:val="0"/>
    <w:rPr>
      <w:rFonts w:ascii="Tahoma" w:hAnsi="Tahoma" w:eastAsia="宋体" w:cs="Times New Roman"/>
      <w:sz w:val="24"/>
      <w:szCs w:val="24"/>
    </w:rPr>
  </w:style>
  <w:style w:type="paragraph" w:customStyle="1" w:styleId="377">
    <w:name w:val="my正文"/>
    <w:basedOn w:val="1"/>
    <w:link w:val="376"/>
    <w:autoRedefine/>
    <w:qFormat/>
    <w:uiPriority w:val="0"/>
    <w:pPr>
      <w:adjustRightInd/>
      <w:spacing w:line="360" w:lineRule="auto"/>
      <w:ind w:firstLine="480" w:firstLineChars="200"/>
    </w:pPr>
    <w:rPr>
      <w:rFonts w:ascii="Tahoma" w:hAnsi="Tahoma"/>
      <w:kern w:val="0"/>
      <w:sz w:val="24"/>
    </w:rPr>
  </w:style>
  <w:style w:type="character" w:customStyle="1" w:styleId="378">
    <w:name w:val="标题 1 Char Char"/>
    <w:autoRedefine/>
    <w:qFormat/>
    <w:uiPriority w:val="0"/>
    <w:rPr>
      <w:rFonts w:hint="eastAsia" w:ascii="宋体" w:hAnsi="宋体" w:eastAsia="宋体" w:cs="Times New Roman"/>
      <w:b/>
      <w:spacing w:val="-2"/>
      <w:sz w:val="24"/>
      <w:lang w:val="en-US" w:eastAsia="zh-CN" w:bidi="ar-SA"/>
    </w:rPr>
  </w:style>
  <w:style w:type="character" w:customStyle="1" w:styleId="37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380">
    <w:name w:val="正文非缩进 Char3"/>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381">
    <w:name w:val="列出段落 Char"/>
    <w:autoRedefine/>
    <w:qFormat/>
    <w:uiPriority w:val="0"/>
    <w:rPr>
      <w:rFonts w:ascii="Times New Roman" w:hAnsi="Times New Roman" w:eastAsia="楷体_GB2312" w:cs="Lucida Sans"/>
      <w:kern w:val="2"/>
      <w:sz w:val="24"/>
      <w:szCs w:val="24"/>
      <w:lang w:val="en-US" w:eastAsia="zh-CN" w:bidi="ar-SA"/>
    </w:rPr>
  </w:style>
  <w:style w:type="character" w:customStyle="1" w:styleId="382">
    <w:name w:val="tw4winInternal"/>
    <w:autoRedefine/>
    <w:qFormat/>
    <w:uiPriority w:val="0"/>
    <w:rPr>
      <w:rFonts w:ascii="Courier New" w:hAnsi="Courier New" w:eastAsia="宋体" w:cs="Courier New"/>
      <w:color w:val="FF0000"/>
      <w:lang w:val="en-US" w:eastAsia="zh-CN"/>
    </w:rPr>
  </w:style>
  <w:style w:type="character" w:customStyle="1" w:styleId="383">
    <w:name w:val="javascript"/>
    <w:autoRedefine/>
    <w:qFormat/>
    <w:uiPriority w:val="0"/>
    <w:rPr>
      <w:rFonts w:ascii="Times New Roman" w:hAnsi="Times New Roman" w:eastAsia="宋体" w:cs="Times New Roman"/>
    </w:rPr>
  </w:style>
  <w:style w:type="character" w:customStyle="1" w:styleId="384">
    <w:name w:val="Char Char13"/>
    <w:autoRedefine/>
    <w:qFormat/>
    <w:uiPriority w:val="0"/>
    <w:rPr>
      <w:rFonts w:ascii="宋体" w:hAnsi="宋体" w:eastAsia="宋体" w:cs="Times New Roman"/>
      <w:kern w:val="1"/>
      <w:sz w:val="21"/>
      <w:szCs w:val="24"/>
    </w:rPr>
  </w:style>
  <w:style w:type="character" w:customStyle="1" w:styleId="385">
    <w:name w:val="HTML 地址 Char1"/>
    <w:autoRedefine/>
    <w:qFormat/>
    <w:uiPriority w:val="0"/>
    <w:rPr>
      <w:rFonts w:ascii="Times New Roman" w:hAnsi="Times New Roman" w:eastAsia="宋体" w:cs="Times New Roman"/>
      <w:i/>
      <w:iCs/>
      <w:szCs w:val="24"/>
    </w:rPr>
  </w:style>
  <w:style w:type="character" w:customStyle="1" w:styleId="386">
    <w:name w:val="px14"/>
    <w:autoRedefine/>
    <w:qFormat/>
    <w:uiPriority w:val="0"/>
    <w:rPr>
      <w:rFonts w:ascii="仿宋_GB2312" w:hAnsi="Times New Roman" w:eastAsia="微软雅黑" w:cs="Times New Roman"/>
      <w:b/>
      <w:kern w:val="2"/>
      <w:sz w:val="32"/>
      <w:szCs w:val="32"/>
      <w:lang w:val="en-US" w:eastAsia="zh-CN" w:bidi="ar-SA"/>
    </w:rPr>
  </w:style>
  <w:style w:type="character" w:customStyle="1" w:styleId="387">
    <w:name w:val="标题4-dyf Char"/>
    <w:link w:val="388"/>
    <w:autoRedefine/>
    <w:qFormat/>
    <w:uiPriority w:val="0"/>
    <w:rPr>
      <w:rFonts w:ascii="Cambria" w:hAnsi="Cambria" w:eastAsia="宋体" w:cs="Times New Roman"/>
      <w:b/>
      <w:bCs/>
      <w:color w:val="000000"/>
      <w:kern w:val="2"/>
      <w:sz w:val="21"/>
      <w:szCs w:val="21"/>
    </w:rPr>
  </w:style>
  <w:style w:type="paragraph" w:customStyle="1" w:styleId="388">
    <w:name w:val="标题4-dyf"/>
    <w:basedOn w:val="6"/>
    <w:link w:val="387"/>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389">
    <w:name w:val="tw4winPopup"/>
    <w:autoRedefine/>
    <w:qFormat/>
    <w:uiPriority w:val="0"/>
    <w:rPr>
      <w:rFonts w:ascii="Courier New" w:hAnsi="Courier New" w:eastAsia="宋体" w:cs="Courier New"/>
      <w:color w:val="008000"/>
      <w:lang w:val="en-US" w:eastAsia="zh-CN"/>
    </w:rPr>
  </w:style>
  <w:style w:type="character" w:customStyle="1" w:styleId="390">
    <w:name w:val="FA正文 Char Char"/>
    <w:autoRedefine/>
    <w:qFormat/>
    <w:uiPriority w:val="0"/>
    <w:rPr>
      <w:rFonts w:ascii="Times New Roman" w:hAnsi="宋体" w:eastAsia="宋体" w:cs="Times New Roman"/>
      <w:kern w:val="2"/>
      <w:sz w:val="24"/>
      <w:lang w:bidi="ar-SA"/>
    </w:rPr>
  </w:style>
  <w:style w:type="character" w:customStyle="1" w:styleId="391">
    <w:name w:val="脚注文本 Char1"/>
    <w:autoRedefine/>
    <w:qFormat/>
    <w:uiPriority w:val="0"/>
    <w:rPr>
      <w:rFonts w:ascii="Times New Roman" w:hAnsi="Times New Roman" w:eastAsia="宋体" w:cs="Times New Roman"/>
      <w:sz w:val="18"/>
      <w:szCs w:val="18"/>
    </w:rPr>
  </w:style>
  <w:style w:type="character" w:customStyle="1" w:styleId="392">
    <w:name w:val="font31"/>
    <w:basedOn w:val="71"/>
    <w:autoRedefine/>
    <w:qFormat/>
    <w:uiPriority w:val="0"/>
    <w:rPr>
      <w:rFonts w:hint="eastAsia" w:ascii="仿宋" w:hAnsi="仿宋" w:eastAsia="仿宋" w:cs="仿宋"/>
      <w:color w:val="000000"/>
      <w:sz w:val="20"/>
      <w:szCs w:val="20"/>
      <w:u w:val="none"/>
    </w:rPr>
  </w:style>
  <w:style w:type="character" w:customStyle="1" w:styleId="393">
    <w:name w:val="Char Char31"/>
    <w:autoRedefine/>
    <w:qFormat/>
    <w:uiPriority w:val="0"/>
    <w:rPr>
      <w:rFonts w:ascii="Arial" w:hAnsi="Arial" w:eastAsia="黑体" w:cs="Times New Roman"/>
      <w:kern w:val="1"/>
      <w:sz w:val="24"/>
      <w:szCs w:val="24"/>
    </w:rPr>
  </w:style>
  <w:style w:type="character" w:customStyle="1" w:styleId="394">
    <w:name w:val="样式8 Char"/>
    <w:autoRedefine/>
    <w:qFormat/>
    <w:uiPriority w:val="0"/>
    <w:rPr>
      <w:rFonts w:ascii="仿宋_GB2312" w:hAnsi="宋体" w:eastAsia="仿宋_GB2312" w:cs="Times New Roman"/>
      <w:b/>
      <w:bCs/>
      <w:kern w:val="2"/>
      <w:sz w:val="24"/>
      <w:szCs w:val="24"/>
    </w:rPr>
  </w:style>
  <w:style w:type="character" w:customStyle="1" w:styleId="395">
    <w:name w:val="font12gray1"/>
    <w:autoRedefine/>
    <w:qFormat/>
    <w:uiPriority w:val="0"/>
    <w:rPr>
      <w:rFonts w:ascii="仿宋_GB2312" w:hAnsi="Times New Roman" w:eastAsia="微软雅黑" w:cs="Times New Roman"/>
      <w:b/>
      <w:spacing w:val="300"/>
      <w:kern w:val="2"/>
      <w:sz w:val="18"/>
      <w:szCs w:val="18"/>
      <w:lang w:val="en-US" w:eastAsia="zh-CN" w:bidi="ar-SA"/>
    </w:rPr>
  </w:style>
  <w:style w:type="character" w:customStyle="1" w:styleId="396">
    <w:name w:val="Ò³Ã¼ Char Char1"/>
    <w:autoRedefine/>
    <w:qFormat/>
    <w:uiPriority w:val="0"/>
    <w:rPr>
      <w:rFonts w:ascii="Times New Roman" w:hAnsi="Times New Roman" w:eastAsia="宋体" w:cs="Times New Roman"/>
      <w:kern w:val="2"/>
      <w:sz w:val="18"/>
      <w:szCs w:val="18"/>
      <w:lang w:val="en-US" w:eastAsia="zh-CN" w:bidi="ar-SA"/>
    </w:rPr>
  </w:style>
  <w:style w:type="character" w:customStyle="1" w:styleId="397">
    <w:name w:val="编号，小四 Char"/>
    <w:link w:val="398"/>
    <w:autoRedefine/>
    <w:qFormat/>
    <w:uiPriority w:val="0"/>
    <w:rPr>
      <w:rFonts w:ascii="Arial" w:hAnsi="Arial" w:eastAsia="宋体" w:cs="Times New Roman"/>
      <w:sz w:val="24"/>
    </w:rPr>
  </w:style>
  <w:style w:type="paragraph" w:customStyle="1" w:styleId="398">
    <w:name w:val="编号，小四"/>
    <w:basedOn w:val="1"/>
    <w:link w:val="39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399">
    <w:name w:val="标题 7 字符"/>
    <w:link w:val="9"/>
    <w:autoRedefine/>
    <w:qFormat/>
    <w:uiPriority w:val="0"/>
    <w:rPr>
      <w:rFonts w:ascii="Times New Roman" w:hAnsi="Times New Roman" w:eastAsia="宋体" w:cs="Times New Roman"/>
      <w:b/>
      <w:bCs/>
      <w:kern w:val="2"/>
      <w:sz w:val="24"/>
      <w:szCs w:val="24"/>
    </w:rPr>
  </w:style>
  <w:style w:type="character" w:customStyle="1" w:styleId="400">
    <w:name w:val="未处理的提及1"/>
    <w:autoRedefine/>
    <w:qFormat/>
    <w:uiPriority w:val="0"/>
    <w:rPr>
      <w:rFonts w:ascii="Times New Roman" w:hAnsi="Times New Roman" w:eastAsia="宋体" w:cs="Times New Roman"/>
      <w:color w:val="808080"/>
      <w:shd w:val="clear" w:color="auto" w:fill="E6E6E6"/>
    </w:rPr>
  </w:style>
  <w:style w:type="character" w:customStyle="1" w:styleId="401">
    <w:name w:val="Comment Text Char"/>
    <w:autoRedefine/>
    <w:qFormat/>
    <w:uiPriority w:val="0"/>
    <w:rPr>
      <w:rFonts w:ascii="宋体" w:hAnsi="宋体" w:eastAsia="宋体" w:cs="Times New Roman"/>
      <w:kern w:val="2"/>
      <w:sz w:val="24"/>
      <w:lang w:val="en-US" w:eastAsia="zh-CN" w:bidi="ar-SA"/>
    </w:rPr>
  </w:style>
  <w:style w:type="character" w:customStyle="1" w:styleId="402">
    <w:name w:val="highlight1"/>
    <w:autoRedefine/>
    <w:qFormat/>
    <w:uiPriority w:val="0"/>
    <w:rPr>
      <w:rFonts w:ascii="仿宋_GB2312" w:hAnsi="Times New Roman" w:eastAsia="微软雅黑" w:cs="Times New Roman"/>
      <w:b/>
      <w:kern w:val="2"/>
      <w:sz w:val="23"/>
      <w:szCs w:val="23"/>
      <w:lang w:val="en-US" w:eastAsia="zh-CN" w:bidi="ar-SA"/>
    </w:rPr>
  </w:style>
  <w:style w:type="character" w:customStyle="1" w:styleId="403">
    <w:name w:val="标题 1 字符1"/>
    <w:link w:val="3"/>
    <w:autoRedefine/>
    <w:qFormat/>
    <w:uiPriority w:val="0"/>
    <w:rPr>
      <w:rFonts w:ascii="Times New Roman" w:hAnsi="Times New Roman" w:eastAsia="宋体" w:cs="Times New Roman"/>
      <w:b/>
      <w:bCs/>
      <w:kern w:val="44"/>
      <w:sz w:val="44"/>
      <w:szCs w:val="44"/>
    </w:rPr>
  </w:style>
  <w:style w:type="character" w:customStyle="1" w:styleId="404">
    <w:name w:val="标题 3 字符"/>
    <w:autoRedefine/>
    <w:qFormat/>
    <w:uiPriority w:val="0"/>
    <w:rPr>
      <w:rFonts w:ascii="Times New Roman" w:hAnsi="Times New Roman" w:eastAsia="宋体" w:cs="Times New Roman"/>
      <w:b/>
      <w:bCs/>
      <w:kern w:val="2"/>
      <w:sz w:val="32"/>
      <w:szCs w:val="32"/>
    </w:rPr>
  </w:style>
  <w:style w:type="character" w:customStyle="1" w:styleId="405">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06">
    <w:name w:val="Char Char41"/>
    <w:autoRedefine/>
    <w:qFormat/>
    <w:uiPriority w:val="0"/>
    <w:rPr>
      <w:rFonts w:ascii="Times New Roman" w:hAnsi="Times New Roman" w:eastAsia="宋体" w:cs="Times New Roman"/>
      <w:b/>
      <w:sz w:val="24"/>
      <w:lang w:val="en-GB" w:eastAsia="zh-CN" w:bidi="ar-SA"/>
    </w:rPr>
  </w:style>
  <w:style w:type="character" w:customStyle="1" w:styleId="407">
    <w:name w:val="表正文 Char"/>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408">
    <w:name w:val="正文缩进 字符2"/>
    <w:link w:val="5"/>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409">
    <w:name w:val="正文文本 Char2"/>
    <w:autoRedefine/>
    <w:qFormat/>
    <w:uiPriority w:val="0"/>
    <w:rPr>
      <w:rFonts w:ascii="Times New Roman" w:hAnsi="Times New Roman" w:eastAsia="宋体" w:cs="Times New Roman"/>
      <w:snapToGrid w:val="0"/>
      <w:kern w:val="0"/>
      <w:szCs w:val="24"/>
    </w:rPr>
  </w:style>
  <w:style w:type="character" w:customStyle="1" w:styleId="410">
    <w:name w:val="Char Char51"/>
    <w:autoRedefine/>
    <w:qFormat/>
    <w:uiPriority w:val="0"/>
    <w:rPr>
      <w:rFonts w:ascii="宋体" w:hAnsi="Courier New" w:eastAsia="宋体" w:cs="Times New Roman"/>
      <w:kern w:val="2"/>
      <w:sz w:val="21"/>
      <w:lang w:val="en-US" w:eastAsia="zh-CN"/>
    </w:rPr>
  </w:style>
  <w:style w:type="character" w:customStyle="1" w:styleId="411">
    <w:name w:val="题注 字符"/>
    <w:link w:val="16"/>
    <w:autoRedefine/>
    <w:qFormat/>
    <w:uiPriority w:val="0"/>
    <w:rPr>
      <w:rFonts w:ascii="Times New Roman" w:hAnsi="Times New Roman" w:eastAsia="宋体" w:cs="Times New Roman"/>
      <w:b/>
      <w:kern w:val="2"/>
      <w:sz w:val="28"/>
    </w:rPr>
  </w:style>
  <w:style w:type="character" w:customStyle="1" w:styleId="412">
    <w:name w:val="Char Char8"/>
    <w:autoRedefine/>
    <w:qFormat/>
    <w:uiPriority w:val="0"/>
    <w:rPr>
      <w:rFonts w:ascii="Times New Roman" w:hAnsi="Times New Roman" w:eastAsia="宋体" w:cs="Times New Roman"/>
      <w:b/>
      <w:sz w:val="24"/>
      <w:lang w:val="en-GB" w:eastAsia="zh-CN"/>
    </w:rPr>
  </w:style>
  <w:style w:type="character" w:customStyle="1" w:styleId="413">
    <w:name w:val="apple-converted-space"/>
    <w:autoRedefine/>
    <w:qFormat/>
    <w:uiPriority w:val="0"/>
    <w:rPr>
      <w:rFonts w:ascii="Times New Roman" w:hAnsi="Times New Roman" w:eastAsia="宋体" w:cs="Times New Roman"/>
    </w:rPr>
  </w:style>
  <w:style w:type="character" w:customStyle="1" w:styleId="414">
    <w:name w:val="插图说明 Char"/>
    <w:autoRedefine/>
    <w:qFormat/>
    <w:uiPriority w:val="0"/>
    <w:rPr>
      <w:rFonts w:ascii="Times New Roman" w:hAnsi="Times New Roman" w:eastAsia="黑体" w:cs="Times New Roman"/>
      <w:sz w:val="24"/>
      <w:lang w:val="en-US" w:eastAsia="zh-CN"/>
    </w:rPr>
  </w:style>
  <w:style w:type="character" w:customStyle="1" w:styleId="415">
    <w:name w:val="Char Char16"/>
    <w:autoRedefine/>
    <w:qFormat/>
    <w:uiPriority w:val="0"/>
    <w:rPr>
      <w:rFonts w:ascii="Times New Roman" w:hAnsi="Times New Roman" w:eastAsia="宋体" w:cs="Times New Roman"/>
      <w:kern w:val="1"/>
      <w:sz w:val="18"/>
      <w:szCs w:val="18"/>
    </w:rPr>
  </w:style>
  <w:style w:type="character" w:customStyle="1" w:styleId="416">
    <w:name w:val="此正文 Char"/>
    <w:link w:val="417"/>
    <w:autoRedefine/>
    <w:qFormat/>
    <w:uiPriority w:val="0"/>
    <w:rPr>
      <w:rFonts w:ascii="Times New Roman" w:hAnsi="Times New Roman" w:eastAsia="宋体" w:cs="Times New Roman"/>
      <w:kern w:val="2"/>
      <w:sz w:val="24"/>
      <w:szCs w:val="24"/>
    </w:rPr>
  </w:style>
  <w:style w:type="paragraph" w:customStyle="1" w:styleId="417">
    <w:name w:val="此正文"/>
    <w:basedOn w:val="1"/>
    <w:link w:val="416"/>
    <w:autoRedefine/>
    <w:qFormat/>
    <w:uiPriority w:val="0"/>
    <w:pPr>
      <w:adjustRightInd/>
      <w:spacing w:line="360" w:lineRule="auto"/>
      <w:ind w:firstLine="200" w:firstLineChars="200"/>
    </w:pPr>
    <w:rPr>
      <w:sz w:val="24"/>
    </w:rPr>
  </w:style>
  <w:style w:type="character" w:customStyle="1" w:styleId="418">
    <w:name w:val="Heading 2 Hidden Char"/>
    <w:autoRedefine/>
    <w:qFormat/>
    <w:uiPriority w:val="0"/>
    <w:rPr>
      <w:rFonts w:ascii="仿宋_GB2312" w:hAnsi="Times New Roman" w:eastAsia="仿宋_GB2312" w:cs="Times New Roman"/>
      <w:b/>
      <w:bCs/>
      <w:kern w:val="2"/>
      <w:sz w:val="24"/>
      <w:szCs w:val="24"/>
      <w:lang w:val="zh-CN" w:eastAsia="zh-CN" w:bidi="ar-SA"/>
    </w:rPr>
  </w:style>
  <w:style w:type="character" w:customStyle="1" w:styleId="419">
    <w:name w:val="h Char Char1"/>
    <w:autoRedefine/>
    <w:qFormat/>
    <w:uiPriority w:val="0"/>
    <w:rPr>
      <w:rFonts w:ascii="Times New Roman" w:hAnsi="Times New Roman" w:eastAsia="宋体" w:cs="Times New Roman"/>
      <w:kern w:val="2"/>
      <w:sz w:val="18"/>
      <w:szCs w:val="18"/>
      <w:lang w:val="en-US" w:eastAsia="zh-CN" w:bidi="ar-SA"/>
    </w:rPr>
  </w:style>
  <w:style w:type="character" w:customStyle="1" w:styleId="420">
    <w:name w:val="列出段落 Char2"/>
    <w:autoRedefine/>
    <w:qFormat/>
    <w:uiPriority w:val="0"/>
    <w:rPr>
      <w:rFonts w:ascii="Calibri" w:hAnsi="Calibri" w:eastAsia="宋体" w:cs="Times New Roman"/>
      <w:kern w:val="2"/>
      <w:sz w:val="28"/>
    </w:rPr>
  </w:style>
  <w:style w:type="character" w:customStyle="1" w:styleId="421">
    <w:name w:val="solutionfonts"/>
    <w:autoRedefine/>
    <w:qFormat/>
    <w:uiPriority w:val="0"/>
    <w:rPr>
      <w:rFonts w:ascii="Times New Roman" w:hAnsi="Times New Roman" w:eastAsia="宋体" w:cs="Times New Roman"/>
    </w:rPr>
  </w:style>
  <w:style w:type="character" w:customStyle="1" w:styleId="422">
    <w:name w:val="style36"/>
    <w:basedOn w:val="71"/>
    <w:autoRedefine/>
    <w:qFormat/>
    <w:uiPriority w:val="0"/>
    <w:rPr>
      <w:rFonts w:ascii="Arial" w:hAnsi="Arial" w:eastAsia="黑体" w:cs="Arial"/>
      <w:snapToGrid w:val="0"/>
      <w:kern w:val="0"/>
      <w:szCs w:val="21"/>
    </w:rPr>
  </w:style>
  <w:style w:type="character" w:customStyle="1" w:styleId="423">
    <w:name w:val="font41"/>
    <w:basedOn w:val="71"/>
    <w:autoRedefine/>
    <w:qFormat/>
    <w:uiPriority w:val="0"/>
    <w:rPr>
      <w:rFonts w:hint="eastAsia" w:ascii="仿宋_GB2312" w:hAnsi="Times New Roman" w:eastAsia="仿宋_GB2312" w:cs="仿宋_GB2312"/>
      <w:color w:val="000000"/>
      <w:sz w:val="22"/>
      <w:szCs w:val="22"/>
      <w:u w:val="none"/>
    </w:rPr>
  </w:style>
  <w:style w:type="character" w:customStyle="1" w:styleId="424">
    <w:name w:val="正文首行缩进 Char Char Char Char Char Char"/>
    <w:autoRedefine/>
    <w:qFormat/>
    <w:uiPriority w:val="0"/>
    <w:rPr>
      <w:rFonts w:ascii="宋体" w:hAnsi="Times New Roman" w:eastAsia="宋体" w:cs="Times New Roman"/>
      <w:kern w:val="2"/>
      <w:sz w:val="24"/>
      <w:lang w:val="zh-CN" w:bidi="ar-SA"/>
    </w:rPr>
  </w:style>
  <w:style w:type="character" w:customStyle="1" w:styleId="425">
    <w:name w:val="样式 正文缩进 + 首行缩进:  2 字符 Char Char"/>
    <w:link w:val="426"/>
    <w:autoRedefine/>
    <w:qFormat/>
    <w:uiPriority w:val="0"/>
    <w:rPr>
      <w:rFonts w:ascii="Times New Roman" w:hAnsi="Times New Roman" w:eastAsia="宋体" w:cs="宋体"/>
      <w:kern w:val="2"/>
      <w:sz w:val="24"/>
    </w:rPr>
  </w:style>
  <w:style w:type="paragraph" w:customStyle="1" w:styleId="426">
    <w:name w:val="样式 正文缩进 + 首行缩进:  2 字符"/>
    <w:basedOn w:val="5"/>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Font Style82"/>
    <w:autoRedefine/>
    <w:qFormat/>
    <w:uiPriority w:val="0"/>
    <w:rPr>
      <w:rFonts w:ascii="宋体" w:hAnsi="Times New Roman" w:eastAsia="宋体" w:cs="宋体"/>
      <w:color w:val="000000"/>
      <w:sz w:val="14"/>
      <w:szCs w:val="14"/>
    </w:rPr>
  </w:style>
  <w:style w:type="character" w:customStyle="1" w:styleId="428">
    <w:name w:val="Footer Char"/>
    <w:autoRedefine/>
    <w:qFormat/>
    <w:uiPriority w:val="0"/>
    <w:rPr>
      <w:rFonts w:ascii="Times New Roman" w:hAnsi="Times New Roman" w:eastAsia="宋体" w:cs="Times New Roman"/>
      <w:kern w:val="2"/>
      <w:sz w:val="18"/>
      <w:lang w:val="en-US" w:eastAsia="zh-CN" w:bidi="ar-SA"/>
    </w:rPr>
  </w:style>
  <w:style w:type="character" w:customStyle="1" w:styleId="429">
    <w:name w:val="正文缩进 Char"/>
    <w:autoRedefine/>
    <w:qFormat/>
    <w:uiPriority w:val="0"/>
    <w:rPr>
      <w:rFonts w:ascii="Times New Roman" w:hAnsi="Times New Roman" w:eastAsia="宋体" w:cs="Times New Roman"/>
      <w:kern w:val="2"/>
      <w:sz w:val="21"/>
      <w:lang w:val="en-US" w:eastAsia="zh-CN"/>
    </w:rPr>
  </w:style>
  <w:style w:type="character" w:customStyle="1" w:styleId="430">
    <w:name w:val="Footer-Even Char"/>
    <w:autoRedefine/>
    <w:qFormat/>
    <w:uiPriority w:val="0"/>
    <w:rPr>
      <w:rFonts w:ascii="Times New Roman" w:hAnsi="Times New Roman" w:eastAsia="宋体" w:cs="Times New Roman"/>
      <w:kern w:val="2"/>
      <w:sz w:val="18"/>
      <w:lang w:val="en-US" w:eastAsia="zh-CN" w:bidi="ar-SA"/>
    </w:rPr>
  </w:style>
  <w:style w:type="character" w:customStyle="1" w:styleId="431">
    <w:name w:val="Char Char26"/>
    <w:autoRedefine/>
    <w:qFormat/>
    <w:uiPriority w:val="0"/>
    <w:rPr>
      <w:rFonts w:ascii="Times New Roman" w:hAnsi="Times New Roman" w:eastAsia="宋体" w:cs="Times New Roman"/>
      <w:kern w:val="1"/>
      <w:sz w:val="21"/>
      <w:szCs w:val="24"/>
    </w:rPr>
  </w:style>
  <w:style w:type="character" w:customStyle="1" w:styleId="432">
    <w:name w:val="h4 Char"/>
    <w:autoRedefine/>
    <w:qFormat/>
    <w:uiPriority w:val="0"/>
    <w:rPr>
      <w:rFonts w:ascii="Arial" w:hAnsi="Arial" w:eastAsia="黑体" w:cs="Times New Roman"/>
      <w:b/>
      <w:bCs/>
      <w:kern w:val="2"/>
      <w:sz w:val="28"/>
      <w:szCs w:val="28"/>
      <w:lang w:val="zh-CN" w:eastAsia="zh-CN" w:bidi="ar-SA"/>
    </w:rPr>
  </w:style>
  <w:style w:type="character" w:customStyle="1" w:styleId="433">
    <w:name w:val="font51"/>
    <w:basedOn w:val="71"/>
    <w:autoRedefine/>
    <w:qFormat/>
    <w:uiPriority w:val="0"/>
    <w:rPr>
      <w:rFonts w:hint="eastAsia" w:ascii="仿宋" w:hAnsi="仿宋" w:eastAsia="仿宋" w:cs="仿宋"/>
      <w:color w:val="000000"/>
      <w:sz w:val="20"/>
      <w:szCs w:val="20"/>
      <w:u w:val="none"/>
    </w:rPr>
  </w:style>
  <w:style w:type="character" w:customStyle="1" w:styleId="434">
    <w:name w:val="表名 Char"/>
    <w:autoRedefine/>
    <w:qFormat/>
    <w:uiPriority w:val="0"/>
    <w:rPr>
      <w:rFonts w:ascii="Times New Roman" w:hAnsi="Times New Roman" w:eastAsia="宋体" w:cs="Times New Roman"/>
      <w:b/>
      <w:bCs/>
      <w:kern w:val="2"/>
      <w:sz w:val="24"/>
      <w:szCs w:val="24"/>
      <w:lang w:val="en-US" w:eastAsia="zh-CN" w:bidi="ar-SA"/>
    </w:rPr>
  </w:style>
  <w:style w:type="character" w:customStyle="1" w:styleId="435">
    <w:name w:val="正文文本缩进 3 Char1"/>
    <w:autoRedefine/>
    <w:qFormat/>
    <w:uiPriority w:val="0"/>
    <w:rPr>
      <w:rFonts w:ascii="Times New Roman" w:hAnsi="Times New Roman" w:eastAsia="宋体" w:cs="Times New Roman"/>
      <w:sz w:val="16"/>
      <w:szCs w:val="16"/>
    </w:rPr>
  </w:style>
  <w:style w:type="character" w:customStyle="1" w:styleId="436">
    <w:name w:val="Char Char6"/>
    <w:autoRedefine/>
    <w:qFormat/>
    <w:uiPriority w:val="0"/>
    <w:rPr>
      <w:rFonts w:ascii="Times New Roman" w:hAnsi="Times New Roman" w:eastAsia="宋体" w:cs="Times New Roman"/>
      <w:kern w:val="2"/>
      <w:sz w:val="21"/>
      <w:szCs w:val="24"/>
      <w:lang w:val="en-US" w:eastAsia="zh-CN" w:bidi="ar-SA"/>
    </w:rPr>
  </w:style>
  <w:style w:type="character" w:customStyle="1" w:styleId="437">
    <w:name w:val="标题 6 字符"/>
    <w:link w:val="8"/>
    <w:autoRedefine/>
    <w:qFormat/>
    <w:uiPriority w:val="0"/>
    <w:rPr>
      <w:rFonts w:ascii="Arial" w:hAnsi="Arial" w:eastAsia="黑体" w:cs="Times New Roman"/>
      <w:b/>
      <w:bCs/>
      <w:kern w:val="2"/>
      <w:sz w:val="24"/>
      <w:szCs w:val="24"/>
    </w:rPr>
  </w:style>
  <w:style w:type="character" w:customStyle="1" w:styleId="438">
    <w:name w:val="标题 4 Char"/>
    <w:autoRedefine/>
    <w:qFormat/>
    <w:uiPriority w:val="0"/>
    <w:rPr>
      <w:rFonts w:ascii="Arial" w:hAnsi="Arial" w:eastAsia="黑体" w:cs="Times New Roman"/>
      <w:b/>
      <w:kern w:val="2"/>
      <w:sz w:val="28"/>
    </w:rPr>
  </w:style>
  <w:style w:type="character" w:customStyle="1" w:styleId="439">
    <w:name w:val="标题 3 Char1"/>
    <w:autoRedefine/>
    <w:qFormat/>
    <w:uiPriority w:val="0"/>
    <w:rPr>
      <w:rFonts w:hint="eastAsia" w:ascii="华文中宋" w:hAnsi="华文中宋" w:eastAsia="华文中宋" w:cs="Times New Roman"/>
      <w:b/>
      <w:bCs/>
      <w:kern w:val="2"/>
      <w:sz w:val="32"/>
      <w:szCs w:val="32"/>
      <w:lang w:val="en-US" w:eastAsia="zh-CN" w:bidi="ar-SA"/>
    </w:rPr>
  </w:style>
  <w:style w:type="character" w:customStyle="1" w:styleId="440">
    <w:name w:val="bulletintext1"/>
    <w:autoRedefine/>
    <w:qFormat/>
    <w:uiPriority w:val="0"/>
    <w:rPr>
      <w:rFonts w:ascii="Times New Roman" w:hAnsi="Times New Roman" w:eastAsia="宋体" w:cs="Times New Roman"/>
      <w:color w:val="000000"/>
      <w:sz w:val="18"/>
    </w:rPr>
  </w:style>
  <w:style w:type="character" w:customStyle="1" w:styleId="441">
    <w:name w:val="正文文本 2 字符1"/>
    <w:link w:val="59"/>
    <w:autoRedefine/>
    <w:qFormat/>
    <w:uiPriority w:val="0"/>
    <w:rPr>
      <w:rFonts w:ascii="Times New Roman" w:hAnsi="Times New Roman" w:eastAsia="宋体" w:cs="Times New Roman"/>
      <w:kern w:val="2"/>
      <w:sz w:val="21"/>
      <w:szCs w:val="24"/>
    </w:rPr>
  </w:style>
  <w:style w:type="character" w:customStyle="1" w:styleId="442">
    <w:name w:val="正文文本缩进 Char"/>
    <w:autoRedefine/>
    <w:qFormat/>
    <w:uiPriority w:val="0"/>
    <w:rPr>
      <w:rFonts w:ascii="宋体" w:hAnsi="宋体" w:eastAsia="宋体" w:cs="Times New Roman"/>
      <w:kern w:val="2"/>
      <w:sz w:val="24"/>
      <w:szCs w:val="24"/>
    </w:rPr>
  </w:style>
  <w:style w:type="character" w:customStyle="1" w:styleId="443">
    <w:name w:val="DO_NOT_TRANSLATE"/>
    <w:autoRedefine/>
    <w:qFormat/>
    <w:uiPriority w:val="0"/>
    <w:rPr>
      <w:rFonts w:ascii="Courier New" w:hAnsi="Courier New" w:eastAsia="宋体" w:cs="Courier New"/>
      <w:color w:val="800000"/>
      <w:lang w:val="en-US" w:eastAsia="zh-CN"/>
    </w:rPr>
  </w:style>
  <w:style w:type="character" w:customStyle="1" w:styleId="444">
    <w:name w:val="标题 8 字符"/>
    <w:link w:val="10"/>
    <w:autoRedefine/>
    <w:qFormat/>
    <w:uiPriority w:val="0"/>
    <w:rPr>
      <w:rFonts w:ascii="Arial" w:hAnsi="Arial" w:eastAsia="黑体" w:cs="Times New Roman"/>
      <w:kern w:val="2"/>
      <w:sz w:val="24"/>
      <w:szCs w:val="24"/>
    </w:rPr>
  </w:style>
  <w:style w:type="character" w:customStyle="1" w:styleId="445">
    <w:name w:val="页脚 字符"/>
    <w:autoRedefine/>
    <w:qFormat/>
    <w:uiPriority w:val="0"/>
    <w:rPr>
      <w:rFonts w:ascii="Times New Roman" w:hAnsi="Times New Roman" w:eastAsia="宋体" w:cs="Times New Roman"/>
      <w:kern w:val="2"/>
      <w:sz w:val="18"/>
      <w:szCs w:val="18"/>
    </w:rPr>
  </w:style>
  <w:style w:type="character" w:customStyle="1" w:styleId="446">
    <w:name w:val="txt"/>
    <w:autoRedefine/>
    <w:qFormat/>
    <w:uiPriority w:val="0"/>
    <w:rPr>
      <w:rFonts w:ascii="仿宋_GB2312" w:hAnsi="Times New Roman" w:eastAsia="微软雅黑" w:cs="Times New Roman"/>
      <w:b/>
      <w:kern w:val="2"/>
      <w:sz w:val="32"/>
      <w:szCs w:val="32"/>
      <w:lang w:val="en-US" w:eastAsia="zh-CN" w:bidi="ar-SA"/>
    </w:rPr>
  </w:style>
  <w:style w:type="character" w:customStyle="1" w:styleId="447">
    <w:name w:val="正文文本缩进 字符"/>
    <w:autoRedefine/>
    <w:qFormat/>
    <w:uiPriority w:val="0"/>
    <w:rPr>
      <w:rFonts w:ascii="Century Gothic" w:hAnsi="Century Gothic" w:eastAsia="Century Gothic" w:cs="Times New Roman"/>
      <w:kern w:val="2"/>
      <w:sz w:val="24"/>
      <w:lang w:val="en-US" w:eastAsia="zh-CN" w:bidi="ar-SA"/>
    </w:rPr>
  </w:style>
  <w:style w:type="character" w:customStyle="1" w:styleId="448">
    <w:name w:val="font11"/>
    <w:autoRedefine/>
    <w:qFormat/>
    <w:uiPriority w:val="0"/>
    <w:rPr>
      <w:rFonts w:hint="default" w:ascii="Times New Roman" w:hAnsi="Times New Roman" w:eastAsia="宋体" w:cs="Times New Roman"/>
      <w:color w:val="000000"/>
      <w:sz w:val="22"/>
      <w:szCs w:val="22"/>
      <w:u w:val="none"/>
    </w:rPr>
  </w:style>
  <w:style w:type="character" w:customStyle="1" w:styleId="449">
    <w:name w:val="Char Char12"/>
    <w:autoRedefine/>
    <w:qFormat/>
    <w:uiPriority w:val="0"/>
    <w:rPr>
      <w:rFonts w:ascii="仿宋_GB2312" w:hAnsi="Times New Roman" w:eastAsia="仿宋_GB2312" w:cs="Times New Roman"/>
      <w:b/>
      <w:bCs/>
      <w:kern w:val="2"/>
      <w:sz w:val="24"/>
      <w:szCs w:val="24"/>
      <w:lang w:val="zh-CN" w:eastAsia="zh-CN" w:bidi="ar-SA"/>
    </w:rPr>
  </w:style>
  <w:style w:type="character" w:customStyle="1" w:styleId="450">
    <w:name w:val="普通文字 Char1"/>
    <w:autoRedefine/>
    <w:qFormat/>
    <w:uiPriority w:val="0"/>
    <w:rPr>
      <w:rFonts w:ascii="宋体" w:hAnsi="Courier New" w:eastAsia="宋体" w:cs="Times New Roman"/>
      <w:kern w:val="2"/>
      <w:sz w:val="21"/>
      <w:lang w:val="en-US" w:eastAsia="zh-CN"/>
    </w:rPr>
  </w:style>
  <w:style w:type="character" w:customStyle="1" w:styleId="451">
    <w:name w:val="标准正文格式 Char"/>
    <w:autoRedefine/>
    <w:qFormat/>
    <w:uiPriority w:val="0"/>
    <w:rPr>
      <w:rFonts w:ascii="宋体" w:hAnsi="Times New Roman" w:eastAsia="仿宋_GB2312" w:cs="宋体"/>
      <w:color w:val="000000"/>
      <w:sz w:val="24"/>
      <w:lang w:val="en-US" w:eastAsia="zh-CN" w:bidi="ar-SA"/>
    </w:rPr>
  </w:style>
  <w:style w:type="character" w:customStyle="1" w:styleId="452">
    <w:name w:val="tpc_content1"/>
    <w:autoRedefine/>
    <w:qFormat/>
    <w:uiPriority w:val="0"/>
    <w:rPr>
      <w:rFonts w:ascii="Times New Roman" w:hAnsi="Times New Roman" w:eastAsia="宋体" w:cs="Times New Roman"/>
      <w:sz w:val="20"/>
      <w:szCs w:val="20"/>
    </w:rPr>
  </w:style>
  <w:style w:type="character" w:customStyle="1" w:styleId="453">
    <w:name w:val="签名 Char1"/>
    <w:autoRedefine/>
    <w:qFormat/>
    <w:uiPriority w:val="0"/>
    <w:rPr>
      <w:rFonts w:ascii="Times New Roman" w:hAnsi="Times New Roman" w:eastAsia="宋体" w:cs="Times New Roman"/>
      <w:szCs w:val="24"/>
    </w:rPr>
  </w:style>
  <w:style w:type="character" w:customStyle="1" w:styleId="454">
    <w:name w:val="hui3"/>
    <w:autoRedefine/>
    <w:qFormat/>
    <w:uiPriority w:val="0"/>
    <w:rPr>
      <w:rFonts w:ascii="Times New Roman" w:hAnsi="Times New Roman" w:eastAsia="宋体" w:cs="Times New Roman"/>
      <w:color w:val="333333"/>
    </w:rPr>
  </w:style>
  <w:style w:type="character" w:customStyle="1" w:styleId="455">
    <w:name w:val="PI Char"/>
    <w:autoRedefine/>
    <w:qFormat/>
    <w:uiPriority w:val="0"/>
    <w:rPr>
      <w:rFonts w:ascii="宋体" w:hAnsi="宋体" w:eastAsia="宋体" w:cs="Times New Roman"/>
      <w:kern w:val="2"/>
      <w:sz w:val="24"/>
      <w:szCs w:val="24"/>
      <w:lang w:val="en-US" w:eastAsia="zh-CN" w:bidi="ar-SA"/>
    </w:rPr>
  </w:style>
  <w:style w:type="character" w:customStyle="1" w:styleId="456">
    <w:name w:val="Char Char213"/>
    <w:autoRedefine/>
    <w:qFormat/>
    <w:uiPriority w:val="0"/>
    <w:rPr>
      <w:rFonts w:ascii="Times New Roman" w:hAnsi="Times New Roman" w:eastAsia="Century Gothic" w:cs="Times New Roman"/>
      <w:b/>
      <w:bCs/>
      <w:kern w:val="44"/>
      <w:sz w:val="32"/>
      <w:szCs w:val="44"/>
      <w:lang w:val="en-US" w:eastAsia="zh-CN" w:bidi="ar-SA"/>
    </w:rPr>
  </w:style>
  <w:style w:type="character" w:customStyle="1" w:styleId="457">
    <w:name w:val="Table Text Char"/>
    <w:link w:val="458"/>
    <w:autoRedefine/>
    <w:qFormat/>
    <w:uiPriority w:val="0"/>
    <w:rPr>
      <w:rFonts w:ascii="Times New Roman" w:hAnsi="Times New Roman" w:eastAsia="宋体" w:cs="Times New Roman"/>
      <w:sz w:val="24"/>
      <w:szCs w:val="24"/>
    </w:rPr>
  </w:style>
  <w:style w:type="paragraph" w:customStyle="1" w:styleId="458">
    <w:name w:val="Table Text"/>
    <w:basedOn w:val="1"/>
    <w:link w:val="457"/>
    <w:autoRedefine/>
    <w:qFormat/>
    <w:uiPriority w:val="0"/>
    <w:pPr>
      <w:widowControl/>
      <w:spacing w:before="60" w:after="60"/>
      <w:jc w:val="left"/>
    </w:pPr>
    <w:rPr>
      <w:kern w:val="0"/>
      <w:sz w:val="24"/>
    </w:rPr>
  </w:style>
  <w:style w:type="character" w:customStyle="1" w:styleId="459">
    <w:name w:val="称呼 Char1"/>
    <w:autoRedefine/>
    <w:qFormat/>
    <w:uiPriority w:val="0"/>
    <w:rPr>
      <w:rFonts w:ascii="Times New Roman" w:hAnsi="Times New Roman" w:eastAsia="宋体" w:cs="Times New Roman"/>
      <w:szCs w:val="24"/>
    </w:rPr>
  </w:style>
  <w:style w:type="character" w:customStyle="1" w:styleId="460">
    <w:name w:val="标题 2 字符"/>
    <w:autoRedefine/>
    <w:qFormat/>
    <w:uiPriority w:val="0"/>
    <w:rPr>
      <w:rFonts w:ascii="仿宋_GB2312" w:hAnsi="Times New Roman" w:eastAsia="仿宋_GB2312" w:cs="Times New Roman"/>
      <w:b/>
      <w:kern w:val="2"/>
      <w:sz w:val="24"/>
      <w:lang w:val="zh-CN"/>
    </w:rPr>
  </w:style>
  <w:style w:type="character" w:customStyle="1" w:styleId="461">
    <w:name w:val="表格非标题文字 Char"/>
    <w:link w:val="462"/>
    <w:autoRedefine/>
    <w:qFormat/>
    <w:uiPriority w:val="0"/>
    <w:rPr>
      <w:rFonts w:ascii="Futura Bk" w:hAnsi="Futura Bk" w:eastAsia="宋体" w:cs="Times New Roman"/>
      <w:kern w:val="2"/>
      <w:sz w:val="18"/>
      <w:szCs w:val="21"/>
      <w:lang w:val="en-US" w:eastAsia="zh-CN" w:bidi="ar-SA"/>
    </w:rPr>
  </w:style>
  <w:style w:type="paragraph" w:customStyle="1" w:styleId="462">
    <w:name w:val="表格非标题文字"/>
    <w:link w:val="46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463">
    <w:name w:val="正文缩进 Char1"/>
    <w:autoRedefine/>
    <w:qFormat/>
    <w:uiPriority w:val="0"/>
    <w:rPr>
      <w:rFonts w:ascii="宋体" w:hAnsi="Times New Roman" w:eastAsia="宋体" w:cs="Times New Roman"/>
      <w:snapToGrid w:val="0"/>
      <w:color w:val="000000"/>
      <w:kern w:val="28"/>
      <w:sz w:val="28"/>
      <w:lang w:val="en-US" w:eastAsia="zh-CN" w:bidi="ar-SA"/>
    </w:rPr>
  </w:style>
  <w:style w:type="paragraph" w:customStyle="1" w:styleId="464">
    <w:name w:val="Char Char Char Char Char Char Char1"/>
    <w:basedOn w:val="1"/>
    <w:autoRedefine/>
    <w:qFormat/>
    <w:uiPriority w:val="0"/>
    <w:rPr>
      <w:rFonts w:ascii="仿宋_GB2312" w:eastAsia="仿宋_GB2312"/>
      <w:b/>
      <w:sz w:val="32"/>
      <w:szCs w:val="32"/>
    </w:rPr>
  </w:style>
  <w:style w:type="paragraph" w:customStyle="1" w:styleId="465">
    <w:name w:val="标题4_自定义"/>
    <w:basedOn w:val="6"/>
    <w:autoRedefine/>
    <w:qFormat/>
    <w:uiPriority w:val="0"/>
    <w:pPr>
      <w:adjustRightInd/>
      <w:spacing w:before="0" w:after="0" w:line="360" w:lineRule="auto"/>
    </w:pPr>
    <w:rPr>
      <w:rFonts w:ascii="Verdana" w:hAnsi="Times New Roman" w:eastAsia="Verdana"/>
      <w:sz w:val="21"/>
      <w:lang w:val="en-US"/>
    </w:rPr>
  </w:style>
  <w:style w:type="paragraph" w:customStyle="1" w:styleId="466">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67">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46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6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470">
    <w:name w:val="Char111"/>
    <w:basedOn w:val="1"/>
    <w:autoRedefine/>
    <w:qFormat/>
    <w:uiPriority w:val="0"/>
    <w:rPr>
      <w:rFonts w:ascii="仿宋_GB2312" w:eastAsia="仿宋_GB2312"/>
      <w:b/>
      <w:sz w:val="32"/>
      <w:szCs w:val="32"/>
    </w:rPr>
  </w:style>
  <w:style w:type="paragraph" w:customStyle="1" w:styleId="471">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7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73">
    <w:name w:val="U_编号2"/>
    <w:basedOn w:val="1"/>
    <w:autoRedefine/>
    <w:qFormat/>
    <w:uiPriority w:val="0"/>
    <w:pPr>
      <w:tabs>
        <w:tab w:val="left" w:pos="785"/>
      </w:tabs>
      <w:adjustRightInd/>
      <w:spacing w:beforeLines="10" w:afterLines="10" w:line="300" w:lineRule="auto"/>
    </w:pPr>
    <w:rPr>
      <w:sz w:val="24"/>
    </w:rPr>
  </w:style>
  <w:style w:type="paragraph" w:customStyle="1" w:styleId="4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475">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476">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77">
    <w:name w:val="数字标题3"/>
    <w:basedOn w:val="4"/>
    <w:next w:val="1"/>
    <w:autoRedefine/>
    <w:qFormat/>
    <w:uiPriority w:val="0"/>
    <w:pPr>
      <w:spacing w:line="240" w:lineRule="auto"/>
    </w:pPr>
    <w:rPr>
      <w:sz w:val="28"/>
      <w:szCs w:val="28"/>
    </w:rPr>
  </w:style>
  <w:style w:type="paragraph" w:customStyle="1" w:styleId="478">
    <w:name w:val="text-ta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79">
    <w:name w:val="Char Char11 Char Char Char1"/>
    <w:basedOn w:val="1"/>
    <w:autoRedefine/>
    <w:qFormat/>
    <w:uiPriority w:val="0"/>
    <w:pPr>
      <w:spacing w:line="360" w:lineRule="auto"/>
    </w:pPr>
    <w:rPr>
      <w:szCs w:val="20"/>
    </w:rPr>
  </w:style>
  <w:style w:type="paragraph" w:customStyle="1" w:styleId="48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81">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2">
    <w:name w:val="_Style 3"/>
    <w:basedOn w:val="1"/>
    <w:autoRedefine/>
    <w:qFormat/>
    <w:uiPriority w:val="0"/>
    <w:pPr>
      <w:adjustRightInd/>
      <w:ind w:firstLine="420" w:firstLineChars="200"/>
    </w:pPr>
    <w:rPr>
      <w:rFonts w:eastAsia="仿宋_GB2312"/>
      <w:sz w:val="28"/>
    </w:rPr>
  </w:style>
  <w:style w:type="paragraph" w:customStyle="1" w:styleId="48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484">
    <w:name w:val="Char Char4 Char Char"/>
    <w:basedOn w:val="1"/>
    <w:autoRedefine/>
    <w:qFormat/>
    <w:uiPriority w:val="0"/>
    <w:pPr>
      <w:widowControl/>
      <w:adjustRightInd/>
      <w:spacing w:after="160" w:line="240" w:lineRule="exact"/>
      <w:jc w:val="left"/>
    </w:pPr>
  </w:style>
  <w:style w:type="paragraph" w:customStyle="1" w:styleId="485">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486">
    <w:name w:val="Char1 Char Char Char3"/>
    <w:basedOn w:val="1"/>
    <w:autoRedefine/>
    <w:qFormat/>
    <w:uiPriority w:val="0"/>
    <w:pPr>
      <w:adjustRightInd/>
      <w:ind w:firstLine="200" w:firstLineChars="200"/>
    </w:pPr>
    <w:rPr>
      <w:rFonts w:ascii="Tahoma" w:hAnsi="Tahoma"/>
      <w:sz w:val="24"/>
      <w:szCs w:val="20"/>
    </w:rPr>
  </w:style>
  <w:style w:type="paragraph" w:customStyle="1" w:styleId="487">
    <w:name w:val="Char Char Char Char Char Char Char Char Char Char Char Char1 Char1"/>
    <w:basedOn w:val="1"/>
    <w:autoRedefine/>
    <w:qFormat/>
    <w:uiPriority w:val="0"/>
    <w:rPr>
      <w:rFonts w:ascii="Tahoma" w:hAnsi="Tahoma" w:cs="仿宋_GB2312"/>
      <w:sz w:val="24"/>
      <w:szCs w:val="20"/>
    </w:rPr>
  </w:style>
  <w:style w:type="paragraph" w:customStyle="1" w:styleId="488">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489">
    <w:name w:val="Char Char11 Char Char Char Char Char Char Char Char Char11"/>
    <w:basedOn w:val="1"/>
    <w:autoRedefine/>
    <w:qFormat/>
    <w:uiPriority w:val="0"/>
    <w:pPr>
      <w:spacing w:line="360" w:lineRule="auto"/>
    </w:pPr>
    <w:rPr>
      <w:szCs w:val="20"/>
    </w:rPr>
  </w:style>
  <w:style w:type="paragraph" w:customStyle="1" w:styleId="490">
    <w:name w:val="正文箭头"/>
    <w:basedOn w:val="491"/>
    <w:autoRedefine/>
    <w:qFormat/>
    <w:uiPriority w:val="0"/>
    <w:pPr>
      <w:tabs>
        <w:tab w:val="left" w:pos="0"/>
        <w:tab w:val="left" w:pos="703"/>
      </w:tabs>
    </w:pPr>
  </w:style>
  <w:style w:type="paragraph" w:customStyle="1" w:styleId="49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492">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93">
    <w:name w:val="2级标题"/>
    <w:basedOn w:val="494"/>
    <w:autoRedefine/>
    <w:qFormat/>
    <w:uiPriority w:val="0"/>
    <w:pPr>
      <w:jc w:val="left"/>
      <w:outlineLvl w:val="1"/>
    </w:pPr>
    <w:rPr>
      <w:rFonts w:ascii="Times New Roman" w:hAnsi="Times New Roman" w:eastAsia="仿宋"/>
      <w:sz w:val="30"/>
    </w:rPr>
  </w:style>
  <w:style w:type="paragraph" w:customStyle="1" w:styleId="49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49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9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97">
    <w:name w:val="数字标题5"/>
    <w:basedOn w:val="7"/>
    <w:next w:val="1"/>
    <w:autoRedefine/>
    <w:qFormat/>
    <w:uiPriority w:val="0"/>
    <w:pPr>
      <w:tabs>
        <w:tab w:val="left" w:pos="1080"/>
        <w:tab w:val="clear" w:pos="1008"/>
      </w:tabs>
      <w:ind w:left="1080" w:hanging="1080"/>
    </w:pPr>
  </w:style>
  <w:style w:type="paragraph" w:customStyle="1" w:styleId="49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99">
    <w:name w:val="Char Char113"/>
    <w:basedOn w:val="1"/>
    <w:autoRedefine/>
    <w:qFormat/>
    <w:uiPriority w:val="0"/>
    <w:pPr>
      <w:widowControl/>
      <w:spacing w:after="160" w:line="240" w:lineRule="exact"/>
      <w:jc w:val="left"/>
    </w:pPr>
    <w:rPr>
      <w:rFonts w:eastAsia="仿宋_GB2312"/>
      <w:sz w:val="28"/>
    </w:rPr>
  </w:style>
  <w:style w:type="paragraph" w:customStyle="1" w:styleId="5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01">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50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03">
    <w:name w:val="Char Char Char Char Char Char Char Char Char Char"/>
    <w:basedOn w:val="1"/>
    <w:autoRedefine/>
    <w:qFormat/>
    <w:uiPriority w:val="0"/>
    <w:rPr>
      <w:rFonts w:ascii="仿宋_GB2312" w:eastAsia="仿宋_GB2312"/>
      <w:b/>
      <w:sz w:val="32"/>
      <w:szCs w:val="32"/>
    </w:rPr>
  </w:style>
  <w:style w:type="paragraph" w:customStyle="1" w:styleId="504">
    <w:name w:val="Char6"/>
    <w:basedOn w:val="1"/>
    <w:autoRedefine/>
    <w:qFormat/>
    <w:uiPriority w:val="0"/>
    <w:rPr>
      <w:rFonts w:ascii="仿宋_GB2312" w:eastAsia="仿宋_GB2312"/>
      <w:b/>
      <w:sz w:val="32"/>
      <w:szCs w:val="32"/>
    </w:rPr>
  </w:style>
  <w:style w:type="paragraph" w:customStyle="1" w:styleId="505">
    <w:name w:val="Char Char11 Char Char Char Char Char Char Char Char Char1"/>
    <w:basedOn w:val="1"/>
    <w:autoRedefine/>
    <w:qFormat/>
    <w:uiPriority w:val="0"/>
    <w:pPr>
      <w:spacing w:line="360" w:lineRule="auto"/>
    </w:pPr>
    <w:rPr>
      <w:szCs w:val="20"/>
    </w:rPr>
  </w:style>
  <w:style w:type="paragraph" w:customStyle="1" w:styleId="506">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507">
    <w:name w:val="p0"/>
    <w:basedOn w:val="1"/>
    <w:autoRedefine/>
    <w:qFormat/>
    <w:uiPriority w:val="0"/>
    <w:pPr>
      <w:widowControl/>
      <w:adjustRightInd/>
    </w:pPr>
    <w:rPr>
      <w:kern w:val="0"/>
      <w:szCs w:val="21"/>
    </w:rPr>
  </w:style>
  <w:style w:type="paragraph" w:customStyle="1" w:styleId="508">
    <w:name w:val="纯文本3"/>
    <w:basedOn w:val="1"/>
    <w:autoRedefine/>
    <w:qFormat/>
    <w:uiPriority w:val="0"/>
    <w:pPr>
      <w:adjustRightInd/>
      <w:snapToGrid w:val="0"/>
      <w:jc w:val="left"/>
    </w:pPr>
    <w:rPr>
      <w:rFonts w:ascii="Century Gothic" w:hAnsi="楷体_GB2312" w:eastAsia="Times New Roman"/>
      <w:szCs w:val="20"/>
    </w:rPr>
  </w:style>
  <w:style w:type="paragraph" w:customStyle="1" w:styleId="509">
    <w:name w:val="Char5"/>
    <w:basedOn w:val="1"/>
    <w:autoRedefine/>
    <w:qFormat/>
    <w:uiPriority w:val="0"/>
    <w:rPr>
      <w:rFonts w:ascii="仿宋_GB2312" w:eastAsia="仿宋_GB2312"/>
      <w:b/>
      <w:sz w:val="32"/>
      <w:szCs w:val="32"/>
    </w:rPr>
  </w:style>
  <w:style w:type="paragraph" w:customStyle="1" w:styleId="51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11">
    <w:name w:val="a1"/>
    <w:basedOn w:val="1"/>
    <w:autoRedefine/>
    <w:qFormat/>
    <w:uiPriority w:val="0"/>
    <w:pPr>
      <w:widowControl/>
      <w:spacing w:line="300" w:lineRule="atLeast"/>
      <w:jc w:val="left"/>
    </w:pPr>
    <w:rPr>
      <w:rFonts w:ascii="宋体" w:hAnsi="宋体"/>
      <w:kern w:val="0"/>
      <w:sz w:val="18"/>
      <w:szCs w:val="20"/>
    </w:rPr>
  </w:style>
  <w:style w:type="paragraph" w:customStyle="1" w:styleId="51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13">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514">
    <w:name w:val="表格（小）"/>
    <w:basedOn w:val="1"/>
    <w:autoRedefine/>
    <w:qFormat/>
    <w:uiPriority w:val="0"/>
    <w:pPr>
      <w:adjustRightInd/>
      <w:snapToGrid w:val="0"/>
      <w:spacing w:line="300" w:lineRule="auto"/>
    </w:pPr>
    <w:rPr>
      <w:rFonts w:eastAsia="仿宋"/>
      <w:szCs w:val="21"/>
    </w:rPr>
  </w:style>
  <w:style w:type="paragraph" w:customStyle="1" w:styleId="515">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516">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51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18">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19">
    <w:name w:val="Char Char Char1 Char1"/>
    <w:basedOn w:val="1"/>
    <w:autoRedefine/>
    <w:qFormat/>
    <w:uiPriority w:val="0"/>
    <w:rPr>
      <w:szCs w:val="20"/>
    </w:rPr>
  </w:style>
  <w:style w:type="paragraph" w:customStyle="1" w:styleId="520">
    <w:name w:val="修订4"/>
    <w:autoRedefine/>
    <w:qFormat/>
    <w:uiPriority w:val="0"/>
    <w:rPr>
      <w:rFonts w:ascii="Times New Roman" w:hAnsi="Times New Roman" w:eastAsia="宋体" w:cs="Times New Roman"/>
      <w:kern w:val="2"/>
      <w:sz w:val="21"/>
      <w:szCs w:val="24"/>
      <w:lang w:val="en-US" w:eastAsia="zh-CN" w:bidi="ar-SA"/>
    </w:rPr>
  </w:style>
  <w:style w:type="paragraph" w:customStyle="1" w:styleId="52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22">
    <w:name w:val="Char Char Char Char Char Char Char"/>
    <w:basedOn w:val="1"/>
    <w:autoRedefine/>
    <w:qFormat/>
    <w:uiPriority w:val="0"/>
    <w:rPr>
      <w:rFonts w:ascii="仿宋_GB2312" w:eastAsia="仿宋_GB2312"/>
      <w:b/>
      <w:sz w:val="32"/>
      <w:szCs w:val="32"/>
    </w:rPr>
  </w:style>
  <w:style w:type="paragraph" w:customStyle="1" w:styleId="523">
    <w:name w:val="Char Char1 Char Char Char2"/>
    <w:basedOn w:val="1"/>
    <w:autoRedefine/>
    <w:qFormat/>
    <w:uiPriority w:val="0"/>
    <w:rPr>
      <w:rFonts w:ascii="仿宋_GB2312" w:eastAsia="仿宋_GB2312"/>
      <w:b/>
      <w:sz w:val="32"/>
      <w:szCs w:val="32"/>
    </w:rPr>
  </w:style>
  <w:style w:type="paragraph" w:customStyle="1" w:styleId="52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525">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526">
    <w:name w:val="样式7"/>
    <w:basedOn w:val="527"/>
    <w:next w:val="1"/>
    <w:autoRedefine/>
    <w:qFormat/>
    <w:uiPriority w:val="0"/>
    <w:pPr>
      <w:spacing w:after="156" w:afterLines="50"/>
      <w:jc w:val="left"/>
      <w:outlineLvl w:val="3"/>
    </w:pPr>
    <w:rPr>
      <w:rFonts w:ascii="Times New Roman" w:hAnsi="Times New Roman" w:eastAsia="宋体"/>
      <w:sz w:val="24"/>
      <w:szCs w:val="24"/>
    </w:rPr>
  </w:style>
  <w:style w:type="paragraph" w:customStyle="1" w:styleId="52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528">
    <w:name w:val="正文（标题三）"/>
    <w:basedOn w:val="1"/>
    <w:autoRedefine/>
    <w:qFormat/>
    <w:uiPriority w:val="0"/>
    <w:pPr>
      <w:spacing w:line="360" w:lineRule="auto"/>
      <w:ind w:firstLine="200" w:firstLineChars="200"/>
    </w:pPr>
    <w:rPr>
      <w:sz w:val="24"/>
    </w:rPr>
  </w:style>
  <w:style w:type="paragraph" w:customStyle="1" w:styleId="52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53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531">
    <w:name w:val="Table Paragraph"/>
    <w:basedOn w:val="1"/>
    <w:autoRedefine/>
    <w:qFormat/>
    <w:uiPriority w:val="0"/>
    <w:pPr>
      <w:adjustRightInd/>
      <w:jc w:val="left"/>
    </w:pPr>
    <w:rPr>
      <w:rFonts w:ascii="Calibri" w:hAnsi="Calibri"/>
      <w:kern w:val="0"/>
      <w:sz w:val="22"/>
      <w:szCs w:val="22"/>
      <w:lang w:eastAsia="en-US"/>
    </w:rPr>
  </w:style>
  <w:style w:type="paragraph" w:customStyle="1" w:styleId="532">
    <w:name w:val="Char Char Char Char Char Char Char Char Char Char Char1 Char"/>
    <w:basedOn w:val="1"/>
    <w:autoRedefine/>
    <w:qFormat/>
    <w:uiPriority w:val="0"/>
    <w:pPr>
      <w:adjustRightInd/>
    </w:pPr>
    <w:rPr>
      <w:rFonts w:ascii="Tahoma" w:hAnsi="Tahoma"/>
      <w:sz w:val="24"/>
    </w:rPr>
  </w:style>
  <w:style w:type="paragraph" w:customStyle="1" w:styleId="533">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34">
    <w:name w:val="xl53"/>
    <w:basedOn w:val="1"/>
    <w:next w:val="1"/>
    <w:autoRedefine/>
    <w:qFormat/>
    <w:uiPriority w:val="0"/>
    <w:pPr>
      <w:spacing w:before="280" w:after="280" w:line="100" w:lineRule="exact"/>
      <w:jc w:val="center"/>
    </w:pPr>
    <w:rPr>
      <w:b/>
      <w:sz w:val="20"/>
    </w:rPr>
  </w:style>
  <w:style w:type="paragraph" w:customStyle="1" w:styleId="535">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36">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3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538">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53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40">
    <w:name w:val="文本正文 Char"/>
    <w:basedOn w:val="1"/>
    <w:autoRedefine/>
    <w:qFormat/>
    <w:uiPriority w:val="0"/>
    <w:pPr>
      <w:spacing w:line="360" w:lineRule="auto"/>
      <w:ind w:firstLine="200" w:firstLineChars="200"/>
    </w:pPr>
    <w:rPr>
      <w:kern w:val="0"/>
      <w:sz w:val="24"/>
      <w:szCs w:val="20"/>
    </w:rPr>
  </w:style>
  <w:style w:type="paragraph" w:customStyle="1" w:styleId="54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2">
    <w:name w:val="Char24"/>
    <w:basedOn w:val="1"/>
    <w:autoRedefine/>
    <w:qFormat/>
    <w:uiPriority w:val="0"/>
    <w:rPr>
      <w:rFonts w:ascii="仿宋_GB2312" w:eastAsia="仿宋_GB2312"/>
      <w:b/>
      <w:sz w:val="32"/>
      <w:szCs w:val="32"/>
    </w:rPr>
  </w:style>
  <w:style w:type="paragraph" w:customStyle="1" w:styleId="543">
    <w:name w:val="样式 正文文本缩进 2 + 仿宋_GB2312 黑色 行距: 1.5 倍行距"/>
    <w:basedOn w:val="39"/>
    <w:autoRedefine/>
    <w:qFormat/>
    <w:uiPriority w:val="0"/>
    <w:pPr>
      <w:adjustRightInd/>
      <w:ind w:firstLine="560" w:firstLineChars="200"/>
      <w:textAlignment w:val="auto"/>
    </w:pPr>
    <w:rPr>
      <w:rFonts w:ascii="Times New Roman" w:hAnsi="宋体" w:cs="宋体"/>
      <w:color w:val="000000"/>
      <w:kern w:val="2"/>
      <w:sz w:val="24"/>
    </w:rPr>
  </w:style>
  <w:style w:type="paragraph" w:customStyle="1" w:styleId="54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4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46">
    <w:name w:val="Char1 Char Char Char4"/>
    <w:basedOn w:val="1"/>
    <w:autoRedefine/>
    <w:qFormat/>
    <w:uiPriority w:val="0"/>
    <w:pPr>
      <w:adjustRightInd/>
      <w:ind w:firstLine="200" w:firstLineChars="200"/>
    </w:pPr>
    <w:rPr>
      <w:rFonts w:ascii="Tahoma" w:hAnsi="Tahoma"/>
      <w:sz w:val="24"/>
      <w:szCs w:val="20"/>
    </w:rPr>
  </w:style>
  <w:style w:type="paragraph" w:customStyle="1" w:styleId="547">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48">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549">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50">
    <w:name w:val="单元格居中"/>
    <w:basedOn w:val="1"/>
    <w:autoRedefine/>
    <w:qFormat/>
    <w:uiPriority w:val="0"/>
    <w:pPr>
      <w:adjustRightInd/>
      <w:spacing w:line="360" w:lineRule="auto"/>
      <w:jc w:val="center"/>
    </w:pPr>
    <w:rPr>
      <w:sz w:val="24"/>
    </w:rPr>
  </w:style>
  <w:style w:type="paragraph" w:customStyle="1" w:styleId="551">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52">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5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54">
    <w:name w:val="标书表格字体格式"/>
    <w:next w:val="498"/>
    <w:autoRedefine/>
    <w:qFormat/>
    <w:uiPriority w:val="0"/>
    <w:rPr>
      <w:rFonts w:ascii="Times New Roman" w:hAnsi="Times New Roman" w:eastAsia="宋体" w:cs="Times New Roman"/>
      <w:kern w:val="2"/>
      <w:sz w:val="21"/>
      <w:szCs w:val="24"/>
      <w:lang w:val="en-US" w:eastAsia="zh-CN" w:bidi="ar-SA"/>
    </w:rPr>
  </w:style>
  <w:style w:type="paragraph" w:customStyle="1" w:styleId="55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6">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5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8">
    <w:name w:val="修订1"/>
    <w:autoRedefine/>
    <w:qFormat/>
    <w:uiPriority w:val="0"/>
    <w:rPr>
      <w:rFonts w:ascii="Times New Roman" w:hAnsi="Times New Roman" w:eastAsia="宋体" w:cs="Times New Roman"/>
      <w:color w:val="000000"/>
      <w:kern w:val="1"/>
      <w:sz w:val="21"/>
      <w:lang w:val="en-US" w:eastAsia="zh-CN" w:bidi="ar-SA"/>
    </w:rPr>
  </w:style>
  <w:style w:type="paragraph" w:customStyle="1" w:styleId="559">
    <w:name w:val="正文文字 2"/>
    <w:basedOn w:val="83"/>
    <w:next w:val="83"/>
    <w:autoRedefine/>
    <w:qFormat/>
    <w:uiPriority w:val="0"/>
    <w:rPr>
      <w:rFonts w:ascii="宋体" w:eastAsia="宋体" w:cs="Times New Roman"/>
      <w:color w:val="auto"/>
    </w:rPr>
  </w:style>
  <w:style w:type="paragraph" w:customStyle="1" w:styleId="560">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61">
    <w:name w:val="正文 图"/>
    <w:basedOn w:val="562"/>
    <w:autoRedefine/>
    <w:qFormat/>
    <w:uiPriority w:val="0"/>
    <w:pPr>
      <w:adjustRightInd/>
      <w:spacing w:before="0"/>
      <w:ind w:firstLine="0"/>
      <w:jc w:val="center"/>
    </w:pPr>
    <w:rPr>
      <w:rFonts w:ascii="微软雅黑" w:hAnsi="微软雅黑"/>
    </w:rPr>
  </w:style>
  <w:style w:type="paragraph" w:customStyle="1" w:styleId="562">
    <w:name w:val="My正文"/>
    <w:basedOn w:val="1"/>
    <w:autoRedefine/>
    <w:qFormat/>
    <w:uiPriority w:val="0"/>
    <w:pPr>
      <w:spacing w:before="120" w:line="360" w:lineRule="auto"/>
      <w:ind w:firstLine="567"/>
    </w:pPr>
    <w:rPr>
      <w:rFonts w:ascii="Arial" w:hAnsi="Arial"/>
      <w:sz w:val="20"/>
      <w:szCs w:val="20"/>
    </w:rPr>
  </w:style>
  <w:style w:type="paragraph" w:customStyle="1" w:styleId="563">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4">
    <w:name w:val="FA正文"/>
    <w:basedOn w:val="1"/>
    <w:autoRedefine/>
    <w:qFormat/>
    <w:uiPriority w:val="0"/>
    <w:pPr>
      <w:spacing w:line="360" w:lineRule="auto"/>
      <w:ind w:firstLine="480" w:firstLineChars="200"/>
    </w:pPr>
    <w:rPr>
      <w:rFonts w:hAnsi="宋体"/>
      <w:sz w:val="24"/>
      <w:szCs w:val="20"/>
    </w:rPr>
  </w:style>
  <w:style w:type="paragraph" w:customStyle="1" w:styleId="56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566">
    <w:name w:val="Char1 Char Char Char5"/>
    <w:basedOn w:val="1"/>
    <w:autoRedefine/>
    <w:qFormat/>
    <w:uiPriority w:val="0"/>
    <w:pPr>
      <w:adjustRightInd/>
      <w:ind w:firstLine="200" w:firstLineChars="200"/>
    </w:pPr>
    <w:rPr>
      <w:rFonts w:ascii="Tahoma" w:hAnsi="Tahoma"/>
      <w:sz w:val="24"/>
      <w:szCs w:val="20"/>
    </w:rPr>
  </w:style>
  <w:style w:type="paragraph" w:customStyle="1" w:styleId="567">
    <w:name w:val="Char31"/>
    <w:basedOn w:val="1"/>
    <w:autoRedefine/>
    <w:qFormat/>
    <w:uiPriority w:val="0"/>
    <w:pPr>
      <w:adjustRightInd/>
    </w:pPr>
    <w:rPr>
      <w:rFonts w:ascii="仿宋_GB2312" w:eastAsia="仿宋_GB2312"/>
      <w:b/>
      <w:sz w:val="32"/>
      <w:szCs w:val="32"/>
    </w:rPr>
  </w:style>
  <w:style w:type="paragraph" w:customStyle="1" w:styleId="568">
    <w:name w:val="_Style 8"/>
    <w:basedOn w:val="1"/>
    <w:autoRedefine/>
    <w:qFormat/>
    <w:uiPriority w:val="0"/>
    <w:pPr>
      <w:adjustRightInd/>
      <w:ind w:firstLine="420" w:firstLineChars="200"/>
    </w:pPr>
    <w:rPr>
      <w:rFonts w:eastAsia="仿宋_GB2312"/>
      <w:sz w:val="28"/>
    </w:rPr>
  </w:style>
  <w:style w:type="paragraph" w:customStyle="1" w:styleId="5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570">
    <w:name w:val="Char Char1 Char Char Char Char Char Char"/>
    <w:basedOn w:val="1"/>
    <w:autoRedefine/>
    <w:qFormat/>
    <w:uiPriority w:val="0"/>
    <w:rPr>
      <w:rFonts w:ascii="仿宋_GB2312" w:eastAsia="仿宋_GB2312"/>
      <w:b/>
      <w:sz w:val="32"/>
      <w:szCs w:val="20"/>
    </w:rPr>
  </w:style>
  <w:style w:type="paragraph" w:customStyle="1" w:styleId="571">
    <w:name w:val="表格"/>
    <w:basedOn w:val="1"/>
    <w:autoRedefine/>
    <w:qFormat/>
    <w:uiPriority w:val="0"/>
    <w:pPr>
      <w:snapToGrid w:val="0"/>
      <w:ind w:firstLine="42" w:firstLineChars="21"/>
    </w:pPr>
    <w:rPr>
      <w:rFonts w:ascii="宋体" w:hAnsi="宋体"/>
      <w:kern w:val="0"/>
      <w:sz w:val="20"/>
      <w:szCs w:val="20"/>
    </w:rPr>
  </w:style>
  <w:style w:type="paragraph" w:customStyle="1" w:styleId="57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7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4">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75">
    <w:name w:val="Char Char11 Char Char Char2"/>
    <w:basedOn w:val="1"/>
    <w:autoRedefine/>
    <w:qFormat/>
    <w:uiPriority w:val="0"/>
    <w:pPr>
      <w:spacing w:line="360" w:lineRule="auto"/>
    </w:pPr>
    <w:rPr>
      <w:szCs w:val="20"/>
    </w:rPr>
  </w:style>
  <w:style w:type="paragraph" w:customStyle="1" w:styleId="57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577">
    <w:name w:val="Char Char1 Char"/>
    <w:basedOn w:val="1"/>
    <w:autoRedefine/>
    <w:qFormat/>
    <w:uiPriority w:val="0"/>
    <w:rPr>
      <w:rFonts w:ascii="仿宋_GB2312" w:eastAsia="仿宋_GB2312"/>
      <w:b/>
      <w:sz w:val="32"/>
      <w:szCs w:val="32"/>
    </w:rPr>
  </w:style>
  <w:style w:type="paragraph" w:customStyle="1" w:styleId="578">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579">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80">
    <w:name w:val="Thf"/>
    <w:basedOn w:val="581"/>
    <w:autoRedefine/>
    <w:qFormat/>
    <w:uiPriority w:val="0"/>
    <w:pPr>
      <w:ind w:left="0"/>
    </w:pPr>
  </w:style>
  <w:style w:type="paragraph" w:customStyle="1" w:styleId="58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8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83">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584">
    <w:name w:val="Char Char11 Char Char Char Char Char Char Char Char Char"/>
    <w:basedOn w:val="1"/>
    <w:autoRedefine/>
    <w:qFormat/>
    <w:uiPriority w:val="0"/>
    <w:pPr>
      <w:spacing w:line="360" w:lineRule="auto"/>
    </w:pPr>
    <w:rPr>
      <w:szCs w:val="20"/>
    </w:rPr>
  </w:style>
  <w:style w:type="paragraph" w:customStyle="1" w:styleId="585">
    <w:name w:val="正文211"/>
    <w:basedOn w:val="1"/>
    <w:autoRedefine/>
    <w:qFormat/>
    <w:uiPriority w:val="0"/>
    <w:pPr>
      <w:spacing w:before="156" w:line="360" w:lineRule="auto"/>
      <w:ind w:firstLine="510" w:firstLineChars="200"/>
    </w:pPr>
    <w:rPr>
      <w:sz w:val="24"/>
      <w:szCs w:val="20"/>
    </w:rPr>
  </w:style>
  <w:style w:type="paragraph" w:customStyle="1" w:styleId="586">
    <w:name w:val="Char3 Char Char Char1"/>
    <w:basedOn w:val="1"/>
    <w:autoRedefine/>
    <w:qFormat/>
    <w:uiPriority w:val="0"/>
    <w:pPr>
      <w:widowControl/>
      <w:adjustRightInd/>
      <w:spacing w:after="160" w:line="240" w:lineRule="exact"/>
      <w:jc w:val="left"/>
    </w:pPr>
    <w:rPr>
      <w:szCs w:val="20"/>
    </w:rPr>
  </w:style>
  <w:style w:type="paragraph" w:customStyle="1" w:styleId="58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58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89">
    <w:name w:val="_标题2"/>
    <w:basedOn w:val="590"/>
    <w:next w:val="590"/>
    <w:autoRedefine/>
    <w:qFormat/>
    <w:uiPriority w:val="0"/>
    <w:pPr>
      <w:widowControl w:val="0"/>
      <w:tabs>
        <w:tab w:val="left" w:pos="480"/>
      </w:tabs>
      <w:spacing w:before="50" w:beforeLines="50" w:after="50" w:afterLines="50"/>
      <w:ind w:left="50" w:leftChars="50" w:hanging="420" w:firstLineChars="0"/>
      <w:outlineLvl w:val="1"/>
    </w:pPr>
    <w:rPr>
      <w:rFonts w:eastAsia="宋体"/>
      <w:b/>
      <w:sz w:val="36"/>
    </w:rPr>
  </w:style>
  <w:style w:type="paragraph" w:customStyle="1" w:styleId="59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591">
    <w:name w:val="正文表标题"/>
    <w:next w:val="59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59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3">
    <w:name w:val="CSS1级正文 Char"/>
    <w:basedOn w:val="23"/>
    <w:autoRedefine/>
    <w:qFormat/>
    <w:uiPriority w:val="0"/>
    <w:pPr>
      <w:autoSpaceDE/>
      <w:autoSpaceDN/>
      <w:snapToGrid w:val="0"/>
      <w:ind w:firstLine="480" w:firstLineChars="200"/>
    </w:pPr>
    <w:rPr>
      <w:rFonts w:ascii="Times New Roman" w:hAnsi="Times New Roman" w:cs="Times New Roman"/>
      <w:szCs w:val="24"/>
      <w:lang w:val="en-US"/>
    </w:rPr>
  </w:style>
  <w:style w:type="paragraph" w:customStyle="1" w:styleId="594">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95">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2"/>
    <w:basedOn w:val="1"/>
    <w:autoRedefine/>
    <w:qFormat/>
    <w:uiPriority w:val="0"/>
    <w:rPr>
      <w:rFonts w:ascii="仿宋_GB2312" w:eastAsia="仿宋_GB2312"/>
      <w:b/>
      <w:sz w:val="32"/>
      <w:szCs w:val="32"/>
    </w:rPr>
  </w:style>
  <w:style w:type="paragraph" w:customStyle="1" w:styleId="597">
    <w:name w:val="表格 内容"/>
    <w:basedOn w:val="513"/>
    <w:autoRedefine/>
    <w:qFormat/>
    <w:uiPriority w:val="0"/>
    <w:rPr>
      <w:rFonts w:ascii="Times New Roman" w:hAnsi="Times New Roman" w:eastAsia="宋体"/>
      <w:b w:val="0"/>
      <w:sz w:val="20"/>
    </w:rPr>
  </w:style>
  <w:style w:type="paragraph" w:customStyle="1" w:styleId="598">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599">
    <w:name w:val="EB_表格"/>
    <w:basedOn w:val="1"/>
    <w:autoRedefine/>
    <w:qFormat/>
    <w:uiPriority w:val="0"/>
    <w:pPr>
      <w:adjustRightInd/>
      <w:spacing w:line="300" w:lineRule="auto"/>
      <w:jc w:val="center"/>
    </w:pPr>
  </w:style>
  <w:style w:type="paragraph" w:customStyle="1" w:styleId="60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01">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60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60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04">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05">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0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607">
    <w:name w:val="正文（首行缩进2字符）"/>
    <w:basedOn w:val="1"/>
    <w:autoRedefine/>
    <w:qFormat/>
    <w:uiPriority w:val="0"/>
    <w:pPr>
      <w:adjustRightInd/>
      <w:spacing w:line="360" w:lineRule="auto"/>
      <w:ind w:firstLine="480" w:firstLineChars="200"/>
    </w:pPr>
    <w:rPr>
      <w:sz w:val="24"/>
      <w:szCs w:val="20"/>
    </w:rPr>
  </w:style>
  <w:style w:type="paragraph" w:customStyle="1" w:styleId="608">
    <w:name w:val="Plain Text1"/>
    <w:basedOn w:val="1"/>
    <w:autoRedefine/>
    <w:qFormat/>
    <w:uiPriority w:val="0"/>
    <w:pPr>
      <w:adjustRightInd/>
    </w:pPr>
    <w:rPr>
      <w:rFonts w:ascii="宋体" w:hAnsi="Courier New"/>
    </w:rPr>
  </w:style>
  <w:style w:type="paragraph" w:customStyle="1" w:styleId="609">
    <w:name w:val="Char Char1 Char Char Char"/>
    <w:basedOn w:val="1"/>
    <w:autoRedefine/>
    <w:qFormat/>
    <w:uiPriority w:val="0"/>
    <w:rPr>
      <w:rFonts w:ascii="仿宋_GB2312" w:eastAsia="仿宋_GB2312"/>
      <w:b/>
      <w:sz w:val="32"/>
      <w:szCs w:val="20"/>
    </w:rPr>
  </w:style>
  <w:style w:type="paragraph" w:customStyle="1" w:styleId="610">
    <w:name w:val="单元格左对齐"/>
    <w:basedOn w:val="1"/>
    <w:autoRedefine/>
    <w:qFormat/>
    <w:uiPriority w:val="0"/>
    <w:pPr>
      <w:adjustRightInd/>
      <w:spacing w:line="360" w:lineRule="auto"/>
    </w:pPr>
    <w:rPr>
      <w:sz w:val="24"/>
    </w:rPr>
  </w:style>
  <w:style w:type="paragraph" w:customStyle="1" w:styleId="611">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2">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61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14">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615">
    <w:name w:val="正文主体"/>
    <w:basedOn w:val="616"/>
    <w:autoRedefine/>
    <w:qFormat/>
    <w:uiPriority w:val="0"/>
  </w:style>
  <w:style w:type="paragraph" w:customStyle="1" w:styleId="61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1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61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1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62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621">
    <w:name w:val="正文21"/>
    <w:basedOn w:val="1"/>
    <w:autoRedefine/>
    <w:qFormat/>
    <w:uiPriority w:val="0"/>
    <w:pPr>
      <w:adjustRightInd/>
      <w:spacing w:before="156" w:line="360" w:lineRule="auto"/>
      <w:ind w:firstLine="510" w:firstLineChars="200"/>
    </w:pPr>
    <w:rPr>
      <w:sz w:val="24"/>
      <w:szCs w:val="20"/>
    </w:rPr>
  </w:style>
  <w:style w:type="paragraph" w:customStyle="1" w:styleId="622">
    <w:name w:val="P1"/>
    <w:basedOn w:val="1"/>
    <w:autoRedefine/>
    <w:qFormat/>
    <w:uiPriority w:val="0"/>
    <w:pPr>
      <w:adjustRightInd/>
      <w:spacing w:line="288" w:lineRule="auto"/>
      <w:ind w:firstLine="425" w:firstLineChars="200"/>
    </w:pPr>
  </w:style>
  <w:style w:type="paragraph" w:customStyle="1" w:styleId="62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2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625">
    <w:name w:val="正文文字表格居中"/>
    <w:basedOn w:val="1"/>
    <w:next w:val="59"/>
    <w:autoRedefine/>
    <w:qFormat/>
    <w:uiPriority w:val="0"/>
    <w:pPr>
      <w:snapToGrid w:val="0"/>
      <w:spacing w:line="360" w:lineRule="auto"/>
    </w:pPr>
    <w:rPr>
      <w:rFonts w:ascii="宋体"/>
      <w:b/>
      <w:sz w:val="24"/>
      <w:szCs w:val="20"/>
    </w:rPr>
  </w:style>
  <w:style w:type="paragraph" w:customStyle="1" w:styleId="62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627">
    <w:name w:val="List Paragraph*"/>
    <w:basedOn w:val="1"/>
    <w:autoRedefine/>
    <w:qFormat/>
    <w:uiPriority w:val="0"/>
    <w:pPr>
      <w:adjustRightInd/>
      <w:spacing w:line="360" w:lineRule="auto"/>
      <w:ind w:firstLine="420"/>
    </w:pPr>
    <w:rPr>
      <w:rFonts w:ascii="Calibri" w:hAnsi="Calibri" w:cs="Calibri"/>
      <w:color w:val="000000"/>
      <w:kern w:val="1"/>
      <w:sz w:val="24"/>
      <w:szCs w:val="22"/>
    </w:rPr>
  </w:style>
  <w:style w:type="paragraph" w:customStyle="1" w:styleId="628">
    <w:name w:val="Char Char1 Char Char Char Char Char Char2"/>
    <w:basedOn w:val="1"/>
    <w:autoRedefine/>
    <w:qFormat/>
    <w:uiPriority w:val="0"/>
    <w:rPr>
      <w:rFonts w:ascii="仿宋_GB2312" w:eastAsia="仿宋_GB2312"/>
      <w:b/>
      <w:sz w:val="32"/>
      <w:szCs w:val="20"/>
    </w:rPr>
  </w:style>
  <w:style w:type="paragraph" w:customStyle="1" w:styleId="629">
    <w:name w:val="正文 A"/>
    <w:autoRedefine/>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63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63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632">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633">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34">
    <w:name w:val="二级条标题"/>
    <w:basedOn w:val="635"/>
    <w:next w:val="592"/>
    <w:autoRedefine/>
    <w:qFormat/>
    <w:uiPriority w:val="0"/>
    <w:pPr>
      <w:tabs>
        <w:tab w:val="left" w:pos="1260"/>
        <w:tab w:val="left" w:pos="1680"/>
        <w:tab w:val="left" w:pos="2100"/>
      </w:tabs>
      <w:ind w:left="0"/>
      <w:outlineLvl w:val="3"/>
    </w:pPr>
  </w:style>
  <w:style w:type="paragraph" w:customStyle="1" w:styleId="635">
    <w:name w:val="一级条标题"/>
    <w:basedOn w:val="636"/>
    <w:next w:val="592"/>
    <w:autoRedefine/>
    <w:qFormat/>
    <w:uiPriority w:val="0"/>
    <w:pPr>
      <w:tabs>
        <w:tab w:val="left" w:pos="1260"/>
        <w:tab w:val="left" w:pos="1680"/>
      </w:tabs>
      <w:spacing w:before="0" w:beforeLines="0" w:after="0" w:afterLines="0"/>
      <w:ind w:left="1680"/>
      <w:outlineLvl w:val="2"/>
    </w:pPr>
    <w:rPr>
      <w:rFonts w:ascii="Times New Roman" w:eastAsia="宋体"/>
    </w:rPr>
  </w:style>
  <w:style w:type="paragraph" w:customStyle="1" w:styleId="636">
    <w:name w:val="章标题"/>
    <w:next w:val="59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3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638">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639">
    <w:name w:val="表格内文"/>
    <w:basedOn w:val="1"/>
    <w:autoRedefine/>
    <w:qFormat/>
    <w:uiPriority w:val="0"/>
    <w:pPr>
      <w:adjustRightInd/>
      <w:spacing w:line="360" w:lineRule="auto"/>
    </w:pPr>
    <w:rPr>
      <w:rFonts w:ascii="宋体" w:hAnsi="宋体" w:cs="宋体"/>
      <w:color w:val="000000"/>
      <w:szCs w:val="20"/>
    </w:rPr>
  </w:style>
  <w:style w:type="paragraph" w:customStyle="1" w:styleId="64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41">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42">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643">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644">
    <w:name w:val="Char Char Char Char Char Char Char Char Char Char2"/>
    <w:basedOn w:val="1"/>
    <w:autoRedefine/>
    <w:qFormat/>
    <w:uiPriority w:val="0"/>
    <w:rPr>
      <w:rFonts w:ascii="仿宋_GB2312" w:eastAsia="仿宋_GB2312"/>
      <w:b/>
      <w:sz w:val="32"/>
      <w:szCs w:val="32"/>
    </w:rPr>
  </w:style>
  <w:style w:type="paragraph" w:customStyle="1" w:styleId="645">
    <w:name w:val="三级条标题"/>
    <w:basedOn w:val="634"/>
    <w:next w:val="592"/>
    <w:autoRedefine/>
    <w:qFormat/>
    <w:uiPriority w:val="0"/>
    <w:pPr>
      <w:tabs>
        <w:tab w:val="left" w:pos="2520"/>
        <w:tab w:val="clear" w:pos="2100"/>
      </w:tabs>
      <w:ind w:left="2520"/>
      <w:outlineLvl w:val="4"/>
    </w:pPr>
  </w:style>
  <w:style w:type="paragraph" w:customStyle="1" w:styleId="646">
    <w:name w:val="Char2 Char Char1"/>
    <w:basedOn w:val="1"/>
    <w:autoRedefine/>
    <w:qFormat/>
    <w:uiPriority w:val="0"/>
    <w:pPr>
      <w:adjustRightInd/>
    </w:pPr>
    <w:rPr>
      <w:rFonts w:ascii="Tahoma" w:hAnsi="Tahoma"/>
      <w:sz w:val="24"/>
      <w:szCs w:val="20"/>
    </w:rPr>
  </w:style>
  <w:style w:type="paragraph" w:customStyle="1" w:styleId="647">
    <w:name w:val="正文 项目2"/>
    <w:basedOn w:val="551"/>
    <w:autoRedefine/>
    <w:qFormat/>
    <w:uiPriority w:val="0"/>
    <w:pPr>
      <w:spacing w:after="0"/>
      <w:ind w:left="900"/>
    </w:pPr>
    <w:rPr>
      <w:rFonts w:ascii="Times New Roman" w:hAnsi="Times New Roman" w:eastAsia="宋体"/>
    </w:rPr>
  </w:style>
  <w:style w:type="paragraph" w:customStyle="1" w:styleId="648">
    <w:name w:val="Char1 Char Char Char21"/>
    <w:basedOn w:val="1"/>
    <w:autoRedefine/>
    <w:qFormat/>
    <w:uiPriority w:val="0"/>
    <w:rPr>
      <w:rFonts w:ascii="Tahoma" w:hAnsi="Tahoma"/>
      <w:sz w:val="24"/>
      <w:szCs w:val="20"/>
    </w:rPr>
  </w:style>
  <w:style w:type="paragraph" w:customStyle="1" w:styleId="649">
    <w:name w:val="表文字"/>
    <w:autoRedefine/>
    <w:qFormat/>
    <w:uiPriority w:val="0"/>
    <w:rPr>
      <w:rFonts w:ascii="宋体" w:hAnsi="Times New Roman" w:eastAsia="宋体" w:cs="Times New Roman"/>
      <w:kern w:val="2"/>
      <w:lang w:val="en-US" w:eastAsia="zh-CN" w:bidi="ar-SA"/>
    </w:rPr>
  </w:style>
  <w:style w:type="paragraph" w:customStyle="1" w:styleId="650">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651">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52">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653">
    <w:name w:val="CM14"/>
    <w:basedOn w:val="83"/>
    <w:next w:val="83"/>
    <w:autoRedefine/>
    <w:qFormat/>
    <w:uiPriority w:val="0"/>
    <w:pPr>
      <w:spacing w:after="68"/>
    </w:pPr>
    <w:rPr>
      <w:rFonts w:ascii="FHLHE E+ Futura Bk" w:eastAsia="FHLHE E+ Futura Bk" w:cs="Times New Roman"/>
      <w:color w:val="auto"/>
    </w:rPr>
  </w:style>
  <w:style w:type="paragraph" w:customStyle="1" w:styleId="654">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65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656">
    <w:name w:val="数字标题2"/>
    <w:basedOn w:val="2"/>
    <w:next w:val="1"/>
    <w:autoRedefine/>
    <w:qFormat/>
    <w:uiPriority w:val="0"/>
    <w:pPr>
      <w:tabs>
        <w:tab w:val="left" w:pos="480"/>
        <w:tab w:val="clear" w:pos="432"/>
      </w:tabs>
      <w:ind w:left="480" w:hanging="480"/>
    </w:pPr>
    <w:rPr>
      <w:rFonts w:ascii="Times New Roman" w:hAnsi="Times New Roman" w:eastAsia="宋体"/>
      <w:i/>
      <w:sz w:val="36"/>
      <w:szCs w:val="36"/>
      <w:lang w:val="en-US"/>
    </w:rPr>
  </w:style>
  <w:style w:type="paragraph" w:customStyle="1" w:styleId="657">
    <w:name w:val="Char Char Char Char"/>
    <w:basedOn w:val="1"/>
    <w:autoRedefine/>
    <w:qFormat/>
    <w:uiPriority w:val="0"/>
    <w:rPr>
      <w:rFonts w:ascii="Tahoma" w:hAnsi="Tahoma"/>
      <w:sz w:val="24"/>
      <w:szCs w:val="20"/>
    </w:rPr>
  </w:style>
  <w:style w:type="paragraph" w:customStyle="1" w:styleId="658">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659">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660">
    <w:name w:val="_Style 1"/>
    <w:basedOn w:val="1"/>
    <w:autoRedefine/>
    <w:qFormat/>
    <w:uiPriority w:val="0"/>
    <w:pPr>
      <w:adjustRightInd/>
      <w:ind w:firstLine="420" w:firstLineChars="200"/>
    </w:pPr>
    <w:rPr>
      <w:rFonts w:eastAsia="仿宋_GB2312"/>
      <w:sz w:val="28"/>
    </w:rPr>
  </w:style>
  <w:style w:type="paragraph" w:customStyle="1" w:styleId="66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62">
    <w:name w:val="彩色列表 - 强调文字颜色 12"/>
    <w:basedOn w:val="1"/>
    <w:autoRedefine/>
    <w:qFormat/>
    <w:uiPriority w:val="0"/>
    <w:pPr>
      <w:adjustRightInd/>
      <w:ind w:firstLine="420" w:firstLineChars="200"/>
    </w:pPr>
    <w:rPr>
      <w:rFonts w:ascii="Calibri" w:hAnsi="Calibri"/>
      <w:szCs w:val="22"/>
    </w:rPr>
  </w:style>
  <w:style w:type="paragraph" w:customStyle="1" w:styleId="66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64">
    <w:name w:val="Char2 Char Char"/>
    <w:basedOn w:val="1"/>
    <w:autoRedefine/>
    <w:qFormat/>
    <w:uiPriority w:val="0"/>
    <w:pPr>
      <w:adjustRightInd/>
    </w:pPr>
    <w:rPr>
      <w:rFonts w:ascii="Tahoma" w:hAnsi="Tahoma"/>
      <w:sz w:val="24"/>
      <w:szCs w:val="20"/>
    </w:rPr>
  </w:style>
  <w:style w:type="paragraph" w:customStyle="1" w:styleId="66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6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667">
    <w:name w:val="Char Char1 Char1"/>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8">
    <w:name w:val="Char21"/>
    <w:basedOn w:val="1"/>
    <w:autoRedefine/>
    <w:qFormat/>
    <w:uiPriority w:val="0"/>
    <w:pPr>
      <w:adjustRightInd/>
      <w:ind w:firstLine="200" w:firstLineChars="200"/>
    </w:pPr>
    <w:rPr>
      <w:rFonts w:ascii="仿宋_GB2312" w:eastAsia="仿宋_GB2312"/>
      <w:b/>
      <w:sz w:val="32"/>
      <w:szCs w:val="32"/>
    </w:rPr>
  </w:style>
  <w:style w:type="paragraph" w:customStyle="1" w:styleId="66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67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71">
    <w:name w:val="MM Topic 1"/>
    <w:basedOn w:val="3"/>
    <w:autoRedefine/>
    <w:qFormat/>
    <w:uiPriority w:val="0"/>
    <w:pPr>
      <w:tabs>
        <w:tab w:val="left" w:pos="840"/>
        <w:tab w:val="clear" w:pos="432"/>
      </w:tabs>
      <w:adjustRightInd/>
      <w:ind w:left="840" w:hanging="420"/>
    </w:pPr>
  </w:style>
  <w:style w:type="paragraph" w:customStyle="1" w:styleId="67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673">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74">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75">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676">
    <w:name w:val="Char Char111"/>
    <w:basedOn w:val="1"/>
    <w:autoRedefine/>
    <w:qFormat/>
    <w:uiPriority w:val="0"/>
    <w:pPr>
      <w:spacing w:line="360" w:lineRule="auto"/>
    </w:pPr>
    <w:rPr>
      <w:szCs w:val="20"/>
    </w:rPr>
  </w:style>
  <w:style w:type="paragraph" w:customStyle="1" w:styleId="67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78">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带编号样式"/>
    <w:basedOn w:val="540"/>
    <w:autoRedefine/>
    <w:qFormat/>
    <w:uiPriority w:val="0"/>
    <w:pPr>
      <w:tabs>
        <w:tab w:val="left" w:pos="840"/>
      </w:tabs>
      <w:snapToGrid w:val="0"/>
      <w:ind w:left="840" w:hanging="420" w:firstLineChars="0"/>
    </w:pPr>
    <w:rPr>
      <w:rFonts w:ascii="仿宋_GB2312" w:eastAsia="仿宋_GB2312"/>
      <w:color w:val="000000"/>
    </w:rPr>
  </w:style>
  <w:style w:type="paragraph" w:customStyle="1" w:styleId="680">
    <w:name w:val="正文首行缩进1"/>
    <w:basedOn w:val="23"/>
    <w:autoRedefine/>
    <w:qFormat/>
    <w:uiPriority w:val="0"/>
    <w:pPr>
      <w:suppressAutoHyphens/>
      <w:autoSpaceDE/>
      <w:autoSpaceDN/>
      <w:adjustRightInd/>
      <w:spacing w:after="120" w:line="240" w:lineRule="auto"/>
      <w:ind w:firstLine="420"/>
      <w:jc w:val="left"/>
    </w:pPr>
    <w:rPr>
      <w:rFonts w:ascii="Times New Roman" w:hAnsi="Times New Roman" w:cs="Times New Roman"/>
      <w:kern w:val="1"/>
      <w:sz w:val="28"/>
      <w:szCs w:val="24"/>
      <w:lang w:val="en-US" w:eastAsia="ar-SA"/>
    </w:rPr>
  </w:style>
  <w:style w:type="paragraph" w:customStyle="1" w:styleId="681">
    <w:name w:val="Char Char Char1 Char"/>
    <w:basedOn w:val="1"/>
    <w:autoRedefine/>
    <w:qFormat/>
    <w:uiPriority w:val="0"/>
    <w:rPr>
      <w:szCs w:val="20"/>
    </w:rPr>
  </w:style>
  <w:style w:type="paragraph" w:customStyle="1" w:styleId="68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68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684">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68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86">
    <w:name w:val="4级标题"/>
    <w:basedOn w:val="3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687">
    <w:name w:val="Char311"/>
    <w:basedOn w:val="1"/>
    <w:autoRedefine/>
    <w:qFormat/>
    <w:uiPriority w:val="0"/>
    <w:pPr>
      <w:adjustRightInd/>
      <w:ind w:firstLine="200" w:firstLineChars="200"/>
    </w:pPr>
    <w:rPr>
      <w:rFonts w:ascii="Tahoma" w:hAnsi="Tahoma"/>
      <w:sz w:val="24"/>
      <w:szCs w:val="20"/>
    </w:rPr>
  </w:style>
  <w:style w:type="paragraph" w:customStyle="1" w:styleId="688">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68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690">
    <w:name w:val="MM Topic 2"/>
    <w:basedOn w:val="2"/>
    <w:autoRedefine/>
    <w:qFormat/>
    <w:uiPriority w:val="0"/>
    <w:pPr>
      <w:tabs>
        <w:tab w:val="left" w:pos="1260"/>
        <w:tab w:val="clear" w:pos="432"/>
      </w:tabs>
      <w:ind w:left="1260" w:hanging="420"/>
    </w:pPr>
    <w:rPr>
      <w:rFonts w:ascii="Arial" w:hAnsi="Arial" w:eastAsia="黑体"/>
      <w:lang w:val="en-US"/>
    </w:rPr>
  </w:style>
  <w:style w:type="paragraph" w:customStyle="1" w:styleId="691">
    <w:name w:val="四号　首行缩进"/>
    <w:basedOn w:val="1"/>
    <w:autoRedefine/>
    <w:qFormat/>
    <w:uiPriority w:val="0"/>
    <w:pPr>
      <w:adjustRightInd/>
      <w:spacing w:line="360" w:lineRule="auto"/>
    </w:pPr>
    <w:rPr>
      <w:rFonts w:ascii="宋体" w:hAnsi="宋体"/>
      <w:szCs w:val="20"/>
    </w:rPr>
  </w:style>
  <w:style w:type="paragraph" w:customStyle="1" w:styleId="69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693">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94">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695">
    <w:name w:val="5级标题"/>
    <w:basedOn w:val="686"/>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69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97">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9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69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700">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01">
    <w:name w:val="Body Text 2*"/>
    <w:basedOn w:val="1"/>
    <w:autoRedefine/>
    <w:qFormat/>
    <w:uiPriority w:val="0"/>
    <w:pPr>
      <w:widowControl/>
      <w:adjustRightInd/>
      <w:ind w:left="720" w:hanging="720"/>
    </w:pPr>
    <w:rPr>
      <w:color w:val="000000"/>
      <w:kern w:val="0"/>
      <w:sz w:val="24"/>
      <w:szCs w:val="20"/>
      <w:lang w:val="en-GB"/>
    </w:rPr>
  </w:style>
  <w:style w:type="paragraph" w:customStyle="1" w:styleId="70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70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704">
    <w:name w:val="3级标题"/>
    <w:basedOn w:val="493"/>
    <w:autoRedefine/>
    <w:qFormat/>
    <w:uiPriority w:val="0"/>
    <w:pPr>
      <w:outlineLvl w:val="2"/>
    </w:pPr>
    <w:rPr>
      <w:rFonts w:eastAsia="宋体"/>
    </w:rPr>
  </w:style>
  <w:style w:type="paragraph" w:customStyle="1" w:styleId="705">
    <w:name w:val="列出段落111"/>
    <w:basedOn w:val="1"/>
    <w:autoRedefine/>
    <w:qFormat/>
    <w:uiPriority w:val="0"/>
    <w:pPr>
      <w:ind w:firstLine="420" w:firstLineChars="200"/>
    </w:pPr>
  </w:style>
  <w:style w:type="paragraph" w:customStyle="1" w:styleId="70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707">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70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70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71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711">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712">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13">
    <w:name w:val="￥正文"/>
    <w:basedOn w:val="1"/>
    <w:autoRedefine/>
    <w:qFormat/>
    <w:uiPriority w:val="0"/>
    <w:pPr>
      <w:spacing w:line="360" w:lineRule="auto"/>
      <w:ind w:firstLine="200" w:firstLineChars="200"/>
    </w:pPr>
    <w:rPr>
      <w:rFonts w:ascii="宋体" w:hAnsi="宋体" w:eastAsia="仿宋" w:cs="Arial"/>
      <w:sz w:val="32"/>
      <w:szCs w:val="22"/>
    </w:rPr>
  </w:style>
  <w:style w:type="paragraph" w:customStyle="1" w:styleId="714">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5">
    <w:name w:val="MM Topic 5"/>
    <w:basedOn w:val="7"/>
    <w:autoRedefine/>
    <w:qFormat/>
    <w:uiPriority w:val="0"/>
    <w:pPr>
      <w:tabs>
        <w:tab w:val="left" w:pos="2520"/>
        <w:tab w:val="clear" w:pos="1008"/>
      </w:tabs>
      <w:adjustRightInd/>
      <w:ind w:left="2520" w:hanging="420"/>
    </w:pPr>
  </w:style>
  <w:style w:type="paragraph" w:customStyle="1" w:styleId="716">
    <w:name w:val="Char Char1121"/>
    <w:basedOn w:val="1"/>
    <w:autoRedefine/>
    <w:qFormat/>
    <w:uiPriority w:val="0"/>
    <w:pPr>
      <w:spacing w:line="360" w:lineRule="auto"/>
    </w:pPr>
    <w:rPr>
      <w:szCs w:val="20"/>
    </w:rPr>
  </w:style>
  <w:style w:type="paragraph" w:customStyle="1" w:styleId="717">
    <w:name w:val="样式3"/>
    <w:basedOn w:val="718"/>
    <w:autoRedefine/>
    <w:qFormat/>
    <w:uiPriority w:val="0"/>
    <w:pPr>
      <w:tabs>
        <w:tab w:val="left" w:pos="2790"/>
        <w:tab w:val="left" w:pos="4230"/>
      </w:tabs>
      <w:spacing w:before="312" w:beforeLines="100"/>
      <w:jc w:val="left"/>
    </w:pPr>
    <w:rPr>
      <w:rFonts w:ascii="Times New Roman" w:hAnsi="Times New Roman" w:eastAsia="宋体"/>
    </w:rPr>
  </w:style>
  <w:style w:type="paragraph" w:customStyle="1" w:styleId="71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19">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720">
    <w:name w:val="五级条标题"/>
    <w:basedOn w:val="721"/>
    <w:next w:val="592"/>
    <w:autoRedefine/>
    <w:qFormat/>
    <w:uiPriority w:val="0"/>
    <w:pPr>
      <w:tabs>
        <w:tab w:val="left" w:pos="1260"/>
        <w:tab w:val="left" w:pos="1680"/>
        <w:tab w:val="left" w:pos="2940"/>
        <w:tab w:val="left" w:pos="3360"/>
      </w:tabs>
      <w:ind w:left="3360"/>
      <w:outlineLvl w:val="6"/>
    </w:pPr>
  </w:style>
  <w:style w:type="paragraph" w:customStyle="1" w:styleId="721">
    <w:name w:val="四级条标题"/>
    <w:basedOn w:val="645"/>
    <w:next w:val="592"/>
    <w:autoRedefine/>
    <w:qFormat/>
    <w:uiPriority w:val="0"/>
    <w:pPr>
      <w:tabs>
        <w:tab w:val="left" w:pos="2940"/>
        <w:tab w:val="clear" w:pos="2520"/>
      </w:tabs>
      <w:ind w:left="2940"/>
      <w:outlineLvl w:val="5"/>
    </w:pPr>
  </w:style>
  <w:style w:type="paragraph" w:customStyle="1" w:styleId="722">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72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72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725">
    <w:name w:val="Char Char Char 字元 字元"/>
    <w:basedOn w:val="1"/>
    <w:autoRedefine/>
    <w:qFormat/>
    <w:uiPriority w:val="0"/>
    <w:pPr>
      <w:adjustRightInd/>
      <w:spacing w:line="360" w:lineRule="auto"/>
      <w:ind w:firstLine="200" w:firstLineChars="200"/>
    </w:pPr>
    <w:rPr>
      <w:szCs w:val="20"/>
    </w:rPr>
  </w:style>
  <w:style w:type="paragraph" w:customStyle="1" w:styleId="726">
    <w:name w:val="样式 标题 4PIM 4H4h4bulletblbbH41H42H43H44H45H46H47H48...1"/>
    <w:basedOn w:val="6"/>
    <w:autoRedefine/>
    <w:qFormat/>
    <w:uiPriority w:val="0"/>
    <w:pPr>
      <w:widowControl/>
      <w:jc w:val="left"/>
    </w:pPr>
    <w:rPr>
      <w:rFonts w:ascii="Times New Roman" w:hAnsi="Times New Roman" w:eastAsia="宋体" w:cs="宋体"/>
      <w:sz w:val="24"/>
      <w:szCs w:val="20"/>
    </w:rPr>
  </w:style>
  <w:style w:type="paragraph" w:customStyle="1" w:styleId="72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7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7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73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73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32">
    <w:name w:val="Char Char Char"/>
    <w:basedOn w:val="1"/>
    <w:autoRedefine/>
    <w:qFormat/>
    <w:uiPriority w:val="0"/>
    <w:rPr>
      <w:rFonts w:ascii="Tahoma" w:hAnsi="Tahoma"/>
      <w:sz w:val="24"/>
      <w:szCs w:val="20"/>
    </w:rPr>
  </w:style>
  <w:style w:type="paragraph" w:customStyle="1" w:styleId="733">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34">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35">
    <w:name w:val="注释"/>
    <w:basedOn w:val="1"/>
    <w:autoRedefine/>
    <w:qFormat/>
    <w:uiPriority w:val="0"/>
    <w:pPr>
      <w:adjustRightInd/>
      <w:spacing w:line="360" w:lineRule="auto"/>
      <w:ind w:firstLine="480"/>
    </w:pPr>
    <w:rPr>
      <w:sz w:val="24"/>
    </w:rPr>
  </w:style>
  <w:style w:type="paragraph" w:customStyle="1" w:styleId="736">
    <w:name w:val="Char Char Char Char Char Char Char Char Char Char1"/>
    <w:basedOn w:val="1"/>
    <w:autoRedefine/>
    <w:qFormat/>
    <w:uiPriority w:val="0"/>
    <w:rPr>
      <w:rFonts w:ascii="仿宋_GB2312" w:eastAsia="仿宋_GB2312"/>
      <w:b/>
      <w:sz w:val="32"/>
      <w:szCs w:val="32"/>
    </w:rPr>
  </w:style>
  <w:style w:type="paragraph" w:customStyle="1" w:styleId="73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8">
    <w:name w:val="0"/>
    <w:basedOn w:val="1"/>
    <w:autoRedefine/>
    <w:qFormat/>
    <w:uiPriority w:val="0"/>
    <w:pPr>
      <w:widowControl/>
    </w:pPr>
    <w:rPr>
      <w:kern w:val="0"/>
      <w:sz w:val="24"/>
      <w:szCs w:val="20"/>
    </w:rPr>
  </w:style>
  <w:style w:type="paragraph" w:customStyle="1" w:styleId="73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74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4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42">
    <w:name w:val="Char Char1 Char Char Char1"/>
    <w:basedOn w:val="1"/>
    <w:autoRedefine/>
    <w:qFormat/>
    <w:uiPriority w:val="0"/>
    <w:rPr>
      <w:rFonts w:ascii="仿宋_GB2312" w:eastAsia="仿宋_GB2312"/>
      <w:b/>
      <w:sz w:val="32"/>
      <w:szCs w:val="20"/>
    </w:rPr>
  </w:style>
  <w:style w:type="paragraph" w:customStyle="1" w:styleId="74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744">
    <w:name w:val="正文缩进1"/>
    <w:basedOn w:val="159"/>
    <w:next w:val="74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45">
    <w:name w:val="正文文本首行缩进 21"/>
    <w:basedOn w:val="744"/>
    <w:qFormat/>
    <w:uiPriority w:val="99"/>
    <w:pPr>
      <w:spacing w:line="200" w:lineRule="atLeast"/>
      <w:ind w:firstLine="420"/>
    </w:pPr>
    <w:rPr>
      <w:rFonts w:ascii="宋体"/>
      <w:spacing w:val="-4"/>
      <w:sz w:val="18"/>
    </w:rPr>
  </w:style>
  <w:style w:type="paragraph" w:customStyle="1" w:styleId="746">
    <w:name w:val="_Style 27"/>
    <w:autoRedefine/>
    <w:qFormat/>
    <w:uiPriority w:val="0"/>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747">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7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749">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50">
    <w:name w:val="Char Char11 Char Char Char"/>
    <w:basedOn w:val="1"/>
    <w:autoRedefine/>
    <w:qFormat/>
    <w:uiPriority w:val="0"/>
    <w:pPr>
      <w:spacing w:line="360" w:lineRule="auto"/>
    </w:pPr>
    <w:rPr>
      <w:szCs w:val="20"/>
    </w:rPr>
  </w:style>
  <w:style w:type="paragraph" w:customStyle="1" w:styleId="75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5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5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56">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5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75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59">
    <w:name w:val="Bulleted List"/>
    <w:basedOn w:val="1"/>
    <w:autoRedefine/>
    <w:qFormat/>
    <w:uiPriority w:val="0"/>
    <w:pPr>
      <w:tabs>
        <w:tab w:val="left" w:pos="1260"/>
      </w:tabs>
      <w:adjustRightInd/>
      <w:ind w:left="1260" w:hanging="420"/>
    </w:pPr>
  </w:style>
  <w:style w:type="paragraph" w:customStyle="1" w:styleId="760">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761">
    <w:name w:val="标准小四"/>
    <w:basedOn w:val="1"/>
    <w:autoRedefine/>
    <w:qFormat/>
    <w:uiPriority w:val="0"/>
    <w:pPr>
      <w:spacing w:line="360" w:lineRule="auto"/>
      <w:ind w:firstLine="480" w:firstLineChars="200"/>
    </w:pPr>
    <w:rPr>
      <w:rFonts w:ascii="Arial" w:hAnsi="Arial"/>
      <w:sz w:val="24"/>
      <w:szCs w:val="21"/>
    </w:rPr>
  </w:style>
  <w:style w:type="paragraph" w:customStyle="1" w:styleId="762">
    <w:name w:val="_Style 5"/>
    <w:basedOn w:val="1"/>
    <w:autoRedefine/>
    <w:qFormat/>
    <w:uiPriority w:val="0"/>
    <w:pPr>
      <w:adjustRightInd/>
      <w:ind w:firstLine="420" w:firstLineChars="200"/>
    </w:pPr>
    <w:rPr>
      <w:rFonts w:eastAsia="仿宋_GB2312"/>
      <w:sz w:val="28"/>
    </w:rPr>
  </w:style>
  <w:style w:type="paragraph" w:customStyle="1" w:styleId="763">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764">
    <w:name w:val="Char Char Char Char Char Char Char Char2"/>
    <w:basedOn w:val="1"/>
    <w:autoRedefine/>
    <w:qFormat/>
    <w:uiPriority w:val="0"/>
    <w:pPr>
      <w:tabs>
        <w:tab w:val="left" w:pos="360"/>
      </w:tabs>
    </w:pPr>
    <w:rPr>
      <w:sz w:val="24"/>
      <w:szCs w:val="20"/>
    </w:rPr>
  </w:style>
  <w:style w:type="paragraph" w:customStyle="1" w:styleId="76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766">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6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768">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69">
    <w:name w:val="默认段落样式"/>
    <w:basedOn w:val="156"/>
    <w:autoRedefine/>
    <w:qFormat/>
    <w:uiPriority w:val="0"/>
    <w:pPr>
      <w:spacing w:before="0"/>
      <w:ind w:firstLine="480"/>
      <w:outlineLvl w:val="2"/>
    </w:pPr>
    <w:rPr>
      <w:rFonts w:ascii="仿宋_GB2312" w:hAnsi="宋体" w:eastAsia="仿宋_GB2312"/>
      <w:color w:val="000000"/>
      <w:szCs w:val="24"/>
    </w:rPr>
  </w:style>
  <w:style w:type="paragraph" w:customStyle="1" w:styleId="770">
    <w:name w:val="body text bold"/>
    <w:basedOn w:val="23"/>
    <w:autoRedefine/>
    <w:qFormat/>
    <w:uiPriority w:val="0"/>
    <w:pPr>
      <w:widowControl/>
      <w:autoSpaceDE/>
      <w:autoSpaceDN/>
      <w:adjustRightInd/>
      <w:spacing w:line="240" w:lineRule="auto"/>
      <w:ind w:firstLine="200" w:firstLineChars="200"/>
      <w:jc w:val="left"/>
    </w:pPr>
    <w:rPr>
      <w:rFonts w:ascii="Futura Hv" w:hAnsi="Futura Hv" w:cs="Times New Roman"/>
      <w:kern w:val="0"/>
      <w:sz w:val="18"/>
      <w:szCs w:val="20"/>
      <w:lang w:val="en-US" w:eastAsia="en-US"/>
    </w:rPr>
  </w:style>
  <w:style w:type="paragraph" w:customStyle="1" w:styleId="771">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72">
    <w:name w:val="数字标题6"/>
    <w:basedOn w:val="8"/>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77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74">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775">
    <w:name w:val="MM Topic 4"/>
    <w:basedOn w:val="6"/>
    <w:autoRedefine/>
    <w:qFormat/>
    <w:uiPriority w:val="0"/>
    <w:pPr>
      <w:tabs>
        <w:tab w:val="left" w:pos="2100"/>
        <w:tab w:val="clear" w:pos="864"/>
      </w:tabs>
      <w:adjustRightInd/>
      <w:ind w:left="2100" w:hanging="420"/>
    </w:pPr>
    <w:rPr>
      <w:rFonts w:ascii="Times New Roman" w:hAnsi="Times New Roman" w:eastAsia="宋体"/>
      <w:lang w:val="en-US"/>
    </w:rPr>
  </w:style>
  <w:style w:type="paragraph" w:customStyle="1" w:styleId="776">
    <w:name w:val="Char Char Char Char Char Char Char Char Char Char Char Char1 Char"/>
    <w:basedOn w:val="1"/>
    <w:autoRedefine/>
    <w:qFormat/>
    <w:uiPriority w:val="0"/>
    <w:rPr>
      <w:rFonts w:ascii="Tahoma" w:hAnsi="Tahoma" w:cs="仿宋_GB2312"/>
      <w:sz w:val="24"/>
      <w:szCs w:val="20"/>
    </w:rPr>
  </w:style>
  <w:style w:type="paragraph" w:customStyle="1" w:styleId="777">
    <w:name w:val="WW-正文文字缩进 2"/>
    <w:basedOn w:val="1"/>
    <w:autoRedefine/>
    <w:qFormat/>
    <w:uiPriority w:val="0"/>
    <w:pPr>
      <w:suppressAutoHyphens/>
      <w:adjustRightInd/>
      <w:ind w:firstLine="420"/>
    </w:pPr>
    <w:rPr>
      <w:kern w:val="1"/>
      <w:szCs w:val="20"/>
    </w:rPr>
  </w:style>
  <w:style w:type="paragraph" w:customStyle="1" w:styleId="778">
    <w:name w:val="文章标题"/>
    <w:next w:val="77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77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780">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4"/>
    <w:basedOn w:val="1"/>
    <w:next w:val="39"/>
    <w:autoRedefine/>
    <w:qFormat/>
    <w:uiPriority w:val="0"/>
    <w:pPr>
      <w:spacing w:after="120" w:line="480" w:lineRule="auto"/>
      <w:ind w:left="420" w:leftChars="200"/>
    </w:pPr>
    <w:rPr>
      <w:sz w:val="24"/>
      <w:szCs w:val="20"/>
    </w:rPr>
  </w:style>
  <w:style w:type="paragraph" w:customStyle="1" w:styleId="78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78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85">
    <w:name w:val="bullet"/>
    <w:basedOn w:val="1"/>
    <w:autoRedefine/>
    <w:qFormat/>
    <w:uiPriority w:val="0"/>
    <w:pPr>
      <w:tabs>
        <w:tab w:val="left" w:pos="840"/>
      </w:tabs>
      <w:adjustRightInd/>
      <w:ind w:left="840" w:hanging="420"/>
    </w:pPr>
  </w:style>
  <w:style w:type="paragraph" w:customStyle="1" w:styleId="786">
    <w:name w:val="Char23"/>
    <w:basedOn w:val="1"/>
    <w:autoRedefine/>
    <w:qFormat/>
    <w:uiPriority w:val="0"/>
    <w:rPr>
      <w:rFonts w:ascii="仿宋_GB2312" w:eastAsia="仿宋_GB2312"/>
      <w:b/>
      <w:sz w:val="32"/>
      <w:szCs w:val="32"/>
    </w:rPr>
  </w:style>
  <w:style w:type="paragraph" w:customStyle="1" w:styleId="78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78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89">
    <w:name w:val="样式1 + (中宋体"/>
    <w:basedOn w:val="69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rFonts w:ascii="Times New Roman" w:hAnsi="Times New Roman"/>
      <w:kern w:val="2"/>
      <w:szCs w:val="24"/>
    </w:rPr>
  </w:style>
  <w:style w:type="paragraph" w:customStyle="1" w:styleId="790">
    <w:name w:val="左对齐表格文字"/>
    <w:basedOn w:val="1"/>
    <w:autoRedefine/>
    <w:qFormat/>
    <w:uiPriority w:val="0"/>
    <w:pPr>
      <w:adjustRightInd/>
      <w:ind w:firstLine="200" w:firstLineChars="200"/>
      <w:jc w:val="right"/>
    </w:pPr>
  </w:style>
  <w:style w:type="paragraph" w:customStyle="1" w:styleId="791">
    <w:name w:val="Char2 Char Char Char2"/>
    <w:basedOn w:val="1"/>
    <w:autoRedefine/>
    <w:qFormat/>
    <w:uiPriority w:val="0"/>
    <w:rPr>
      <w:rFonts w:ascii="仿宋_GB2312" w:eastAsia="仿宋_GB2312"/>
      <w:b/>
      <w:sz w:val="32"/>
      <w:szCs w:val="32"/>
    </w:rPr>
  </w:style>
  <w:style w:type="paragraph" w:customStyle="1" w:styleId="79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9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794">
    <w:name w:val="有符号正文"/>
    <w:basedOn w:val="1"/>
    <w:autoRedefine/>
    <w:qFormat/>
    <w:uiPriority w:val="0"/>
    <w:pPr>
      <w:adjustRightInd/>
      <w:spacing w:line="400" w:lineRule="exact"/>
      <w:ind w:firstLine="200" w:firstLineChars="200"/>
    </w:pPr>
    <w:rPr>
      <w:rFonts w:ascii="Arial" w:hAnsi="Arial"/>
    </w:rPr>
  </w:style>
  <w:style w:type="paragraph" w:customStyle="1" w:styleId="795">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796">
    <w:name w:val="Char Char1101"/>
    <w:basedOn w:val="1"/>
    <w:autoRedefine/>
    <w:qFormat/>
    <w:uiPriority w:val="0"/>
    <w:pPr>
      <w:spacing w:line="360" w:lineRule="auto"/>
    </w:pPr>
    <w:rPr>
      <w:rFonts w:ascii="Tahoma" w:hAnsi="Tahoma"/>
      <w:sz w:val="24"/>
      <w:szCs w:val="20"/>
    </w:rPr>
  </w:style>
  <w:style w:type="paragraph" w:customStyle="1" w:styleId="797">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798">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799">
    <w:name w:val="列出段落5"/>
    <w:basedOn w:val="1"/>
    <w:autoRedefine/>
    <w:qFormat/>
    <w:uiPriority w:val="0"/>
    <w:pPr>
      <w:spacing w:line="360" w:lineRule="auto"/>
      <w:ind w:firstLine="200" w:firstLineChars="200"/>
    </w:pPr>
    <w:rPr>
      <w:rFonts w:eastAsia="楷体_GB2312" w:cs="Lucida Sans"/>
      <w:sz w:val="24"/>
    </w:rPr>
  </w:style>
  <w:style w:type="paragraph" w:customStyle="1" w:styleId="800">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801">
    <w:name w:val="Char Char Char Char Char Char Char Char Char Char Char Char1 Char2"/>
    <w:basedOn w:val="1"/>
    <w:autoRedefine/>
    <w:qFormat/>
    <w:uiPriority w:val="0"/>
    <w:rPr>
      <w:rFonts w:ascii="Tahoma" w:hAnsi="Tahoma" w:cs="仿宋_GB2312"/>
      <w:sz w:val="24"/>
      <w:szCs w:val="20"/>
    </w:rPr>
  </w:style>
  <w:style w:type="paragraph" w:customStyle="1" w:styleId="80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0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804">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05">
    <w:name w:val="文档正文"/>
    <w:basedOn w:val="1"/>
    <w:autoRedefine/>
    <w:qFormat/>
    <w:uiPriority w:val="0"/>
    <w:pPr>
      <w:spacing w:line="480" w:lineRule="atLeast"/>
      <w:ind w:firstLine="567"/>
      <w:textAlignment w:val="baseline"/>
    </w:pPr>
    <w:rPr>
      <w:kern w:val="0"/>
      <w:sz w:val="24"/>
      <w:szCs w:val="20"/>
    </w:rPr>
  </w:style>
  <w:style w:type="paragraph" w:customStyle="1" w:styleId="80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807">
    <w:name w:val="Char3 Char Char Char11"/>
    <w:basedOn w:val="1"/>
    <w:autoRedefine/>
    <w:qFormat/>
    <w:uiPriority w:val="0"/>
    <w:pPr>
      <w:widowControl/>
      <w:adjustRightInd/>
      <w:spacing w:after="160" w:line="240" w:lineRule="exact"/>
      <w:jc w:val="left"/>
    </w:pPr>
    <w:rPr>
      <w:szCs w:val="20"/>
    </w:rPr>
  </w:style>
  <w:style w:type="paragraph" w:customStyle="1" w:styleId="808">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809">
    <w:name w:val="样式6"/>
    <w:basedOn w:val="35"/>
    <w:autoRedefine/>
    <w:qFormat/>
    <w:uiPriority w:val="0"/>
    <w:pPr>
      <w:spacing w:line="460" w:lineRule="exact"/>
      <w:outlineLvl w:val="2"/>
    </w:pPr>
    <w:rPr>
      <w:rFonts w:ascii="仿宋_GB2312" w:hAnsi="宋体" w:eastAsia="仿宋_GB2312" w:cs="Times New Roman"/>
      <w:b/>
      <w:bCs/>
      <w:sz w:val="24"/>
      <w:szCs w:val="24"/>
    </w:rPr>
  </w:style>
  <w:style w:type="paragraph" w:customStyle="1" w:styleId="81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11">
    <w:name w:val="修订3"/>
    <w:autoRedefine/>
    <w:qFormat/>
    <w:uiPriority w:val="0"/>
    <w:rPr>
      <w:rFonts w:ascii="Times New Roman" w:hAnsi="Times New Roman" w:eastAsia="宋体" w:cs="Times New Roman"/>
      <w:kern w:val="2"/>
      <w:sz w:val="21"/>
      <w:lang w:val="en-US" w:eastAsia="zh-CN" w:bidi="ar-SA"/>
    </w:rPr>
  </w:style>
  <w:style w:type="paragraph" w:customStyle="1" w:styleId="8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13">
    <w:name w:val="默认段落字体 Para Char Char Char1 Char"/>
    <w:basedOn w:val="1"/>
    <w:autoRedefine/>
    <w:qFormat/>
    <w:uiPriority w:val="0"/>
    <w:pPr>
      <w:spacing w:line="240" w:lineRule="atLeast"/>
      <w:ind w:left="420" w:firstLine="420"/>
    </w:pPr>
    <w:rPr>
      <w:sz w:val="24"/>
    </w:rPr>
  </w:style>
  <w:style w:type="paragraph" w:customStyle="1" w:styleId="81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15">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81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81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81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1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20">
    <w:name w:val="Char Char Char Char Char Char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822">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823">
    <w:name w:val="Char Char Char Char Char Char Char Char1"/>
    <w:basedOn w:val="1"/>
    <w:autoRedefine/>
    <w:qFormat/>
    <w:uiPriority w:val="0"/>
    <w:pPr>
      <w:tabs>
        <w:tab w:val="left" w:pos="360"/>
      </w:tabs>
    </w:pPr>
    <w:rPr>
      <w:sz w:val="24"/>
      <w:szCs w:val="20"/>
    </w:rPr>
  </w:style>
  <w:style w:type="paragraph" w:customStyle="1" w:styleId="824">
    <w:name w:val="列出段落2"/>
    <w:basedOn w:val="1"/>
    <w:autoRedefine/>
    <w:qFormat/>
    <w:uiPriority w:val="0"/>
    <w:pPr>
      <w:adjustRightInd/>
      <w:ind w:firstLine="420" w:firstLineChars="200"/>
    </w:pPr>
    <w:rPr>
      <w:rFonts w:ascii="宋体" w:hAnsi="宋体"/>
      <w:sz w:val="24"/>
    </w:rPr>
  </w:style>
  <w:style w:type="paragraph" w:customStyle="1" w:styleId="825">
    <w:name w:val="标题 41"/>
    <w:basedOn w:val="1"/>
    <w:next w:val="1"/>
    <w:autoRedefine/>
    <w:qFormat/>
    <w:uiPriority w:val="0"/>
    <w:pPr>
      <w:keepNext/>
      <w:keepLines/>
      <w:adjustRightInd/>
      <w:spacing w:before="280" w:after="290" w:line="376" w:lineRule="auto"/>
      <w:outlineLvl w:val="3"/>
    </w:pPr>
    <w:rPr>
      <w:rFonts w:ascii="Cambria" w:hAnsi="Cambria"/>
      <w:b/>
      <w:bCs/>
      <w:sz w:val="28"/>
      <w:szCs w:val="28"/>
    </w:rPr>
  </w:style>
  <w:style w:type="paragraph" w:customStyle="1" w:styleId="826">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82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828">
    <w:name w:val="表1"/>
    <w:basedOn w:val="1"/>
    <w:autoRedefine/>
    <w:qFormat/>
    <w:uiPriority w:val="0"/>
    <w:pPr>
      <w:tabs>
        <w:tab w:val="left" w:pos="703"/>
      </w:tabs>
      <w:adjustRightInd/>
      <w:spacing w:line="360" w:lineRule="auto"/>
      <w:ind w:left="703"/>
      <w:jc w:val="center"/>
    </w:pPr>
  </w:style>
  <w:style w:type="paragraph" w:customStyle="1" w:styleId="829">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30">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831">
    <w:name w:val="Normal0"/>
    <w:autoRedefine/>
    <w:qFormat/>
    <w:uiPriority w:val="0"/>
    <w:rPr>
      <w:rFonts w:ascii="Times New Roman" w:hAnsi="Times New Roman" w:eastAsia="宋体" w:cs="Times New Roman"/>
      <w:lang w:val="en-US" w:eastAsia="en-US" w:bidi="ar-SA"/>
    </w:rPr>
  </w:style>
  <w:style w:type="paragraph" w:customStyle="1" w:styleId="832">
    <w:name w:val="Char2 Char Char Char1"/>
    <w:basedOn w:val="1"/>
    <w:autoRedefine/>
    <w:qFormat/>
    <w:uiPriority w:val="0"/>
    <w:rPr>
      <w:rFonts w:ascii="仿宋_GB2312" w:eastAsia="仿宋_GB2312"/>
      <w:b/>
      <w:sz w:val="32"/>
      <w:szCs w:val="32"/>
    </w:rPr>
  </w:style>
  <w:style w:type="paragraph" w:customStyle="1" w:styleId="833">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34">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835">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83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83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838">
    <w:name w:val="正文 内标 序号标"/>
    <w:basedOn w:val="562"/>
    <w:autoRedefine/>
    <w:qFormat/>
    <w:uiPriority w:val="0"/>
    <w:pPr>
      <w:tabs>
        <w:tab w:val="left" w:pos="0"/>
      </w:tabs>
      <w:adjustRightInd/>
      <w:spacing w:before="0"/>
      <w:ind w:firstLine="482"/>
    </w:pPr>
    <w:rPr>
      <w:rFonts w:ascii="微软雅黑" w:hAnsi="微软雅黑"/>
      <w:sz w:val="24"/>
      <w:szCs w:val="24"/>
    </w:rPr>
  </w:style>
  <w:style w:type="paragraph" w:customStyle="1" w:styleId="839">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840">
    <w:name w:val="6级标题"/>
    <w:basedOn w:val="695"/>
    <w:autoRedefine/>
    <w:qFormat/>
    <w:uiPriority w:val="0"/>
    <w:pPr>
      <w:keepNext/>
      <w:spacing w:before="0" w:after="0"/>
      <w:outlineLvl w:val="5"/>
    </w:pPr>
    <w:rPr>
      <w:rFonts w:eastAsia="宋体"/>
    </w:rPr>
  </w:style>
  <w:style w:type="paragraph" w:customStyle="1" w:styleId="841">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842">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43">
    <w:name w:val="Char2 Char Char2"/>
    <w:basedOn w:val="1"/>
    <w:autoRedefine/>
    <w:qFormat/>
    <w:uiPriority w:val="0"/>
    <w:pPr>
      <w:adjustRightInd/>
    </w:pPr>
    <w:rPr>
      <w:rFonts w:ascii="Tahoma" w:hAnsi="Tahoma"/>
      <w:sz w:val="24"/>
      <w:szCs w:val="20"/>
    </w:rPr>
  </w:style>
  <w:style w:type="paragraph" w:customStyle="1" w:styleId="84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84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846">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4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4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849">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850">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51">
    <w:name w:val="Char Char112"/>
    <w:basedOn w:val="1"/>
    <w:autoRedefine/>
    <w:qFormat/>
    <w:uiPriority w:val="0"/>
    <w:pPr>
      <w:widowControl/>
      <w:spacing w:after="160" w:line="240" w:lineRule="exact"/>
      <w:jc w:val="left"/>
    </w:pPr>
    <w:rPr>
      <w:rFonts w:eastAsia="仿宋_GB2312"/>
      <w:sz w:val="28"/>
    </w:rPr>
  </w:style>
  <w:style w:type="paragraph" w:customStyle="1" w:styleId="852">
    <w:name w:val="Char3 Char Char Char"/>
    <w:basedOn w:val="1"/>
    <w:autoRedefine/>
    <w:qFormat/>
    <w:uiPriority w:val="0"/>
    <w:pPr>
      <w:widowControl/>
      <w:adjustRightInd/>
      <w:spacing w:after="160" w:line="240" w:lineRule="exact"/>
      <w:jc w:val="left"/>
    </w:pPr>
    <w:rPr>
      <w:szCs w:val="20"/>
    </w:rPr>
  </w:style>
  <w:style w:type="paragraph" w:customStyle="1" w:styleId="853">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54">
    <w:name w:val="Char19"/>
    <w:basedOn w:val="1"/>
    <w:autoRedefine/>
    <w:qFormat/>
    <w:uiPriority w:val="0"/>
    <w:pPr>
      <w:adjustRightInd/>
    </w:pPr>
    <w:rPr>
      <w:szCs w:val="20"/>
    </w:rPr>
  </w:style>
  <w:style w:type="paragraph" w:customStyle="1" w:styleId="855">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56">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85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858">
    <w:name w:val="Char1"/>
    <w:basedOn w:val="1"/>
    <w:autoRedefine/>
    <w:qFormat/>
    <w:uiPriority w:val="0"/>
    <w:rPr>
      <w:rFonts w:ascii="仿宋_GB2312" w:eastAsia="仿宋_GB2312"/>
      <w:b/>
      <w:sz w:val="32"/>
      <w:szCs w:val="32"/>
    </w:rPr>
  </w:style>
  <w:style w:type="paragraph" w:customStyle="1" w:styleId="859">
    <w:name w:val="批注框文本 Char Char"/>
    <w:basedOn w:val="1"/>
    <w:autoRedefine/>
    <w:qFormat/>
    <w:uiPriority w:val="0"/>
    <w:pPr>
      <w:adjustRightInd/>
    </w:pPr>
    <w:rPr>
      <w:sz w:val="18"/>
      <w:szCs w:val="20"/>
    </w:rPr>
  </w:style>
  <w:style w:type="paragraph" w:customStyle="1" w:styleId="86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862">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86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864">
    <w:name w:val="样式 列表编号 + 段后: 0.5 行"/>
    <w:basedOn w:val="15"/>
    <w:autoRedefine/>
    <w:qFormat/>
    <w:uiPriority w:val="0"/>
    <w:pPr>
      <w:tabs>
        <w:tab w:val="clear" w:pos="390"/>
        <w:tab w:val="clear" w:pos="454"/>
      </w:tabs>
      <w:spacing w:after="0"/>
      <w:ind w:left="840" w:hanging="420"/>
      <w:contextualSpacing/>
    </w:pPr>
    <w:rPr>
      <w:rFonts w:cs="宋体"/>
    </w:rPr>
  </w:style>
  <w:style w:type="paragraph" w:customStyle="1" w:styleId="865">
    <w:name w:val="默认段落字体 Para Char Char Char Char Char Char Char"/>
    <w:basedOn w:val="1"/>
    <w:autoRedefine/>
    <w:qFormat/>
    <w:uiPriority w:val="0"/>
    <w:rPr>
      <w:rFonts w:eastAsia="仿宋_GB2312"/>
      <w:sz w:val="28"/>
      <w:szCs w:val="20"/>
    </w:rPr>
  </w:style>
  <w:style w:type="paragraph" w:customStyle="1" w:styleId="866">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867">
    <w:name w:val="MM Topic 3"/>
    <w:basedOn w:val="4"/>
    <w:autoRedefine/>
    <w:qFormat/>
    <w:uiPriority w:val="0"/>
    <w:pPr>
      <w:tabs>
        <w:tab w:val="left" w:pos="1680"/>
        <w:tab w:val="clear" w:pos="900"/>
      </w:tabs>
      <w:adjustRightInd/>
      <w:ind w:left="1680" w:hanging="420"/>
    </w:pPr>
  </w:style>
  <w:style w:type="paragraph" w:customStyle="1" w:styleId="8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9">
    <w:name w:val="图中文字"/>
    <w:basedOn w:val="1"/>
    <w:autoRedefine/>
    <w:qFormat/>
    <w:uiPriority w:val="0"/>
    <w:pPr>
      <w:snapToGrid w:val="0"/>
      <w:spacing w:line="0" w:lineRule="atLeast"/>
      <w:ind w:firstLine="200" w:firstLineChars="200"/>
      <w:jc w:val="center"/>
    </w:pPr>
    <w:rPr>
      <w:sz w:val="24"/>
      <w:szCs w:val="20"/>
    </w:rPr>
  </w:style>
  <w:style w:type="paragraph" w:customStyle="1" w:styleId="870">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87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872">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73">
    <w:name w:val="TOC 标题1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74">
    <w:name w:val="首行缩进"/>
    <w:basedOn w:val="1"/>
    <w:autoRedefine/>
    <w:qFormat/>
    <w:uiPriority w:val="0"/>
    <w:pPr>
      <w:spacing w:line="360" w:lineRule="auto"/>
      <w:ind w:firstLine="480" w:firstLineChars="200"/>
    </w:pPr>
    <w:rPr>
      <w:rFonts w:ascii="宋体"/>
      <w:sz w:val="24"/>
      <w:szCs w:val="20"/>
    </w:rPr>
  </w:style>
  <w:style w:type="paragraph" w:customStyle="1" w:styleId="875">
    <w:name w:val="Char Char1 Char Char1 Char Char1"/>
    <w:basedOn w:val="1"/>
    <w:autoRedefine/>
    <w:qFormat/>
    <w:uiPriority w:val="0"/>
    <w:pPr>
      <w:tabs>
        <w:tab w:val="left" w:pos="840"/>
      </w:tabs>
      <w:ind w:left="840" w:hanging="420"/>
    </w:pPr>
    <w:rPr>
      <w:rFonts w:ascii="Tahoma" w:hAnsi="Tahoma"/>
      <w:sz w:val="24"/>
    </w:rPr>
  </w:style>
  <w:style w:type="paragraph" w:customStyle="1" w:styleId="876">
    <w:name w:val="TOC 标题11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7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878">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87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88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881">
    <w:name w:val="_Style 94"/>
    <w:basedOn w:val="1"/>
    <w:next w:val="361"/>
    <w:autoRedefine/>
    <w:qFormat/>
    <w:uiPriority w:val="0"/>
    <w:pPr>
      <w:adjustRightInd/>
      <w:spacing w:line="360" w:lineRule="auto"/>
      <w:ind w:firstLine="200" w:firstLineChars="200"/>
    </w:pPr>
    <w:rPr>
      <w:rFonts w:ascii="Calibri" w:hAnsi="Calibri"/>
      <w:sz w:val="28"/>
      <w:szCs w:val="20"/>
    </w:rPr>
  </w:style>
  <w:style w:type="paragraph" w:customStyle="1" w:styleId="882">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883">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84">
    <w:name w:val="修订2"/>
    <w:autoRedefine/>
    <w:qFormat/>
    <w:uiPriority w:val="0"/>
    <w:rPr>
      <w:rFonts w:ascii="Times New Roman" w:hAnsi="Times New Roman" w:eastAsia="宋体" w:cs="Times New Roman"/>
      <w:kern w:val="2"/>
      <w:sz w:val="21"/>
      <w:lang w:val="en-US" w:eastAsia="zh-CN" w:bidi="ar-SA"/>
    </w:rPr>
  </w:style>
  <w:style w:type="paragraph" w:customStyle="1" w:styleId="885">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6">
    <w:name w:val="Char1 Char Char Char2"/>
    <w:basedOn w:val="1"/>
    <w:autoRedefine/>
    <w:qFormat/>
    <w:uiPriority w:val="0"/>
    <w:pPr>
      <w:adjustRightInd/>
      <w:ind w:firstLine="200" w:firstLineChars="200"/>
    </w:pPr>
    <w:rPr>
      <w:rFonts w:ascii="Tahoma" w:hAnsi="Tahoma"/>
      <w:sz w:val="24"/>
      <w:szCs w:val="20"/>
    </w:rPr>
  </w:style>
  <w:style w:type="paragraph" w:customStyle="1" w:styleId="887">
    <w:name w:val="标题五"/>
    <w:basedOn w:val="1"/>
    <w:autoRedefine/>
    <w:qFormat/>
    <w:uiPriority w:val="0"/>
    <w:pPr>
      <w:adjustRightInd/>
      <w:spacing w:before="156" w:beforeLines="50" w:line="360" w:lineRule="auto"/>
    </w:pPr>
    <w:rPr>
      <w:b/>
      <w:sz w:val="24"/>
    </w:rPr>
  </w:style>
  <w:style w:type="paragraph" w:customStyle="1" w:styleId="888">
    <w:name w:val="五级无标题条"/>
    <w:basedOn w:val="1"/>
    <w:autoRedefine/>
    <w:qFormat/>
    <w:uiPriority w:val="0"/>
    <w:pPr>
      <w:adjustRightInd/>
    </w:pPr>
  </w:style>
  <w:style w:type="paragraph" w:customStyle="1" w:styleId="889">
    <w:name w:val="默认段落字体 Para Char"/>
    <w:basedOn w:val="1"/>
    <w:autoRedefine/>
    <w:qFormat/>
    <w:uiPriority w:val="0"/>
    <w:rPr>
      <w:rFonts w:ascii="Tahoma" w:hAnsi="Tahoma"/>
      <w:sz w:val="24"/>
      <w:szCs w:val="20"/>
    </w:rPr>
  </w:style>
  <w:style w:type="paragraph" w:customStyle="1" w:styleId="890">
    <w:name w:val="列表内容"/>
    <w:basedOn w:val="1"/>
    <w:next w:val="1"/>
    <w:autoRedefine/>
    <w:qFormat/>
    <w:uiPriority w:val="0"/>
    <w:pPr>
      <w:widowControl/>
      <w:tabs>
        <w:tab w:val="left" w:pos="840"/>
      </w:tabs>
      <w:ind w:left="840" w:hanging="420"/>
      <w:jc w:val="left"/>
    </w:pPr>
    <w:rPr>
      <w:kern w:val="0"/>
      <w:sz w:val="18"/>
    </w:rPr>
  </w:style>
  <w:style w:type="paragraph" w:customStyle="1" w:styleId="891">
    <w:name w:val="标书标题2"/>
    <w:basedOn w:val="2"/>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eastAsia="宋体"/>
      <w:snapToGrid w:val="0"/>
      <w:kern w:val="0"/>
      <w:szCs w:val="20"/>
      <w:lang w:val="en-US"/>
    </w:rPr>
  </w:style>
  <w:style w:type="paragraph" w:customStyle="1" w:styleId="892">
    <w:name w:val="样式 样式2 + 左侧:  1 字符 右侧:  1 字符"/>
    <w:basedOn w:val="71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89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9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895">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896">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97">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898">
    <w:name w:val="标题3"/>
    <w:basedOn w:val="4"/>
    <w:next w:val="55"/>
    <w:autoRedefine/>
    <w:qFormat/>
    <w:uiPriority w:val="0"/>
    <w:pPr>
      <w:tabs>
        <w:tab w:val="clear" w:pos="900"/>
      </w:tabs>
      <w:spacing w:after="0" w:line="360" w:lineRule="auto"/>
    </w:pPr>
    <w:rPr>
      <w:rFonts w:ascii="仿宋" w:hAnsi="仿宋" w:eastAsia="仿宋" w:cs="仿宋"/>
    </w:rPr>
  </w:style>
  <w:style w:type="paragraph" w:customStyle="1" w:styleId="89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900">
    <w:name w:val="Char Char Char Char Char Char Char2"/>
    <w:basedOn w:val="1"/>
    <w:autoRedefine/>
    <w:qFormat/>
    <w:uiPriority w:val="0"/>
    <w:rPr>
      <w:rFonts w:ascii="仿宋_GB2312" w:eastAsia="仿宋_GB2312"/>
      <w:b/>
      <w:sz w:val="32"/>
      <w:szCs w:val="32"/>
    </w:rPr>
  </w:style>
  <w:style w:type="paragraph" w:customStyle="1" w:styleId="90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0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903">
    <w:name w:val="正文文字缩进2字"/>
    <w:basedOn w:val="23"/>
    <w:autoRedefine/>
    <w:qFormat/>
    <w:uiPriority w:val="0"/>
    <w:pPr>
      <w:autoSpaceDE/>
      <w:autoSpaceDN/>
      <w:adjustRightInd/>
      <w:spacing w:before="60" w:after="60"/>
      <w:ind w:firstLine="200" w:firstLineChars="200"/>
    </w:pPr>
    <w:rPr>
      <w:rFonts w:ascii="Times New Roman" w:hAnsi="Times New Roman" w:cs="Times New Roman"/>
      <w:szCs w:val="20"/>
      <w:lang w:val="en-US"/>
    </w:rPr>
  </w:style>
  <w:style w:type="paragraph" w:customStyle="1" w:styleId="90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5">
    <w:name w:val="Char Char Char Char11"/>
    <w:basedOn w:val="1"/>
    <w:autoRedefine/>
    <w:qFormat/>
    <w:uiPriority w:val="0"/>
    <w:rPr>
      <w:rFonts w:ascii="Tahoma" w:hAnsi="Tahoma"/>
      <w:sz w:val="24"/>
      <w:szCs w:val="20"/>
    </w:rPr>
  </w:style>
  <w:style w:type="paragraph" w:customStyle="1" w:styleId="906">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907">
    <w:name w:val="Char Char110"/>
    <w:basedOn w:val="1"/>
    <w:autoRedefine/>
    <w:qFormat/>
    <w:uiPriority w:val="0"/>
    <w:pPr>
      <w:spacing w:line="360" w:lineRule="auto"/>
    </w:pPr>
    <w:rPr>
      <w:rFonts w:ascii="Tahoma" w:hAnsi="Tahoma"/>
      <w:sz w:val="24"/>
      <w:szCs w:val="20"/>
    </w:rPr>
  </w:style>
  <w:style w:type="paragraph" w:customStyle="1" w:styleId="90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909">
    <w:name w:val="Char2 Char Char Char"/>
    <w:basedOn w:val="1"/>
    <w:autoRedefine/>
    <w:qFormat/>
    <w:uiPriority w:val="0"/>
    <w:rPr>
      <w:rFonts w:ascii="仿宋_GB2312" w:eastAsia="仿宋_GB2312"/>
      <w:b/>
      <w:sz w:val="32"/>
      <w:szCs w:val="32"/>
    </w:rPr>
  </w:style>
  <w:style w:type="paragraph" w:customStyle="1" w:styleId="910">
    <w:name w:val="Char Char Char1 Char2"/>
    <w:basedOn w:val="1"/>
    <w:autoRedefine/>
    <w:qFormat/>
    <w:uiPriority w:val="0"/>
    <w:rPr>
      <w:szCs w:val="20"/>
    </w:rPr>
  </w:style>
  <w:style w:type="paragraph" w:customStyle="1" w:styleId="9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12">
    <w:name w:val="正文1.25"/>
    <w:basedOn w:val="1"/>
    <w:autoRedefine/>
    <w:qFormat/>
    <w:uiPriority w:val="0"/>
    <w:pPr>
      <w:adjustRightInd/>
      <w:spacing w:line="300" w:lineRule="auto"/>
      <w:ind w:firstLine="480" w:firstLineChars="200"/>
    </w:pPr>
    <w:rPr>
      <w:sz w:val="24"/>
      <w:szCs w:val="20"/>
    </w:rPr>
  </w:style>
  <w:style w:type="paragraph" w:customStyle="1" w:styleId="91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91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91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916">
    <w:name w:val="trademark"/>
    <w:autoRedefine/>
    <w:qFormat/>
    <w:uiPriority w:val="0"/>
    <w:pPr>
      <w:spacing w:after="60"/>
    </w:pPr>
    <w:rPr>
      <w:rFonts w:ascii="Futura Bk" w:hAnsi="Futura Bk" w:eastAsia="宋体" w:cs="Times New Roman"/>
      <w:sz w:val="15"/>
      <w:lang w:val="en-US" w:eastAsia="en-US" w:bidi="ar-SA"/>
    </w:rPr>
  </w:style>
  <w:style w:type="paragraph" w:customStyle="1" w:styleId="91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918">
    <w:name w:val="_Style 6"/>
    <w:basedOn w:val="1"/>
    <w:autoRedefine/>
    <w:qFormat/>
    <w:uiPriority w:val="0"/>
    <w:pPr>
      <w:adjustRightInd/>
      <w:ind w:firstLine="420" w:firstLineChars="200"/>
    </w:pPr>
    <w:rPr>
      <w:rFonts w:eastAsia="仿宋_GB2312"/>
      <w:sz w:val="28"/>
    </w:rPr>
  </w:style>
  <w:style w:type="paragraph" w:customStyle="1" w:styleId="919">
    <w:name w:val="Char Char1 Char Char Char Char Char Char1"/>
    <w:basedOn w:val="1"/>
    <w:autoRedefine/>
    <w:qFormat/>
    <w:uiPriority w:val="0"/>
    <w:rPr>
      <w:rFonts w:ascii="仿宋_GB2312" w:eastAsia="仿宋_GB2312"/>
      <w:b/>
      <w:sz w:val="32"/>
      <w:szCs w:val="20"/>
    </w:rPr>
  </w:style>
  <w:style w:type="paragraph" w:customStyle="1" w:styleId="92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1">
    <w:name w:val="MM Title"/>
    <w:basedOn w:val="62"/>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922">
    <w:name w:val="数字标题1"/>
    <w:basedOn w:val="3"/>
    <w:next w:val="1"/>
    <w:autoRedefine/>
    <w:qFormat/>
    <w:uiPriority w:val="0"/>
    <w:pPr>
      <w:tabs>
        <w:tab w:val="left" w:pos="480"/>
        <w:tab w:val="clear" w:pos="432"/>
      </w:tabs>
      <w:ind w:left="480" w:hanging="480"/>
    </w:pPr>
  </w:style>
  <w:style w:type="paragraph" w:customStyle="1" w:styleId="923">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924">
    <w:name w:val="默认段落字体 Para Char Char Char Char"/>
    <w:basedOn w:val="1"/>
    <w:autoRedefine/>
    <w:qFormat/>
    <w:uiPriority w:val="0"/>
    <w:pPr>
      <w:spacing w:line="360" w:lineRule="auto"/>
    </w:pPr>
    <w:rPr>
      <w:szCs w:val="20"/>
    </w:rPr>
  </w:style>
  <w:style w:type="paragraph" w:customStyle="1" w:styleId="925">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926">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92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9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929">
    <w:name w:val="列出段落3"/>
    <w:basedOn w:val="1"/>
    <w:autoRedefine/>
    <w:qFormat/>
    <w:uiPriority w:val="0"/>
    <w:pPr>
      <w:adjustRightInd/>
      <w:spacing w:line="360" w:lineRule="auto"/>
      <w:ind w:firstLine="420" w:firstLineChars="200"/>
    </w:pPr>
    <w:rPr>
      <w:rFonts w:ascii="Calibri" w:hAnsi="Calibri"/>
      <w:sz w:val="24"/>
      <w:szCs w:val="22"/>
    </w:rPr>
  </w:style>
  <w:style w:type="paragraph" w:customStyle="1" w:styleId="930">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93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932">
    <w:name w:val="标题2"/>
    <w:basedOn w:val="2"/>
    <w:next w:val="1"/>
    <w:autoRedefine/>
    <w:qFormat/>
    <w:uiPriority w:val="0"/>
    <w:pPr>
      <w:tabs>
        <w:tab w:val="left" w:pos="578"/>
        <w:tab w:val="left" w:pos="900"/>
        <w:tab w:val="left" w:pos="1440"/>
        <w:tab w:val="clear" w:pos="432"/>
      </w:tabs>
      <w:ind w:left="1440" w:hanging="360"/>
    </w:pPr>
    <w:rPr>
      <w:rFonts w:ascii="仿宋" w:hAnsi="Times New Roman" w:eastAsia="仿宋" w:cs="宋体"/>
      <w:bCs w:val="0"/>
      <w:szCs w:val="28"/>
    </w:rPr>
  </w:style>
  <w:style w:type="paragraph" w:customStyle="1" w:styleId="933">
    <w:name w:val="正文 内标"/>
    <w:basedOn w:val="515"/>
    <w:autoRedefine/>
    <w:qFormat/>
    <w:uiPriority w:val="0"/>
    <w:pPr>
      <w:tabs>
        <w:tab w:val="left" w:pos="0"/>
      </w:tabs>
      <w:ind w:left="900" w:firstLine="0" w:firstLineChars="0"/>
    </w:pPr>
    <w:rPr>
      <w:rFonts w:ascii="Times New Roman" w:hAnsi="Times New Roman" w:eastAsia="宋体"/>
    </w:rPr>
  </w:style>
  <w:style w:type="paragraph" w:customStyle="1" w:styleId="93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5">
    <w:name w:val="彩色列表 - 强调文字颜色 11"/>
    <w:basedOn w:val="1"/>
    <w:autoRedefine/>
    <w:qFormat/>
    <w:uiPriority w:val="0"/>
    <w:pPr>
      <w:adjustRightInd/>
      <w:ind w:firstLine="420" w:firstLineChars="200"/>
    </w:pPr>
    <w:rPr>
      <w:rFonts w:ascii="Calibri" w:hAnsi="Calibri"/>
      <w:szCs w:val="22"/>
    </w:rPr>
  </w:style>
  <w:style w:type="paragraph" w:customStyle="1" w:styleId="93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937">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38">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39">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94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41">
    <w:name w:val="数字标题4"/>
    <w:basedOn w:val="6"/>
    <w:autoRedefine/>
    <w:qFormat/>
    <w:uiPriority w:val="0"/>
    <w:pPr>
      <w:tabs>
        <w:tab w:val="left" w:pos="0"/>
        <w:tab w:val="clear" w:pos="864"/>
      </w:tabs>
      <w:spacing w:before="0" w:after="0" w:line="360" w:lineRule="auto"/>
      <w:ind w:left="1"/>
    </w:pPr>
    <w:rPr>
      <w:rFonts w:ascii="Times New Roman" w:hAnsi="Times New Roman" w:eastAsia="仿宋_GB2312" w:cs="Arial"/>
      <w:b w:val="0"/>
      <w:bCs w:val="0"/>
      <w:color w:val="000000"/>
      <w:kern w:val="0"/>
      <w:sz w:val="24"/>
      <w:szCs w:val="24"/>
      <w:lang w:val="en-US"/>
    </w:rPr>
  </w:style>
  <w:style w:type="paragraph" w:customStyle="1" w:styleId="94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94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94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945">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46">
    <w:name w:val="列表段落1"/>
    <w:basedOn w:val="1"/>
    <w:autoRedefine/>
    <w:qFormat/>
    <w:uiPriority w:val="0"/>
    <w:pPr>
      <w:adjustRightInd/>
      <w:ind w:right="238" w:firstLine="420"/>
    </w:pPr>
    <w:rPr>
      <w:rFonts w:ascii="Calibri" w:hAnsi="Calibri"/>
      <w:sz w:val="24"/>
    </w:rPr>
  </w:style>
  <w:style w:type="paragraph" w:customStyle="1" w:styleId="947">
    <w:name w:val="Char Char Char Char Char Char Char Char"/>
    <w:basedOn w:val="1"/>
    <w:autoRedefine/>
    <w:qFormat/>
    <w:uiPriority w:val="0"/>
    <w:pPr>
      <w:tabs>
        <w:tab w:val="left" w:pos="360"/>
      </w:tabs>
    </w:pPr>
    <w:rPr>
      <w:sz w:val="24"/>
      <w:szCs w:val="20"/>
    </w:rPr>
  </w:style>
  <w:style w:type="paragraph" w:customStyle="1" w:styleId="94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949">
    <w:name w:val="Char Char1"/>
    <w:basedOn w:val="1"/>
    <w:autoRedefine/>
    <w:qFormat/>
    <w:uiPriority w:val="0"/>
    <w:pPr>
      <w:widowControl/>
      <w:spacing w:after="160" w:line="240" w:lineRule="exact"/>
      <w:jc w:val="left"/>
    </w:pPr>
    <w:rPr>
      <w:rFonts w:eastAsia="仿宋_GB2312"/>
      <w:sz w:val="28"/>
    </w:rPr>
  </w:style>
  <w:style w:type="paragraph" w:customStyle="1" w:styleId="950">
    <w:name w:val="Char3"/>
    <w:basedOn w:val="1"/>
    <w:autoRedefine/>
    <w:qFormat/>
    <w:uiPriority w:val="0"/>
    <w:pPr>
      <w:adjustRightInd/>
    </w:pPr>
    <w:rPr>
      <w:rFonts w:ascii="仿宋_GB2312" w:eastAsia="仿宋_GB2312"/>
      <w:b/>
      <w:sz w:val="32"/>
      <w:szCs w:val="32"/>
    </w:rPr>
  </w:style>
  <w:style w:type="paragraph" w:customStyle="1" w:styleId="95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952">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953">
    <w:name w:val="样式 左侧:  0.85 厘米"/>
    <w:basedOn w:val="1"/>
    <w:autoRedefine/>
    <w:qFormat/>
    <w:uiPriority w:val="0"/>
    <w:pPr>
      <w:adjustRightInd/>
      <w:spacing w:line="360" w:lineRule="auto"/>
    </w:pPr>
    <w:rPr>
      <w:rFonts w:cs="宋体"/>
      <w:sz w:val="24"/>
      <w:szCs w:val="20"/>
    </w:rPr>
  </w:style>
  <w:style w:type="paragraph" w:customStyle="1" w:styleId="954">
    <w:name w:val="Char1 Char Char Char1"/>
    <w:basedOn w:val="1"/>
    <w:autoRedefine/>
    <w:qFormat/>
    <w:uiPriority w:val="0"/>
    <w:pPr>
      <w:adjustRightInd/>
      <w:ind w:firstLine="200" w:firstLineChars="200"/>
    </w:pPr>
    <w:rPr>
      <w:rFonts w:ascii="Tahoma" w:hAnsi="Tahoma"/>
      <w:sz w:val="24"/>
      <w:szCs w:val="20"/>
    </w:rPr>
  </w:style>
  <w:style w:type="paragraph" w:customStyle="1" w:styleId="955">
    <w:name w:val="表格标题2"/>
    <w:basedOn w:val="639"/>
    <w:autoRedefine/>
    <w:qFormat/>
    <w:uiPriority w:val="0"/>
    <w:rPr>
      <w:rFonts w:ascii="Times New Roman" w:hAnsi="Times New Roman" w:cs="Times New Roman"/>
      <w:b/>
    </w:rPr>
  </w:style>
  <w:style w:type="paragraph" w:customStyle="1" w:styleId="9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957">
    <w:name w:val="MM Empty"/>
    <w:basedOn w:val="1"/>
    <w:autoRedefine/>
    <w:qFormat/>
    <w:uiPriority w:val="0"/>
    <w:pPr>
      <w:adjustRightInd/>
    </w:pPr>
  </w:style>
  <w:style w:type="paragraph" w:customStyle="1" w:styleId="958">
    <w:name w:val="_Style 947"/>
    <w:basedOn w:val="1"/>
    <w:next w:val="361"/>
    <w:autoRedefine/>
    <w:qFormat/>
    <w:uiPriority w:val="0"/>
    <w:pPr>
      <w:adjustRightInd/>
      <w:ind w:firstLine="420" w:firstLineChars="200"/>
    </w:pPr>
  </w:style>
  <w:style w:type="paragraph" w:customStyle="1" w:styleId="95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960">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961">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962">
    <w:name w:val="_Style 12"/>
    <w:basedOn w:val="18"/>
    <w:autoRedefine/>
    <w:qFormat/>
    <w:uiPriority w:val="0"/>
    <w:pPr>
      <w:snapToGrid w:val="0"/>
      <w:spacing w:line="360" w:lineRule="auto"/>
    </w:pPr>
  </w:style>
  <w:style w:type="paragraph" w:customStyle="1" w:styleId="963">
    <w:name w:val="Char"/>
    <w:basedOn w:val="1"/>
    <w:autoRedefine/>
    <w:qFormat/>
    <w:uiPriority w:val="0"/>
    <w:rPr>
      <w:rFonts w:ascii="仿宋_GB2312" w:eastAsia="仿宋_GB2312"/>
      <w:b/>
      <w:sz w:val="32"/>
      <w:szCs w:val="32"/>
    </w:rPr>
  </w:style>
  <w:style w:type="paragraph" w:customStyle="1" w:styleId="96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965">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66">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967">
    <w:name w:val="_Style 11"/>
    <w:basedOn w:val="1"/>
    <w:autoRedefine/>
    <w:qFormat/>
    <w:uiPriority w:val="0"/>
    <w:pPr>
      <w:adjustRightInd/>
      <w:ind w:firstLine="420" w:firstLineChars="200"/>
    </w:pPr>
    <w:rPr>
      <w:rFonts w:eastAsia="仿宋_GB2312"/>
      <w:sz w:val="28"/>
    </w:rPr>
  </w:style>
  <w:style w:type="table" w:customStyle="1" w:styleId="968">
    <w:name w:val="网格型1"/>
    <w:basedOn w:val="64"/>
    <w:autoRedefine/>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网格型6"/>
    <w:basedOn w:val="64"/>
    <w:autoRedefine/>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网格型5"/>
    <w:basedOn w:val="64"/>
    <w:autoRedefine/>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网格型4"/>
    <w:basedOn w:val="64"/>
    <w:autoRedefine/>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网格型3"/>
    <w:basedOn w:val="64"/>
    <w:autoRedefine/>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2"/>
    <w:basedOn w:val="64"/>
    <w:autoRedefine/>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4">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91</Pages>
  <Words>15953</Words>
  <Characters>17153</Characters>
  <Lines>453</Lines>
  <Paragraphs>127</Paragraphs>
  <TotalTime>138</TotalTime>
  <ScaleCrop>false</ScaleCrop>
  <LinksUpToDate>false</LinksUpToDate>
  <CharactersWithSpaces>17562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海标</cp:lastModifiedBy>
  <cp:lastPrinted>2021-12-27T19:06:00Z</cp:lastPrinted>
  <dcterms:modified xsi:type="dcterms:W3CDTF">2025-02-20T06:06:48Z</dcterms:modified>
  <dc:title>杭州市市民卡扩大发卡工程</dc:title>
  <cp:revision>343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f245cb8e_mFV3xz84Iyk0PspOkXv9p84bSqU=_8QYrr15fIzUrP9tGkXT4s2tnT1tGnpes2/0ZtAPMJi86DIe8upLzf2WBR2XKrTc/ME2mQ1t7suIdIgx+rqGucq+5vCzr_5a5ffbb0</vt:lpwstr>
  </property>
  <property fmtid="{D5CDD505-2E9C-101B-9397-08002B2CF9AE}" pid="4" name="ICV">
    <vt:lpwstr>16EB56264A5A43548FFDA6D17626AC29_13</vt:lpwstr>
  </property>
  <property fmtid="{D5CDD505-2E9C-101B-9397-08002B2CF9AE}" pid="5" name="KSOTemplateDocerSaveRecord">
    <vt:lpwstr>eyJoZGlkIjoiMWU2ZGZjMzQyN2U2NWMyZTYxYTRjM2NhZDE2YTRlMDYiLCJ1c2VySWQiOiI1MTU5MTEwNTYifQ==</vt:lpwstr>
  </property>
</Properties>
</file>