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color w:val="auto"/>
          <w:sz w:val="48"/>
          <w:szCs w:val="48"/>
        </w:rPr>
      </w:pP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瓶窑镇综合行政执法办公大楼食堂食材配送项目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w:t>
      </w:r>
      <w:r>
        <w:rPr>
          <w:rFonts w:hint="eastAsia" w:ascii="宋体" w:hAnsi="宋体" w:cs="宋体"/>
          <w:color w:val="auto"/>
          <w:sz w:val="30"/>
          <w:szCs w:val="30"/>
          <w:lang w:val="en-US" w:eastAsia="zh-CN"/>
        </w:rPr>
        <w:t>HZ</w:t>
      </w:r>
      <w:r>
        <w:rPr>
          <w:rFonts w:hint="eastAsia" w:ascii="宋体" w:hAnsi="宋体" w:cs="宋体"/>
          <w:color w:val="auto"/>
          <w:sz w:val="30"/>
          <w:szCs w:val="30"/>
          <w:lang w:eastAsia="zh-CN"/>
        </w:rPr>
        <w:t>YHCG-2024-0</w:t>
      </w:r>
      <w:r>
        <w:rPr>
          <w:rFonts w:hint="eastAsia" w:ascii="宋体" w:hAnsi="宋体" w:cs="宋体"/>
          <w:color w:val="auto"/>
          <w:sz w:val="30"/>
          <w:szCs w:val="30"/>
          <w:lang w:val="en-US" w:eastAsia="zh-CN"/>
        </w:rPr>
        <w:t>06</w:t>
      </w:r>
      <w:r>
        <w:rPr>
          <w:rFonts w:hint="eastAsia" w:ascii="宋体" w:hAnsi="宋体" w:cs="宋体"/>
          <w:color w:val="auto"/>
          <w:sz w:val="30"/>
          <w:szCs w:val="30"/>
        </w:rPr>
        <w:t>）</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sz w:val="24"/>
        </w:rPr>
      </w:pPr>
    </w:p>
    <w:p>
      <w:pPr>
        <w:spacing w:line="360" w:lineRule="auto"/>
        <w:jc w:val="center"/>
        <w:rPr>
          <w:rFonts w:ascii="宋体" w:hAnsi="宋体" w:cs="宋体"/>
          <w:color w:val="auto"/>
          <w:sz w:val="24"/>
        </w:rPr>
      </w:pPr>
    </w:p>
    <w:p>
      <w:pPr>
        <w:spacing w:line="480" w:lineRule="auto"/>
        <w:rPr>
          <w:rFonts w:ascii="宋体" w:hAnsi="宋体" w:cs="宋体"/>
          <w:color w:val="auto"/>
          <w:sz w:val="32"/>
          <w:szCs w:val="32"/>
        </w:rPr>
      </w:pPr>
    </w:p>
    <w:p>
      <w:pPr>
        <w:snapToGrid w:val="0"/>
        <w:spacing w:line="480" w:lineRule="auto"/>
        <w:jc w:val="center"/>
        <w:rPr>
          <w:rFonts w:ascii="宋体" w:hAnsi="宋体" w:cs="宋体"/>
          <w:color w:val="auto"/>
          <w:sz w:val="32"/>
          <w:szCs w:val="32"/>
        </w:rPr>
      </w:pPr>
      <w:r>
        <w:rPr>
          <w:rFonts w:hint="eastAsia" w:ascii="宋体" w:hAnsi="宋体" w:cs="宋体"/>
          <w:color w:val="auto"/>
          <w:sz w:val="32"/>
          <w:szCs w:val="32"/>
        </w:rPr>
        <w:t>采购人</w:t>
      </w:r>
      <w:r>
        <w:rPr>
          <w:rFonts w:hint="eastAsia" w:ascii="宋体" w:hAnsi="宋体" w:cs="宋体"/>
          <w:color w:val="auto"/>
          <w:sz w:val="32"/>
          <w:szCs w:val="32"/>
          <w:lang w:eastAsia="zh-CN"/>
        </w:rPr>
        <w:t>：杭州市余杭区瓶窑镇人民政府</w:t>
      </w:r>
    </w:p>
    <w:p>
      <w:pPr>
        <w:spacing w:line="480" w:lineRule="auto"/>
        <w:jc w:val="center"/>
        <w:rPr>
          <w:rFonts w:ascii="宋体" w:hAnsi="宋体" w:cs="宋体"/>
          <w:bCs/>
          <w:color w:val="auto"/>
          <w:sz w:val="32"/>
          <w:szCs w:val="32"/>
        </w:rPr>
      </w:pPr>
      <w:r>
        <w:rPr>
          <w:rFonts w:hint="eastAsia" w:ascii="宋体" w:hAnsi="宋体" w:cs="宋体"/>
          <w:bCs/>
          <w:color w:val="auto"/>
          <w:sz w:val="32"/>
          <w:szCs w:val="32"/>
        </w:rPr>
        <w:t>采购代理机构</w:t>
      </w:r>
      <w:r>
        <w:rPr>
          <w:rFonts w:hint="eastAsia" w:ascii="宋体" w:hAnsi="宋体" w:cs="宋体"/>
          <w:bCs/>
          <w:color w:val="auto"/>
          <w:sz w:val="32"/>
          <w:szCs w:val="32"/>
          <w:lang w:eastAsia="zh-CN"/>
        </w:rPr>
        <w:t>：</w:t>
      </w:r>
      <w:r>
        <w:rPr>
          <w:rFonts w:hint="eastAsia" w:ascii="宋体" w:hAnsi="宋体" w:cs="宋体"/>
          <w:bCs/>
          <w:color w:val="auto"/>
          <w:sz w:val="32"/>
          <w:szCs w:val="32"/>
          <w:lang w:val="en-US" w:eastAsia="zh-CN"/>
        </w:rPr>
        <w:t>杭州源禾工程咨询有限公司</w:t>
      </w:r>
    </w:p>
    <w:p>
      <w:pPr>
        <w:snapToGrid w:val="0"/>
        <w:spacing w:line="48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六</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三</w:t>
      </w:r>
      <w:r>
        <w:rPr>
          <w:rFonts w:hint="eastAsia" w:ascii="宋体" w:hAnsi="宋体" w:cs="宋体"/>
          <w:bCs/>
          <w:color w:val="auto"/>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4"/>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color w:val="auto"/>
          <w:sz w:val="24"/>
          <w:u w:val="single"/>
        </w:rPr>
        <w:t>瓶窑镇综合行政执法办公大楼食堂食材配送项目</w:t>
      </w:r>
      <w:r>
        <w:rPr>
          <w:rFonts w:hint="eastAsia" w:ascii="宋体" w:hAnsi="宋体" w:cs="宋体"/>
          <w:color w:val="auto"/>
          <w:sz w:val="24"/>
        </w:rPr>
        <w:t>招标项目的潜</w:t>
      </w:r>
      <w:r>
        <w:rPr>
          <w:rFonts w:hint="eastAsia" w:ascii="宋体" w:hAnsi="宋体" w:cs="宋体"/>
          <w:sz w:val="24"/>
        </w:rPr>
        <w:t>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snapToGrid/>
          <w:kern w:val="2"/>
          <w:sz w:val="24"/>
          <w:szCs w:val="24"/>
        </w:rPr>
        <w:t>https://www.zcygov.cn/）获取（下载）招标文件，并于</w:t>
      </w:r>
      <w:r>
        <w:rPr>
          <w:rStyle w:val="76"/>
          <w:rFonts w:hint="eastAsia" w:ascii="宋体" w:hAnsi="宋体" w:eastAsia="宋体" w:cs="宋体"/>
          <w:snapToGrid/>
          <w:color w:val="FF0000"/>
          <w:kern w:val="2"/>
          <w:sz w:val="24"/>
          <w:szCs w:val="24"/>
        </w:rPr>
        <w:t>202</w:t>
      </w:r>
      <w:r>
        <w:rPr>
          <w:rStyle w:val="76"/>
          <w:rFonts w:hint="eastAsia" w:ascii="宋体" w:hAnsi="宋体" w:cs="宋体"/>
          <w:snapToGrid/>
          <w:color w:val="FF0000"/>
          <w:kern w:val="2"/>
          <w:sz w:val="24"/>
          <w:szCs w:val="24"/>
          <w:lang w:val="en-US" w:eastAsia="zh-CN"/>
        </w:rPr>
        <w:t>4</w:t>
      </w:r>
      <w:r>
        <w:rPr>
          <w:rStyle w:val="76"/>
          <w:rFonts w:hint="eastAsia" w:ascii="宋体" w:hAnsi="宋体" w:eastAsia="宋体" w:cs="宋体"/>
          <w:snapToGrid/>
          <w:color w:val="FF0000"/>
          <w:kern w:val="2"/>
          <w:sz w:val="24"/>
          <w:szCs w:val="24"/>
        </w:rPr>
        <w:t>年</w:t>
      </w:r>
      <w:r>
        <w:rPr>
          <w:rStyle w:val="76"/>
          <w:rFonts w:hint="eastAsia" w:ascii="宋体" w:hAnsi="宋体" w:cs="宋体"/>
          <w:snapToGrid/>
          <w:color w:val="FF0000"/>
          <w:kern w:val="2"/>
          <w:sz w:val="24"/>
          <w:szCs w:val="24"/>
          <w:lang w:val="en-US" w:eastAsia="zh-CN"/>
        </w:rPr>
        <w:t>7</w:t>
      </w:r>
      <w:r>
        <w:rPr>
          <w:rStyle w:val="76"/>
          <w:rFonts w:hint="eastAsia" w:ascii="宋体" w:hAnsi="宋体" w:eastAsia="宋体" w:cs="宋体"/>
          <w:snapToGrid/>
          <w:color w:val="FF0000"/>
          <w:kern w:val="2"/>
          <w:sz w:val="24"/>
          <w:szCs w:val="24"/>
        </w:rPr>
        <w:t>月</w:t>
      </w:r>
      <w:r>
        <w:rPr>
          <w:rStyle w:val="76"/>
          <w:rFonts w:hint="eastAsia" w:ascii="宋体" w:hAnsi="宋体" w:cs="宋体"/>
          <w:snapToGrid/>
          <w:color w:val="FF0000"/>
          <w:kern w:val="2"/>
          <w:sz w:val="24"/>
          <w:szCs w:val="24"/>
          <w:lang w:val="en-US" w:eastAsia="zh-CN"/>
        </w:rPr>
        <w:t>2</w:t>
      </w:r>
      <w:r>
        <w:rPr>
          <w:rStyle w:val="76"/>
          <w:rFonts w:hint="eastAsia" w:ascii="宋体" w:hAnsi="宋体" w:eastAsia="宋体" w:cs="宋体"/>
          <w:snapToGrid/>
          <w:color w:val="FF0000"/>
          <w:kern w:val="2"/>
          <w:sz w:val="24"/>
          <w:szCs w:val="24"/>
        </w:rPr>
        <w:t>日</w:t>
      </w:r>
      <w:r>
        <w:rPr>
          <w:rStyle w:val="76"/>
          <w:rFonts w:hint="eastAsia" w:ascii="宋体" w:hAnsi="宋体" w:cs="宋体"/>
          <w:snapToGrid/>
          <w:color w:val="FF0000"/>
          <w:kern w:val="2"/>
          <w:sz w:val="24"/>
          <w:szCs w:val="24"/>
          <w:lang w:val="en-US" w:eastAsia="zh-CN"/>
        </w:rPr>
        <w:t>14</w:t>
      </w:r>
      <w:r>
        <w:rPr>
          <w:rStyle w:val="76"/>
          <w:rFonts w:hint="eastAsia" w:ascii="宋体" w:hAnsi="宋体" w:eastAsia="宋体" w:cs="宋体"/>
          <w:snapToGrid/>
          <w:color w:val="FF0000"/>
          <w:kern w:val="2"/>
          <w:sz w:val="24"/>
          <w:szCs w:val="24"/>
        </w:rPr>
        <w:t>点</w:t>
      </w:r>
      <w:r>
        <w:rPr>
          <w:rStyle w:val="76"/>
          <w:rFonts w:hint="eastAsia" w:ascii="宋体" w:hAnsi="宋体" w:cs="宋体"/>
          <w:snapToGrid/>
          <w:color w:val="FF0000"/>
          <w:kern w:val="2"/>
          <w:sz w:val="24"/>
          <w:szCs w:val="24"/>
          <w:lang w:val="en-US" w:eastAsia="zh-CN"/>
        </w:rPr>
        <w:t>00</w:t>
      </w:r>
      <w:r>
        <w:rPr>
          <w:rStyle w:val="76"/>
          <w:rFonts w:hint="eastAsia" w:ascii="宋体" w:hAnsi="宋体" w:eastAsia="宋体" w:cs="宋体"/>
          <w:snapToGrid/>
          <w:color w:val="FF0000"/>
          <w:kern w:val="2"/>
          <w:sz w:val="24"/>
          <w:szCs w:val="24"/>
        </w:rPr>
        <w:t>分</w:t>
      </w:r>
      <w:r>
        <w:rPr>
          <w:rStyle w:val="76"/>
          <w:rFonts w:hint="eastAsia" w:ascii="宋体" w:hAnsi="宋体" w:eastAsia="宋体" w:cs="宋体"/>
          <w:bCs/>
          <w:snapToGrid/>
          <w:color w:val="FF0000"/>
          <w:kern w:val="2"/>
          <w:sz w:val="24"/>
          <w:szCs w:val="24"/>
        </w:rPr>
        <w:t>00秒</w:t>
      </w:r>
      <w:r>
        <w:rPr>
          <w:rStyle w:val="76"/>
          <w:rFonts w:hint="eastAsia" w:ascii="宋体" w:hAnsi="宋体" w:eastAsia="宋体" w:cs="宋体"/>
          <w:bCs/>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lang w:val="en-US" w:eastAsia="zh-CN"/>
        </w:rPr>
        <w:t>HZ</w:t>
      </w:r>
      <w:r>
        <w:rPr>
          <w:rFonts w:hint="eastAsia" w:ascii="宋体" w:hAnsi="宋体" w:cs="宋体"/>
          <w:color w:val="auto"/>
          <w:sz w:val="24"/>
          <w:lang w:eastAsia="zh-CN"/>
        </w:rPr>
        <w:t>YHCG-2024-0</w:t>
      </w:r>
      <w:r>
        <w:rPr>
          <w:rFonts w:hint="eastAsia" w:ascii="宋体" w:hAnsi="宋体" w:cs="宋体"/>
          <w:color w:val="auto"/>
          <w:sz w:val="24"/>
          <w:lang w:val="en-US" w:eastAsia="zh-CN"/>
        </w:rPr>
        <w:t>06</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rPr>
        <w:t>瓶窑镇综合行政执法办公大楼食堂食材配送项目</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预算金额（元）：609600</w:t>
      </w:r>
      <w:r>
        <w:rPr>
          <w:rFonts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b/>
          <w:color w:val="auto"/>
          <w:sz w:val="24"/>
        </w:rPr>
        <w:t>最高限价（元）：609600</w:t>
      </w:r>
      <w:r>
        <w:rPr>
          <w:rFonts w:ascii="宋体" w:hAnsi="宋体" w:cs="宋体"/>
          <w:color w:val="auto"/>
          <w:sz w:val="24"/>
        </w:rPr>
        <w:t xml:space="preserve">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瓶窑镇综合行政执法办公大楼食堂食材配送项目主要内容：瓶窑镇综合行政执法办公大楼食堂日常食材采购及配送工作</w:t>
      </w:r>
      <w:r>
        <w:rPr>
          <w:rFonts w:hint="eastAsia" w:hAnsi="宋体" w:cs="宋体"/>
          <w:bCs/>
          <w:snapToGrid/>
          <w:color w:val="0000FF"/>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rPr>
      </w:pPr>
      <w:r>
        <w:rPr>
          <w:rFonts w:hint="eastAsia" w:ascii="宋体" w:hAnsi="宋体" w:cs="宋体"/>
          <w:b/>
        </w:rPr>
        <w:t>合同履约期限：自合同签订日起</w:t>
      </w:r>
      <w:r>
        <w:rPr>
          <w:rFonts w:hint="eastAsia" w:ascii="宋体" w:hAnsi="宋体" w:cs="宋体"/>
          <w:b/>
          <w:lang w:val="en-US" w:eastAsia="zh-CN"/>
        </w:rPr>
        <w:t>一</w:t>
      </w:r>
      <w:r>
        <w:rPr>
          <w:rFonts w:hint="eastAsia" w:ascii="宋体" w:hAnsi="宋体" w:cs="宋体"/>
          <w:b/>
        </w:rPr>
        <w:t>年</w:t>
      </w:r>
      <w:r>
        <w:rPr>
          <w:rFonts w:hint="eastAsia" w:ascii="宋体" w:hAnsi="宋体" w:cs="宋体"/>
          <w:b/>
          <w:lang w:eastAsia="zh-CN"/>
        </w:rPr>
        <w:t>。</w:t>
      </w:r>
      <w:r>
        <w:rPr>
          <w:rFonts w:ascii="宋体" w:hAnsi="宋体" w:cs="宋体"/>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w:t>
      </w:r>
      <w:r>
        <w:rPr>
          <w:rFonts w:hint="eastAsia" w:ascii="宋体" w:hAnsi="宋体" w:cs="宋体"/>
          <w:sz w:val="24"/>
        </w:rPr>
        <w:t>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FF0000"/>
          <w:sz w:val="24"/>
          <w:u w:val="single"/>
        </w:rPr>
        <w:t>202</w:t>
      </w:r>
      <w:r>
        <w:rPr>
          <w:rFonts w:hint="eastAsia" w:ascii="宋体" w:hAnsi="宋体" w:cs="宋体"/>
          <w:color w:val="FF0000"/>
          <w:sz w:val="24"/>
          <w:u w:val="single"/>
          <w:lang w:val="en-US" w:eastAsia="zh-CN"/>
        </w:rPr>
        <w:t>4</w:t>
      </w:r>
      <w:r>
        <w:rPr>
          <w:rFonts w:hint="eastAsia" w:ascii="宋体" w:hAnsi="宋体" w:cs="宋体"/>
          <w:color w:val="FF0000"/>
          <w:sz w:val="24"/>
          <w:u w:val="single"/>
        </w:rPr>
        <w:t>年</w:t>
      </w:r>
      <w:r>
        <w:rPr>
          <w:rFonts w:hint="eastAsia" w:ascii="宋体" w:hAnsi="宋体" w:cs="宋体"/>
          <w:color w:val="FF0000"/>
          <w:sz w:val="24"/>
          <w:u w:val="single"/>
          <w:lang w:val="en-US" w:eastAsia="zh-CN"/>
        </w:rPr>
        <w:t>7</w:t>
      </w:r>
      <w:r>
        <w:rPr>
          <w:rFonts w:hint="eastAsia" w:ascii="宋体" w:hAnsi="宋体" w:cs="宋体"/>
          <w:color w:val="FF0000"/>
          <w:sz w:val="24"/>
          <w:u w:val="single"/>
        </w:rPr>
        <w:t>月</w:t>
      </w:r>
      <w:r>
        <w:rPr>
          <w:rFonts w:hint="eastAsia" w:ascii="宋体" w:hAnsi="宋体" w:cs="宋体"/>
          <w:color w:val="FF0000"/>
          <w:sz w:val="24"/>
          <w:u w:val="single"/>
          <w:lang w:val="en-US" w:eastAsia="zh-CN"/>
        </w:rPr>
        <w:t>2</w:t>
      </w:r>
      <w:r>
        <w:rPr>
          <w:rFonts w:hint="eastAsia" w:ascii="宋体" w:hAnsi="宋体" w:cs="宋体"/>
          <w:color w:val="FF0000"/>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color w:val="FF0000"/>
          <w:sz w:val="24"/>
          <w:u w:val="single"/>
        </w:rPr>
        <w:t>202</w:t>
      </w:r>
      <w:r>
        <w:rPr>
          <w:rFonts w:hint="eastAsia" w:ascii="宋体" w:hAnsi="宋体" w:cs="宋体"/>
          <w:color w:val="FF0000"/>
          <w:sz w:val="24"/>
          <w:u w:val="single"/>
          <w:lang w:val="en-US" w:eastAsia="zh-CN"/>
        </w:rPr>
        <w:t>4</w:t>
      </w:r>
      <w:r>
        <w:rPr>
          <w:rFonts w:hint="eastAsia" w:ascii="宋体" w:hAnsi="宋体" w:cs="宋体"/>
          <w:color w:val="FF0000"/>
          <w:sz w:val="24"/>
          <w:u w:val="single"/>
        </w:rPr>
        <w:t>年</w:t>
      </w:r>
      <w:r>
        <w:rPr>
          <w:rFonts w:hint="eastAsia" w:ascii="宋体" w:hAnsi="宋体" w:cs="宋体"/>
          <w:color w:val="FF0000"/>
          <w:sz w:val="24"/>
          <w:u w:val="single"/>
          <w:lang w:val="en-US" w:eastAsia="zh-CN"/>
        </w:rPr>
        <w:t>7</w:t>
      </w:r>
      <w:r>
        <w:rPr>
          <w:rFonts w:hint="eastAsia" w:ascii="宋体" w:hAnsi="宋体" w:cs="宋体"/>
          <w:color w:val="FF0000"/>
          <w:sz w:val="24"/>
          <w:u w:val="single"/>
        </w:rPr>
        <w:t>月</w:t>
      </w:r>
      <w:r>
        <w:rPr>
          <w:rFonts w:hint="eastAsia" w:ascii="宋体" w:hAnsi="宋体" w:cs="宋体"/>
          <w:color w:val="FF0000"/>
          <w:sz w:val="24"/>
          <w:u w:val="single"/>
          <w:lang w:val="en-US" w:eastAsia="zh-CN"/>
        </w:rPr>
        <w:t>2</w:t>
      </w:r>
      <w:r>
        <w:rPr>
          <w:rFonts w:hint="eastAsia" w:ascii="宋体" w:hAnsi="宋体" w:cs="宋体"/>
          <w:color w:val="FF0000"/>
          <w:sz w:val="24"/>
          <w:u w:val="single"/>
        </w:rPr>
        <w:t>日</w:t>
      </w:r>
      <w:r>
        <w:rPr>
          <w:rFonts w:hint="eastAsia" w:ascii="宋体" w:hAnsi="宋体" w:cs="宋体"/>
          <w:color w:val="FF0000"/>
          <w:sz w:val="24"/>
          <w:u w:val="single"/>
          <w:lang w:val="en-US" w:eastAsia="zh-CN"/>
        </w:rPr>
        <w:t>14</w:t>
      </w:r>
      <w:r>
        <w:rPr>
          <w:rFonts w:hint="eastAsia" w:ascii="宋体" w:hAnsi="宋体" w:cs="宋体"/>
          <w:color w:val="FF0000"/>
          <w:sz w:val="24"/>
          <w:u w:val="single"/>
        </w:rPr>
        <w:t>点</w:t>
      </w:r>
      <w:r>
        <w:rPr>
          <w:rFonts w:hint="eastAsia" w:ascii="宋体" w:hAnsi="宋体" w:cs="宋体"/>
          <w:color w:val="FF0000"/>
          <w:sz w:val="24"/>
          <w:u w:val="single"/>
          <w:lang w:val="en-US" w:eastAsia="zh-CN"/>
        </w:rPr>
        <w:t>00</w:t>
      </w:r>
      <w:r>
        <w:rPr>
          <w:rFonts w:hint="eastAsia" w:ascii="宋体" w:hAnsi="宋体" w:cs="宋体"/>
          <w:color w:val="FF0000"/>
          <w:sz w:val="24"/>
          <w:u w:val="single"/>
        </w:rPr>
        <w:t>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FF0000"/>
          <w:sz w:val="24"/>
          <w:u w:val="single"/>
          <w:lang w:val="en-US" w:eastAsia="zh-CN"/>
        </w:rPr>
        <w:t>2024年7月2日14点00分00秒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color w:val="auto"/>
          <w:sz w:val="24"/>
          <w:highlight w:val="none"/>
        </w:rPr>
      </w:pPr>
      <w:r>
        <w:rPr>
          <w:rFonts w:hint="eastAsia" w:ascii="宋体" w:hAnsi="宋体" w:cs="宋体"/>
          <w:sz w:val="24"/>
        </w:rPr>
        <w:t xml:space="preserve"> </w:t>
      </w:r>
      <w:r>
        <w:rPr>
          <w:rFonts w:hint="eastAsia" w:ascii="宋体" w:hAnsi="宋体" w:cs="宋体"/>
          <w:sz w:val="24"/>
          <w:highlight w:val="none"/>
        </w:rPr>
        <w:t xml:space="preserve"> </w:t>
      </w:r>
      <w:r>
        <w:rPr>
          <w:rFonts w:hint="eastAsia" w:ascii="宋体" w:hAnsi="宋体" w:cs="宋体"/>
          <w:color w:val="auto"/>
          <w:sz w:val="24"/>
          <w:highlight w:val="none"/>
        </w:rPr>
        <w:t xml:space="preserve">  名称：</w:t>
      </w:r>
      <w:r>
        <w:rPr>
          <w:rFonts w:hint="eastAsia" w:ascii="宋体" w:hAnsi="宋体" w:cs="宋体"/>
          <w:color w:val="auto"/>
          <w:sz w:val="24"/>
          <w:highlight w:val="none"/>
          <w:lang w:eastAsia="zh-CN"/>
        </w:rPr>
        <w:t>杭州市余杭区瓶窑镇人民政府</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地址：</w:t>
      </w:r>
      <w:r>
        <w:rPr>
          <w:rFonts w:hint="eastAsia" w:ascii="宋体" w:hAnsi="宋体" w:cs="宋体"/>
          <w:color w:val="auto"/>
          <w:sz w:val="24"/>
          <w:highlight w:val="none"/>
          <w:lang w:val="en-US" w:eastAsia="zh-CN"/>
        </w:rPr>
        <w:t>杭州市余杭区前程路28号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金女士</w:t>
      </w:r>
      <w:r>
        <w:rPr>
          <w:rFonts w:hint="eastAsia" w:ascii="宋体" w:hAnsi="宋体" w:cs="宋体"/>
          <w:color w:val="auto"/>
          <w:sz w:val="24"/>
          <w:highlight w:val="none"/>
        </w:rPr>
        <w:t xml:space="preserve">  </w:t>
      </w:r>
    </w:p>
    <w:p>
      <w:pPr>
        <w:spacing w:line="360" w:lineRule="auto"/>
        <w:rPr>
          <w:rFonts w:ascii="宋体" w:hAnsi="宋体" w:cs="宋体"/>
          <w:color w:val="0000FF"/>
          <w:sz w:val="24"/>
          <w:highlight w:val="none"/>
        </w:rPr>
      </w:pPr>
      <w:r>
        <w:rPr>
          <w:rFonts w:hint="eastAsia" w:ascii="宋体" w:hAnsi="宋体" w:cs="宋体"/>
          <w:color w:val="0000FF"/>
          <w:sz w:val="24"/>
          <w:highlight w:val="none"/>
        </w:rPr>
        <w:t xml:space="preserve">    </w:t>
      </w: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0571-88632117</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周先生</w:t>
      </w:r>
      <w:r>
        <w:rPr>
          <w:rFonts w:hint="eastAsia" w:ascii="宋体" w:hAnsi="宋体" w:cs="宋体"/>
          <w:color w:val="auto"/>
          <w:sz w:val="24"/>
          <w:highlight w:val="none"/>
        </w:rPr>
        <w:t xml:space="preserve"> </w:t>
      </w:r>
    </w:p>
    <w:p>
      <w:pPr>
        <w:spacing w:line="360" w:lineRule="auto"/>
        <w:rPr>
          <w:rFonts w:ascii="宋体" w:hAnsi="宋体" w:cs="宋体"/>
          <w:color w:val="0000FF"/>
          <w:sz w:val="24"/>
          <w:highlight w:val="none"/>
        </w:rPr>
      </w:pPr>
      <w:r>
        <w:rPr>
          <w:rFonts w:hint="eastAsia" w:ascii="宋体" w:hAnsi="宋体" w:cs="宋体"/>
          <w:color w:val="0000FF"/>
          <w:sz w:val="24"/>
          <w:highlight w:val="none"/>
        </w:rPr>
        <w:t xml:space="preserve">    </w:t>
      </w:r>
      <w:r>
        <w:rPr>
          <w:rFonts w:hint="eastAsia" w:ascii="宋体" w:hAnsi="宋体" w:cs="宋体"/>
          <w:color w:val="auto"/>
          <w:sz w:val="24"/>
          <w:highlight w:val="none"/>
        </w:rPr>
        <w:t>质疑联系方式：18968060178</w:t>
      </w:r>
      <w:r>
        <w:rPr>
          <w:rFonts w:hint="eastAsia" w:ascii="宋体" w:hAnsi="宋体" w:cs="宋体"/>
          <w:color w:val="0000FF"/>
          <w:sz w:val="24"/>
          <w:highlight w:val="none"/>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hint="eastAsia" w:ascii="宋体" w:hAnsi="宋体" w:cs="宋体"/>
          <w:sz w:val="24"/>
          <w:lang w:eastAsia="zh-CN"/>
        </w:rPr>
      </w:pPr>
      <w:r>
        <w:rPr>
          <w:rFonts w:hint="eastAsia" w:ascii="宋体" w:hAnsi="宋体" w:cs="宋体"/>
          <w:sz w:val="24"/>
        </w:rPr>
        <w:t>名称：</w:t>
      </w:r>
      <w:r>
        <w:rPr>
          <w:rFonts w:hint="eastAsia" w:ascii="宋体" w:hAnsi="宋体" w:cs="宋体"/>
          <w:sz w:val="24"/>
          <w:lang w:eastAsia="zh-CN"/>
        </w:rPr>
        <w:t>杭州源禾工程咨询有限公司</w:t>
      </w:r>
    </w:p>
    <w:p>
      <w:pPr>
        <w:spacing w:line="360" w:lineRule="auto"/>
        <w:ind w:firstLine="480"/>
        <w:rPr>
          <w:rFonts w:ascii="宋体" w:hAnsi="宋体" w:cs="宋体"/>
          <w:sz w:val="24"/>
        </w:rPr>
      </w:pPr>
      <w:r>
        <w:rPr>
          <w:rFonts w:hint="eastAsia" w:ascii="宋体" w:hAnsi="宋体" w:cs="宋体"/>
          <w:sz w:val="24"/>
        </w:rPr>
        <w:t>地址：</w:t>
      </w:r>
      <w:r>
        <w:rPr>
          <w:rFonts w:hint="eastAsia" w:ascii="宋体" w:hAnsi="宋体" w:cs="宋体"/>
          <w:sz w:val="24"/>
          <w:lang w:eastAsia="zh-CN"/>
        </w:rPr>
        <w:t>余杭区良渚街道东莲村8组木桥头36号五层530室</w:t>
      </w:r>
    </w:p>
    <w:p>
      <w:pPr>
        <w:spacing w:line="360" w:lineRule="auto"/>
        <w:rPr>
          <w:rFonts w:ascii="宋体" w:hAnsi="宋体" w:cs="宋体"/>
          <w:sz w:val="24"/>
        </w:rPr>
      </w:pPr>
      <w:r>
        <w:rPr>
          <w:rFonts w:hint="eastAsia" w:ascii="宋体" w:hAnsi="宋体" w:cs="宋体"/>
          <w:sz w:val="24"/>
        </w:rPr>
        <w:t xml:space="preserve">    传真：</w:t>
      </w:r>
      <w:r>
        <w:rPr>
          <w:rFonts w:hint="eastAsia" w:ascii="宋体" w:hAnsi="宋体" w:cs="宋体"/>
          <w:sz w:val="24"/>
          <w:lang w:val="en-US" w:eastAsia="zh-CN"/>
        </w:rPr>
        <w:t>/</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val="en-US" w:eastAsia="zh-CN"/>
        </w:rPr>
        <w:t>王先生</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15505717770</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lang w:val="en-US" w:eastAsia="zh-CN"/>
        </w:rPr>
        <w:t>马女士</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质疑联系方式：</w:t>
      </w:r>
      <w:r>
        <w:rPr>
          <w:rFonts w:hint="eastAsia" w:ascii="宋体" w:hAnsi="宋体" w:cs="宋体"/>
          <w:sz w:val="24"/>
          <w:lang w:val="en-US" w:eastAsia="zh-CN"/>
        </w:rPr>
        <w:t>19941102362</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名称：杭州市余杭区财政局、浙江省政府采购行政裁决服务中心（杭州）</w:t>
      </w:r>
    </w:p>
    <w:p>
      <w:pPr>
        <w:spacing w:line="360" w:lineRule="auto"/>
        <w:rPr>
          <w:rFonts w:hint="eastAsia" w:ascii="宋体" w:hAnsi="宋体" w:cs="宋体"/>
          <w:sz w:val="24"/>
        </w:rPr>
      </w:pPr>
      <w:r>
        <w:rPr>
          <w:rFonts w:hint="eastAsia" w:ascii="宋体" w:hAnsi="宋体" w:cs="宋体"/>
          <w:sz w:val="24"/>
        </w:rPr>
        <w:t xml:space="preserve">   地址：杭州市上城区四季青街道新业路市民之家G03办公室（快递仅限ems或顺丰）</w:t>
      </w:r>
    </w:p>
    <w:p>
      <w:pPr>
        <w:spacing w:line="360" w:lineRule="auto"/>
        <w:rPr>
          <w:rFonts w:ascii="宋体" w:hAnsi="宋体" w:cs="宋体"/>
          <w:sz w:val="24"/>
        </w:rPr>
      </w:pPr>
      <w:r>
        <w:rPr>
          <w:rFonts w:hint="eastAsia" w:ascii="宋体" w:hAnsi="宋体" w:cs="宋体"/>
          <w:sz w:val="24"/>
        </w:rPr>
        <w:t xml:space="preserve">    传真：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 xml:space="preserve">监督投诉电话：电话：0571-85252453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9070" w:type="dxa"/>
        <w:tblInd w:w="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24"/>
        <w:gridCol w:w="1843"/>
        <w:gridCol w:w="65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50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503"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50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rPr>
                <w:rFonts w:ascii="宋体" w:hAnsi="宋体" w:eastAsia="宋体" w:cs="宋体"/>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食堂食材配送项目</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lang w:val="en-US" w:eastAsia="zh-CN"/>
              </w:rPr>
              <w:t>餐饮</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503"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503"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hint="eastAsia" w:ascii="宋体" w:hAnsi="宋体" w:cs="宋体"/>
                <w:color w:val="auto"/>
                <w:sz w:val="24"/>
              </w:rPr>
            </w:pPr>
            <w:sdt>
              <w:sdtPr>
                <w:rPr>
                  <w:rFonts w:hint="eastAsia" w:ascii="宋体" w:hAnsi="宋体" w:cs="宋体"/>
                  <w:color w:val="auto"/>
                  <w:kern w:val="0"/>
                  <w:sz w:val="24"/>
                </w:rPr>
                <w:id w:val="-147728692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p>
          <w:p>
            <w:pPr>
              <w:spacing w:line="360" w:lineRule="auto"/>
              <w:rPr>
                <w:rFonts w:ascii="宋体" w:hAnsi="宋体" w:cs="宋体"/>
                <w:color w:val="auto"/>
                <w:sz w:val="24"/>
              </w:rPr>
            </w:pPr>
            <w:sdt>
              <w:sdtPr>
                <w:rPr>
                  <w:rFonts w:hint="eastAsia" w:ascii="宋体" w:hAnsi="宋体" w:cs="宋体"/>
                  <w:color w:val="auto"/>
                  <w:kern w:val="0"/>
                  <w:sz w:val="24"/>
                </w:rPr>
                <w:id w:val="-127633135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503"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503"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503"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724" w:type="dxa"/>
            <w:vMerge w:val="restart"/>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503"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724" w:type="dxa"/>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p>
        </w:tc>
        <w:tc>
          <w:tcPr>
            <w:tcW w:w="1843" w:type="dxa"/>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503"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50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50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58"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503" w:type="dxa"/>
            <w:tcBorders>
              <w:top w:val="single" w:color="000000" w:sz="8" w:space="0"/>
              <w:left w:val="single" w:color="000000" w:sz="8" w:space="0"/>
              <w:bottom w:val="single" w:color="000000" w:sz="8"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503" w:type="dxa"/>
            <w:tcBorders>
              <w:top w:val="single" w:color="000000" w:sz="8" w:space="0"/>
              <w:left w:val="single" w:color="000000" w:sz="8"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w:t>
            </w:r>
            <w:r>
              <w:rPr>
                <w:rFonts w:hint="eastAsia" w:hAnsi="宋体" w:cs="宋体"/>
                <w:color w:val="auto"/>
                <w:kern w:val="28"/>
                <w:sz w:val="24"/>
                <w:szCs w:val="24"/>
              </w:rPr>
              <w:t>文件送达地点：</w:t>
            </w:r>
            <w:r>
              <w:rPr>
                <w:rFonts w:hint="eastAsia" w:hAnsi="宋体" w:cs="宋体"/>
                <w:color w:val="auto"/>
                <w:sz w:val="24"/>
                <w:u w:val="single"/>
                <w:lang w:val="en-US" w:eastAsia="zh-CN"/>
              </w:rPr>
              <w:t>余杭区良渚街道东莲村8组木桥头36号五层530室</w:t>
            </w:r>
            <w:r>
              <w:rPr>
                <w:rFonts w:hint="eastAsia" w:hAnsi="宋体" w:cs="宋体"/>
                <w:color w:val="auto"/>
                <w:kern w:val="28"/>
                <w:sz w:val="24"/>
                <w:szCs w:val="24"/>
              </w:rPr>
              <w:t>；备份投标文件签收人员联系电话：</w:t>
            </w:r>
            <w:r>
              <w:rPr>
                <w:rFonts w:hint="eastAsia" w:hAnsi="宋体" w:cs="宋体"/>
                <w:color w:val="auto"/>
                <w:sz w:val="24"/>
                <w:u w:val="single"/>
                <w:lang w:val="en-US" w:eastAsia="zh-CN"/>
              </w:rPr>
              <w:t>王先生15505717770</w:t>
            </w:r>
            <w:r>
              <w:rPr>
                <w:rFonts w:hint="eastAsia" w:hAnsi="宋体" w:cs="宋体"/>
                <w:color w:val="auto"/>
                <w:sz w:val="24"/>
                <w:szCs w:val="24"/>
              </w:rPr>
              <w:t>。</w:t>
            </w:r>
            <w:r>
              <w:rPr>
                <w:rFonts w:hint="eastAsia" w:hAnsi="宋体" w:cs="宋体"/>
                <w:b/>
                <w:color w:val="auto"/>
                <w:sz w:val="24"/>
                <w:szCs w:val="24"/>
              </w:rPr>
              <w:t>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724" w:type="dxa"/>
            <w:vMerge w:val="restart"/>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503"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04" w:hRule="atLeast"/>
          <w:tblHeader/>
        </w:trPr>
        <w:tc>
          <w:tcPr>
            <w:tcW w:w="724" w:type="dxa"/>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p>
        </w:tc>
        <w:tc>
          <w:tcPr>
            <w:tcW w:w="1843" w:type="dxa"/>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503"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widowControl w:val="0"/>
              <w:wordWrap/>
              <w:adjustRightInd w:val="0"/>
              <w:snapToGrid w:val="0"/>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lang w:val="en-US" w:eastAsia="zh-CN"/>
              </w:rPr>
              <w:t>14</w:t>
            </w:r>
          </w:p>
        </w:tc>
        <w:tc>
          <w:tcPr>
            <w:tcW w:w="1843" w:type="dxa"/>
            <w:tcBorders>
              <w:top w:val="single" w:color="000000" w:sz="8" w:space="0"/>
              <w:left w:val="single" w:color="000000" w:sz="8" w:space="0"/>
              <w:bottom w:val="single" w:color="000000" w:sz="8" w:space="0"/>
              <w:right w:val="single" w:color="000000" w:sz="8" w:space="0"/>
            </w:tcBorders>
            <w:vAlign w:val="center"/>
          </w:tcPr>
          <w:p>
            <w:pPr>
              <w:widowControl w:val="0"/>
              <w:wordWrap/>
              <w:adjustRightInd w:val="0"/>
              <w:snapToGrid w:val="0"/>
              <w:spacing w:line="360" w:lineRule="auto"/>
              <w:jc w:val="center"/>
              <w:textAlignment w:val="auto"/>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招标代理服务费</w:t>
            </w:r>
          </w:p>
        </w:tc>
        <w:tc>
          <w:tcPr>
            <w:tcW w:w="6503" w:type="dxa"/>
            <w:tcBorders>
              <w:top w:val="single" w:color="000000" w:sz="8" w:space="0"/>
              <w:left w:val="single" w:color="000000" w:sz="8" w:space="0"/>
              <w:bottom w:val="single" w:color="000000" w:sz="8" w:space="0"/>
              <w:right w:val="single" w:color="000000" w:sz="8" w:space="0"/>
            </w:tcBorders>
            <w:vAlign w:val="center"/>
          </w:tcPr>
          <w:p>
            <w:pPr>
              <w:widowControl w:val="0"/>
              <w:wordWrap/>
              <w:adjustRightInd w:val="0"/>
              <w:spacing w:line="360" w:lineRule="auto"/>
              <w:ind w:firstLine="482" w:firstLineChars="200"/>
              <w:textAlignment w:val="auto"/>
              <w:rPr>
                <w:rFonts w:hint="eastAsia" w:ascii="宋体" w:hAnsi="宋体" w:cs="宋体"/>
                <w:b/>
                <w:kern w:val="0"/>
                <w:sz w:val="24"/>
                <w:lang w:val="en-US" w:eastAsia="zh-CN"/>
              </w:rPr>
            </w:pPr>
            <w:r>
              <w:rPr>
                <w:rFonts w:hint="eastAsia" w:ascii="宋体" w:hAnsi="宋体" w:cs="宋体"/>
                <w:b/>
                <w:kern w:val="0"/>
                <w:sz w:val="24"/>
                <w:lang w:val="en-US" w:eastAsia="zh-CN"/>
              </w:rPr>
              <w:t>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p>
            <w:pPr>
              <w:pStyle w:val="964"/>
              <w:spacing w:line="360" w:lineRule="auto"/>
              <w:rPr>
                <w:rFonts w:hint="eastAsia" w:ascii="宋体" w:hAnsi="宋体" w:eastAsia="宋体" w:cs="Times New Roman"/>
                <w:sz w:val="24"/>
                <w:szCs w:val="22"/>
                <w:lang w:val="en-US" w:eastAsia="zh-CN" w:bidi="ar-SA"/>
              </w:rPr>
            </w:pPr>
            <w:r>
              <w:rPr>
                <w:rFonts w:hint="default" w:ascii="宋体" w:hAnsi="宋体" w:eastAsia="宋体" w:cs="宋体"/>
                <w:b/>
                <w:bCs/>
                <w:snapToGrid w:val="0"/>
                <w:color w:val="auto"/>
                <w:kern w:val="28"/>
                <w:sz w:val="24"/>
                <w:szCs w:val="24"/>
                <w:highlight w:val="none"/>
                <w:lang w:val="en-US" w:eastAsia="zh-CN" w:bidi="ar-SA"/>
              </w:rPr>
              <w:drawing>
                <wp:inline distT="0" distB="0" distL="114300" distR="114300">
                  <wp:extent cx="4021455" cy="1108075"/>
                  <wp:effectExtent l="0" t="0" r="444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lum/>
                          </a:blip>
                          <a:stretch>
                            <a:fillRect/>
                          </a:stretch>
                        </pic:blipFill>
                        <pic:spPr>
                          <a:xfrm>
                            <a:off x="0" y="0"/>
                            <a:ext cx="4021455" cy="11080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724" w:type="dxa"/>
            <w:tcBorders>
              <w:top w:val="single" w:color="000000" w:sz="8" w:space="0"/>
              <w:left w:val="single" w:color="000000" w:sz="8" w:space="0"/>
              <w:bottom w:val="single" w:color="000000" w:sz="8" w:space="0"/>
              <w:right w:val="single" w:color="000000" w:sz="8" w:space="0"/>
            </w:tcBorders>
            <w:vAlign w:val="center"/>
          </w:tcPr>
          <w:p>
            <w:pPr>
              <w:widowControl w:val="0"/>
              <w:wordWrap/>
              <w:adjustRightInd w:val="0"/>
              <w:snapToGrid w:val="0"/>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15</w:t>
            </w:r>
          </w:p>
        </w:tc>
        <w:tc>
          <w:tcPr>
            <w:tcW w:w="1843" w:type="dxa"/>
            <w:tcBorders>
              <w:top w:val="single" w:color="000000" w:sz="8" w:space="0"/>
              <w:left w:val="single" w:color="000000" w:sz="8" w:space="0"/>
              <w:bottom w:val="single" w:color="000000" w:sz="8" w:space="0"/>
              <w:right w:val="single" w:color="000000" w:sz="8" w:space="0"/>
            </w:tcBorders>
            <w:vAlign w:val="center"/>
          </w:tcPr>
          <w:p>
            <w:pPr>
              <w:widowControl w:val="0"/>
              <w:wordWrap/>
              <w:adjustRightInd w:val="0"/>
              <w:snapToGrid w:val="0"/>
              <w:spacing w:line="360" w:lineRule="auto"/>
              <w:jc w:val="center"/>
              <w:textAlignment w:val="auto"/>
              <w:rPr>
                <w:rFonts w:hint="eastAsia" w:ascii="宋体" w:hAnsi="宋体" w:eastAsia="宋体" w:cs="宋体"/>
                <w:b/>
                <w:kern w:val="2"/>
                <w:sz w:val="24"/>
                <w:szCs w:val="24"/>
                <w:lang w:val="en-US" w:eastAsia="zh-CN" w:bidi="ar-SA"/>
              </w:rPr>
            </w:pPr>
            <w:r>
              <w:rPr>
                <w:rFonts w:hint="eastAsia" w:ascii="宋体" w:hAnsi="宋体" w:eastAsia="宋体" w:cs="仿宋_GB2312"/>
                <w:b/>
                <w:color w:val="auto"/>
                <w:sz w:val="24"/>
                <w:lang w:val="en-US" w:eastAsia="zh-CN"/>
              </w:rPr>
              <w:t>纸质投标文件</w:t>
            </w:r>
          </w:p>
        </w:tc>
        <w:tc>
          <w:tcPr>
            <w:tcW w:w="6503" w:type="dxa"/>
            <w:tcBorders>
              <w:top w:val="single" w:color="000000" w:sz="8" w:space="0"/>
              <w:left w:val="single" w:color="000000" w:sz="8" w:space="0"/>
              <w:bottom w:val="single" w:color="000000" w:sz="8" w:space="0"/>
              <w:right w:val="single" w:color="000000" w:sz="8" w:space="0"/>
            </w:tcBorders>
            <w:vAlign w:val="center"/>
          </w:tcPr>
          <w:p>
            <w:pPr>
              <w:widowControl w:val="0"/>
              <w:wordWrap/>
              <w:adjustRightInd w:val="0"/>
              <w:spacing w:line="360" w:lineRule="auto"/>
              <w:textAlignment w:val="auto"/>
              <w:rPr>
                <w:rFonts w:hint="eastAsia" w:ascii="宋体" w:hAnsi="宋体" w:eastAsia="宋体" w:cs="宋体"/>
                <w:b/>
                <w:bCs/>
                <w:snapToGrid w:val="0"/>
                <w:kern w:val="28"/>
                <w:sz w:val="24"/>
                <w:szCs w:val="24"/>
                <w:lang w:val="en-US" w:eastAsia="zh-CN" w:bidi="ar-SA"/>
              </w:rPr>
            </w:pPr>
            <w:r>
              <w:rPr>
                <w:rFonts w:hint="eastAsia" w:ascii="宋体" w:hAnsi="宋体" w:eastAsia="宋体" w:cs="宋体"/>
                <w:b/>
                <w:bCs/>
                <w:snapToGrid w:val="0"/>
                <w:color w:val="auto"/>
                <w:kern w:val="28"/>
                <w:sz w:val="24"/>
                <w:lang w:val="en-US" w:eastAsia="zh-CN"/>
              </w:rPr>
              <w:t xml:space="preserve">中标单位需在领取中标通知书时，提供本项目纸质投标文件（资格文件”、“报价文件”和“商务技术文件”） </w:t>
            </w:r>
            <w:r>
              <w:rPr>
                <w:rFonts w:hint="eastAsia" w:ascii="宋体" w:hAnsi="宋体" w:cs="宋体"/>
                <w:b/>
                <w:bCs/>
                <w:snapToGrid w:val="0"/>
                <w:color w:val="auto"/>
                <w:kern w:val="28"/>
                <w:sz w:val="24"/>
                <w:lang w:val="en-US" w:eastAsia="zh-CN"/>
              </w:rPr>
              <w:t>三</w:t>
            </w:r>
            <w:r>
              <w:rPr>
                <w:rFonts w:hint="eastAsia" w:ascii="宋体" w:hAnsi="宋体" w:eastAsia="宋体" w:cs="宋体"/>
                <w:b/>
                <w:bCs/>
                <w:snapToGrid w:val="0"/>
                <w:color w:val="auto"/>
                <w:kern w:val="28"/>
                <w:sz w:val="24"/>
                <w:lang w:val="en-US" w:eastAsia="zh-CN"/>
              </w:rPr>
              <w:t>份（正本一份，副本</w:t>
            </w:r>
            <w:r>
              <w:rPr>
                <w:rFonts w:hint="eastAsia" w:ascii="宋体" w:hAnsi="宋体" w:cs="宋体"/>
                <w:b/>
                <w:bCs/>
                <w:snapToGrid w:val="0"/>
                <w:color w:val="auto"/>
                <w:kern w:val="28"/>
                <w:sz w:val="24"/>
                <w:lang w:val="en-US" w:eastAsia="zh-CN"/>
              </w:rPr>
              <w:t>二</w:t>
            </w:r>
            <w:r>
              <w:rPr>
                <w:rFonts w:hint="eastAsia" w:ascii="宋体" w:hAnsi="宋体" w:eastAsia="宋体" w:cs="宋体"/>
                <w:b/>
                <w:bCs/>
                <w:snapToGrid w:val="0"/>
                <w:color w:val="auto"/>
                <w:kern w:val="28"/>
                <w:sz w:val="24"/>
                <w:lang w:val="en-US" w:eastAsia="zh-CN"/>
              </w:rPr>
              <w:t>份）并提供电子投标文件与纸质投标文件内容一致承诺书三份（格式自拟）。</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hint="eastAsia" w:ascii="宋体" w:hAnsi="宋体" w:cs="宋体"/>
          <w:b/>
          <w:sz w:val="32"/>
          <w:szCs w:val="20"/>
        </w:rPr>
      </w:pPr>
      <w:bookmarkStart w:id="11" w:name="_Toc164416483"/>
      <w:bookmarkStart w:id="12" w:name="第三部分"/>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pPr>
      <w:r>
        <w:rPr>
          <w:rFonts w:hint="eastAsia"/>
        </w:rPr>
        <w:t>质疑函范本及制作说明详见附件2。</w:t>
      </w:r>
    </w:p>
    <w:p>
      <w:pPr>
        <w:pStyle w:val="88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8"/>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8"/>
        <w:shd w:val="clear" w:color="auto" w:fill="FFFFFF"/>
        <w:snapToGrid w:val="0"/>
        <w:spacing w:after="0" w:afterAutospacing="0" w:line="360" w:lineRule="auto"/>
        <w:ind w:firstLine="400"/>
        <w:contextualSpacing/>
      </w:pPr>
      <w:r>
        <w:rPr>
          <w:rFonts w:hint="eastAsia"/>
        </w:rPr>
        <w:t>投诉书范本及制作说明详见附件3。</w:t>
      </w:r>
    </w:p>
    <w:p>
      <w:pPr>
        <w:spacing w:beforeAutospacing="0"/>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rPr>
          <w:lang w:val="en-US"/>
        </w:rPr>
      </w:pPr>
      <w:r>
        <w:rPr>
          <w:rFonts w:hint="eastAsia"/>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color w:val="auto"/>
          <w:sz w:val="24"/>
          <w:szCs w:val="24"/>
        </w:rPr>
      </w:pPr>
      <w:r>
        <w:rPr>
          <w:rFonts w:hint="eastAsia" w:hAnsi="宋体" w:cs="宋体"/>
          <w:sz w:val="24"/>
          <w:szCs w:val="24"/>
        </w:rPr>
        <w:t>采购人组织潜在投标人现场考察或者召开开标前答疑会的，潜在投标人按第二部分投</w:t>
      </w:r>
      <w:r>
        <w:rPr>
          <w:rFonts w:hint="eastAsia" w:hAnsi="宋体" w:cs="宋体"/>
          <w:color w:val="auto"/>
          <w:sz w:val="24"/>
          <w:szCs w:val="24"/>
        </w:rPr>
        <w:t>标人须知前附表的规定参加现场考察或者开标前答疑会。</w:t>
      </w:r>
    </w:p>
    <w:p>
      <w:pPr>
        <w:pStyle w:val="33"/>
        <w:spacing w:line="360" w:lineRule="auto"/>
        <w:rPr>
          <w:rFonts w:hAnsi="宋体" w:cs="宋体"/>
          <w:b/>
          <w:color w:val="auto"/>
          <w:szCs w:val="24"/>
        </w:rPr>
      </w:pPr>
      <w:r>
        <w:rPr>
          <w:rFonts w:hint="eastAsia" w:hAnsi="宋体" w:cs="宋体"/>
          <w:b/>
          <w:color w:val="auto"/>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3"/>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5" w:name="_Hlt74714665"/>
      <w:bookmarkEnd w:id="15"/>
      <w:bookmarkStart w:id="16" w:name="_Hlt74730295"/>
      <w:bookmarkEnd w:id="16"/>
      <w:bookmarkStart w:id="17" w:name="_Hlt75236290"/>
      <w:bookmarkEnd w:id="17"/>
      <w:bookmarkStart w:id="18" w:name="_Hlt74707468"/>
      <w:bookmarkEnd w:id="18"/>
      <w:bookmarkStart w:id="19" w:name="_Hlt74729768"/>
      <w:bookmarkEnd w:id="19"/>
      <w:bookmarkStart w:id="20" w:name="_Hlt75236011"/>
      <w:bookmarkEnd w:id="20"/>
      <w:bookmarkStart w:id="21" w:name="_Hlt75236101"/>
      <w:bookmarkEnd w:id="21"/>
      <w:bookmarkStart w:id="22" w:name="_Hlt68403820"/>
      <w:bookmarkEnd w:id="22"/>
      <w:bookmarkStart w:id="23" w:name="_Hlt68073093"/>
      <w:bookmarkEnd w:id="23"/>
      <w:bookmarkStart w:id="24" w:name="_Hlt68072990"/>
      <w:bookmarkEnd w:id="24"/>
      <w:bookmarkStart w:id="25" w:name="_Hlt68072998"/>
      <w:bookmarkEnd w:id="25"/>
      <w:bookmarkStart w:id="26" w:name="_Hlt68057669"/>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一、采购项目概述</w:t>
      </w:r>
    </w:p>
    <w:p>
      <w:pPr>
        <w:keepNext w:val="0"/>
        <w:keepLines w:val="0"/>
        <w:pageBreakBefore w:val="0"/>
        <w:widowControl w:val="0"/>
        <w:kinsoku/>
        <w:wordWrap/>
        <w:overflowPunct/>
        <w:topLinePunct w:val="0"/>
        <w:autoSpaceDE/>
        <w:autoSpaceDN/>
        <w:bidi w:val="0"/>
        <w:snapToGrid/>
        <w:spacing w:line="360" w:lineRule="auto"/>
        <w:ind w:firstLine="470" w:firstLineChars="19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为“交钥匙”项目，采购内容包括物资的采购、运输、装卸和相关维护等。投标报价应包括物资配送过程中需要配置的各种设备运输、装卸搬运、人工等费用及售后服务费、有关部门的验收费、政策性文件规定及合同包含的所有费用、责任等各项全部费用。</w:t>
      </w:r>
    </w:p>
    <w:p>
      <w:pPr>
        <w:keepNext w:val="0"/>
        <w:keepLines w:val="0"/>
        <w:pageBreakBefore w:val="0"/>
        <w:widowControl w:val="0"/>
        <w:numPr>
          <w:ilvl w:val="0"/>
          <w:numId w:val="1"/>
        </w:numPr>
        <w:kinsoku/>
        <w:wordWrap/>
        <w:overflowPunct/>
        <w:topLinePunct w:val="0"/>
        <w:autoSpaceDE/>
        <w:autoSpaceDN/>
        <w:bidi w:val="0"/>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采购清单（仅供参考）：</w:t>
      </w:r>
    </w:p>
    <w:p>
      <w:pPr>
        <w:keepNext w:val="0"/>
        <w:keepLines w:val="0"/>
        <w:pageBreakBefore w:val="0"/>
        <w:widowControl w:val="0"/>
        <w:kinsoku/>
        <w:wordWrap/>
        <w:overflowPunct/>
        <w:topLinePunct w:val="0"/>
        <w:autoSpaceDE/>
        <w:autoSpaceDN/>
        <w:bidi w:val="0"/>
        <w:snapToGrid/>
        <w:spacing w:line="360" w:lineRule="auto"/>
        <w:ind w:firstLine="470" w:firstLineChars="196"/>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1、蔬菜：冬瓜、花菜、茄子、青菜、西红柿、黄瓜、莴苣笋、芹菜、萝卜、毛豆、四季豆、大白菜、菠菜、茭白、包心菜、海带、蘑菇、豆芽等其他蔬</w:t>
      </w:r>
      <w:r>
        <w:rPr>
          <w:rFonts w:hint="eastAsia" w:ascii="宋体" w:hAnsi="宋体" w:eastAsia="宋体" w:cs="宋体"/>
          <w:sz w:val="24"/>
          <w:szCs w:val="24"/>
          <w:highlight w:val="none"/>
          <w:lang w:val="en-US" w:eastAsia="zh-CN"/>
        </w:rPr>
        <w:t>菜</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snapToGrid/>
        <w:spacing w:line="360" w:lineRule="auto"/>
        <w:ind w:firstLine="470" w:firstLineChars="196"/>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2、水产：包头鱼、鲫鱼、黑鱼、草鱼、明虾、鲢鱼、冷冻鱼虾类等其他水产。</w:t>
      </w:r>
    </w:p>
    <w:p>
      <w:pPr>
        <w:keepNext w:val="0"/>
        <w:keepLines w:val="0"/>
        <w:pageBreakBefore w:val="0"/>
        <w:widowControl w:val="0"/>
        <w:kinsoku/>
        <w:wordWrap/>
        <w:overflowPunct/>
        <w:topLinePunct w:val="0"/>
        <w:autoSpaceDE/>
        <w:autoSpaceDN/>
        <w:bidi w:val="0"/>
        <w:snapToGrid/>
        <w:spacing w:line="360" w:lineRule="auto"/>
        <w:ind w:firstLine="470" w:firstLineChars="196"/>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3、水果：西瓜、梨、油桃、苹果、橘子等其他水果。</w:t>
      </w:r>
    </w:p>
    <w:p>
      <w:pPr>
        <w:keepNext w:val="0"/>
        <w:keepLines w:val="0"/>
        <w:pageBreakBefore w:val="0"/>
        <w:widowControl w:val="0"/>
        <w:kinsoku/>
        <w:wordWrap/>
        <w:overflowPunct/>
        <w:topLinePunct w:val="0"/>
        <w:autoSpaceDE/>
        <w:autoSpaceDN/>
        <w:bidi w:val="0"/>
        <w:snapToGrid/>
        <w:spacing w:line="360" w:lineRule="auto"/>
        <w:ind w:firstLine="470" w:firstLineChars="196"/>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4、肉类：猪肉、牛肉、羊肉、精大排、夹心肉、 猪爪、猪油、鲜肉、冷冻肉等各类新鲜、冷冻肉类。</w:t>
      </w:r>
    </w:p>
    <w:p>
      <w:pPr>
        <w:keepNext w:val="0"/>
        <w:keepLines w:val="0"/>
        <w:pageBreakBefore w:val="0"/>
        <w:widowControl w:val="0"/>
        <w:kinsoku/>
        <w:wordWrap/>
        <w:overflowPunct/>
        <w:topLinePunct w:val="0"/>
        <w:autoSpaceDE/>
        <w:autoSpaceDN/>
        <w:bidi w:val="0"/>
        <w:snapToGrid/>
        <w:spacing w:line="360" w:lineRule="auto"/>
        <w:ind w:firstLine="470" w:firstLineChars="196"/>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5、禽蛋类：蛋类、鸡、鸭、鹅、鸡腿、鸡翅、鸡尖、酱鸭、鸭舌等其他禽类、蛋类。</w:t>
      </w:r>
    </w:p>
    <w:p>
      <w:pPr>
        <w:keepNext w:val="0"/>
        <w:keepLines w:val="0"/>
        <w:pageBreakBefore w:val="0"/>
        <w:widowControl w:val="0"/>
        <w:kinsoku/>
        <w:wordWrap/>
        <w:overflowPunct/>
        <w:topLinePunct w:val="0"/>
        <w:autoSpaceDE/>
        <w:autoSpaceDN/>
        <w:bidi w:val="0"/>
        <w:snapToGrid/>
        <w:spacing w:line="360" w:lineRule="auto"/>
        <w:ind w:firstLine="470" w:firstLineChars="196"/>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6、豆制品类：豆腐、油豆腐、千张结、油干、豆腐干等。</w:t>
      </w:r>
    </w:p>
    <w:p>
      <w:pPr>
        <w:keepNext w:val="0"/>
        <w:keepLines w:val="0"/>
        <w:pageBreakBefore w:val="0"/>
        <w:widowControl w:val="0"/>
        <w:kinsoku/>
        <w:wordWrap/>
        <w:overflowPunct/>
        <w:topLinePunct w:val="0"/>
        <w:autoSpaceDE/>
        <w:autoSpaceDN/>
        <w:bidi w:val="0"/>
        <w:snapToGrid/>
        <w:spacing w:line="360" w:lineRule="auto"/>
        <w:ind w:firstLine="470" w:firstLineChars="196"/>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7、干货、调味品类：盐、酱油、醋、味精、料酒、食用油、菜油、豆瓣酱、料酒、白糖、腌冬菜、腌萝卜条、榨菜、酱黄瓜、咸鸭蛋、什锦菜等其他类别。</w:t>
      </w:r>
    </w:p>
    <w:p>
      <w:pPr>
        <w:keepNext w:val="0"/>
        <w:keepLines w:val="0"/>
        <w:pageBreakBefore w:val="0"/>
        <w:widowControl w:val="0"/>
        <w:kinsoku/>
        <w:wordWrap/>
        <w:overflowPunct/>
        <w:topLinePunct w:val="0"/>
        <w:autoSpaceDE/>
        <w:autoSpaceDN/>
        <w:bidi w:val="0"/>
        <w:snapToGrid/>
        <w:spacing w:line="360" w:lineRule="auto"/>
        <w:ind w:firstLine="470" w:firstLineChars="196"/>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8、副食品：糖果、罐头、牛奶、饼干、糕点等副食品。</w:t>
      </w:r>
    </w:p>
    <w:p>
      <w:pPr>
        <w:keepNext w:val="0"/>
        <w:keepLines w:val="0"/>
        <w:pageBreakBefore w:val="0"/>
        <w:widowControl w:val="0"/>
        <w:kinsoku/>
        <w:wordWrap/>
        <w:overflowPunct/>
        <w:topLinePunct w:val="0"/>
        <w:autoSpaceDE/>
        <w:autoSpaceDN/>
        <w:bidi w:val="0"/>
        <w:snapToGrid/>
        <w:spacing w:line="360" w:lineRule="auto"/>
        <w:ind w:firstLine="470" w:firstLineChars="196"/>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9、主食类：粗粮、大米、面粉、米粉等主食类。</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三、服务要求：</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1、蔬菜类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1、感官要求：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所供蔬菜应具有新鲜蔬菜原有的特性，成熟度适中，新鲜脆嫩，色泽良好，形态正常，个体均匀。外观清洁，无腐烂、无霉变、无异味，无影响食用的病虫害状及机械损伤。</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2、具体要求如下：</w:t>
      </w:r>
    </w:p>
    <w:tbl>
      <w:tblPr>
        <w:tblStyle w:val="62"/>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5"/>
        <w:gridCol w:w="3511"/>
        <w:gridCol w:w="4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85"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类 型</w:t>
            </w:r>
          </w:p>
        </w:tc>
        <w:tc>
          <w:tcPr>
            <w:tcW w:w="3511"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品种名称</w:t>
            </w:r>
          </w:p>
        </w:tc>
        <w:tc>
          <w:tcPr>
            <w:tcW w:w="4029"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感官要求（包括但不限于以下内容）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85"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绿叶菜类</w:t>
            </w:r>
          </w:p>
        </w:tc>
        <w:tc>
          <w:tcPr>
            <w:tcW w:w="3511"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青菜、芹菜、大白菜、生菜、包草、大菠菜、空心菜、青苋菜、韭菜、蒜苗等</w:t>
            </w:r>
          </w:p>
        </w:tc>
        <w:tc>
          <w:tcPr>
            <w:tcW w:w="4029"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肉质鲜嫩，形态好，色泽正常；茎基部削平；无花蕾或开花、包菜紧致，菠菜可带根。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85"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水生蔬菜类</w:t>
            </w:r>
          </w:p>
        </w:tc>
        <w:tc>
          <w:tcPr>
            <w:tcW w:w="3511"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茭白、鲜藕、马蹄等</w:t>
            </w:r>
          </w:p>
        </w:tc>
        <w:tc>
          <w:tcPr>
            <w:tcW w:w="4029"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水份充足，饱满，肉洁白脆嫩，无腐烂、干枯、泥多发软。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85"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根茎菜类</w:t>
            </w:r>
          </w:p>
        </w:tc>
        <w:tc>
          <w:tcPr>
            <w:tcW w:w="3511"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长萝卜、白萝卜、番薯、小葱、洋葱、京葱、青大蒜、芋、姜等</w:t>
            </w:r>
          </w:p>
        </w:tc>
        <w:tc>
          <w:tcPr>
            <w:tcW w:w="4029"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表面光滑、条直匀称，粗壮、碛实，肉质甜脆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85"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瓜类</w:t>
            </w:r>
          </w:p>
        </w:tc>
        <w:tc>
          <w:tcPr>
            <w:tcW w:w="3511"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黄瓜、西南瓜、丝瓜、青南瓜、日本南瓜、老南瓜、佛手瓜、冬    瓜、长瓜、苦瓜等</w:t>
            </w:r>
          </w:p>
        </w:tc>
        <w:tc>
          <w:tcPr>
            <w:tcW w:w="4029"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颜色淡绿色，有光泽，有一定硬度，无弹性，皮薄，肉洁白鲜嫩，瓜形周正，无断裂、划伤、软烂、干皱、畸形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85"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豆类</w:t>
            </w:r>
          </w:p>
        </w:tc>
        <w:tc>
          <w:tcPr>
            <w:tcW w:w="3511"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四季豆、豇豆、新土豆、大土豆、    光土豆、芸豆等</w:t>
            </w:r>
          </w:p>
        </w:tc>
        <w:tc>
          <w:tcPr>
            <w:tcW w:w="4029"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颜色青绿、豆荚饱满，剥开后豆粒呈淡绿色，完整有清香，  无受潮、虫洞、软烂、发黄、发黑、豆粒瘪而小有异昧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85"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茄果类</w:t>
            </w:r>
          </w:p>
        </w:tc>
        <w:tc>
          <w:tcPr>
            <w:tcW w:w="3511"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番茄、茄子、小尖椒、大尖椒、</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园椒、红椒、青椒等</w:t>
            </w:r>
          </w:p>
        </w:tc>
        <w:tc>
          <w:tcPr>
            <w:tcW w:w="4029"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色正，有光泽，表面光滑，饱满有一定硬度及弹性，无腐烂、干尖、皱纹、断裂、于软、泥土整齐，无烂果、异味、病虫和明显机械损伤。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85"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食用菌类</w:t>
            </w:r>
          </w:p>
        </w:tc>
        <w:tc>
          <w:tcPr>
            <w:tcW w:w="3511"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香菇、平菇等</w:t>
            </w:r>
          </w:p>
        </w:tc>
        <w:tc>
          <w:tcPr>
            <w:tcW w:w="4029"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菌身完整、大小均匀，菌盖与柄、菌环相连未展开，根短，  无发霉、潮湿、粘手、水浸、杂质、菌盖边缘裂开、盖柄脱离、色黄、黄斑</w:t>
            </w:r>
          </w:p>
        </w:tc>
      </w:tr>
    </w:tbl>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1）以上蔬菜品种为常规采购品种，不排除有采购所列品种之外蔬菜的可能，若采购其他品种蔬菜，需满足采购人实际需求；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2）所供蔬菜的规格大小按市场行情确定；符合无公害无公害农产品国家标准(《新鲜蔬菜卫生标准》GB/T5009.38-2003)；</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基本要求：大小均匀，颜色自然有光泽，质地鲜嫩纯净，饱满清洁，不枯萎、干瘪、苍老等，无病斑、虫蚀、发霉、变色、异味、淤泥、杂质和滴水现象，无污染、残缺、变质等；原产地分类预包装，整齐统一；提供有害物质残留检测报告；</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3、安全卫生要求：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1）中华人民共和国食品卫生法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2）中华人民共和国进出口商品检验法及其实施条例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3）中华人民共和国动植物检疫法及其实施条例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4）污染物残留限量指标应符合《食品中污染物的限量》GB 2762要求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5）农药残留限量指标应符合《食品中农药的最大残留限量》GB 2763和《农产品安全质量无公害蔬菜安全要求》GB18406.1的要求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6）定量包装的蔬菜净含量的允许短缺量按国家质检总局【2005】第7}号令《定量包装商品计量监督管理办法》规定</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7）其他可能适用于本招标文件采购内容的法规及质量标准。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如遇法律法规、标准等对同一问题的处理出现歧义或不一致时，一律就高不就低。上述所有标准、规范均由成交人自备，采购人不另行提供。</w:t>
      </w:r>
    </w:p>
    <w:p>
      <w:pPr>
        <w:pageBreakBefore w:val="0"/>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rPr>
      </w:pPr>
      <w:r>
        <w:rPr>
          <w:rFonts w:hint="eastAsia" w:ascii="宋体" w:hAnsi="宋体" w:eastAsia="宋体" w:cs="宋体"/>
          <w:b/>
          <w:bCs/>
          <w:sz w:val="24"/>
          <w:szCs w:val="24"/>
        </w:rPr>
        <w:t>2、水产类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1、具体要求如下：</w:t>
      </w:r>
    </w:p>
    <w:tbl>
      <w:tblPr>
        <w:tblStyle w:val="62"/>
        <w:tblW w:w="9250" w:type="dxa"/>
        <w:tblInd w:w="-232" w:type="dxa"/>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Layout w:type="fixed"/>
        <w:tblCellMar>
          <w:top w:w="0" w:type="dxa"/>
          <w:left w:w="108" w:type="dxa"/>
          <w:bottom w:w="0" w:type="dxa"/>
          <w:right w:w="108" w:type="dxa"/>
        </w:tblCellMar>
      </w:tblPr>
      <w:tblGrid>
        <w:gridCol w:w="790"/>
        <w:gridCol w:w="2620"/>
        <w:gridCol w:w="4240"/>
        <w:gridCol w:w="1600"/>
      </w:tblGrid>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680" w:hRule="atLeast"/>
        </w:trPr>
        <w:tc>
          <w:tcPr>
            <w:tcW w:w="790"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2620"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采购内容</w:t>
            </w:r>
          </w:p>
        </w:tc>
        <w:tc>
          <w:tcPr>
            <w:tcW w:w="4240"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执行标准及技术要求</w:t>
            </w:r>
          </w:p>
        </w:tc>
        <w:tc>
          <w:tcPr>
            <w:tcW w:w="1600"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供应时间及供应量</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680" w:hRule="atLeast"/>
        </w:trPr>
        <w:tc>
          <w:tcPr>
            <w:tcW w:w="790"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620"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草鱼、鲫鱼、鲈鱼、花蛤、汪刺鱼、白条、黑鱼、蛏子、明虾、白鲢鱼、鳊鱼、鳙鱼等水产类或各类速冻海水产品</w:t>
            </w:r>
          </w:p>
        </w:tc>
        <w:tc>
          <w:tcPr>
            <w:tcW w:w="4240"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鲜活产品在水中游动自如,反应敏捷，无伤残、无畸形、无病害；鳞片完整无损，无皮下出血现象及红色鳞片，速冻海水产品等均符合国家《GB 2763-2014 食品安全国家标准 食品中农药最大残留限量》及其他相关标准。</w:t>
            </w:r>
          </w:p>
        </w:tc>
        <w:tc>
          <w:tcPr>
            <w:tcW w:w="1600"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按采购人通知及时按量供应</w:t>
            </w:r>
          </w:p>
        </w:tc>
      </w:tr>
    </w:tbl>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采购人按需采购水产类，供应商必须满足采购人实际需求；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1）鲜活水产质量要求：鲜活，感官检验、化学检验、添加剂检验、有害金属的检验均符合要求。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2）速冻海水产品等符合国家《GB 2763-2014 食品安全国家标准 食品中农药最大残留限量》及其他相关标准。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标单位必须讲诚信，讲究职业道德，所供货物不得以次充好，不得将病死、残剩等不合格品掺杂其中，一经发现，取消其供货资格，没收全部履约金，并承担由此造成的一切后果，如构成违法，将依法追求其法律责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2、安全卫生要求：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1）中华人民共和国食品卫生法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2）中华人民共和国进出口商品检验法及其实施条例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3）中华人民共和国动植物检疫法及其实施条例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4）中华人民共和国动物防疫法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 《GB 2763-2014 食品安全国家标准 食品中农药最大残留限量》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6）其他可能适用于本招标文件采购内容的法规及质量标准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如遇法律法规、标准等对同一问题的处理出现歧义或不一致时，一律就高不就低。上述所有标准、规范均由中标人自备，招标人不另行提供。</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3、水果类</w:t>
      </w:r>
      <w:r>
        <w:rPr>
          <w:rFonts w:hint="eastAsia" w:ascii="宋体" w:hAnsi="宋体" w:eastAsia="宋体" w:cs="宋体"/>
          <w:sz w:val="24"/>
          <w:szCs w:val="24"/>
        </w:rPr>
        <w:t xml:space="preserve">  </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1、具体要求如下：</w:t>
      </w:r>
    </w:p>
    <w:tbl>
      <w:tblPr>
        <w:tblStyle w:val="62"/>
        <w:tblW w:w="89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2"/>
        <w:gridCol w:w="2909"/>
        <w:gridCol w:w="52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290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采购内容</w:t>
            </w:r>
          </w:p>
        </w:tc>
        <w:tc>
          <w:tcPr>
            <w:tcW w:w="520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82" w:type="dxa"/>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909" w:type="dxa"/>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各类水果类</w:t>
            </w:r>
          </w:p>
        </w:tc>
        <w:tc>
          <w:tcPr>
            <w:tcW w:w="520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符合SB/T 11024-2013 新鲜水果分类与代码</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符合GB 2712-2014 食品安全国家标准</w:t>
            </w:r>
          </w:p>
        </w:tc>
      </w:tr>
    </w:tbl>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1）采购人按需采购各类新鲜水果，供应商必须满足采购人实际需求。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2）质量要求：新鲜，感官检验、化学检验均符合要求。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标单位必须讲诚信，讲究职业道德，所供货物不得以次充好，不得将残剩等不合格品掺杂其中，一经发现，取消其供货资格，没收全部履约金，并承担由此造成的一切后果，如构成违法，将依法追求其法律责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2、安全卫生要求：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1）中华人民共和国食品卫生法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2）中华人民共和国进出口商品检验法及其实施条例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3）中华人民共和国动植物检疫法及其实施条例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 《GB 2763-2014 食品安全国家标准 食品中农药最大残留限量》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5）其他可能适用于本招标文件采购内容的法规及质量标准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如遇法律法规、标准等对同一问题的处理出现歧义或不一致时，一律就高不就低。上述所有标准、规范均由中标人自备，招标人不另行提供。遇国家修改标准，自新标准施行之日超采用新标准。</w:t>
      </w:r>
    </w:p>
    <w:p>
      <w:pPr>
        <w:pStyle w:val="964"/>
        <w:pageBreakBefore w:val="0"/>
        <w:kinsoku/>
        <w:wordWrap/>
        <w:overflowPunct/>
        <w:topLinePunct w:val="0"/>
        <w:autoSpaceDE/>
        <w:autoSpaceDN/>
        <w:bidi w:val="0"/>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rPr>
        <w:t>4、</w:t>
      </w:r>
      <w:r>
        <w:rPr>
          <w:rFonts w:hint="eastAsia" w:ascii="宋体" w:hAnsi="宋体" w:eastAsia="宋体" w:cs="宋体"/>
          <w:b/>
          <w:bCs/>
          <w:sz w:val="24"/>
          <w:szCs w:val="24"/>
        </w:rPr>
        <w:t>肉类：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1、具体要求如下：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1）采购方按需采购分割肉类或各种冻品肉类，供应商必须满足采购方实际需求。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2）冷鲜肉品质量要求：新鲜、冷鲜肉，不注水，肉上有屠宰场经质量检验合格的滚花，提供所供当批次的动物检疫和肉的肉品品质检验合格证。并按采购方要求的分割肉类别按时供应。</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3）冻品质量要求：感官检验、化学检验、添加剂检验、有害金属的检验均符合要求。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中标单位必须讲诚信，讲究职业道德，所供货物必须为原厂产品原包装，如有假冒伪劣产品，一经发现，取消其供货资格，没收全部履约保证金，并承担由此造成的一切后果，如构成违法，将依法追求其法律责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中标单位的所供货物不得以次充好，不得将病死、残剩肉、老母猪肉等不合格品掺杂其中，一经发现，取消其供货资格，没收全部履约保证金，并承担由此造成的一切后果，如构成违法，将依法追求其法律责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2、安全卫生要求：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1）中华人民共和国食品卫生法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2）中华人民共和国进出口商品检验法及其实施条例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3）中华人民共和国动植物检疫法及其实施条例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4）中华人民共和国动物防疫法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 畜肉安全检验指标要求（GB18406.3-2001）</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 鲜畜肉卫生标准（GB 2707-2005 ）</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7）鲜片猪肉（GB 9959.1-2001）</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8）分割鲜猪瘦肉（GB 9959.2-2001）</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9）《GB 2763-2014 食品安全国家标准 食品中农药最大残留限量》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10）其他可能适用于本招标文件采购内容的法规及质量标准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如遇法律法规、标准等对同一问题的处理出现歧义或不一致时，一律就高不就低。上述所有标准、规范均由中标人自备，采购方不另行提供。</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5、禽蛋类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1、具体要求如下：</w:t>
      </w:r>
    </w:p>
    <w:tbl>
      <w:tblPr>
        <w:tblStyle w:val="62"/>
        <w:tblW w:w="89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4"/>
        <w:gridCol w:w="2935"/>
        <w:gridCol w:w="52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29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采购内容</w:t>
            </w:r>
          </w:p>
        </w:tc>
        <w:tc>
          <w:tcPr>
            <w:tcW w:w="52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84" w:type="dxa"/>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935" w:type="dxa"/>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杀白鸡、鸭及蛋与相关禽类冻品</w:t>
            </w:r>
          </w:p>
        </w:tc>
        <w:tc>
          <w:tcPr>
            <w:tcW w:w="52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符合《冷鲜禽加工经营卫生规范》要求及《鲜、冻禽产品》国家标准（GB16869－2005）</w:t>
            </w:r>
          </w:p>
        </w:tc>
      </w:tr>
    </w:tbl>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1）采购人按需采购禽蛋类，供应商必须满足采购人实际需求。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2）杀白禽类质量要求：新鲜，感官检验、化学检验均符合要求。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冻禽质量标准：①产品无变质、无异味、无腐败、无杂质；②产品无过保质期；③产品非病死禽、畜制品；④产品应经检验、检疫合格；⑤产品不得超过国家食品卫生法规规定的指标；⑥所有物资产品需有相关检验、检疫及相关合格证明。⑦包装规格统一，完好无破损。有明确保质期的，在送达采购人要求地点时保质期剩余时间应在二分之一以上。禽类肌肉有光泽，红色或暗红色，脂肪白色。畜类体表光泽、肌肉坚实。所有冷冻食品均不得为二次化冰食品。</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中标单位必须讲诚信，讲究职业道德，所供货物不得以次充好，不得将病死、残剩等不合格品掺杂其中，一经发现，取消其供货资格，没收全部履约金，并承担由此造成的一切后果，如构成违法，将依法追求其法律责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2、安全卫生要求：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1）中华人民共和国食品卫生法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2）中华人民共和国进出口商品检验法及其实施条例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3）中华人民共和国动植物检疫法及其实施条例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4）中华人民共和国动物防疫法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 《GB 2763-2014 食品安全国家标准 食品中农药最大残留限量》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6）冻禽产品应符合《鲜、冻禽产品》国家标准（GB16869－2005），其他冻品应符合相应国家标准。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7）其他可能适用于本招标文件采购内容的法规及质量标准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如遇法律法规、标准等对同一问题的处理出现歧义或不一致时，一律就高不就低。上述所有标准、规范均由中标人自备，招标人不另行提供。遇国家修改标准，自新标准施行之日超采用新标准。</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6、干货、调味品类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具体要求如下：</w:t>
      </w:r>
    </w:p>
    <w:tbl>
      <w:tblPr>
        <w:tblStyle w:val="62"/>
        <w:tblW w:w="9144" w:type="dxa"/>
        <w:jc w:val="center"/>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Layout w:type="fixed"/>
        <w:tblCellMar>
          <w:top w:w="0" w:type="dxa"/>
          <w:left w:w="108" w:type="dxa"/>
          <w:bottom w:w="0" w:type="dxa"/>
          <w:right w:w="108" w:type="dxa"/>
        </w:tblCellMar>
      </w:tblPr>
      <w:tblGrid>
        <w:gridCol w:w="2417"/>
        <w:gridCol w:w="6727"/>
      </w:tblGrid>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680" w:hRule="atLeast"/>
          <w:jc w:val="center"/>
        </w:trPr>
        <w:tc>
          <w:tcPr>
            <w:tcW w:w="2417"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采购内容</w:t>
            </w:r>
          </w:p>
        </w:tc>
        <w:tc>
          <w:tcPr>
            <w:tcW w:w="6727"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执行标准及技术要求</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680" w:hRule="atLeast"/>
          <w:jc w:val="center"/>
        </w:trPr>
        <w:tc>
          <w:tcPr>
            <w:tcW w:w="2417"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普通调味品类</w:t>
            </w:r>
          </w:p>
        </w:tc>
        <w:tc>
          <w:tcPr>
            <w:tcW w:w="6727"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酱油、盐、鸡精、米醋、酱、料酒、调料、淀粉、酵母、糖等，各项产品符合《GB 2763-2014 食品安全国家标准》及其他相关标准。</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680" w:hRule="atLeast"/>
          <w:jc w:val="center"/>
        </w:trPr>
        <w:tc>
          <w:tcPr>
            <w:tcW w:w="2417" w:type="dxa"/>
            <w:tcBorders>
              <w:tl2br w:val="nil"/>
              <w:tr2bl w:val="nil"/>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油</w:t>
            </w:r>
          </w:p>
        </w:tc>
        <w:tc>
          <w:tcPr>
            <w:tcW w:w="6727" w:type="dxa"/>
            <w:tcBorders>
              <w:tl2br w:val="nil"/>
              <w:tr2bl w:val="nil"/>
            </w:tcBorders>
            <w:vAlign w:val="center"/>
          </w:tcPr>
          <w:p>
            <w:pPr>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符合GB／T 17756—1999的标准</w:t>
            </w:r>
          </w:p>
          <w:p>
            <w:pPr>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符合食品卫生要求的产品，每批次货物提供必要的质量证明材料。如遇法律法规、标准变化，导致对同一问题的处理出现歧义或不一致时，一律就高不就低。</w:t>
            </w:r>
          </w:p>
        </w:tc>
      </w:tr>
    </w:tbl>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1）采购人按需采购各类调味品，供应商必须满足采购人实际需求。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2）质量要求：生产日期、质保期及包装、卫生标准符合要求。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3）中标单位必须讲诚信，讲究职业道德，所供货物不得以次充好，不得将不合格品掺杂其中，一经发现，取消其供货资格，没收全部履约金，并承担由此造成的一切后果，如构成违法，将依法追求其法律责任。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2、安全卫生要求：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1）中华人民共和国食品卫生法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2）中华人民共和国进出口商品检验法及其实施条例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3）中华人民共和国动植物检疫法及其实施条例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 《GB 2763-2014 食品安全国家标准 食品中农药最大残留限量》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5）其他可能适用于本招标文件采购内容的法规及质量标准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如遇法律法规、标准等对同一问题的处理出现歧义或不一致时，一律就高不就低。上述所有标准、规范均由中标人自备，招标人不另行提供。遇国家修改标准，自新标准施行之日超采用新标准。</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7、副食品类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1、具体要求如下：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包括各类小容量酸奶、鲜奶等，均需冷链供应。</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1）采购人按需采购各类奶制品，供应商必须满足采购人实际需求。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2）质量要求：生产日期、质保期及包装、卫生标准符合要求。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3）中标单位必须讲诚信，讲究职业道德，所供货物不得以次充好，不得将不合格品掺杂其中，一经发现，取消其供货资格，没收全部履约金，并承担由此造成的一切后果，如构成违法，将依法追求其法律责任。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2、安全卫生要求：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1）中华人民共和国食品卫生法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2）中华人民共和国进出口商品检验法及其实施条例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3）中华人民共和国动植物检疫法及其实施条例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4）其他可能适用于本招标文件采购内容的法规及质量标准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如遇法律法规、标准等对同一问题的处理出现歧义或不一致时，一律就高不就低。上述所有标准、规范均由中标人自备，招标人不另行提供。遇国家修改标准，自新标准施行之日超采用新标准。</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8、主食类</w:t>
      </w:r>
    </w:p>
    <w:tbl>
      <w:tblPr>
        <w:tblStyle w:val="62"/>
        <w:tblW w:w="9132"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6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478"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主要品种</w:t>
            </w:r>
          </w:p>
        </w:tc>
        <w:tc>
          <w:tcPr>
            <w:tcW w:w="6654"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品质要求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2478" w:type="dxa"/>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米</w:t>
            </w:r>
          </w:p>
        </w:tc>
        <w:tc>
          <w:tcPr>
            <w:tcW w:w="6654" w:type="dxa"/>
            <w:vAlign w:val="center"/>
          </w:tcPr>
          <w:p>
            <w:pPr>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符合GB 1354-2009 的标准</w:t>
            </w:r>
          </w:p>
          <w:p>
            <w:pPr>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符合食品卫生要求的产品，每批次货物提供必要的质量证明材料。如遇法律法规、标准变化，导致对同一问题的处理出现歧义或不一致时，一律就高不就低。</w:t>
            </w:r>
          </w:p>
        </w:tc>
      </w:tr>
    </w:tbl>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、豆制品类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1）采购人按需采购各类新鲜的豆制品，供应商必须满足采购人实际需求。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2）质量要求：新鲜，感官检验、化学检验均符合要求。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标单位必须讲诚信，讲究职业道德，所供货物不得以次充好，不得将残剩等不合格品掺杂其中，一经发现，取消其供货资格，没收全部履约金，并承担由此造成的一切后果，如构成违法，将依法追求其法律责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2、安全卫生要求：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1）中华人民共和国食品卫生法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2）中华人民共和国进出口商品检验法及其实施条例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3）中华人民共和国动植物检疫法及其实施条例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 《GB 2763-2014 食品安全国家标准 食品中农药最大残留限量》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5）其他可能适用于本招标文件采购内容的法规及质量标准</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sz w:val="24"/>
          <w:szCs w:val="24"/>
        </w:rPr>
        <w:t>如遇法律法规、标准等对同一问题的处理出现歧义或不一致时，一律就高不就低。上述所有标准、规范均由中标人自备，招标人不另行提供。遇国家修改标准，自新标准施行之日超采用新标准</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、配送要求：</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1）定价方法</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1、所有配送食堂物资的价格按每月定价一次。</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2、所有配送物资的预算价均为“</w:t>
      </w:r>
      <w:r>
        <w:rPr>
          <w:rFonts w:hint="eastAsia" w:ascii="宋体" w:hAnsi="宋体" w:eastAsia="宋体" w:cs="宋体"/>
          <w:b/>
          <w:bCs/>
          <w:color w:val="auto"/>
          <w:sz w:val="24"/>
          <w:szCs w:val="24"/>
          <w:highlight w:val="none"/>
          <w:lang w:eastAsia="zh-CN"/>
        </w:rPr>
        <w:t>杭州市物价局官方网站</w:t>
      </w:r>
      <w:r>
        <w:rPr>
          <w:rFonts w:hint="eastAsia" w:ascii="宋体" w:hAnsi="宋体" w:eastAsia="宋体" w:cs="宋体"/>
          <w:b/>
          <w:bCs/>
          <w:color w:val="auto"/>
          <w:sz w:val="24"/>
          <w:szCs w:val="24"/>
          <w:highlight w:val="none"/>
        </w:rPr>
        <w:t>”发布的当月整期杭州市城区部分民生商品价格公示的同类货物的平均价格（未在官网公布的以周边大型农贸市场的价格）。</w:t>
      </w:r>
      <w:r>
        <w:rPr>
          <w:rFonts w:hint="eastAsia" w:ascii="宋体" w:hAnsi="宋体" w:eastAsia="宋体" w:cs="宋体"/>
          <w:bCs/>
          <w:sz w:val="24"/>
          <w:szCs w:val="24"/>
        </w:rPr>
        <w:t>若发现报价高于同类配送单位或杭州市价格网价格或</w:t>
      </w:r>
      <w:r>
        <w:rPr>
          <w:rFonts w:hint="eastAsia" w:ascii="宋体" w:hAnsi="宋体" w:eastAsia="宋体" w:cs="宋体"/>
          <w:bCs/>
          <w:sz w:val="24"/>
          <w:szCs w:val="24"/>
          <w:lang w:val="en-US" w:eastAsia="zh-CN"/>
        </w:rPr>
        <w:t>瓶窑镇</w:t>
      </w:r>
      <w:r>
        <w:rPr>
          <w:rFonts w:hint="eastAsia" w:ascii="宋体" w:hAnsi="宋体" w:eastAsia="宋体" w:cs="宋体"/>
          <w:bCs/>
          <w:sz w:val="24"/>
          <w:szCs w:val="24"/>
        </w:rPr>
        <w:t>辖区零售价，采购方有权要求配送方立即调整价格，并对警告一次，追究甲方违约责任</w:t>
      </w:r>
      <w:r>
        <w:rPr>
          <w:rFonts w:hint="eastAsia" w:ascii="宋体" w:hAnsi="宋体" w:eastAsia="宋体" w:cs="宋体"/>
          <w:bCs/>
          <w:sz w:val="24"/>
          <w:szCs w:val="24"/>
          <w:lang w:eastAsia="zh-CN"/>
        </w:rPr>
        <w:t>。</w:t>
      </w:r>
    </w:p>
    <w:p>
      <w:pPr>
        <w:keepNext w:val="0"/>
        <w:keepLines w:val="0"/>
        <w:pageBreakBefore w:val="0"/>
        <w:widowControl w:val="0"/>
        <w:numPr>
          <w:ilvl w:val="0"/>
          <w:numId w:val="2"/>
        </w:numPr>
        <w:kinsoku/>
        <w:wordWrap/>
        <w:overflowPunct/>
        <w:topLinePunct w:val="0"/>
        <w:autoSpaceDE/>
        <w:autoSpaceDN/>
        <w:bidi w:val="0"/>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在每个结算周期供货完成，</w:t>
      </w:r>
      <w:r>
        <w:rPr>
          <w:rFonts w:hint="eastAsia" w:ascii="宋体" w:hAnsi="宋体" w:eastAsia="宋体" w:cs="宋体"/>
          <w:b/>
          <w:bCs/>
          <w:color w:val="auto"/>
          <w:sz w:val="24"/>
          <w:szCs w:val="24"/>
          <w:highlight w:val="none"/>
          <w:lang w:eastAsia="zh-CN"/>
        </w:rPr>
        <w:t>次</w:t>
      </w:r>
      <w:r>
        <w:rPr>
          <w:rFonts w:hint="eastAsia" w:ascii="宋体" w:hAnsi="宋体" w:eastAsia="宋体" w:cs="宋体"/>
          <w:b/>
          <w:bCs/>
          <w:color w:val="auto"/>
          <w:sz w:val="24"/>
          <w:szCs w:val="24"/>
          <w:highlight w:val="none"/>
        </w:rPr>
        <w:t>月5日</w:t>
      </w:r>
      <w:r>
        <w:rPr>
          <w:rFonts w:hint="eastAsia" w:ascii="宋体" w:hAnsi="宋体" w:eastAsia="宋体" w:cs="宋体"/>
          <w:b/>
          <w:bCs/>
          <w:color w:val="auto"/>
          <w:sz w:val="24"/>
          <w:szCs w:val="24"/>
          <w:highlight w:val="none"/>
          <w:lang w:eastAsia="zh-CN"/>
        </w:rPr>
        <w:t>之前，</w:t>
      </w:r>
      <w:r>
        <w:rPr>
          <w:rFonts w:hint="eastAsia" w:ascii="宋体" w:hAnsi="宋体" w:eastAsia="宋体" w:cs="宋体"/>
          <w:b/>
          <w:bCs/>
          <w:color w:val="auto"/>
          <w:sz w:val="24"/>
          <w:szCs w:val="24"/>
          <w:highlight w:val="none"/>
        </w:rPr>
        <w:t>经双方账目核对无误，成交供应商向采购人提交结算金额的全额增值税发票后，采购人</w:t>
      </w:r>
      <w:r>
        <w:rPr>
          <w:rFonts w:hint="eastAsia" w:ascii="宋体" w:hAnsi="宋体" w:eastAsia="宋体" w:cs="宋体"/>
          <w:b/>
          <w:bCs/>
          <w:color w:val="auto"/>
          <w:sz w:val="24"/>
          <w:szCs w:val="24"/>
          <w:highlight w:val="none"/>
          <w:lang w:eastAsia="zh-CN"/>
        </w:rPr>
        <w:t>应在本月</w:t>
      </w: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日前向供货方付款（如遇节假日顺延）</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、配送价格应包含乙方所有税费、成本、利润、运输、装卸、人工费及各类劳保、保险等一切费用。</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配送价格以中标费率*预算价（预算价均为“杭州市物价局官方网站”发布的当月整期杭州市城区部分民生商品价格公示的同类货物的平均价格（未在官网公布的以周边大型农贸市场的价格））*配送数量进行结算。（例：如中标费率为 90.00%，鲜猪肉（精瘦肉）预算价为 32.00 元/斤，即结算价为 32.00 元/斤×90.00%×数量）（小数点后保留两位小数）</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2）采购人下订单订货</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1、采购人每天</w:t>
      </w:r>
      <w:r>
        <w:rPr>
          <w:rFonts w:hint="eastAsia" w:ascii="宋体" w:hAnsi="宋体" w:eastAsia="宋体" w:cs="宋体"/>
          <w:color w:val="auto"/>
          <w:sz w:val="24"/>
          <w:szCs w:val="24"/>
          <w:highlight w:val="none"/>
          <w:lang w:val="en-US" w:eastAsia="zh-CN"/>
        </w:rPr>
        <w:t>下午17</w:t>
      </w:r>
      <w:r>
        <w:rPr>
          <w:rFonts w:hint="eastAsia" w:ascii="宋体" w:hAnsi="宋体" w:eastAsia="宋体" w:cs="宋体"/>
          <w:color w:val="auto"/>
          <w:sz w:val="24"/>
          <w:szCs w:val="24"/>
          <w:highlight w:val="none"/>
        </w:rPr>
        <w:t>：00前向供应商下达第二天的订单，采购人以传真或电话等方式直接通知供应商，订单内容包括名称、种类、规格、数量、运送时间、送达地点、订单联系人等具体要求。</w:t>
      </w:r>
    </w:p>
    <w:p>
      <w:pPr>
        <w:pStyle w:val="2"/>
        <w:pageBreakBefore w:val="0"/>
        <w:widowControl w:val="0"/>
        <w:kinsoku/>
        <w:wordWrap/>
        <w:overflowPunct/>
        <w:topLinePunct w:val="0"/>
        <w:autoSpaceDE/>
        <w:autoSpaceDN/>
        <w:bidi w:val="0"/>
        <w:snapToGrid/>
        <w:spacing w:line="360" w:lineRule="auto"/>
        <w:ind w:left="433" w:leftChars="202" w:hanging="9" w:hangingChars="4"/>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2、临时性的追加订单，供应商应在接到采购人通知后15分钟内响应，一小</w:t>
      </w:r>
    </w:p>
    <w:p>
      <w:pPr>
        <w:pStyle w:val="2"/>
        <w:pageBreakBefore w:val="0"/>
        <w:widowControl w:val="0"/>
        <w:kinsoku/>
        <w:wordWrap/>
        <w:overflowPunct/>
        <w:topLinePunct w:val="0"/>
        <w:autoSpaceDE/>
        <w:autoSpaceDN/>
        <w:bidi w:val="0"/>
        <w:snapToGrid/>
        <w:spacing w:line="360" w:lineRule="auto"/>
        <w:ind w:left="0" w:leftChars="0" w:firstLine="0" w:firstLine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时内完成配送。</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2、供应商接到采购人订单后，个别品种因缺货而无法提供的，供应商应在接到订单当天内及时知会采购人并协商好解决方法。</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3）交货要求</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1、供应商每天早上7：</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将订单内所有物资送到采购人指定的地点并配送完毕，供应商提供《送货清单》一式两份，双方现场过秤并验收签名，作结算凭证。</w:t>
      </w:r>
      <w:r>
        <w:rPr>
          <w:rFonts w:hint="eastAsia" w:ascii="宋体" w:hAnsi="宋体" w:eastAsia="宋体" w:cs="宋体"/>
          <w:color w:val="auto"/>
          <w:sz w:val="24"/>
          <w:szCs w:val="24"/>
          <w:highlight w:val="none"/>
          <w:lang w:eastAsia="zh-CN"/>
        </w:rPr>
        <w:t>（特殊采购必须</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小时内送达）</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2、所有品种按除箱净重过磅，最终交易重量以双方确认的过磅数为准。</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4）数量、质量、品质要求</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1、每个品种的重量以双方核准的净重过磅数为准，双方签字确认作为结算凭证。</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2、质量必须符合国家相关食品安全卫生标准，由采购人质量验收员签字为准。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3、食品原料采购、运输的卫生管理相关制度和规划，并符合卫生管理要求。</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4、调料类、主食类，采购人有指定品牌的，中标单位须按采购人要求进行配送。</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5、每批次货物随带必要的质量证明材料，如动物检疫证明、肉品品质检验合格证、蔬菜检测报告、豆制品合格证明或质量保证文件。</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、服务期限、地点：</w:t>
      </w:r>
    </w:p>
    <w:p>
      <w:pPr>
        <w:keepNext w:val="0"/>
        <w:keepLines w:val="0"/>
        <w:pageBreakBefore w:val="0"/>
        <w:widowControl w:val="0"/>
        <w:kinsoku/>
        <w:wordWrap/>
        <w:overflowPunct/>
        <w:topLinePunct w:val="0"/>
        <w:autoSpaceDE/>
        <w:autoSpaceDN/>
        <w:bidi w:val="0"/>
        <w:snapToGrid/>
        <w:spacing w:line="360" w:lineRule="auto"/>
        <w:ind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1、服务期限：</w:t>
      </w:r>
      <w:r>
        <w:rPr>
          <w:rFonts w:hint="eastAsia" w:ascii="宋体" w:hAnsi="宋体" w:eastAsia="宋体" w:cs="宋体"/>
          <w:b/>
          <w:sz w:val="24"/>
          <w:szCs w:val="24"/>
        </w:rPr>
        <w:t>自合同生效之日起一年</w:t>
      </w:r>
      <w:r>
        <w:rPr>
          <w:rFonts w:hint="eastAsia" w:ascii="宋体" w:hAnsi="宋体" w:eastAsia="宋体" w:cs="宋体"/>
          <w:b/>
          <w:bCs/>
          <w:color w:val="auto"/>
          <w:sz w:val="24"/>
          <w:szCs w:val="24"/>
          <w:highlight w:val="none"/>
        </w:rPr>
        <w:t>；</w:t>
      </w:r>
    </w:p>
    <w:p>
      <w:pPr>
        <w:keepNext w:val="0"/>
        <w:keepLines w:val="0"/>
        <w:pageBreakBefore w:val="0"/>
        <w:widowControl w:val="0"/>
        <w:kinsoku/>
        <w:wordWrap/>
        <w:overflowPunct/>
        <w:topLinePunct w:val="0"/>
        <w:autoSpaceDE/>
        <w:autoSpaceDN/>
        <w:bidi w:val="0"/>
        <w:snapToGrid/>
        <w:spacing w:line="360"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在服务期内中标人能严格履行合同，如中标供应商在服务期内违反合同约定，经考核不合格，采购单位有权提前终止合同；</w:t>
      </w:r>
    </w:p>
    <w:p>
      <w:pPr>
        <w:keepNext w:val="0"/>
        <w:keepLines w:val="0"/>
        <w:pageBreakBefore w:val="0"/>
        <w:widowControl w:val="0"/>
        <w:kinsoku/>
        <w:wordWrap/>
        <w:overflowPunct/>
        <w:topLinePunct w:val="0"/>
        <w:autoSpaceDE/>
        <w:autoSpaceDN/>
        <w:bidi w:val="0"/>
        <w:snapToGrid/>
        <w:spacing w:line="360"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如中标供应商在合同履行期内配送的食材引起重大事故的，经鉴定为配送单位食材质量问题的，由配送单位承担相应法律责任并终止合同。</w:t>
      </w:r>
    </w:p>
    <w:p>
      <w:pPr>
        <w:keepNext w:val="0"/>
        <w:keepLines w:val="0"/>
        <w:pageBreakBefore w:val="0"/>
        <w:widowControl w:val="0"/>
        <w:kinsoku/>
        <w:wordWrap/>
        <w:overflowPunct/>
        <w:topLinePunct w:val="0"/>
        <w:autoSpaceDE/>
        <w:autoSpaceDN/>
        <w:bidi w:val="0"/>
        <w:snapToGrid/>
        <w:spacing w:line="360"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、服务地点：采购人指定地点；</w:t>
      </w:r>
    </w:p>
    <w:p>
      <w:pPr>
        <w:keepNext w:val="0"/>
        <w:keepLines w:val="0"/>
        <w:pageBreakBefore w:val="0"/>
        <w:widowControl w:val="0"/>
        <w:kinsoku/>
        <w:wordWrap/>
        <w:overflowPunct/>
        <w:topLinePunct w:val="0"/>
        <w:autoSpaceDE/>
        <w:autoSpaceDN/>
        <w:bidi w:val="0"/>
        <w:snapToGrid/>
        <w:spacing w:line="360" w:lineRule="auto"/>
        <w:ind w:firstLine="241" w:firstLineChars="1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、履约保证金的缴纳和退付：</w:t>
      </w:r>
    </w:p>
    <w:p>
      <w:pPr>
        <w:keepNext w:val="0"/>
        <w:keepLines w:val="0"/>
        <w:pageBreakBefore w:val="0"/>
        <w:widowControl w:val="0"/>
        <w:kinsoku/>
        <w:wordWrap/>
        <w:overflowPunct/>
        <w:topLinePunct w:val="0"/>
        <w:autoSpaceDE/>
        <w:autoSpaceDN/>
        <w:bidi w:val="0"/>
        <w:snapToGrid/>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在合同签定以前中标供应商向采购人缴纳项目</w:t>
      </w:r>
      <w:r>
        <w:rPr>
          <w:rFonts w:hint="eastAsia" w:ascii="宋体" w:hAnsi="宋体" w:eastAsia="宋体" w:cs="宋体"/>
          <w:color w:val="auto"/>
          <w:sz w:val="24"/>
          <w:szCs w:val="24"/>
          <w:highlight w:val="none"/>
          <w:lang w:val="en-US" w:eastAsia="zh-CN"/>
        </w:rPr>
        <w:t>合同价</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%的履约保证金，该保证金用于配送物资的质量安全保证以及必要时进行临时紧急采购，若在合同履行期间有违约行为的，按合同约定扣除相应的履约保证金。服务期结束后，采购人退付履约保证金。</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、货款支付方式：</w:t>
      </w:r>
    </w:p>
    <w:p>
      <w:pPr>
        <w:pStyle w:val="19"/>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Cs/>
          <w:sz w:val="24"/>
          <w:szCs w:val="24"/>
        </w:rPr>
        <w:t>在每个结算周期供货完成，</w:t>
      </w:r>
      <w:r>
        <w:rPr>
          <w:rFonts w:hint="eastAsia" w:ascii="宋体" w:hAnsi="宋体" w:eastAsia="宋体" w:cs="宋体"/>
          <w:bCs/>
          <w:sz w:val="24"/>
          <w:szCs w:val="24"/>
          <w:lang w:eastAsia="zh-CN"/>
        </w:rPr>
        <w:t>次</w:t>
      </w:r>
      <w:r>
        <w:rPr>
          <w:rFonts w:hint="eastAsia" w:ascii="宋体" w:hAnsi="宋体" w:eastAsia="宋体" w:cs="宋体"/>
          <w:bCs/>
          <w:sz w:val="24"/>
          <w:szCs w:val="24"/>
        </w:rPr>
        <w:t>月5日</w:t>
      </w:r>
      <w:r>
        <w:rPr>
          <w:rFonts w:hint="eastAsia" w:ascii="宋体" w:hAnsi="宋体" w:eastAsia="宋体" w:cs="宋体"/>
          <w:bCs/>
          <w:sz w:val="24"/>
          <w:szCs w:val="24"/>
          <w:lang w:eastAsia="zh-CN"/>
        </w:rPr>
        <w:t>之前，</w:t>
      </w:r>
      <w:r>
        <w:rPr>
          <w:rFonts w:hint="eastAsia" w:ascii="宋体" w:hAnsi="宋体" w:eastAsia="宋体" w:cs="宋体"/>
          <w:bCs/>
          <w:sz w:val="24"/>
          <w:szCs w:val="24"/>
        </w:rPr>
        <w:t>经双方账目核对无误，成交供应商向采购人提交结算金额的全额增值税发票后，采购人</w:t>
      </w:r>
      <w:r>
        <w:rPr>
          <w:rFonts w:hint="eastAsia" w:ascii="宋体" w:hAnsi="宋体" w:eastAsia="宋体" w:cs="宋体"/>
          <w:bCs/>
          <w:sz w:val="24"/>
          <w:szCs w:val="24"/>
          <w:lang w:eastAsia="zh-CN"/>
        </w:rPr>
        <w:t>应在本月</w:t>
      </w:r>
      <w:r>
        <w:rPr>
          <w:rFonts w:hint="eastAsia" w:ascii="宋体" w:hAnsi="宋体" w:eastAsia="宋体" w:cs="宋体"/>
          <w:bCs/>
          <w:sz w:val="24"/>
          <w:szCs w:val="24"/>
        </w:rPr>
        <w:t>1</w:t>
      </w:r>
      <w:r>
        <w:rPr>
          <w:rFonts w:hint="eastAsia" w:ascii="宋体" w:hAnsi="宋体" w:eastAsia="宋体" w:cs="宋体"/>
          <w:bCs/>
          <w:sz w:val="24"/>
          <w:szCs w:val="24"/>
          <w:lang w:val="en-US" w:eastAsia="zh-CN"/>
        </w:rPr>
        <w:t>5</w:t>
      </w:r>
      <w:r>
        <w:rPr>
          <w:rFonts w:hint="eastAsia" w:ascii="宋体" w:hAnsi="宋体" w:eastAsia="宋体" w:cs="宋体"/>
          <w:bCs/>
          <w:sz w:val="24"/>
          <w:szCs w:val="24"/>
        </w:rPr>
        <w:t>日前向供货方付款（如遇节假日顺延）</w:t>
      </w:r>
      <w:r>
        <w:rPr>
          <w:rFonts w:hint="eastAsia" w:ascii="宋体" w:hAnsi="宋体" w:eastAsia="宋体" w:cs="宋体"/>
          <w:b/>
          <w:bCs/>
          <w:color w:val="auto"/>
          <w:sz w:val="24"/>
          <w:szCs w:val="24"/>
          <w:highlight w:val="none"/>
          <w:lang w:eastAsia="zh-CN"/>
        </w:rPr>
        <w:t>。</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八、验收：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对配送方配送产品的数量、产品类别、规格、质量进行联合验收，如发现提供的产品存在质量问题或数量不对的，配送方应负责免费更换或重新复称重。对达不到要求者，根据实际情况，经双方协商，可按以下办法处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⑴更换：由配送方承担所发生的全部费用，送货期限不予顺延，并在送货单除注明更换。</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⑵贬值处理：由双方合议定价，并予以记录在送货单处，注明贬值处理。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⑶退货处理：退会产品不计入结算范围，配送方自行将产品运回，同时应承担该产品的直接费用（运输、保险、检验、货款利息及银行手续费等），且采购方有权追究配送方违约金责任，并在送货相应处注明退回。</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2、采购方根据实际验收结果在送货单签字确认，作为货款结算依据。</w:t>
      </w:r>
    </w:p>
    <w:p>
      <w:pPr>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b/>
          <w:sz w:val="24"/>
          <w:szCs w:val="24"/>
        </w:rPr>
      </w:pPr>
      <w:r>
        <w:rPr>
          <w:rFonts w:hint="eastAsia" w:ascii="宋体" w:hAnsi="宋体" w:eastAsia="宋体" w:cs="宋体"/>
          <w:bCs/>
          <w:sz w:val="24"/>
          <w:szCs w:val="24"/>
        </w:rPr>
        <w:t>3、供应产品有腐烂、碾压、生鲜有不新鲜等不能食用现象及菜品损耗较高，不能满足采购需求的，均属于质量不合格范围。</w:t>
      </w:r>
    </w:p>
    <w:p>
      <w:pPr>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九、考核办法</w:t>
      </w:r>
    </w:p>
    <w:p>
      <w:pPr>
        <w:widowControl/>
        <w:spacing w:line="360" w:lineRule="auto"/>
        <w:ind w:firstLine="720" w:firstLineChars="30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具体按实际签订合同为准。</w:t>
      </w:r>
    </w:p>
    <w:p>
      <w:pPr>
        <w:spacing w:line="360" w:lineRule="auto"/>
        <w:rPr>
          <w:rFonts w:hint="eastAsia" w:ascii="宋体" w:hAnsi="宋体" w:eastAsia="宋体" w:cs="宋体"/>
          <w:sz w:val="24"/>
          <w:szCs w:val="24"/>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28" w:name="_Toc184310335"/>
      <w:bookmarkEnd w:id="28"/>
      <w:bookmarkStart w:id="29" w:name="_Toc184308064"/>
      <w:bookmarkEnd w:id="29"/>
      <w:bookmarkStart w:id="30" w:name="_Toc184310290"/>
      <w:bookmarkEnd w:id="30"/>
      <w:bookmarkStart w:id="31" w:name="_Toc184312120"/>
      <w:bookmarkEnd w:id="31"/>
      <w:bookmarkStart w:id="32" w:name="_Toc184313239"/>
      <w:bookmarkEnd w:id="32"/>
      <w:bookmarkStart w:id="33" w:name="_Toc184308083"/>
      <w:bookmarkEnd w:id="33"/>
      <w:bookmarkStart w:id="34" w:name="_Toc184313257"/>
      <w:bookmarkEnd w:id="34"/>
      <w:bookmarkStart w:id="35" w:name="_Toc184310339"/>
      <w:bookmarkEnd w:id="35"/>
      <w:bookmarkStart w:id="36" w:name="_Toc184312111"/>
      <w:bookmarkEnd w:id="36"/>
      <w:bookmarkStart w:id="37" w:name="_Toc184310344"/>
      <w:bookmarkEnd w:id="37"/>
      <w:bookmarkStart w:id="38" w:name="_Toc184312108"/>
      <w:bookmarkEnd w:id="38"/>
      <w:bookmarkStart w:id="39" w:name="_Toc184308103"/>
      <w:bookmarkEnd w:id="39"/>
      <w:bookmarkStart w:id="40" w:name="_Toc184314419"/>
      <w:bookmarkEnd w:id="40"/>
      <w:bookmarkStart w:id="41" w:name="_Toc184312127"/>
      <w:bookmarkEnd w:id="41"/>
      <w:bookmarkStart w:id="42" w:name="_Toc184308037"/>
      <w:bookmarkEnd w:id="42"/>
      <w:bookmarkStart w:id="43" w:name="_Toc184310291"/>
      <w:bookmarkEnd w:id="43"/>
      <w:bookmarkStart w:id="44" w:name="_Toc184310333"/>
      <w:bookmarkEnd w:id="44"/>
      <w:bookmarkStart w:id="45" w:name="_Toc184310311"/>
      <w:bookmarkEnd w:id="45"/>
      <w:bookmarkStart w:id="46" w:name="_Toc184314458"/>
      <w:bookmarkEnd w:id="46"/>
      <w:bookmarkStart w:id="47" w:name="_Toc184308081"/>
      <w:bookmarkEnd w:id="47"/>
      <w:bookmarkStart w:id="48" w:name="_Toc184314459"/>
      <w:bookmarkEnd w:id="48"/>
      <w:bookmarkStart w:id="49" w:name="_Toc184313299"/>
      <w:bookmarkEnd w:id="49"/>
      <w:bookmarkStart w:id="50" w:name="_Toc184308038"/>
      <w:bookmarkEnd w:id="50"/>
      <w:bookmarkStart w:id="51" w:name="_Toc184312128"/>
      <w:bookmarkEnd w:id="51"/>
      <w:bookmarkStart w:id="52" w:name="_Toc184310274"/>
      <w:bookmarkEnd w:id="52"/>
      <w:bookmarkStart w:id="53" w:name="_Toc184312100"/>
      <w:bookmarkEnd w:id="53"/>
      <w:bookmarkStart w:id="54" w:name="_Toc184313272"/>
      <w:bookmarkEnd w:id="54"/>
      <w:bookmarkStart w:id="55" w:name="_Toc184314416"/>
      <w:bookmarkEnd w:id="55"/>
      <w:bookmarkStart w:id="56" w:name="_Toc184308056"/>
      <w:bookmarkEnd w:id="56"/>
      <w:bookmarkStart w:id="57" w:name="_Toc184313261"/>
      <w:bookmarkEnd w:id="57"/>
      <w:bookmarkStart w:id="58" w:name="_Toc184314461"/>
      <w:bookmarkEnd w:id="58"/>
      <w:bookmarkStart w:id="59" w:name="_Toc184312121"/>
      <w:bookmarkEnd w:id="59"/>
      <w:bookmarkStart w:id="60" w:name="_Toc184310278"/>
      <w:bookmarkEnd w:id="60"/>
      <w:bookmarkStart w:id="61" w:name="_Toc184310341"/>
      <w:bookmarkEnd w:id="61"/>
      <w:bookmarkStart w:id="62" w:name="_Toc184313304"/>
      <w:bookmarkEnd w:id="62"/>
      <w:bookmarkStart w:id="63" w:name="_Toc184312114"/>
      <w:bookmarkEnd w:id="63"/>
      <w:bookmarkStart w:id="64" w:name="_Toc184313256"/>
      <w:bookmarkEnd w:id="64"/>
      <w:bookmarkStart w:id="65" w:name="_Toc184310279"/>
      <w:bookmarkEnd w:id="65"/>
      <w:bookmarkStart w:id="66" w:name="_Toc184314473"/>
      <w:bookmarkEnd w:id="66"/>
      <w:bookmarkStart w:id="67" w:name="_Toc184310275"/>
      <w:bookmarkEnd w:id="67"/>
      <w:bookmarkStart w:id="68" w:name="_Toc184313267"/>
      <w:bookmarkEnd w:id="68"/>
      <w:bookmarkStart w:id="69" w:name="_Toc184310301"/>
      <w:bookmarkEnd w:id="69"/>
      <w:bookmarkStart w:id="70" w:name="_Toc184314442"/>
      <w:bookmarkEnd w:id="70"/>
      <w:bookmarkStart w:id="71" w:name="_Toc184308044"/>
      <w:bookmarkEnd w:id="71"/>
      <w:bookmarkStart w:id="72" w:name="_Toc184312138"/>
      <w:bookmarkEnd w:id="72"/>
      <w:bookmarkStart w:id="73" w:name="_Toc184313273"/>
      <w:bookmarkEnd w:id="73"/>
      <w:bookmarkStart w:id="74" w:name="_Toc184308065"/>
      <w:bookmarkEnd w:id="74"/>
      <w:bookmarkStart w:id="75" w:name="_Toc184314474"/>
      <w:bookmarkEnd w:id="75"/>
      <w:bookmarkStart w:id="76" w:name="_Toc184313249"/>
      <w:bookmarkEnd w:id="76"/>
      <w:bookmarkStart w:id="77" w:name="_Toc184312139"/>
      <w:bookmarkEnd w:id="77"/>
      <w:bookmarkStart w:id="78" w:name="_Toc184308094"/>
      <w:bookmarkEnd w:id="78"/>
      <w:bookmarkStart w:id="79" w:name="_Toc184308080"/>
      <w:bookmarkEnd w:id="79"/>
      <w:bookmarkStart w:id="80" w:name="_Toc184314436"/>
      <w:bookmarkEnd w:id="80"/>
      <w:bookmarkStart w:id="81" w:name="_Toc184312125"/>
      <w:bookmarkEnd w:id="81"/>
      <w:bookmarkStart w:id="82" w:name="_Toc184308105"/>
      <w:bookmarkEnd w:id="82"/>
      <w:bookmarkStart w:id="83" w:name="_Toc184312084"/>
      <w:bookmarkEnd w:id="83"/>
      <w:bookmarkStart w:id="84" w:name="_Toc184308108"/>
      <w:bookmarkEnd w:id="84"/>
      <w:bookmarkStart w:id="85" w:name="_Toc184312069"/>
      <w:bookmarkEnd w:id="85"/>
      <w:bookmarkStart w:id="86" w:name="_Toc184308057"/>
      <w:bookmarkEnd w:id="86"/>
      <w:bookmarkStart w:id="87" w:name="_Toc184314464"/>
      <w:bookmarkEnd w:id="87"/>
      <w:bookmarkStart w:id="88" w:name="_Toc184314468"/>
      <w:bookmarkEnd w:id="88"/>
      <w:bookmarkStart w:id="89" w:name="_Toc184308076"/>
      <w:bookmarkEnd w:id="89"/>
      <w:bookmarkStart w:id="90" w:name="_Toc184308058"/>
      <w:bookmarkEnd w:id="90"/>
      <w:bookmarkStart w:id="91" w:name="_Toc184310328"/>
      <w:bookmarkEnd w:id="91"/>
      <w:bookmarkStart w:id="92" w:name="_Toc184312077"/>
      <w:bookmarkEnd w:id="92"/>
      <w:bookmarkStart w:id="93" w:name="_Toc184310331"/>
      <w:bookmarkEnd w:id="93"/>
      <w:bookmarkStart w:id="94" w:name="_Toc184314481"/>
      <w:bookmarkEnd w:id="94"/>
      <w:bookmarkStart w:id="95" w:name="_Toc184314463"/>
      <w:bookmarkEnd w:id="95"/>
      <w:bookmarkStart w:id="96" w:name="_Toc184310322"/>
      <w:bookmarkEnd w:id="96"/>
      <w:bookmarkStart w:id="97" w:name="_Toc184314438"/>
      <w:bookmarkEnd w:id="97"/>
      <w:bookmarkStart w:id="98" w:name="_Toc184308042"/>
      <w:bookmarkEnd w:id="98"/>
      <w:bookmarkStart w:id="99" w:name="_Toc184310303"/>
      <w:bookmarkEnd w:id="99"/>
      <w:bookmarkStart w:id="100" w:name="_Toc184310316"/>
      <w:bookmarkEnd w:id="100"/>
      <w:bookmarkStart w:id="101" w:name="_Toc184308061"/>
      <w:bookmarkEnd w:id="101"/>
      <w:bookmarkStart w:id="102" w:name="_Toc184310309"/>
      <w:bookmarkEnd w:id="102"/>
      <w:bookmarkStart w:id="103" w:name="_Toc184314425"/>
      <w:bookmarkEnd w:id="103"/>
      <w:bookmarkStart w:id="104" w:name="_Toc184314412"/>
      <w:bookmarkEnd w:id="104"/>
      <w:bookmarkStart w:id="105" w:name="_Toc184313282"/>
      <w:bookmarkEnd w:id="105"/>
      <w:bookmarkStart w:id="106" w:name="_Toc184313286"/>
      <w:bookmarkEnd w:id="106"/>
      <w:bookmarkStart w:id="107" w:name="_Toc184314466"/>
      <w:bookmarkEnd w:id="107"/>
      <w:bookmarkStart w:id="108" w:name="_Toc184308104"/>
      <w:bookmarkEnd w:id="108"/>
      <w:bookmarkStart w:id="109" w:name="_Toc184313270"/>
      <w:bookmarkEnd w:id="109"/>
      <w:bookmarkStart w:id="110" w:name="_Toc184313251"/>
      <w:bookmarkEnd w:id="110"/>
      <w:bookmarkStart w:id="111" w:name="_Toc184310329"/>
      <w:bookmarkEnd w:id="111"/>
      <w:bookmarkStart w:id="112" w:name="_Toc184312118"/>
      <w:bookmarkEnd w:id="112"/>
      <w:bookmarkStart w:id="113" w:name="_Toc184310307"/>
      <w:bookmarkEnd w:id="113"/>
      <w:bookmarkStart w:id="114" w:name="_Toc184312095"/>
      <w:bookmarkEnd w:id="114"/>
      <w:bookmarkStart w:id="115" w:name="_Toc184310280"/>
      <w:bookmarkEnd w:id="115"/>
      <w:bookmarkStart w:id="116" w:name="_Toc184314440"/>
      <w:bookmarkEnd w:id="116"/>
      <w:bookmarkStart w:id="117" w:name="_Toc184313247"/>
      <w:bookmarkEnd w:id="117"/>
      <w:bookmarkStart w:id="118" w:name="_Toc184312133"/>
      <w:bookmarkEnd w:id="118"/>
      <w:bookmarkStart w:id="119" w:name="_Toc184308060"/>
      <w:bookmarkEnd w:id="119"/>
      <w:bookmarkStart w:id="120" w:name="_Toc184310276"/>
      <w:bookmarkEnd w:id="120"/>
      <w:bookmarkStart w:id="121" w:name="_Toc184310315"/>
      <w:bookmarkEnd w:id="121"/>
      <w:bookmarkStart w:id="122" w:name="_Toc184308077"/>
      <w:bookmarkEnd w:id="122"/>
      <w:bookmarkStart w:id="123" w:name="_Toc184312082"/>
      <w:bookmarkEnd w:id="123"/>
      <w:bookmarkStart w:id="124" w:name="_Toc184313285"/>
      <w:bookmarkEnd w:id="124"/>
      <w:bookmarkStart w:id="125" w:name="_Toc184308092"/>
      <w:bookmarkEnd w:id="125"/>
      <w:bookmarkStart w:id="126" w:name="_Toc184313300"/>
      <w:bookmarkEnd w:id="126"/>
      <w:bookmarkStart w:id="127" w:name="_Toc184313263"/>
      <w:bookmarkEnd w:id="127"/>
      <w:bookmarkStart w:id="128" w:name="_Toc184314433"/>
      <w:bookmarkEnd w:id="128"/>
      <w:bookmarkStart w:id="129" w:name="_Toc184310294"/>
      <w:bookmarkEnd w:id="129"/>
      <w:bookmarkStart w:id="130" w:name="_Toc184313296"/>
      <w:bookmarkEnd w:id="130"/>
      <w:bookmarkStart w:id="131" w:name="_Toc184312089"/>
      <w:bookmarkEnd w:id="131"/>
      <w:bookmarkStart w:id="132" w:name="_Toc184314428"/>
      <w:bookmarkEnd w:id="132"/>
      <w:bookmarkStart w:id="133" w:name="_Toc184313307"/>
      <w:bookmarkEnd w:id="133"/>
      <w:bookmarkStart w:id="134" w:name="_Toc184314435"/>
      <w:bookmarkEnd w:id="134"/>
      <w:bookmarkStart w:id="135" w:name="_Toc184310330"/>
      <w:bookmarkEnd w:id="135"/>
      <w:bookmarkStart w:id="136" w:name="_Toc184308099"/>
      <w:bookmarkEnd w:id="136"/>
      <w:bookmarkStart w:id="137" w:name="_Toc184312122"/>
      <w:bookmarkEnd w:id="137"/>
      <w:bookmarkStart w:id="138" w:name="_Toc184308069"/>
      <w:bookmarkEnd w:id="138"/>
      <w:bookmarkStart w:id="139" w:name="_Toc184308070"/>
      <w:bookmarkEnd w:id="139"/>
      <w:bookmarkStart w:id="140" w:name="_Toc184313253"/>
      <w:bookmarkEnd w:id="140"/>
      <w:bookmarkStart w:id="141" w:name="_Toc184313277"/>
      <w:bookmarkEnd w:id="141"/>
      <w:bookmarkStart w:id="142" w:name="_Toc184310338"/>
      <w:bookmarkEnd w:id="142"/>
      <w:bookmarkStart w:id="143" w:name="_Toc184308078"/>
      <w:bookmarkEnd w:id="143"/>
      <w:bookmarkStart w:id="144" w:name="_Toc184314421"/>
      <w:bookmarkEnd w:id="144"/>
      <w:bookmarkStart w:id="145" w:name="_Toc184313306"/>
      <w:bookmarkEnd w:id="145"/>
      <w:bookmarkStart w:id="146" w:name="_Toc184310321"/>
      <w:bookmarkEnd w:id="146"/>
      <w:bookmarkStart w:id="147" w:name="_Toc184314444"/>
      <w:bookmarkEnd w:id="147"/>
      <w:bookmarkStart w:id="148" w:name="_Toc184313250"/>
      <w:bookmarkEnd w:id="148"/>
      <w:bookmarkStart w:id="149" w:name="_Toc184310302"/>
      <w:bookmarkEnd w:id="149"/>
      <w:bookmarkStart w:id="150" w:name="_Toc184308101"/>
      <w:bookmarkEnd w:id="150"/>
      <w:bookmarkStart w:id="151" w:name="_Toc184310314"/>
      <w:bookmarkEnd w:id="151"/>
      <w:bookmarkStart w:id="152" w:name="_Toc184314446"/>
      <w:bookmarkEnd w:id="152"/>
      <w:bookmarkStart w:id="153" w:name="_Toc184314424"/>
      <w:bookmarkEnd w:id="153"/>
      <w:bookmarkStart w:id="154" w:name="_Toc184314441"/>
      <w:bookmarkEnd w:id="154"/>
      <w:bookmarkStart w:id="155" w:name="_Toc184313293"/>
      <w:bookmarkEnd w:id="155"/>
      <w:bookmarkStart w:id="156" w:name="_Toc184314454"/>
      <w:bookmarkEnd w:id="156"/>
      <w:bookmarkStart w:id="157" w:name="_Toc184310340"/>
      <w:bookmarkEnd w:id="157"/>
      <w:bookmarkStart w:id="158" w:name="_Toc184312104"/>
      <w:bookmarkEnd w:id="158"/>
      <w:bookmarkStart w:id="159" w:name="_Toc184314437"/>
      <w:bookmarkEnd w:id="159"/>
      <w:bookmarkStart w:id="160" w:name="_Toc184308073"/>
      <w:bookmarkEnd w:id="160"/>
      <w:bookmarkStart w:id="161" w:name="_Toc184308107"/>
      <w:bookmarkEnd w:id="161"/>
      <w:bookmarkStart w:id="162" w:name="_Toc184313302"/>
      <w:bookmarkEnd w:id="162"/>
      <w:bookmarkStart w:id="163" w:name="_Toc184310284"/>
      <w:bookmarkEnd w:id="163"/>
      <w:bookmarkStart w:id="164" w:name="_Toc184314456"/>
      <w:bookmarkEnd w:id="164"/>
      <w:bookmarkStart w:id="165" w:name="_Toc184313290"/>
      <w:bookmarkEnd w:id="165"/>
      <w:bookmarkStart w:id="166" w:name="_Toc184313279"/>
      <w:bookmarkEnd w:id="166"/>
      <w:bookmarkStart w:id="167" w:name="_Toc184312099"/>
      <w:bookmarkEnd w:id="167"/>
      <w:bookmarkStart w:id="168" w:name="_Toc184310287"/>
      <w:bookmarkEnd w:id="168"/>
      <w:bookmarkStart w:id="169" w:name="_Toc184314478"/>
      <w:bookmarkEnd w:id="169"/>
      <w:bookmarkStart w:id="170" w:name="_Toc184314469"/>
      <w:bookmarkEnd w:id="170"/>
      <w:bookmarkStart w:id="171" w:name="_Toc184314476"/>
      <w:bookmarkEnd w:id="171"/>
      <w:bookmarkStart w:id="172" w:name="_Toc184312129"/>
      <w:bookmarkEnd w:id="172"/>
      <w:bookmarkStart w:id="173" w:name="_Toc184308079"/>
      <w:bookmarkEnd w:id="173"/>
      <w:bookmarkStart w:id="174" w:name="_Toc184314427"/>
      <w:bookmarkEnd w:id="174"/>
      <w:bookmarkStart w:id="175" w:name="_Toc184308054"/>
      <w:bookmarkEnd w:id="175"/>
      <w:bookmarkStart w:id="176" w:name="_Toc184308095"/>
      <w:bookmarkEnd w:id="176"/>
      <w:bookmarkStart w:id="177" w:name="_Toc184310336"/>
      <w:bookmarkEnd w:id="177"/>
      <w:bookmarkStart w:id="178" w:name="_Toc184310320"/>
      <w:bookmarkEnd w:id="178"/>
      <w:bookmarkStart w:id="179" w:name="_Toc184312075"/>
      <w:bookmarkEnd w:id="179"/>
      <w:bookmarkStart w:id="180" w:name="_Toc184312067"/>
      <w:bookmarkEnd w:id="180"/>
      <w:bookmarkStart w:id="181" w:name="_Toc184308085"/>
      <w:bookmarkEnd w:id="181"/>
      <w:bookmarkStart w:id="182" w:name="_Toc184314418"/>
      <w:bookmarkEnd w:id="182"/>
      <w:bookmarkStart w:id="183" w:name="_Toc184314420"/>
      <w:bookmarkEnd w:id="183"/>
      <w:bookmarkStart w:id="184" w:name="_Toc184310296"/>
      <w:bookmarkEnd w:id="184"/>
      <w:bookmarkStart w:id="185" w:name="_Toc184312086"/>
      <w:bookmarkEnd w:id="185"/>
      <w:bookmarkStart w:id="186" w:name="_Toc184308072"/>
      <w:bookmarkEnd w:id="186"/>
      <w:bookmarkStart w:id="187" w:name="_Toc184312090"/>
      <w:bookmarkEnd w:id="187"/>
      <w:bookmarkStart w:id="188" w:name="_Toc184310273"/>
      <w:bookmarkEnd w:id="188"/>
      <w:bookmarkStart w:id="189" w:name="_Toc184312130"/>
      <w:bookmarkEnd w:id="189"/>
      <w:bookmarkStart w:id="190" w:name="_Toc184310319"/>
      <w:bookmarkEnd w:id="190"/>
      <w:bookmarkStart w:id="191" w:name="_Toc184314429"/>
      <w:bookmarkEnd w:id="191"/>
      <w:bookmarkStart w:id="192" w:name="_Toc184312124"/>
      <w:bookmarkEnd w:id="192"/>
      <w:bookmarkStart w:id="193" w:name="_Toc184313280"/>
      <w:bookmarkEnd w:id="193"/>
      <w:bookmarkStart w:id="194" w:name="_Toc184312131"/>
      <w:bookmarkEnd w:id="194"/>
      <w:bookmarkStart w:id="195" w:name="_Toc184310283"/>
      <w:bookmarkEnd w:id="195"/>
      <w:bookmarkStart w:id="196" w:name="_Toc184308074"/>
      <w:bookmarkEnd w:id="196"/>
      <w:bookmarkStart w:id="197" w:name="_Toc184313244"/>
      <w:bookmarkEnd w:id="197"/>
      <w:bookmarkStart w:id="198" w:name="_Toc184308100"/>
      <w:bookmarkEnd w:id="198"/>
      <w:bookmarkStart w:id="199" w:name="_Toc184310288"/>
      <w:bookmarkEnd w:id="199"/>
      <w:bookmarkStart w:id="200" w:name="_Toc184312094"/>
      <w:bookmarkEnd w:id="200"/>
      <w:bookmarkStart w:id="201" w:name="_Toc184308039"/>
      <w:bookmarkEnd w:id="201"/>
      <w:bookmarkStart w:id="202" w:name="_Toc184314423"/>
      <w:bookmarkEnd w:id="202"/>
      <w:bookmarkStart w:id="203" w:name="_Toc184312117"/>
      <w:bookmarkEnd w:id="203"/>
      <w:bookmarkStart w:id="204" w:name="_Toc184314472"/>
      <w:bookmarkEnd w:id="204"/>
      <w:bookmarkStart w:id="205" w:name="_Toc184310281"/>
      <w:bookmarkEnd w:id="205"/>
      <w:bookmarkStart w:id="206" w:name="_Toc184310304"/>
      <w:bookmarkEnd w:id="206"/>
      <w:bookmarkStart w:id="207" w:name="_Toc184310334"/>
      <w:bookmarkEnd w:id="207"/>
      <w:bookmarkStart w:id="208" w:name="_Toc184308046"/>
      <w:bookmarkEnd w:id="208"/>
      <w:bookmarkStart w:id="209" w:name="_Toc184314460"/>
      <w:bookmarkEnd w:id="209"/>
      <w:bookmarkStart w:id="210" w:name="_Toc184310312"/>
      <w:bookmarkEnd w:id="210"/>
      <w:bookmarkStart w:id="211" w:name="_Toc184313289"/>
      <w:bookmarkEnd w:id="211"/>
      <w:bookmarkStart w:id="212" w:name="_Toc184314450"/>
      <w:bookmarkEnd w:id="212"/>
      <w:bookmarkStart w:id="213" w:name="_Toc184312070"/>
      <w:bookmarkEnd w:id="213"/>
      <w:bookmarkStart w:id="214" w:name="_Toc184308051"/>
      <w:bookmarkEnd w:id="214"/>
      <w:bookmarkStart w:id="215" w:name="_Toc184310323"/>
      <w:bookmarkEnd w:id="215"/>
      <w:bookmarkStart w:id="216" w:name="_Toc184312107"/>
      <w:bookmarkEnd w:id="216"/>
      <w:bookmarkStart w:id="217" w:name="_Toc184312078"/>
      <w:bookmarkEnd w:id="217"/>
      <w:bookmarkStart w:id="218" w:name="_Toc184310272"/>
      <w:bookmarkEnd w:id="218"/>
      <w:bookmarkStart w:id="219" w:name="_Toc184312132"/>
      <w:bookmarkEnd w:id="219"/>
      <w:bookmarkStart w:id="220" w:name="_Toc184308047"/>
      <w:bookmarkEnd w:id="220"/>
      <w:bookmarkStart w:id="221" w:name="_Toc184308068"/>
      <w:bookmarkEnd w:id="221"/>
      <w:bookmarkStart w:id="222" w:name="_Toc184310324"/>
      <w:bookmarkEnd w:id="222"/>
      <w:bookmarkStart w:id="223" w:name="_Toc184314414"/>
      <w:bookmarkEnd w:id="223"/>
      <w:bookmarkStart w:id="224" w:name="_Toc184312136"/>
      <w:bookmarkEnd w:id="224"/>
      <w:bookmarkStart w:id="225" w:name="_Toc184313246"/>
      <w:bookmarkEnd w:id="225"/>
      <w:bookmarkStart w:id="226" w:name="_Toc184313305"/>
      <w:bookmarkEnd w:id="226"/>
      <w:bookmarkStart w:id="227" w:name="_Toc184314445"/>
      <w:bookmarkEnd w:id="227"/>
      <w:bookmarkStart w:id="228" w:name="_Toc184314411"/>
      <w:bookmarkEnd w:id="228"/>
      <w:bookmarkStart w:id="229" w:name="_Toc184314426"/>
      <w:bookmarkEnd w:id="229"/>
      <w:bookmarkStart w:id="230" w:name="_Toc184314452"/>
      <w:bookmarkEnd w:id="230"/>
      <w:bookmarkStart w:id="231" w:name="_Toc184310292"/>
      <w:bookmarkEnd w:id="231"/>
      <w:bookmarkStart w:id="232" w:name="_Toc184310285"/>
      <w:bookmarkEnd w:id="232"/>
      <w:bookmarkStart w:id="233" w:name="_Toc184313283"/>
      <w:bookmarkEnd w:id="233"/>
      <w:bookmarkStart w:id="234" w:name="_Toc184312096"/>
      <w:bookmarkEnd w:id="234"/>
      <w:bookmarkStart w:id="235" w:name="_Toc184308063"/>
      <w:bookmarkEnd w:id="235"/>
      <w:bookmarkStart w:id="236" w:name="_Toc184308082"/>
      <w:bookmarkEnd w:id="236"/>
      <w:bookmarkStart w:id="237" w:name="_Toc184308045"/>
      <w:bookmarkEnd w:id="237"/>
      <w:bookmarkStart w:id="238" w:name="_Toc184310332"/>
      <w:bookmarkEnd w:id="238"/>
      <w:bookmarkStart w:id="239" w:name="_Toc184313310"/>
      <w:bookmarkEnd w:id="239"/>
      <w:bookmarkStart w:id="240" w:name="_Toc184313291"/>
      <w:bookmarkEnd w:id="240"/>
      <w:bookmarkStart w:id="241" w:name="_Toc184312115"/>
      <w:bookmarkEnd w:id="241"/>
      <w:bookmarkStart w:id="242" w:name="_Toc184308036"/>
      <w:bookmarkEnd w:id="242"/>
      <w:bookmarkStart w:id="243" w:name="_Toc184308098"/>
      <w:bookmarkEnd w:id="243"/>
      <w:bookmarkStart w:id="244" w:name="_Toc184314415"/>
      <w:bookmarkEnd w:id="244"/>
      <w:bookmarkStart w:id="245" w:name="_Toc184314475"/>
      <w:bookmarkEnd w:id="245"/>
      <w:bookmarkStart w:id="246" w:name="_Toc184308050"/>
      <w:bookmarkEnd w:id="246"/>
      <w:bookmarkStart w:id="247" w:name="_Toc184312112"/>
      <w:bookmarkEnd w:id="247"/>
      <w:bookmarkStart w:id="248" w:name="_Toc184313295"/>
      <w:bookmarkEnd w:id="248"/>
      <w:bookmarkStart w:id="249" w:name="_Toc184313276"/>
      <w:bookmarkEnd w:id="249"/>
      <w:bookmarkStart w:id="250" w:name="_Toc184312091"/>
      <w:bookmarkEnd w:id="250"/>
      <w:bookmarkStart w:id="251" w:name="_Toc184312134"/>
      <w:bookmarkEnd w:id="251"/>
      <w:bookmarkStart w:id="252" w:name="_Toc184310282"/>
      <w:bookmarkEnd w:id="252"/>
      <w:bookmarkStart w:id="253" w:name="_Toc184312093"/>
      <w:bookmarkEnd w:id="253"/>
      <w:bookmarkStart w:id="254" w:name="_Toc184314471"/>
      <w:bookmarkEnd w:id="254"/>
      <w:bookmarkStart w:id="255" w:name="_Toc184312126"/>
      <w:bookmarkEnd w:id="255"/>
      <w:bookmarkStart w:id="256" w:name="_Toc184310305"/>
      <w:bookmarkEnd w:id="256"/>
      <w:bookmarkStart w:id="257" w:name="_Toc184312110"/>
      <w:bookmarkEnd w:id="257"/>
      <w:bookmarkStart w:id="258" w:name="_Toc184314448"/>
      <w:bookmarkEnd w:id="258"/>
      <w:bookmarkStart w:id="259" w:name="_Toc184313278"/>
      <w:bookmarkEnd w:id="259"/>
      <w:bookmarkStart w:id="260" w:name="_Toc184313275"/>
      <w:bookmarkEnd w:id="260"/>
      <w:bookmarkStart w:id="261" w:name="_Toc184313240"/>
      <w:bookmarkEnd w:id="261"/>
      <w:bookmarkStart w:id="262" w:name="_Toc184312088"/>
      <w:bookmarkEnd w:id="262"/>
      <w:bookmarkStart w:id="263" w:name="_Toc184312076"/>
      <w:bookmarkEnd w:id="263"/>
      <w:bookmarkStart w:id="264" w:name="_Toc184314413"/>
      <w:bookmarkEnd w:id="264"/>
      <w:bookmarkStart w:id="265" w:name="_Toc184314430"/>
      <w:bookmarkEnd w:id="265"/>
      <w:bookmarkStart w:id="266" w:name="_Toc184308055"/>
      <w:bookmarkEnd w:id="266"/>
      <w:bookmarkStart w:id="267" w:name="_Toc184314455"/>
      <w:bookmarkEnd w:id="267"/>
      <w:bookmarkStart w:id="268" w:name="_Toc184312103"/>
      <w:bookmarkEnd w:id="268"/>
      <w:bookmarkStart w:id="269" w:name="_Toc184312137"/>
      <w:bookmarkEnd w:id="269"/>
      <w:bookmarkStart w:id="270" w:name="_Toc184310343"/>
      <w:bookmarkEnd w:id="270"/>
      <w:bookmarkStart w:id="271" w:name="_Toc184310295"/>
      <w:bookmarkEnd w:id="271"/>
      <w:bookmarkStart w:id="272" w:name="_Toc184310313"/>
      <w:bookmarkEnd w:id="272"/>
      <w:bookmarkStart w:id="273" w:name="_Toc184308084"/>
      <w:bookmarkEnd w:id="273"/>
      <w:bookmarkStart w:id="274" w:name="_Toc184308052"/>
      <w:bookmarkEnd w:id="274"/>
      <w:bookmarkStart w:id="275" w:name="_Toc184312135"/>
      <w:bookmarkEnd w:id="275"/>
      <w:bookmarkStart w:id="276" w:name="_Toc184313287"/>
      <w:bookmarkEnd w:id="276"/>
      <w:bookmarkStart w:id="277" w:name="_Toc184314410"/>
      <w:bookmarkEnd w:id="277"/>
      <w:bookmarkStart w:id="278" w:name="_Toc184310293"/>
      <w:bookmarkEnd w:id="278"/>
      <w:bookmarkStart w:id="279" w:name="_Toc184308093"/>
      <w:bookmarkEnd w:id="279"/>
      <w:bookmarkStart w:id="280" w:name="_Toc184313269"/>
      <w:bookmarkEnd w:id="280"/>
      <w:bookmarkStart w:id="281" w:name="_Toc184313252"/>
      <w:bookmarkEnd w:id="281"/>
      <w:bookmarkStart w:id="282" w:name="_Toc184313284"/>
      <w:bookmarkEnd w:id="282"/>
      <w:bookmarkStart w:id="283" w:name="_Toc184312080"/>
      <w:bookmarkEnd w:id="283"/>
      <w:bookmarkStart w:id="284" w:name="_Toc184312083"/>
      <w:bookmarkEnd w:id="284"/>
      <w:bookmarkStart w:id="285" w:name="_Toc184310327"/>
      <w:bookmarkEnd w:id="285"/>
      <w:bookmarkStart w:id="286" w:name="_Toc184308049"/>
      <w:bookmarkEnd w:id="286"/>
      <w:bookmarkStart w:id="287" w:name="_Toc184313242"/>
      <w:bookmarkEnd w:id="287"/>
      <w:bookmarkStart w:id="288" w:name="_Toc184314470"/>
      <w:bookmarkEnd w:id="288"/>
      <w:bookmarkStart w:id="289" w:name="_Toc184312105"/>
      <w:bookmarkEnd w:id="289"/>
      <w:bookmarkStart w:id="290" w:name="_Toc184312119"/>
      <w:bookmarkEnd w:id="290"/>
      <w:bookmarkStart w:id="291" w:name="_Toc184310300"/>
      <w:bookmarkEnd w:id="291"/>
      <w:bookmarkStart w:id="292" w:name="_Toc184312079"/>
      <w:bookmarkEnd w:id="292"/>
      <w:bookmarkStart w:id="293" w:name="_Toc184308097"/>
      <w:bookmarkEnd w:id="293"/>
      <w:bookmarkStart w:id="294" w:name="_Toc184312101"/>
      <w:bookmarkEnd w:id="294"/>
      <w:bookmarkStart w:id="295" w:name="_Toc184312098"/>
      <w:bookmarkEnd w:id="295"/>
      <w:bookmarkStart w:id="296" w:name="_Toc184312068"/>
      <w:bookmarkEnd w:id="296"/>
      <w:bookmarkStart w:id="297" w:name="_Toc184310286"/>
      <w:bookmarkEnd w:id="297"/>
      <w:bookmarkStart w:id="298" w:name="_Toc184313309"/>
      <w:bookmarkEnd w:id="298"/>
      <w:bookmarkStart w:id="299" w:name="_Toc184308043"/>
      <w:bookmarkEnd w:id="299"/>
      <w:bookmarkStart w:id="300" w:name="_Toc184310298"/>
      <w:bookmarkEnd w:id="300"/>
      <w:bookmarkStart w:id="301" w:name="_Toc184310289"/>
      <w:bookmarkEnd w:id="301"/>
      <w:bookmarkStart w:id="302" w:name="_Toc184310306"/>
      <w:bookmarkEnd w:id="302"/>
      <w:bookmarkStart w:id="303" w:name="_Toc184312109"/>
      <w:bookmarkEnd w:id="303"/>
      <w:bookmarkStart w:id="304" w:name="_Toc184313241"/>
      <w:bookmarkEnd w:id="304"/>
      <w:bookmarkStart w:id="305" w:name="_Toc184313297"/>
      <w:bookmarkEnd w:id="305"/>
      <w:bookmarkStart w:id="306" w:name="_Toc184312092"/>
      <w:bookmarkEnd w:id="306"/>
      <w:bookmarkStart w:id="307" w:name="_Toc184314422"/>
      <w:bookmarkEnd w:id="307"/>
      <w:bookmarkStart w:id="308" w:name="_Toc184314451"/>
      <w:bookmarkEnd w:id="308"/>
      <w:bookmarkStart w:id="309" w:name="_Toc184308062"/>
      <w:bookmarkEnd w:id="309"/>
      <w:bookmarkStart w:id="310" w:name="_Toc184313292"/>
      <w:bookmarkEnd w:id="310"/>
      <w:bookmarkStart w:id="311" w:name="_Toc184308053"/>
      <w:bookmarkEnd w:id="311"/>
      <w:bookmarkStart w:id="312" w:name="_Toc184312073"/>
      <w:bookmarkEnd w:id="312"/>
      <w:bookmarkStart w:id="313" w:name="_Toc184313255"/>
      <w:bookmarkEnd w:id="313"/>
      <w:bookmarkStart w:id="314" w:name="_Toc184313271"/>
      <w:bookmarkEnd w:id="314"/>
      <w:bookmarkStart w:id="315" w:name="_Toc184310318"/>
      <w:bookmarkEnd w:id="315"/>
      <w:bookmarkStart w:id="316" w:name="_Toc184314462"/>
      <w:bookmarkEnd w:id="316"/>
      <w:bookmarkStart w:id="317" w:name="_Toc184310337"/>
      <w:bookmarkEnd w:id="317"/>
      <w:bookmarkStart w:id="318" w:name="_Toc184313303"/>
      <w:bookmarkEnd w:id="318"/>
      <w:bookmarkStart w:id="319" w:name="_Toc184310317"/>
      <w:bookmarkEnd w:id="319"/>
      <w:bookmarkStart w:id="320" w:name="_Toc184313301"/>
      <w:bookmarkEnd w:id="320"/>
      <w:bookmarkStart w:id="321" w:name="_Toc184313258"/>
      <w:bookmarkEnd w:id="321"/>
      <w:bookmarkStart w:id="322" w:name="_Toc184313268"/>
      <w:bookmarkEnd w:id="322"/>
      <w:bookmarkStart w:id="323" w:name="_Toc184310325"/>
      <w:bookmarkEnd w:id="323"/>
      <w:bookmarkStart w:id="324" w:name="_Toc184310310"/>
      <w:bookmarkEnd w:id="324"/>
      <w:bookmarkStart w:id="325" w:name="_Toc184314479"/>
      <w:bookmarkEnd w:id="325"/>
      <w:bookmarkStart w:id="326" w:name="_Toc184314453"/>
      <w:bookmarkEnd w:id="326"/>
      <w:bookmarkStart w:id="327" w:name="_Toc184314457"/>
      <w:bookmarkEnd w:id="327"/>
      <w:bookmarkStart w:id="328" w:name="_Toc184314431"/>
      <w:bookmarkEnd w:id="328"/>
      <w:bookmarkStart w:id="329" w:name="_Toc184308066"/>
      <w:bookmarkEnd w:id="329"/>
      <w:bookmarkStart w:id="330" w:name="_Toc184310297"/>
      <w:bookmarkEnd w:id="330"/>
      <w:bookmarkStart w:id="331" w:name="_Toc184313288"/>
      <w:bookmarkEnd w:id="331"/>
      <w:bookmarkStart w:id="332" w:name="_Toc184312081"/>
      <w:bookmarkEnd w:id="332"/>
      <w:bookmarkStart w:id="333" w:name="_Toc184308102"/>
      <w:bookmarkEnd w:id="333"/>
      <w:bookmarkStart w:id="334" w:name="_Toc184313281"/>
      <w:bookmarkEnd w:id="334"/>
      <w:bookmarkStart w:id="335" w:name="_Toc184310308"/>
      <w:bookmarkEnd w:id="335"/>
      <w:bookmarkStart w:id="336" w:name="_Toc184308106"/>
      <w:bookmarkEnd w:id="336"/>
      <w:bookmarkStart w:id="337" w:name="_Toc184313262"/>
      <w:bookmarkEnd w:id="337"/>
      <w:bookmarkStart w:id="338" w:name="_Toc184313254"/>
      <w:bookmarkEnd w:id="338"/>
      <w:bookmarkStart w:id="339" w:name="_Toc184312123"/>
      <w:bookmarkEnd w:id="339"/>
      <w:bookmarkStart w:id="340" w:name="_Toc184312071"/>
      <w:bookmarkEnd w:id="340"/>
      <w:bookmarkStart w:id="341" w:name="_Toc184313264"/>
      <w:bookmarkEnd w:id="341"/>
      <w:bookmarkStart w:id="342" w:name="_Toc184308059"/>
      <w:bookmarkEnd w:id="342"/>
      <w:bookmarkStart w:id="343" w:name="_Toc184314477"/>
      <w:bookmarkEnd w:id="343"/>
      <w:bookmarkStart w:id="344" w:name="_Toc184313298"/>
      <w:bookmarkEnd w:id="344"/>
      <w:bookmarkStart w:id="345" w:name="_Toc184314417"/>
      <w:bookmarkEnd w:id="345"/>
      <w:bookmarkStart w:id="346" w:name="_Toc184313266"/>
      <w:bookmarkEnd w:id="346"/>
      <w:bookmarkStart w:id="347" w:name="_Toc184308071"/>
      <w:bookmarkEnd w:id="347"/>
      <w:bookmarkStart w:id="348" w:name="_Toc184312106"/>
      <w:bookmarkEnd w:id="348"/>
      <w:bookmarkStart w:id="349" w:name="_Toc184314482"/>
      <w:bookmarkEnd w:id="349"/>
      <w:bookmarkStart w:id="350" w:name="_Toc184312072"/>
      <w:bookmarkEnd w:id="350"/>
      <w:bookmarkStart w:id="351" w:name="_Toc184312087"/>
      <w:bookmarkEnd w:id="351"/>
      <w:bookmarkStart w:id="352" w:name="_Toc184313259"/>
      <w:bookmarkEnd w:id="352"/>
      <w:bookmarkStart w:id="353" w:name="_Toc184314465"/>
      <w:bookmarkEnd w:id="353"/>
      <w:bookmarkStart w:id="354" w:name="_Toc184312113"/>
      <w:bookmarkEnd w:id="354"/>
      <w:bookmarkStart w:id="355" w:name="_Toc184313265"/>
      <w:bookmarkEnd w:id="355"/>
      <w:bookmarkStart w:id="356" w:name="_Toc184313238"/>
      <w:bookmarkEnd w:id="356"/>
      <w:bookmarkStart w:id="357" w:name="_Toc184313308"/>
      <w:bookmarkEnd w:id="357"/>
      <w:bookmarkStart w:id="358" w:name="_Toc184308040"/>
      <w:bookmarkEnd w:id="358"/>
      <w:bookmarkStart w:id="359" w:name="_Toc184312085"/>
      <w:bookmarkEnd w:id="359"/>
      <w:bookmarkStart w:id="360" w:name="_Toc184314467"/>
      <w:bookmarkEnd w:id="360"/>
      <w:bookmarkStart w:id="361" w:name="_Toc184313243"/>
      <w:bookmarkEnd w:id="361"/>
      <w:bookmarkStart w:id="362" w:name="_Toc184308041"/>
      <w:bookmarkEnd w:id="362"/>
      <w:bookmarkStart w:id="363" w:name="_Toc184308096"/>
      <w:bookmarkEnd w:id="363"/>
      <w:bookmarkStart w:id="364" w:name="_Toc184314443"/>
      <w:bookmarkEnd w:id="364"/>
      <w:bookmarkStart w:id="365" w:name="_Toc184312097"/>
      <w:bookmarkEnd w:id="365"/>
      <w:bookmarkStart w:id="366" w:name="_Toc184314439"/>
      <w:bookmarkEnd w:id="366"/>
      <w:bookmarkStart w:id="367" w:name="_Toc184308089"/>
      <w:bookmarkEnd w:id="367"/>
      <w:bookmarkStart w:id="368" w:name="_Toc184308067"/>
      <w:bookmarkEnd w:id="368"/>
      <w:bookmarkStart w:id="369" w:name="_Toc184314449"/>
      <w:bookmarkEnd w:id="369"/>
      <w:bookmarkStart w:id="370" w:name="_Toc184313260"/>
      <w:bookmarkEnd w:id="370"/>
      <w:bookmarkStart w:id="371" w:name="_Toc184308088"/>
      <w:bookmarkEnd w:id="371"/>
      <w:bookmarkStart w:id="372" w:name="_Toc184310342"/>
      <w:bookmarkEnd w:id="372"/>
      <w:bookmarkStart w:id="373" w:name="_Toc184312102"/>
      <w:bookmarkEnd w:id="373"/>
      <w:bookmarkStart w:id="374" w:name="_Toc184308091"/>
      <w:bookmarkEnd w:id="374"/>
      <w:bookmarkStart w:id="375" w:name="_Toc184308048"/>
      <w:bookmarkEnd w:id="375"/>
      <w:bookmarkStart w:id="376" w:name="_Toc184313248"/>
      <w:bookmarkEnd w:id="376"/>
      <w:bookmarkStart w:id="377" w:name="_Toc184308075"/>
      <w:bookmarkEnd w:id="377"/>
      <w:bookmarkStart w:id="378" w:name="_Toc184313294"/>
      <w:bookmarkEnd w:id="378"/>
      <w:bookmarkStart w:id="379" w:name="_Toc184314480"/>
      <w:bookmarkEnd w:id="379"/>
      <w:bookmarkStart w:id="380" w:name="_Toc184314434"/>
      <w:bookmarkEnd w:id="380"/>
      <w:bookmarkStart w:id="381" w:name="_Toc184310299"/>
      <w:bookmarkEnd w:id="381"/>
      <w:bookmarkStart w:id="382" w:name="_Toc184310326"/>
      <w:bookmarkEnd w:id="382"/>
      <w:bookmarkStart w:id="383" w:name="_Toc184313274"/>
      <w:bookmarkEnd w:id="383"/>
      <w:bookmarkStart w:id="384" w:name="_Toc184312074"/>
      <w:bookmarkEnd w:id="384"/>
      <w:bookmarkStart w:id="385" w:name="_Toc184308087"/>
      <w:bookmarkEnd w:id="385"/>
      <w:bookmarkStart w:id="386" w:name="_Toc184308090"/>
      <w:bookmarkEnd w:id="386"/>
      <w:bookmarkStart w:id="387" w:name="_Toc184312116"/>
      <w:bookmarkEnd w:id="387"/>
      <w:bookmarkStart w:id="388" w:name="_Toc184314447"/>
      <w:bookmarkEnd w:id="388"/>
      <w:bookmarkStart w:id="389" w:name="_Toc184314432"/>
      <w:bookmarkEnd w:id="389"/>
      <w:bookmarkStart w:id="390" w:name="_Toc184310277"/>
      <w:bookmarkEnd w:id="390"/>
      <w:bookmarkStart w:id="391" w:name="_Toc184313245"/>
      <w:bookmarkEnd w:id="391"/>
      <w:bookmarkStart w:id="392" w:name="_Toc184308086"/>
      <w:bookmarkEnd w:id="392"/>
      <w:r>
        <w:rPr>
          <w:rFonts w:hint="eastAsia" w:ascii="宋体" w:hAnsi="宋体" w:cs="宋体"/>
          <w:b/>
          <w:sz w:val="36"/>
          <w:szCs w:val="36"/>
        </w:rPr>
        <w:t>评标办法</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本次评标采用</w:t>
      </w:r>
      <w:bookmarkStart w:id="393" w:name="ruleMainCatName2"/>
      <w:r>
        <w:rPr>
          <w:rFonts w:hint="eastAsia" w:ascii="宋体" w:hAnsi="宋体" w:eastAsia="宋体" w:cs="宋体"/>
          <w:sz w:val="24"/>
          <w:szCs w:val="24"/>
        </w:rPr>
        <w:t>综合评分法</w:t>
      </w:r>
      <w:bookmarkEnd w:id="393"/>
      <w:r>
        <w:rPr>
          <w:rFonts w:hint="eastAsia" w:ascii="宋体" w:hAnsi="宋体" w:eastAsia="宋体" w:cs="宋体"/>
          <w:sz w:val="24"/>
          <w:szCs w:val="24"/>
        </w:rPr>
        <w:t>，总分为100分。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投标人评标综合得分=价格分+（技术、商务分）</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价格分（10分）</w:t>
      </w:r>
    </w:p>
    <w:tbl>
      <w:tblPr>
        <w:tblStyle w:val="62"/>
        <w:tblW w:w="8955"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4140"/>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评审内容</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分配分值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A</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蔬菜</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B</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水产</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C</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水果</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D</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肉类</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E</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禽蛋类</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F</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bCs/>
                <w:sz w:val="24"/>
                <w:szCs w:val="24"/>
              </w:rPr>
              <w:t>干货、调味品类</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.5</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G</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副食品</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H</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主食</w:t>
            </w:r>
            <w:r>
              <w:rPr>
                <w:rFonts w:hint="eastAsia" w:ascii="宋体" w:hAnsi="宋体" w:eastAsia="宋体" w:cs="宋体"/>
                <w:sz w:val="24"/>
                <w:szCs w:val="24"/>
                <w:lang w:val="en-US" w:eastAsia="zh-CN"/>
              </w:rPr>
              <w:t>类</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.5</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I</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bCs/>
                <w:sz w:val="24"/>
                <w:szCs w:val="24"/>
              </w:rPr>
              <w:t>豆制品类</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1分</w:t>
            </w:r>
          </w:p>
        </w:tc>
      </w:tr>
    </w:tbl>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食材配送部分投标价格的合理性：分析食材配送部分投标价格是否合理，食材配送部分投标价格范围是否完整，有否重大错漏项。食材配送部分投标价格分计算方法：满足招标文件要求且食材配送部分折扣(所有配送物资的预算价均为“</w:t>
      </w:r>
      <w:r>
        <w:rPr>
          <w:rFonts w:hint="eastAsia" w:ascii="宋体" w:hAnsi="宋体" w:cs="宋体"/>
          <w:b/>
          <w:bCs/>
          <w:sz w:val="24"/>
          <w:szCs w:val="24"/>
          <w:lang w:eastAsia="zh-CN"/>
        </w:rPr>
        <w:t>杭州市物价局官方网站</w:t>
      </w:r>
      <w:r>
        <w:rPr>
          <w:rFonts w:hint="eastAsia" w:ascii="宋体" w:hAnsi="宋体" w:eastAsia="宋体" w:cs="宋体"/>
          <w:b/>
          <w:bCs/>
          <w:sz w:val="24"/>
          <w:szCs w:val="24"/>
        </w:rPr>
        <w:t>”发布的当月整期杭州市城区部分民生商品价格公示的同类货物的平均价格（未在官网公布的以周边大型农贸市场或大型超市的价格）最低的为评标基准折扣，其他投标人的价格分统一按照下列公式计算：食材配送部分投标报价得分=(评标基准折扣／投标折扣)×价格权值×100（精确到小数点后二位）。</w:t>
      </w:r>
    </w:p>
    <w:p>
      <w:pPr>
        <w:keepNext w:val="0"/>
        <w:keepLines w:val="0"/>
        <w:pageBreakBefore w:val="0"/>
        <w:widowControl w:val="0"/>
        <w:kinsoku/>
        <w:wordWrap/>
        <w:overflowPunct/>
        <w:topLinePunct w:val="0"/>
        <w:autoSpaceDE/>
        <w:autoSpaceDN/>
        <w:bidi w:val="0"/>
        <w:adjustRightInd w:val="0"/>
        <w:snapToGrid/>
        <w:spacing w:line="44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报价得分=A得分+B得分+C得分+D得分+E得分+F得分+G得分+H得分+I得分；</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37.2.2、技术、商务分（90分）</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1）技术、商务分的计算：</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技术、商务分按照评标委员会成员的独立评分结果汇总数的算术平均分计算，计算公式为：</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技术、商务分=评标委员会所有成员评分合计数/评标委员会组成人员数</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2）评分细则如下：</w:t>
      </w:r>
    </w:p>
    <w:p>
      <w:pPr>
        <w:rPr>
          <w:rFonts w:hint="eastAsia"/>
        </w:rPr>
      </w:pPr>
    </w:p>
    <w:tbl>
      <w:tblPr>
        <w:tblStyle w:val="63"/>
        <w:tblW w:w="9087"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6177"/>
        <w:gridCol w:w="720"/>
        <w:gridCol w:w="72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序号</w:t>
            </w:r>
          </w:p>
        </w:tc>
        <w:tc>
          <w:tcPr>
            <w:tcW w:w="6177"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评标标准</w:t>
            </w:r>
          </w:p>
        </w:tc>
        <w:tc>
          <w:tcPr>
            <w:tcW w:w="720"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权重</w:t>
            </w:r>
          </w:p>
        </w:tc>
        <w:tc>
          <w:tcPr>
            <w:tcW w:w="720" w:type="dxa"/>
            <w:vAlign w:val="center"/>
          </w:tcPr>
          <w:p>
            <w:pPr>
              <w:snapToGrid w:val="0"/>
              <w:spacing w:line="360" w:lineRule="auto"/>
              <w:jc w:val="center"/>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主观分/客观分属性</w:t>
            </w:r>
          </w:p>
        </w:tc>
        <w:tc>
          <w:tcPr>
            <w:tcW w:w="945" w:type="dxa"/>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177" w:type="dxa"/>
            <w:vAlign w:val="center"/>
          </w:tcPr>
          <w:p>
            <w:pPr>
              <w:snapToGrid w:val="0"/>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人员配置情况：</w:t>
            </w:r>
            <w:r>
              <w:rPr>
                <w:rFonts w:hint="eastAsia" w:ascii="宋体" w:hAnsi="宋体" w:eastAsia="宋体" w:cs="宋体"/>
                <w:color w:val="auto"/>
                <w:sz w:val="24"/>
                <w:szCs w:val="24"/>
                <w:lang w:val="en-US" w:eastAsia="zh-CN"/>
              </w:rPr>
              <w:t>公司在职人员10</w:t>
            </w:r>
            <w:r>
              <w:rPr>
                <w:rFonts w:hint="eastAsia" w:ascii="宋体" w:hAnsi="宋体" w:eastAsia="宋体" w:cs="宋体"/>
                <w:color w:val="auto"/>
                <w:sz w:val="24"/>
                <w:szCs w:val="24"/>
              </w:rPr>
              <w:t>人（含）以下的得1分，</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人（含）的得2分,</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rPr>
              <w:t>人（含）的得3分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人（含）以上的得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w:t>
            </w:r>
          </w:p>
          <w:p>
            <w:pPr>
              <w:snapToGrid w:val="0"/>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（投标文件中提供</w:t>
            </w:r>
            <w:r>
              <w:rPr>
                <w:rFonts w:hint="eastAsia" w:ascii="宋体" w:hAnsi="宋体" w:eastAsia="宋体" w:cs="宋体"/>
                <w:b/>
                <w:bCs/>
                <w:color w:val="auto"/>
                <w:sz w:val="24"/>
                <w:szCs w:val="24"/>
                <w:lang w:val="en-US" w:eastAsia="zh-CN"/>
              </w:rPr>
              <w:t>近1个月社保缴纳证明</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劳动合同</w:t>
            </w:r>
            <w:r>
              <w:rPr>
                <w:rFonts w:hint="eastAsia" w:ascii="宋体" w:hAnsi="宋体" w:eastAsia="宋体" w:cs="宋体"/>
                <w:b/>
                <w:bCs/>
                <w:color w:val="auto"/>
                <w:sz w:val="24"/>
                <w:szCs w:val="24"/>
                <w:lang w:eastAsia="zh-CN"/>
              </w:rPr>
              <w:t>、健康证（有效期内）原件</w:t>
            </w:r>
            <w:r>
              <w:rPr>
                <w:rFonts w:hint="eastAsia" w:ascii="宋体" w:hAnsi="宋体" w:eastAsia="宋体" w:cs="宋体"/>
                <w:b/>
                <w:bCs/>
                <w:color w:val="auto"/>
                <w:sz w:val="24"/>
                <w:szCs w:val="24"/>
              </w:rPr>
              <w:t>扫描件或复印件并加盖公章，否则不得分）</w:t>
            </w:r>
          </w:p>
        </w:tc>
        <w:tc>
          <w:tcPr>
            <w:tcW w:w="720"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72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945"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trPr>
        <w:tc>
          <w:tcPr>
            <w:tcW w:w="525"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177" w:type="dxa"/>
            <w:vAlign w:val="center"/>
          </w:tcPr>
          <w:p>
            <w:pPr>
              <w:snapToGrid w:val="0"/>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食品安全管理员：</w:t>
            </w:r>
            <w:r>
              <w:rPr>
                <w:rFonts w:hint="eastAsia" w:ascii="宋体" w:hAnsi="宋体" w:eastAsia="宋体" w:cs="宋体"/>
                <w:color w:val="auto"/>
                <w:sz w:val="24"/>
                <w:szCs w:val="24"/>
              </w:rPr>
              <w:t>须提供社保缴纳证明、健康证（有效期内）、具有食品安全管理员证书的得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分，缺一项不得分。</w:t>
            </w:r>
          </w:p>
          <w:p>
            <w:pPr>
              <w:snapToGrid w:val="0"/>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（投标文件中提供</w:t>
            </w:r>
            <w:r>
              <w:rPr>
                <w:rFonts w:hint="eastAsia" w:ascii="宋体" w:hAnsi="宋体" w:eastAsia="宋体" w:cs="宋体"/>
                <w:b/>
                <w:bCs/>
                <w:color w:val="auto"/>
                <w:sz w:val="24"/>
                <w:szCs w:val="24"/>
                <w:lang w:val="en-US" w:eastAsia="zh-CN"/>
              </w:rPr>
              <w:t>近1个月社保缴纳证明</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劳动合同</w:t>
            </w:r>
            <w:r>
              <w:rPr>
                <w:rFonts w:hint="eastAsia" w:ascii="宋体" w:hAnsi="宋体" w:eastAsia="宋体" w:cs="宋体"/>
                <w:b/>
                <w:bCs/>
                <w:color w:val="auto"/>
                <w:sz w:val="24"/>
                <w:szCs w:val="24"/>
                <w:lang w:eastAsia="zh-CN"/>
              </w:rPr>
              <w:t>、食品安全管理员证书</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健康证（有效期内）原件</w:t>
            </w:r>
            <w:r>
              <w:rPr>
                <w:rFonts w:hint="eastAsia" w:ascii="宋体" w:hAnsi="宋体" w:eastAsia="宋体" w:cs="宋体"/>
                <w:b/>
                <w:bCs/>
                <w:color w:val="auto"/>
                <w:sz w:val="24"/>
                <w:szCs w:val="24"/>
              </w:rPr>
              <w:t>扫描件或复印件并加盖公章，否则不得分）</w:t>
            </w:r>
          </w:p>
        </w:tc>
        <w:tc>
          <w:tcPr>
            <w:tcW w:w="720"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72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945"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525"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6177" w:type="dxa"/>
            <w:vAlign w:val="center"/>
          </w:tcPr>
          <w:p>
            <w:pPr>
              <w:snapToGrid w:val="0"/>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食品检验人员：</w:t>
            </w:r>
            <w:r>
              <w:rPr>
                <w:rFonts w:hint="eastAsia" w:ascii="宋体" w:hAnsi="宋体" w:eastAsia="宋体" w:cs="宋体"/>
                <w:color w:val="auto"/>
                <w:sz w:val="24"/>
                <w:szCs w:val="24"/>
              </w:rPr>
              <w:t>须提供社保缴纳证明、健康证（有效期内）、具有检验能力以及具有大专及以上学历（食品、生物、化学、医药等相关专业）的得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p>
          <w:p>
            <w:pPr>
              <w:snapToGrid w:val="0"/>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（投标文件中提供</w:t>
            </w:r>
            <w:r>
              <w:rPr>
                <w:rFonts w:hint="eastAsia" w:ascii="宋体" w:hAnsi="宋体" w:eastAsia="宋体" w:cs="宋体"/>
                <w:b/>
                <w:bCs/>
                <w:color w:val="auto"/>
                <w:sz w:val="24"/>
                <w:szCs w:val="24"/>
                <w:lang w:val="en-US" w:eastAsia="zh-CN"/>
              </w:rPr>
              <w:t>近1个月社保缴纳证明</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劳动合同</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食品检验员证书、</w:t>
            </w:r>
            <w:r>
              <w:rPr>
                <w:rFonts w:hint="eastAsia" w:ascii="宋体" w:hAnsi="宋体" w:eastAsia="宋体" w:cs="宋体"/>
                <w:b/>
                <w:bCs/>
                <w:color w:val="auto"/>
                <w:sz w:val="24"/>
                <w:szCs w:val="24"/>
                <w:lang w:val="en-US" w:eastAsia="zh-CN"/>
              </w:rPr>
              <w:t>学历证书、</w:t>
            </w:r>
            <w:r>
              <w:rPr>
                <w:rFonts w:hint="eastAsia" w:ascii="宋体" w:hAnsi="宋体" w:eastAsia="宋体" w:cs="宋体"/>
                <w:b/>
                <w:bCs/>
                <w:color w:val="auto"/>
                <w:sz w:val="24"/>
                <w:szCs w:val="24"/>
                <w:lang w:eastAsia="zh-CN"/>
              </w:rPr>
              <w:t>健康证（有效期内）原件</w:t>
            </w:r>
            <w:r>
              <w:rPr>
                <w:rFonts w:hint="eastAsia" w:ascii="宋体" w:hAnsi="宋体" w:eastAsia="宋体" w:cs="宋体"/>
                <w:b/>
                <w:bCs/>
                <w:color w:val="auto"/>
                <w:sz w:val="24"/>
                <w:szCs w:val="24"/>
              </w:rPr>
              <w:t>扫描件或复印件并加盖公章，否则不得分）</w:t>
            </w:r>
          </w:p>
        </w:tc>
        <w:tc>
          <w:tcPr>
            <w:tcW w:w="720"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72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945"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177" w:type="dxa"/>
            <w:vAlign w:val="center"/>
          </w:tcPr>
          <w:p>
            <w:pPr>
              <w:snapToGrid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驾驶员：</w:t>
            </w:r>
            <w:r>
              <w:rPr>
                <w:rFonts w:hint="eastAsia" w:ascii="宋体" w:hAnsi="宋体" w:eastAsia="宋体" w:cs="宋体"/>
                <w:color w:val="auto"/>
                <w:sz w:val="24"/>
                <w:szCs w:val="24"/>
              </w:rPr>
              <w:t>有5年</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rPr>
              <w:t>以上驾龄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持C照驾驶员，每人得0.5分；持B照及以上驾驶员，每人得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；最多得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snapToGrid w:val="0"/>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（投标文件中提供</w:t>
            </w:r>
            <w:r>
              <w:rPr>
                <w:rFonts w:hint="eastAsia" w:ascii="宋体" w:hAnsi="宋体" w:eastAsia="宋体" w:cs="宋体"/>
                <w:b/>
                <w:bCs/>
                <w:color w:val="auto"/>
                <w:sz w:val="24"/>
                <w:szCs w:val="24"/>
                <w:lang w:val="en-US" w:eastAsia="zh-CN"/>
              </w:rPr>
              <w:t>近1个月社保缴纳证明</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劳动合同</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驾驶证</w:t>
            </w:r>
            <w:r>
              <w:rPr>
                <w:rFonts w:hint="eastAsia" w:ascii="宋体" w:hAnsi="宋体" w:eastAsia="宋体" w:cs="宋体"/>
                <w:b/>
                <w:bCs/>
                <w:color w:val="auto"/>
                <w:sz w:val="24"/>
                <w:szCs w:val="24"/>
                <w:lang w:eastAsia="zh-CN"/>
              </w:rPr>
              <w:t>原件</w:t>
            </w:r>
            <w:r>
              <w:rPr>
                <w:rFonts w:hint="eastAsia" w:ascii="宋体" w:hAnsi="宋体" w:eastAsia="宋体" w:cs="宋体"/>
                <w:b/>
                <w:bCs/>
                <w:color w:val="auto"/>
                <w:sz w:val="24"/>
                <w:szCs w:val="24"/>
              </w:rPr>
              <w:t>扫描件或复印件并加盖公章，否则不得分）</w:t>
            </w:r>
          </w:p>
        </w:tc>
        <w:tc>
          <w:tcPr>
            <w:tcW w:w="720"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72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945"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177" w:type="dxa"/>
            <w:vAlign w:val="center"/>
          </w:tcPr>
          <w:p>
            <w:pPr>
              <w:snapToGrid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运输能力：</w:t>
            </w:r>
            <w:r>
              <w:rPr>
                <w:rFonts w:hint="eastAsia" w:ascii="宋体" w:hAnsi="宋体" w:eastAsia="宋体" w:cs="宋体"/>
                <w:color w:val="auto"/>
                <w:sz w:val="24"/>
                <w:szCs w:val="24"/>
              </w:rPr>
              <w:t>投标人具有厢式冷藏车每辆得0.5分</w:t>
            </w:r>
            <w:r>
              <w:rPr>
                <w:rFonts w:hint="eastAsia" w:ascii="宋体" w:hAnsi="宋体" w:eastAsia="宋体" w:cs="宋体"/>
                <w:color w:val="auto"/>
                <w:sz w:val="24"/>
                <w:szCs w:val="24"/>
                <w:lang w:eastAsia="zh-CN"/>
              </w:rPr>
              <w:t>（行驶证品牌型号中具有</w:t>
            </w:r>
            <w:r>
              <w:rPr>
                <w:rFonts w:hint="eastAsia" w:ascii="宋体" w:hAnsi="宋体" w:eastAsia="宋体" w:cs="宋体"/>
                <w:color w:val="auto"/>
                <w:sz w:val="24"/>
                <w:szCs w:val="24"/>
                <w:lang w:val="en-US" w:eastAsia="zh-CN"/>
              </w:rPr>
              <w:t>XLC字母认定为冷藏车，否则不得分</w:t>
            </w:r>
            <w:r>
              <w:rPr>
                <w:rFonts w:hint="eastAsia" w:ascii="宋体" w:hAnsi="宋体" w:eastAsia="宋体" w:cs="宋体"/>
                <w:color w:val="auto"/>
                <w:sz w:val="24"/>
                <w:szCs w:val="24"/>
                <w:lang w:eastAsia="zh-CN"/>
              </w:rPr>
              <w:t>），最多得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车辆行驶证上所有人为该公司或公司法人代表，如车辆在股东名下的，还需提供公司章程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否则不得分</w:t>
            </w:r>
            <w:r>
              <w:rPr>
                <w:rFonts w:hint="eastAsia" w:ascii="宋体" w:hAnsi="宋体" w:eastAsia="宋体" w:cs="宋体"/>
                <w:color w:val="auto"/>
                <w:sz w:val="24"/>
                <w:szCs w:val="24"/>
                <w:lang w:eastAsia="zh-CN"/>
              </w:rPr>
              <w:t>。</w:t>
            </w:r>
          </w:p>
          <w:p>
            <w:pPr>
              <w:snapToGrid w:val="0"/>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（投标文件中提供行驶证</w:t>
            </w:r>
            <w:r>
              <w:rPr>
                <w:rFonts w:hint="eastAsia" w:ascii="宋体" w:hAnsi="宋体" w:eastAsia="宋体" w:cs="宋体"/>
                <w:b/>
                <w:bCs/>
                <w:color w:val="auto"/>
                <w:sz w:val="24"/>
                <w:szCs w:val="24"/>
                <w:lang w:eastAsia="zh-CN"/>
              </w:rPr>
              <w:t>原件</w:t>
            </w:r>
            <w:r>
              <w:rPr>
                <w:rFonts w:hint="eastAsia" w:ascii="宋体" w:hAnsi="宋体" w:eastAsia="宋体" w:cs="宋体"/>
                <w:b/>
                <w:bCs/>
                <w:color w:val="auto"/>
                <w:sz w:val="24"/>
                <w:szCs w:val="24"/>
              </w:rPr>
              <w:t>扫描件或复印件并加盖公章）</w:t>
            </w:r>
          </w:p>
        </w:tc>
        <w:tc>
          <w:tcPr>
            <w:tcW w:w="720"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72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945"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177" w:type="dxa"/>
            <w:vAlign w:val="center"/>
          </w:tcPr>
          <w:p>
            <w:pPr>
              <w:snapToGrid w:val="0"/>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认证体系：</w:t>
            </w:r>
            <w:r>
              <w:rPr>
                <w:rFonts w:hint="eastAsia" w:ascii="宋体" w:hAnsi="宋体" w:eastAsia="宋体" w:cs="宋体"/>
                <w:color w:val="auto"/>
                <w:sz w:val="24"/>
                <w:szCs w:val="24"/>
              </w:rPr>
              <w:t>具有质量管理体系认证证书的得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w:t>
            </w:r>
            <w:r>
              <w:rPr>
                <w:rFonts w:hint="eastAsia" w:ascii="宋体" w:hAnsi="宋体" w:cs="宋体"/>
                <w:color w:val="auto"/>
                <w:sz w:val="24"/>
                <w:szCs w:val="24"/>
                <w:lang w:eastAsia="zh-CN"/>
              </w:rPr>
              <w:t>；</w:t>
            </w:r>
            <w:r>
              <w:rPr>
                <w:rFonts w:hint="eastAsia" w:ascii="宋体" w:hAnsi="宋体" w:eastAsia="宋体" w:cs="宋体"/>
                <w:color w:val="auto"/>
                <w:sz w:val="24"/>
                <w:szCs w:val="24"/>
              </w:rPr>
              <w:t>具有环境管理体系认证证书的得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w:t>
            </w:r>
            <w:r>
              <w:rPr>
                <w:rFonts w:hint="eastAsia" w:ascii="宋体" w:hAnsi="宋体" w:cs="宋体"/>
                <w:color w:val="auto"/>
                <w:sz w:val="24"/>
                <w:szCs w:val="24"/>
                <w:lang w:eastAsia="zh-CN"/>
              </w:rPr>
              <w:t>；</w:t>
            </w:r>
            <w:r>
              <w:rPr>
                <w:rFonts w:hint="eastAsia" w:ascii="宋体" w:hAnsi="宋体" w:eastAsia="宋体" w:cs="宋体"/>
                <w:color w:val="auto"/>
                <w:sz w:val="24"/>
                <w:szCs w:val="24"/>
              </w:rPr>
              <w:t>具有职业健康安全管理体系认证证书的得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分；具有食品安全管理体系认证证书的得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w:t>
            </w:r>
          </w:p>
          <w:p>
            <w:pPr>
              <w:snapToGrid w:val="0"/>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(投标文件中提供</w:t>
            </w:r>
            <w:r>
              <w:rPr>
                <w:rFonts w:hint="eastAsia" w:ascii="宋体" w:hAnsi="宋体" w:eastAsia="宋体" w:cs="宋体"/>
                <w:b/>
                <w:bCs/>
                <w:color w:val="auto"/>
                <w:sz w:val="24"/>
                <w:szCs w:val="24"/>
                <w:lang w:val="en-US" w:eastAsia="zh-CN"/>
              </w:rPr>
              <w:t>有效期内的</w:t>
            </w:r>
            <w:r>
              <w:rPr>
                <w:rFonts w:hint="eastAsia" w:ascii="宋体" w:hAnsi="宋体" w:eastAsia="宋体" w:cs="宋体"/>
                <w:b/>
                <w:bCs/>
                <w:color w:val="auto"/>
                <w:sz w:val="24"/>
                <w:szCs w:val="24"/>
              </w:rPr>
              <w:t>体系认证证书</w:t>
            </w:r>
            <w:r>
              <w:rPr>
                <w:rFonts w:hint="eastAsia" w:ascii="宋体" w:hAnsi="宋体" w:eastAsia="宋体" w:cs="宋体"/>
                <w:b/>
                <w:bCs/>
                <w:color w:val="auto"/>
                <w:sz w:val="24"/>
                <w:szCs w:val="24"/>
                <w:lang w:val="en-US" w:eastAsia="zh-CN"/>
              </w:rPr>
              <w:t>原件</w:t>
            </w:r>
            <w:r>
              <w:rPr>
                <w:rFonts w:hint="eastAsia" w:ascii="宋体" w:hAnsi="宋体" w:eastAsia="宋体" w:cs="宋体"/>
                <w:b/>
                <w:bCs/>
                <w:color w:val="auto"/>
                <w:sz w:val="24"/>
                <w:szCs w:val="24"/>
              </w:rPr>
              <w:t>扫描件或复印件并加盖公章，否则不得分)</w:t>
            </w:r>
          </w:p>
        </w:tc>
        <w:tc>
          <w:tcPr>
            <w:tcW w:w="720"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72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945"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6177" w:type="dxa"/>
            <w:vAlign w:val="center"/>
          </w:tcPr>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highlight w:val="none"/>
              </w:rPr>
              <w:t>所供货物的进货渠道，供应物品的追溯及索证（蔬菜类、水产类、水果类、肉类、家禽类、禽蛋类、调料类、冷冻食品类、豆制品类、粮油类等）。需提供有效期至少到202</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年</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月的上游供应商代理授权书或供货合同，一份得1分，最高得4分</w:t>
            </w:r>
            <w:r>
              <w:rPr>
                <w:rFonts w:hint="eastAsia" w:ascii="宋体" w:hAnsi="宋体" w:eastAsia="宋体" w:cs="宋体"/>
                <w:sz w:val="24"/>
                <w:szCs w:val="24"/>
                <w:highlight w:val="none"/>
              </w:rPr>
              <w:t>。</w:t>
            </w:r>
          </w:p>
          <w:p>
            <w:pPr>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b/>
                <w:sz w:val="24"/>
                <w:highlight w:val="none"/>
              </w:rPr>
              <w:t>(</w:t>
            </w:r>
            <w:r>
              <w:rPr>
                <w:rFonts w:hint="eastAsia" w:ascii="宋体" w:hAnsi="宋体" w:eastAsia="宋体" w:cs="宋体"/>
                <w:b/>
                <w:bCs/>
                <w:color w:val="auto"/>
                <w:sz w:val="24"/>
                <w:szCs w:val="24"/>
              </w:rPr>
              <w:t>投标文件中提供</w:t>
            </w:r>
            <w:r>
              <w:rPr>
                <w:rFonts w:hint="eastAsia" w:ascii="宋体" w:hAnsi="宋体" w:eastAsia="宋体" w:cs="宋体"/>
                <w:b/>
                <w:sz w:val="24"/>
                <w:highlight w:val="none"/>
              </w:rPr>
              <w:t>上游供应商代理授权书或供货合同原件</w:t>
            </w:r>
            <w:r>
              <w:rPr>
                <w:rFonts w:hint="eastAsia" w:ascii="宋体" w:hAnsi="宋体" w:eastAsia="宋体" w:cs="宋体"/>
                <w:b/>
                <w:bCs/>
                <w:color w:val="auto"/>
                <w:sz w:val="24"/>
                <w:szCs w:val="24"/>
              </w:rPr>
              <w:t>扫描件或复印件并加盖公章，否则不得分</w:t>
            </w:r>
            <w:r>
              <w:rPr>
                <w:rFonts w:hint="eastAsia" w:ascii="宋体" w:hAnsi="宋体" w:eastAsia="宋体" w:cs="宋体"/>
                <w:b/>
                <w:sz w:val="24"/>
                <w:highlight w:val="none"/>
              </w:rPr>
              <w:t>)</w:t>
            </w:r>
          </w:p>
        </w:tc>
        <w:tc>
          <w:tcPr>
            <w:tcW w:w="720"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72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945"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6177" w:type="dxa"/>
            <w:vAlign w:val="center"/>
          </w:tcPr>
          <w:p>
            <w:pPr>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b/>
                <w:sz w:val="24"/>
                <w:szCs w:val="24"/>
                <w:highlight w:val="none"/>
              </w:rPr>
              <w:t>检测报告：</w:t>
            </w:r>
            <w:r>
              <w:rPr>
                <w:rFonts w:hint="eastAsia" w:ascii="宋体" w:hAnsi="宋体" w:eastAsia="宋体" w:cs="宋体"/>
                <w:sz w:val="24"/>
                <w:highlight w:val="none"/>
              </w:rPr>
              <w:t>检测抽查结果情况；投标公司送检第三方检测机构所供货物的检测报告且在1年有效期内的一份得1分，最高4分</w:t>
            </w:r>
            <w:r>
              <w:rPr>
                <w:rFonts w:hint="eastAsia" w:ascii="宋体" w:hAnsi="宋体" w:eastAsia="宋体" w:cs="宋体"/>
                <w:color w:val="000000"/>
                <w:kern w:val="0"/>
                <w:sz w:val="24"/>
                <w:szCs w:val="24"/>
                <w:highlight w:val="none"/>
              </w:rPr>
              <w:t>。</w:t>
            </w:r>
          </w:p>
          <w:p>
            <w:pPr>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b/>
                <w:bCs/>
                <w:sz w:val="24"/>
                <w:highlight w:val="none"/>
              </w:rPr>
              <w:t>（</w:t>
            </w:r>
            <w:r>
              <w:rPr>
                <w:rFonts w:hint="eastAsia" w:ascii="宋体" w:hAnsi="宋体" w:eastAsia="宋体" w:cs="宋体"/>
                <w:b/>
                <w:bCs/>
                <w:color w:val="auto"/>
                <w:sz w:val="24"/>
                <w:szCs w:val="24"/>
              </w:rPr>
              <w:t>投标文件中提供</w:t>
            </w:r>
            <w:r>
              <w:rPr>
                <w:rFonts w:hint="eastAsia" w:ascii="宋体" w:hAnsi="宋体" w:eastAsia="宋体" w:cs="宋体"/>
                <w:b/>
                <w:bCs/>
                <w:sz w:val="24"/>
                <w:highlight w:val="none"/>
              </w:rPr>
              <w:t>第三方检测报告的原件</w:t>
            </w:r>
            <w:r>
              <w:rPr>
                <w:rFonts w:hint="eastAsia" w:ascii="宋体" w:hAnsi="宋体" w:eastAsia="宋体" w:cs="宋体"/>
                <w:b/>
                <w:bCs/>
                <w:color w:val="auto"/>
                <w:sz w:val="24"/>
                <w:szCs w:val="24"/>
              </w:rPr>
              <w:t>扫描件或复印件并加盖公章，否则不得分</w:t>
            </w:r>
            <w:r>
              <w:rPr>
                <w:rFonts w:hint="eastAsia" w:ascii="宋体" w:hAnsi="宋体" w:eastAsia="宋体" w:cs="宋体"/>
                <w:b/>
                <w:bCs/>
                <w:sz w:val="24"/>
                <w:highlight w:val="none"/>
              </w:rPr>
              <w:t>）</w:t>
            </w:r>
          </w:p>
        </w:tc>
        <w:tc>
          <w:tcPr>
            <w:tcW w:w="720"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72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945"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6177" w:type="dxa"/>
            <w:vAlign w:val="center"/>
          </w:tcPr>
          <w:p>
            <w:pPr>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经营场所设施设备情况：</w:t>
            </w:r>
          </w:p>
          <w:p>
            <w:pPr>
              <w:numPr>
                <w:ilvl w:val="0"/>
                <w:numId w:val="3"/>
              </w:num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达到</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000平方米及以上的</w:t>
            </w:r>
            <w:r>
              <w:rPr>
                <w:rFonts w:hint="eastAsia" w:ascii="宋体" w:hAnsi="宋体" w:eastAsia="宋体" w:cs="宋体"/>
                <w:sz w:val="24"/>
                <w:highlight w:val="none"/>
                <w:lang w:eastAsia="zh-CN"/>
              </w:rPr>
              <w:t>，</w:t>
            </w:r>
            <w:r>
              <w:rPr>
                <w:rFonts w:hint="eastAsia" w:ascii="宋体" w:hAnsi="宋体" w:eastAsia="宋体" w:cs="宋体"/>
                <w:sz w:val="24"/>
                <w:highlight w:val="none"/>
              </w:rPr>
              <w:t>同时分拣区</w:t>
            </w:r>
            <w:r>
              <w:rPr>
                <w:rFonts w:hint="eastAsia" w:ascii="宋体" w:hAnsi="宋体" w:eastAsia="宋体" w:cs="宋体"/>
                <w:sz w:val="24"/>
                <w:highlight w:val="none"/>
                <w:lang w:eastAsia="zh-CN"/>
              </w:rPr>
              <w:t>、</w:t>
            </w:r>
            <w:r>
              <w:rPr>
                <w:rFonts w:hint="eastAsia" w:ascii="宋体" w:hAnsi="宋体" w:eastAsia="宋体" w:cs="宋体"/>
                <w:sz w:val="24"/>
                <w:highlight w:val="none"/>
              </w:rPr>
              <w:t>检测室、冷库、仓库、蔬菜水产加工车间功能区划分清晰的得3分</w:t>
            </w:r>
            <w:r>
              <w:rPr>
                <w:rFonts w:hint="eastAsia" w:ascii="宋体" w:hAnsi="宋体" w:eastAsia="宋体" w:cs="宋体"/>
                <w:sz w:val="24"/>
                <w:highlight w:val="none"/>
                <w:lang w:eastAsia="zh-CN"/>
              </w:rPr>
              <w:t>；</w:t>
            </w:r>
            <w:r>
              <w:rPr>
                <w:rFonts w:hint="eastAsia" w:ascii="宋体" w:hAnsi="宋体" w:eastAsia="宋体" w:cs="宋体"/>
                <w:sz w:val="24"/>
                <w:highlight w:val="none"/>
              </w:rPr>
              <w:t>未达到</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000平方米的得1分。</w:t>
            </w:r>
          </w:p>
          <w:p>
            <w:pPr>
              <w:numPr>
                <w:ilvl w:val="0"/>
                <w:numId w:val="3"/>
              </w:num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拟可投入本项目的设施设备齐全（需包含清洗设备、加工设备、分拣设备、存储设备、消毒设备等）的得3分；</w:t>
            </w:r>
          </w:p>
          <w:p>
            <w:pPr>
              <w:numPr>
                <w:ilvl w:val="0"/>
                <w:numId w:val="3"/>
              </w:numPr>
              <w:spacing w:line="360" w:lineRule="auto"/>
              <w:ind w:left="0" w:leftChars="0" w:firstLine="0" w:firstLineChars="0"/>
              <w:jc w:val="left"/>
              <w:rPr>
                <w:rFonts w:hint="eastAsia" w:ascii="宋体" w:hAnsi="宋体" w:eastAsia="宋体" w:cs="宋体"/>
                <w:sz w:val="24"/>
                <w:highlight w:val="none"/>
              </w:rPr>
            </w:pPr>
            <w:r>
              <w:rPr>
                <w:rFonts w:hint="eastAsia" w:ascii="宋体" w:hAnsi="宋体" w:eastAsia="宋体" w:cs="宋体"/>
                <w:sz w:val="24"/>
                <w:highlight w:val="none"/>
              </w:rPr>
              <w:t>拟可投入本项目</w:t>
            </w:r>
            <w:r>
              <w:rPr>
                <w:rFonts w:hint="eastAsia" w:ascii="宋体" w:hAnsi="宋体" w:eastAsia="宋体" w:cs="宋体"/>
                <w:sz w:val="24"/>
                <w:highlight w:val="none"/>
                <w:lang w:val="en-US" w:eastAsia="zh-CN"/>
              </w:rPr>
              <w:t>检测设备：</w:t>
            </w:r>
            <w:r>
              <w:rPr>
                <w:rFonts w:hint="eastAsia" w:ascii="宋体" w:hAnsi="宋体" w:eastAsia="宋体" w:cs="宋体"/>
                <w:sz w:val="24"/>
                <w:highlight w:val="none"/>
              </w:rPr>
              <w:t>具有蔬果农药残留检测设备得</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分，具有药品残留检测设备的得</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w:t>
            </w:r>
          </w:p>
          <w:p>
            <w:pPr>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b/>
                <w:sz w:val="24"/>
                <w:highlight w:val="none"/>
              </w:rPr>
              <w:t>（</w:t>
            </w:r>
            <w:r>
              <w:rPr>
                <w:rFonts w:hint="eastAsia" w:ascii="宋体" w:hAnsi="宋体" w:eastAsia="宋体" w:cs="宋体"/>
                <w:b/>
                <w:bCs/>
                <w:color w:val="auto"/>
                <w:sz w:val="24"/>
                <w:szCs w:val="24"/>
              </w:rPr>
              <w:t>投标文件中提供</w:t>
            </w:r>
            <w:r>
              <w:rPr>
                <w:rFonts w:hint="eastAsia" w:ascii="宋体" w:hAnsi="宋体" w:eastAsia="宋体" w:cs="宋体"/>
                <w:b/>
                <w:sz w:val="24"/>
                <w:highlight w:val="none"/>
              </w:rPr>
              <w:t>房产证或租赁协议、场地照片、设施设备照片，检测设备照片和发票</w:t>
            </w:r>
            <w:r>
              <w:rPr>
                <w:rFonts w:hint="eastAsia" w:ascii="宋体" w:hAnsi="宋体" w:eastAsia="宋体" w:cs="宋体"/>
                <w:b/>
                <w:bCs/>
                <w:color w:val="auto"/>
                <w:sz w:val="24"/>
                <w:szCs w:val="24"/>
              </w:rPr>
              <w:t>扫描件或复印件并加盖公章，否则不得分</w:t>
            </w:r>
            <w:r>
              <w:rPr>
                <w:rFonts w:hint="eastAsia" w:ascii="宋体" w:hAnsi="宋体" w:eastAsia="宋体" w:cs="宋体"/>
                <w:b/>
                <w:sz w:val="24"/>
                <w:highlight w:val="none"/>
              </w:rPr>
              <w:t>）</w:t>
            </w:r>
            <w:r>
              <w:rPr>
                <w:rFonts w:hint="eastAsia" w:ascii="宋体" w:hAnsi="宋体" w:eastAsia="宋体" w:cs="宋体"/>
                <w:b/>
                <w:sz w:val="24"/>
                <w:highlight w:val="none"/>
                <w:lang w:eastAsia="zh-CN"/>
              </w:rPr>
              <w:t>。</w:t>
            </w:r>
          </w:p>
        </w:tc>
        <w:tc>
          <w:tcPr>
            <w:tcW w:w="720"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72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945"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6177" w:type="dxa"/>
            <w:vAlign w:val="center"/>
          </w:tcPr>
          <w:p>
            <w:pPr>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b/>
                <w:bCs/>
                <w:sz w:val="24"/>
                <w:szCs w:val="24"/>
                <w:highlight w:val="none"/>
              </w:rPr>
              <w:t>类似项目实施业绩：</w:t>
            </w:r>
            <w:r>
              <w:rPr>
                <w:rFonts w:hint="eastAsia" w:ascii="宋体" w:hAnsi="宋体" w:eastAsia="宋体" w:cs="宋体"/>
                <w:sz w:val="24"/>
                <w:szCs w:val="24"/>
                <w:highlight w:val="none"/>
              </w:rPr>
              <w:t>投标人自20</w:t>
            </w: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年1月1日（含）以来（以合同签订时间为准）承担过类似项目，每提供一个案例得</w:t>
            </w:r>
            <w:r>
              <w:rPr>
                <w:rFonts w:hint="eastAsia" w:ascii="宋体" w:hAnsi="宋体" w:eastAsia="宋体" w:cs="宋体"/>
                <w:sz w:val="24"/>
                <w:szCs w:val="24"/>
                <w:highlight w:val="none"/>
                <w:lang w:val="en-US" w:eastAsia="zh-CN"/>
              </w:rPr>
              <w:t>0.5</w:t>
            </w:r>
            <w:r>
              <w:rPr>
                <w:rFonts w:hint="eastAsia" w:ascii="宋体" w:hAnsi="宋体" w:eastAsia="宋体" w:cs="宋体"/>
                <w:sz w:val="24"/>
                <w:szCs w:val="24"/>
                <w:highlight w:val="none"/>
              </w:rPr>
              <w:t>分，满分</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p>
            <w:pPr>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b/>
                <w:bCs/>
                <w:sz w:val="24"/>
                <w:highlight w:val="none"/>
              </w:rPr>
              <w:t>（</w:t>
            </w:r>
            <w:r>
              <w:rPr>
                <w:rFonts w:hint="eastAsia" w:ascii="宋体" w:hAnsi="宋体" w:eastAsia="宋体" w:cs="宋体"/>
                <w:b/>
                <w:bCs/>
                <w:color w:val="auto"/>
                <w:sz w:val="24"/>
                <w:szCs w:val="24"/>
              </w:rPr>
              <w:t>投标文件中提供</w:t>
            </w:r>
            <w:r>
              <w:rPr>
                <w:rFonts w:hint="eastAsia" w:ascii="宋体" w:hAnsi="宋体" w:eastAsia="宋体" w:cs="宋体"/>
                <w:b/>
                <w:bCs/>
                <w:sz w:val="24"/>
                <w:highlight w:val="none"/>
              </w:rPr>
              <w:t>合同原件扫描件</w:t>
            </w:r>
            <w:r>
              <w:rPr>
                <w:rFonts w:hint="eastAsia" w:ascii="宋体" w:hAnsi="宋体" w:eastAsia="宋体" w:cs="宋体"/>
                <w:b/>
                <w:bCs/>
                <w:color w:val="auto"/>
                <w:sz w:val="24"/>
                <w:szCs w:val="24"/>
              </w:rPr>
              <w:t>或复印件并加盖公章，否则不得分</w:t>
            </w:r>
            <w:r>
              <w:rPr>
                <w:rFonts w:hint="eastAsia" w:ascii="宋体" w:hAnsi="宋体" w:eastAsia="宋体" w:cs="宋体"/>
                <w:b/>
                <w:bCs/>
                <w:sz w:val="24"/>
                <w:highlight w:val="none"/>
              </w:rPr>
              <w:t>）</w:t>
            </w:r>
          </w:p>
        </w:tc>
        <w:tc>
          <w:tcPr>
            <w:tcW w:w="720"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72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客观分</w:t>
            </w:r>
          </w:p>
        </w:tc>
        <w:tc>
          <w:tcPr>
            <w:tcW w:w="945"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6177" w:type="dxa"/>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公司管理制度：</w:t>
            </w:r>
            <w:r>
              <w:rPr>
                <w:rFonts w:hint="eastAsia" w:ascii="宋体" w:hAnsi="宋体" w:eastAsia="宋体" w:cs="宋体"/>
                <w:color w:val="auto"/>
                <w:sz w:val="24"/>
                <w:szCs w:val="24"/>
                <w:highlight w:val="none"/>
              </w:rPr>
              <w:t>公司管理制度的健全</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制度与公司实际相符，内容全面而简要，可操作性强，评标委员会打分。</w:t>
            </w:r>
          </w:p>
          <w:p>
            <w:pPr>
              <w:spacing w:line="360" w:lineRule="auto"/>
              <w:jc w:val="left"/>
              <w:rPr>
                <w:rFonts w:hint="eastAsia" w:ascii="宋体" w:hAnsi="宋体" w:eastAsia="宋体" w:cs="宋体"/>
                <w:color w:val="000000"/>
                <w:kern w:val="2"/>
                <w:sz w:val="24"/>
                <w:szCs w:val="20"/>
                <w:highlight w:val="none"/>
                <w:lang w:val="en-US" w:eastAsia="zh-CN" w:bidi="ar-SA"/>
              </w:rPr>
            </w:pPr>
            <w:r>
              <w:rPr>
                <w:rFonts w:hint="eastAsia" w:ascii="宋体" w:hAnsi="宋体" w:eastAsia="宋体" w:cs="宋体"/>
                <w:b/>
                <w:bCs/>
                <w:color w:val="auto"/>
                <w:kern w:val="0"/>
                <w:sz w:val="24"/>
                <w:szCs w:val="24"/>
                <w:highlight w:val="none"/>
              </w:rPr>
              <w:t>（管理制度</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内容完整、充实</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全面</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w:t>
            </w:r>
            <w:r>
              <w:rPr>
                <w:rFonts w:hint="eastAsia" w:ascii="宋体" w:hAnsi="宋体" w:cs="宋体"/>
                <w:b/>
                <w:bCs/>
                <w:color w:val="auto"/>
                <w:kern w:val="0"/>
                <w:sz w:val="24"/>
                <w:szCs w:val="24"/>
                <w:highlight w:val="none"/>
                <w:lang w:val="en-US" w:eastAsia="zh-CN"/>
              </w:rPr>
              <w:t>较</w:t>
            </w:r>
            <w:r>
              <w:rPr>
                <w:rFonts w:hint="eastAsia" w:ascii="宋体" w:hAnsi="宋体" w:eastAsia="宋体" w:cs="宋体"/>
                <w:b/>
                <w:bCs/>
                <w:color w:val="auto"/>
                <w:kern w:val="0"/>
                <w:sz w:val="24"/>
                <w:szCs w:val="24"/>
                <w:highlight w:val="none"/>
              </w:rPr>
              <w:t>完整、充实</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全面</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w:t>
            </w:r>
            <w:r>
              <w:rPr>
                <w:rFonts w:hint="eastAsia" w:ascii="宋体" w:hAnsi="宋体" w:cs="宋体"/>
                <w:b/>
                <w:bCs/>
                <w:color w:val="auto"/>
                <w:kern w:val="0"/>
                <w:sz w:val="24"/>
                <w:szCs w:val="24"/>
                <w:highlight w:val="none"/>
                <w:lang w:val="en-US" w:eastAsia="zh-CN"/>
              </w:rPr>
              <w:t>有所欠缺，不够</w:t>
            </w:r>
            <w:r>
              <w:rPr>
                <w:rFonts w:hint="eastAsia" w:ascii="宋体" w:hAnsi="宋体" w:eastAsia="宋体" w:cs="宋体"/>
                <w:b/>
                <w:bCs/>
                <w:color w:val="auto"/>
                <w:kern w:val="0"/>
                <w:sz w:val="24"/>
                <w:szCs w:val="24"/>
                <w:highlight w:val="none"/>
              </w:rPr>
              <w:t>完整、充实</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全面</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未提供或完全不符的0分</w:t>
            </w:r>
            <w:r>
              <w:rPr>
                <w:rFonts w:hint="eastAsia" w:ascii="宋体" w:hAnsi="宋体" w:eastAsia="宋体" w:cs="宋体"/>
                <w:b/>
                <w:bCs/>
                <w:color w:val="auto"/>
                <w:kern w:val="0"/>
                <w:sz w:val="24"/>
                <w:szCs w:val="24"/>
                <w:highlight w:val="none"/>
              </w:rPr>
              <w:t>。）</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945"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6177"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宋体" w:hAnsi="宋体" w:cs="宋体"/>
                <w:color w:val="auto"/>
                <w:sz w:val="24"/>
                <w:szCs w:val="24"/>
                <w:highlight w:val="none"/>
                <w:lang w:eastAsia="zh-CN"/>
              </w:rPr>
            </w:pPr>
            <w:r>
              <w:rPr>
                <w:rFonts w:hint="eastAsia" w:ascii="宋体" w:hAnsi="宋体" w:eastAsia="宋体" w:cs="宋体"/>
                <w:b/>
                <w:bCs/>
                <w:color w:val="auto"/>
                <w:sz w:val="24"/>
                <w:szCs w:val="24"/>
                <w:highlight w:val="none"/>
              </w:rPr>
              <w:t>质量控制措施</w:t>
            </w:r>
            <w:r>
              <w:rPr>
                <w:rFonts w:hint="eastAsia" w:ascii="宋体" w:hAnsi="宋体" w:cs="宋体"/>
                <w:b/>
                <w:bCs/>
                <w:color w:val="auto"/>
                <w:sz w:val="24"/>
                <w:szCs w:val="24"/>
                <w:highlight w:val="none"/>
                <w:lang w:eastAsia="zh-CN"/>
              </w:rPr>
              <w:t>：</w:t>
            </w:r>
            <w:r>
              <w:rPr>
                <w:rFonts w:hint="eastAsia" w:ascii="宋体" w:hAnsi="宋体" w:eastAsia="宋体" w:cs="宋体"/>
                <w:color w:val="auto"/>
                <w:sz w:val="24"/>
                <w:szCs w:val="24"/>
                <w:highlight w:val="none"/>
              </w:rPr>
              <w:t>供货质量控制措施与公司实际相符，内容全面，可操作性强，评标委员会打分</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0"/>
                <w:sz w:val="24"/>
                <w:szCs w:val="24"/>
                <w:highlight w:val="none"/>
              </w:rPr>
              <w:t>（供货质量控制措施</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内容完整、充实</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思路清晰、可操作性强</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w:t>
            </w:r>
            <w:r>
              <w:rPr>
                <w:rFonts w:hint="eastAsia" w:ascii="宋体" w:hAnsi="宋体" w:cs="宋体"/>
                <w:b/>
                <w:bCs/>
                <w:color w:val="auto"/>
                <w:kern w:val="0"/>
                <w:sz w:val="24"/>
                <w:szCs w:val="24"/>
                <w:highlight w:val="none"/>
                <w:lang w:val="en-US" w:eastAsia="zh-CN"/>
              </w:rPr>
              <w:t>较</w:t>
            </w:r>
            <w:r>
              <w:rPr>
                <w:rFonts w:hint="eastAsia" w:ascii="宋体" w:hAnsi="宋体" w:eastAsia="宋体" w:cs="宋体"/>
                <w:b/>
                <w:bCs/>
                <w:color w:val="auto"/>
                <w:kern w:val="0"/>
                <w:sz w:val="24"/>
                <w:szCs w:val="24"/>
                <w:highlight w:val="none"/>
              </w:rPr>
              <w:t>完整、充实</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思路较清晰、操作性较强</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5</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w:t>
            </w:r>
            <w:r>
              <w:rPr>
                <w:rFonts w:hint="eastAsia" w:ascii="宋体" w:hAnsi="宋体" w:cs="宋体"/>
                <w:b/>
                <w:bCs/>
                <w:color w:val="auto"/>
                <w:kern w:val="0"/>
                <w:sz w:val="24"/>
                <w:szCs w:val="24"/>
                <w:highlight w:val="none"/>
                <w:lang w:val="en-US" w:eastAsia="zh-CN"/>
              </w:rPr>
              <w:t>有所欠缺，不够</w:t>
            </w:r>
            <w:r>
              <w:rPr>
                <w:rFonts w:hint="eastAsia" w:ascii="宋体" w:hAnsi="宋体" w:eastAsia="宋体" w:cs="宋体"/>
                <w:b/>
                <w:bCs/>
                <w:color w:val="auto"/>
                <w:kern w:val="0"/>
                <w:sz w:val="24"/>
                <w:szCs w:val="24"/>
                <w:highlight w:val="none"/>
              </w:rPr>
              <w:t>完整、充实</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思路不够清晰、可操作性一般</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未提供或完全不符的0分</w:t>
            </w:r>
            <w:r>
              <w:rPr>
                <w:rFonts w:hint="eastAsia" w:ascii="宋体" w:hAnsi="宋体" w:eastAsia="宋体" w:cs="宋体"/>
                <w:b/>
                <w:bCs/>
                <w:color w:val="auto"/>
                <w:kern w:val="0"/>
                <w:sz w:val="24"/>
                <w:szCs w:val="24"/>
                <w:highlight w:val="none"/>
              </w:rPr>
              <w:t>。）</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主观分</w:t>
            </w:r>
          </w:p>
        </w:tc>
        <w:tc>
          <w:tcPr>
            <w:tcW w:w="945"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6177"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配送实施方案：</w:t>
            </w:r>
            <w:r>
              <w:rPr>
                <w:rFonts w:hint="eastAsia" w:ascii="宋体" w:hAnsi="宋体" w:eastAsia="宋体" w:cs="宋体"/>
                <w:color w:val="auto"/>
                <w:sz w:val="24"/>
                <w:szCs w:val="24"/>
                <w:highlight w:val="none"/>
              </w:rPr>
              <w:t>包括总体部署、供货措施、运输及现场管理计划等，评标委员会打分。</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0"/>
                <w:sz w:val="24"/>
                <w:szCs w:val="24"/>
                <w:highlight w:val="none"/>
              </w:rPr>
              <w:t>（</w:t>
            </w:r>
            <w:r>
              <w:rPr>
                <w:rFonts w:hint="eastAsia" w:ascii="宋体" w:hAnsi="宋体" w:cs="宋体"/>
                <w:b/>
                <w:bCs/>
                <w:color w:val="auto"/>
                <w:kern w:val="0"/>
                <w:sz w:val="24"/>
                <w:szCs w:val="24"/>
                <w:highlight w:val="none"/>
                <w:lang w:val="en-US" w:eastAsia="zh-CN"/>
              </w:rPr>
              <w:t>方案表述</w:t>
            </w:r>
            <w:r>
              <w:rPr>
                <w:rFonts w:hint="eastAsia" w:ascii="宋体" w:hAnsi="宋体" w:eastAsia="宋体" w:cs="宋体"/>
                <w:b/>
                <w:bCs/>
                <w:color w:val="auto"/>
                <w:kern w:val="0"/>
                <w:sz w:val="24"/>
                <w:szCs w:val="24"/>
                <w:highlight w:val="none"/>
              </w:rPr>
              <w:t>内容完整、</w:t>
            </w:r>
            <w:r>
              <w:rPr>
                <w:rFonts w:hint="eastAsia" w:ascii="宋体" w:hAnsi="宋体" w:cs="宋体"/>
                <w:b/>
                <w:bCs/>
                <w:color w:val="auto"/>
                <w:kern w:val="0"/>
                <w:sz w:val="24"/>
                <w:szCs w:val="24"/>
                <w:highlight w:val="none"/>
                <w:lang w:val="en-US" w:eastAsia="zh-CN"/>
              </w:rPr>
              <w:t>合理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思路清晰、可操作性强</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w:t>
            </w:r>
            <w:r>
              <w:rPr>
                <w:rFonts w:hint="eastAsia" w:ascii="宋体" w:hAnsi="宋体" w:cs="宋体"/>
                <w:b/>
                <w:bCs/>
                <w:color w:val="auto"/>
                <w:kern w:val="0"/>
                <w:sz w:val="24"/>
                <w:szCs w:val="24"/>
                <w:highlight w:val="none"/>
                <w:lang w:val="en-US" w:eastAsia="zh-CN"/>
              </w:rPr>
              <w:t>较</w:t>
            </w:r>
            <w:r>
              <w:rPr>
                <w:rFonts w:hint="eastAsia" w:ascii="宋体" w:hAnsi="宋体" w:eastAsia="宋体" w:cs="宋体"/>
                <w:b/>
                <w:bCs/>
                <w:color w:val="auto"/>
                <w:kern w:val="0"/>
                <w:sz w:val="24"/>
                <w:szCs w:val="24"/>
                <w:highlight w:val="none"/>
              </w:rPr>
              <w:t>完整、</w:t>
            </w:r>
            <w:r>
              <w:rPr>
                <w:rFonts w:hint="eastAsia" w:ascii="宋体" w:hAnsi="宋体" w:cs="宋体"/>
                <w:b/>
                <w:bCs/>
                <w:color w:val="auto"/>
                <w:kern w:val="0"/>
                <w:sz w:val="24"/>
                <w:szCs w:val="24"/>
                <w:highlight w:val="none"/>
                <w:lang w:val="en-US" w:eastAsia="zh-CN"/>
              </w:rPr>
              <w:t>合理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思路较清晰、操作性较强</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5</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w:t>
            </w:r>
            <w:r>
              <w:rPr>
                <w:rFonts w:hint="eastAsia" w:ascii="宋体" w:hAnsi="宋体" w:cs="宋体"/>
                <w:b/>
                <w:bCs/>
                <w:color w:val="auto"/>
                <w:kern w:val="0"/>
                <w:sz w:val="24"/>
                <w:szCs w:val="24"/>
                <w:highlight w:val="none"/>
                <w:lang w:val="en-US" w:eastAsia="zh-CN"/>
              </w:rPr>
              <w:t>有所欠缺，不够</w:t>
            </w:r>
            <w:r>
              <w:rPr>
                <w:rFonts w:hint="eastAsia" w:ascii="宋体" w:hAnsi="宋体" w:eastAsia="宋体" w:cs="宋体"/>
                <w:b/>
                <w:bCs/>
                <w:color w:val="auto"/>
                <w:kern w:val="0"/>
                <w:sz w:val="24"/>
                <w:szCs w:val="24"/>
                <w:highlight w:val="none"/>
              </w:rPr>
              <w:t>完整、</w:t>
            </w:r>
            <w:r>
              <w:rPr>
                <w:rFonts w:hint="eastAsia" w:ascii="宋体" w:hAnsi="宋体" w:cs="宋体"/>
                <w:b/>
                <w:bCs/>
                <w:color w:val="auto"/>
                <w:kern w:val="0"/>
                <w:sz w:val="24"/>
                <w:szCs w:val="24"/>
                <w:highlight w:val="none"/>
                <w:lang w:val="en-US" w:eastAsia="zh-CN"/>
              </w:rPr>
              <w:t>合理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思路不够清晰、可操作性一般</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未提供或完全不符的0分</w:t>
            </w:r>
            <w:r>
              <w:rPr>
                <w:rFonts w:hint="eastAsia" w:ascii="宋体" w:hAnsi="宋体" w:eastAsia="宋体" w:cs="宋体"/>
                <w:b/>
                <w:bCs/>
                <w:color w:val="auto"/>
                <w:kern w:val="0"/>
                <w:sz w:val="24"/>
                <w:szCs w:val="24"/>
                <w:highlight w:val="none"/>
              </w:rPr>
              <w:t>。）</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主观分</w:t>
            </w:r>
          </w:p>
        </w:tc>
        <w:tc>
          <w:tcPr>
            <w:tcW w:w="945"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6177"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宋体" w:hAnsi="宋体" w:cs="宋体"/>
                <w:color w:val="auto"/>
                <w:sz w:val="24"/>
                <w:szCs w:val="24"/>
                <w:highlight w:val="none"/>
                <w:lang w:eastAsia="zh-CN"/>
              </w:rPr>
            </w:pPr>
            <w:r>
              <w:rPr>
                <w:rFonts w:hint="eastAsia" w:ascii="宋体" w:hAnsi="宋体" w:eastAsia="宋体" w:cs="宋体"/>
                <w:b/>
                <w:bCs/>
                <w:color w:val="auto"/>
                <w:sz w:val="24"/>
                <w:szCs w:val="24"/>
                <w:highlight w:val="none"/>
              </w:rPr>
              <w:t>应急实施方案</w:t>
            </w:r>
            <w:r>
              <w:rPr>
                <w:rFonts w:hint="eastAsia" w:ascii="宋体" w:hAnsi="宋体" w:cs="宋体"/>
                <w:b/>
                <w:bCs/>
                <w:color w:val="auto"/>
                <w:sz w:val="24"/>
                <w:szCs w:val="24"/>
                <w:highlight w:val="none"/>
                <w:lang w:eastAsia="zh-CN"/>
              </w:rPr>
              <w:t>：</w:t>
            </w:r>
            <w:r>
              <w:rPr>
                <w:rFonts w:hint="eastAsia" w:ascii="宋体" w:hAnsi="宋体" w:eastAsia="宋体" w:cs="宋体"/>
                <w:color w:val="auto"/>
                <w:sz w:val="24"/>
                <w:szCs w:val="24"/>
                <w:highlight w:val="none"/>
              </w:rPr>
              <w:t>应急实施方案突发事件（天气、交通等因素）时的应急预案及相应的措施，根据预案制订打分</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0"/>
                <w:sz w:val="24"/>
                <w:szCs w:val="24"/>
                <w:highlight w:val="none"/>
              </w:rPr>
              <w:t>（</w:t>
            </w:r>
            <w:r>
              <w:rPr>
                <w:rFonts w:hint="eastAsia" w:ascii="宋体" w:hAnsi="宋体" w:cs="宋体"/>
                <w:b/>
                <w:bCs/>
                <w:color w:val="auto"/>
                <w:kern w:val="0"/>
                <w:sz w:val="24"/>
                <w:szCs w:val="24"/>
                <w:highlight w:val="none"/>
                <w:lang w:val="en-US" w:eastAsia="zh-CN"/>
              </w:rPr>
              <w:t>方案表述</w:t>
            </w:r>
            <w:r>
              <w:rPr>
                <w:rFonts w:hint="eastAsia" w:ascii="宋体" w:hAnsi="宋体" w:eastAsia="宋体" w:cs="宋体"/>
                <w:b/>
                <w:bCs/>
                <w:color w:val="auto"/>
                <w:kern w:val="0"/>
                <w:sz w:val="24"/>
                <w:szCs w:val="24"/>
                <w:highlight w:val="none"/>
              </w:rPr>
              <w:t>内容完整、</w:t>
            </w:r>
            <w:r>
              <w:rPr>
                <w:rFonts w:hint="eastAsia" w:ascii="宋体" w:hAnsi="宋体" w:cs="宋体"/>
                <w:b/>
                <w:bCs/>
                <w:color w:val="auto"/>
                <w:kern w:val="0"/>
                <w:sz w:val="24"/>
                <w:szCs w:val="24"/>
                <w:highlight w:val="none"/>
                <w:lang w:val="en-US" w:eastAsia="zh-CN"/>
              </w:rPr>
              <w:t>合理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思路清晰、可操作性强</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w:t>
            </w:r>
            <w:r>
              <w:rPr>
                <w:rFonts w:hint="eastAsia" w:ascii="宋体" w:hAnsi="宋体" w:cs="宋体"/>
                <w:b/>
                <w:bCs/>
                <w:color w:val="auto"/>
                <w:kern w:val="0"/>
                <w:sz w:val="24"/>
                <w:szCs w:val="24"/>
                <w:highlight w:val="none"/>
                <w:lang w:val="en-US" w:eastAsia="zh-CN"/>
              </w:rPr>
              <w:t>较</w:t>
            </w:r>
            <w:r>
              <w:rPr>
                <w:rFonts w:hint="eastAsia" w:ascii="宋体" w:hAnsi="宋体" w:eastAsia="宋体" w:cs="宋体"/>
                <w:b/>
                <w:bCs/>
                <w:color w:val="auto"/>
                <w:kern w:val="0"/>
                <w:sz w:val="24"/>
                <w:szCs w:val="24"/>
                <w:highlight w:val="none"/>
              </w:rPr>
              <w:t>完整、</w:t>
            </w:r>
            <w:r>
              <w:rPr>
                <w:rFonts w:hint="eastAsia" w:ascii="宋体" w:hAnsi="宋体" w:cs="宋体"/>
                <w:b/>
                <w:bCs/>
                <w:color w:val="auto"/>
                <w:kern w:val="0"/>
                <w:sz w:val="24"/>
                <w:szCs w:val="24"/>
                <w:highlight w:val="none"/>
                <w:lang w:val="en-US" w:eastAsia="zh-CN"/>
              </w:rPr>
              <w:t>合理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思路较清晰、操作性较强</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5</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w:t>
            </w:r>
            <w:r>
              <w:rPr>
                <w:rFonts w:hint="eastAsia" w:ascii="宋体" w:hAnsi="宋体" w:cs="宋体"/>
                <w:b/>
                <w:bCs/>
                <w:color w:val="auto"/>
                <w:kern w:val="0"/>
                <w:sz w:val="24"/>
                <w:szCs w:val="24"/>
                <w:highlight w:val="none"/>
                <w:lang w:val="en-US" w:eastAsia="zh-CN"/>
              </w:rPr>
              <w:t>有所欠缺，不够</w:t>
            </w:r>
            <w:r>
              <w:rPr>
                <w:rFonts w:hint="eastAsia" w:ascii="宋体" w:hAnsi="宋体" w:eastAsia="宋体" w:cs="宋体"/>
                <w:b/>
                <w:bCs/>
                <w:color w:val="auto"/>
                <w:kern w:val="0"/>
                <w:sz w:val="24"/>
                <w:szCs w:val="24"/>
                <w:highlight w:val="none"/>
              </w:rPr>
              <w:t>完整、</w:t>
            </w:r>
            <w:r>
              <w:rPr>
                <w:rFonts w:hint="eastAsia" w:ascii="宋体" w:hAnsi="宋体" w:cs="宋体"/>
                <w:b/>
                <w:bCs/>
                <w:color w:val="auto"/>
                <w:kern w:val="0"/>
                <w:sz w:val="24"/>
                <w:szCs w:val="24"/>
                <w:highlight w:val="none"/>
                <w:lang w:val="en-US" w:eastAsia="zh-CN"/>
              </w:rPr>
              <w:t>合理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思路不够清晰、可操作性一般</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未提供或完全不符的0分</w:t>
            </w:r>
            <w:r>
              <w:rPr>
                <w:rFonts w:hint="eastAsia" w:ascii="宋体" w:hAnsi="宋体" w:eastAsia="宋体" w:cs="宋体"/>
                <w:b/>
                <w:bCs/>
                <w:color w:val="auto"/>
                <w:kern w:val="0"/>
                <w:sz w:val="24"/>
                <w:szCs w:val="24"/>
                <w:highlight w:val="none"/>
              </w:rPr>
              <w:t>。）</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主观分</w:t>
            </w:r>
          </w:p>
        </w:tc>
        <w:tc>
          <w:tcPr>
            <w:tcW w:w="945"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t>
            </w:r>
          </w:p>
        </w:tc>
        <w:tc>
          <w:tcPr>
            <w:tcW w:w="6177"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售后服务措施</w:t>
            </w:r>
            <w:r>
              <w:rPr>
                <w:rFonts w:hint="eastAsia" w:ascii="宋体" w:hAnsi="宋体" w:cs="宋体"/>
                <w:b/>
                <w:bCs/>
                <w:color w:val="auto"/>
                <w:sz w:val="24"/>
                <w:szCs w:val="24"/>
                <w:highlight w:val="none"/>
                <w:lang w:eastAsia="zh-CN"/>
              </w:rPr>
              <w:t>：</w:t>
            </w:r>
            <w:r>
              <w:rPr>
                <w:rFonts w:hint="eastAsia" w:ascii="宋体" w:hAnsi="宋体" w:eastAsia="宋体" w:cs="宋体"/>
                <w:color w:val="auto"/>
                <w:sz w:val="24"/>
                <w:szCs w:val="24"/>
                <w:highlight w:val="none"/>
              </w:rPr>
              <w:t>售后服务措施，包括但不限于以下方面：①供货后清点商品数量缺少应如何响应；②发现订单商品停产如何应急处理；③装卸过程中商品损耗如何处理。</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Style w:val="965"/>
                <w:rFonts w:hint="eastAsia" w:ascii="宋体" w:hAnsi="宋体" w:eastAsia="宋体" w:cs="宋体"/>
                <w:color w:val="auto"/>
                <w:sz w:val="24"/>
                <w:szCs w:val="24"/>
                <w:highlight w:val="none"/>
              </w:rPr>
              <w:t>（</w:t>
            </w:r>
            <w:r>
              <w:rPr>
                <w:rFonts w:hint="eastAsia" w:ascii="宋体" w:hAnsi="宋体" w:cs="宋体"/>
                <w:b/>
                <w:bCs/>
                <w:color w:val="auto"/>
                <w:kern w:val="0"/>
                <w:sz w:val="24"/>
                <w:szCs w:val="24"/>
                <w:highlight w:val="none"/>
                <w:lang w:val="en-US" w:eastAsia="zh-CN"/>
              </w:rPr>
              <w:t>方案表述</w:t>
            </w:r>
            <w:r>
              <w:rPr>
                <w:rFonts w:hint="eastAsia" w:ascii="宋体" w:hAnsi="宋体" w:eastAsia="宋体" w:cs="宋体"/>
                <w:b/>
                <w:bCs/>
                <w:color w:val="auto"/>
                <w:kern w:val="0"/>
                <w:sz w:val="24"/>
                <w:szCs w:val="24"/>
                <w:highlight w:val="none"/>
              </w:rPr>
              <w:t>内容完整、</w:t>
            </w:r>
            <w:r>
              <w:rPr>
                <w:rFonts w:hint="eastAsia" w:ascii="宋体" w:hAnsi="宋体" w:cs="宋体"/>
                <w:b/>
                <w:bCs/>
                <w:color w:val="auto"/>
                <w:kern w:val="0"/>
                <w:sz w:val="24"/>
                <w:szCs w:val="24"/>
                <w:highlight w:val="none"/>
                <w:lang w:val="en-US" w:eastAsia="zh-CN"/>
              </w:rPr>
              <w:t>合理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可操作性强</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w:t>
            </w:r>
            <w:r>
              <w:rPr>
                <w:rFonts w:hint="eastAsia" w:ascii="宋体" w:hAnsi="宋体" w:cs="宋体"/>
                <w:b/>
                <w:bCs/>
                <w:color w:val="auto"/>
                <w:kern w:val="0"/>
                <w:sz w:val="24"/>
                <w:szCs w:val="24"/>
                <w:highlight w:val="none"/>
                <w:lang w:val="en-US" w:eastAsia="zh-CN"/>
              </w:rPr>
              <w:t>较</w:t>
            </w:r>
            <w:r>
              <w:rPr>
                <w:rFonts w:hint="eastAsia" w:ascii="宋体" w:hAnsi="宋体" w:eastAsia="宋体" w:cs="宋体"/>
                <w:b/>
                <w:bCs/>
                <w:color w:val="auto"/>
                <w:kern w:val="0"/>
                <w:sz w:val="24"/>
                <w:szCs w:val="24"/>
                <w:highlight w:val="none"/>
              </w:rPr>
              <w:t>完整、</w:t>
            </w:r>
            <w:r>
              <w:rPr>
                <w:rFonts w:hint="eastAsia" w:ascii="宋体" w:hAnsi="宋体" w:cs="宋体"/>
                <w:b/>
                <w:bCs/>
                <w:color w:val="auto"/>
                <w:kern w:val="0"/>
                <w:sz w:val="24"/>
                <w:szCs w:val="24"/>
                <w:highlight w:val="none"/>
                <w:lang w:val="en-US" w:eastAsia="zh-CN"/>
              </w:rPr>
              <w:t>合理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可操作性较强</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5</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val="en-US" w:eastAsia="zh-CN"/>
              </w:rPr>
              <w:t>表述</w:t>
            </w:r>
            <w:r>
              <w:rPr>
                <w:rFonts w:hint="eastAsia" w:ascii="宋体" w:hAnsi="宋体" w:eastAsia="宋体" w:cs="宋体"/>
                <w:b/>
                <w:bCs/>
                <w:color w:val="auto"/>
                <w:kern w:val="0"/>
                <w:sz w:val="24"/>
                <w:szCs w:val="24"/>
                <w:highlight w:val="none"/>
              </w:rPr>
              <w:t>内容</w:t>
            </w:r>
            <w:r>
              <w:rPr>
                <w:rFonts w:hint="eastAsia" w:ascii="宋体" w:hAnsi="宋体" w:cs="宋体"/>
                <w:b/>
                <w:bCs/>
                <w:color w:val="auto"/>
                <w:kern w:val="0"/>
                <w:sz w:val="24"/>
                <w:szCs w:val="24"/>
                <w:highlight w:val="none"/>
                <w:lang w:val="en-US" w:eastAsia="zh-CN"/>
              </w:rPr>
              <w:t>有所欠缺，不够</w:t>
            </w:r>
            <w:r>
              <w:rPr>
                <w:rFonts w:hint="eastAsia" w:ascii="宋体" w:hAnsi="宋体" w:eastAsia="宋体" w:cs="宋体"/>
                <w:b/>
                <w:bCs/>
                <w:color w:val="auto"/>
                <w:kern w:val="0"/>
                <w:sz w:val="24"/>
                <w:szCs w:val="24"/>
                <w:highlight w:val="none"/>
              </w:rPr>
              <w:t>完整、</w:t>
            </w:r>
            <w:r>
              <w:rPr>
                <w:rFonts w:hint="eastAsia" w:ascii="宋体" w:hAnsi="宋体" w:cs="宋体"/>
                <w:b/>
                <w:bCs/>
                <w:color w:val="auto"/>
                <w:kern w:val="0"/>
                <w:sz w:val="24"/>
                <w:szCs w:val="24"/>
                <w:highlight w:val="none"/>
                <w:lang w:val="en-US" w:eastAsia="zh-CN"/>
              </w:rPr>
              <w:t>合理、可操作性一般</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分</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未提供或完全不符的0分</w:t>
            </w:r>
            <w:r>
              <w:rPr>
                <w:rFonts w:hint="eastAsia" w:ascii="宋体" w:hAnsi="宋体" w:eastAsia="宋体" w:cs="宋体"/>
                <w:b/>
                <w:bCs/>
                <w:color w:val="auto"/>
                <w:kern w:val="0"/>
                <w:sz w:val="24"/>
                <w:szCs w:val="24"/>
                <w:highlight w:val="none"/>
              </w:rPr>
              <w:t>。</w:t>
            </w:r>
            <w:r>
              <w:rPr>
                <w:rStyle w:val="965"/>
                <w:rFonts w:hint="eastAsia" w:ascii="宋体" w:hAnsi="宋体" w:eastAsia="宋体" w:cs="宋体"/>
                <w:color w:val="auto"/>
                <w:sz w:val="24"/>
                <w:szCs w:val="24"/>
                <w:highlight w:val="none"/>
              </w:rPr>
              <w:t>）</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主观分</w:t>
            </w:r>
          </w:p>
        </w:tc>
        <w:tc>
          <w:tcPr>
            <w:tcW w:w="945"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6177"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因供货商品质量、安全所致事件的处置措施：</w:t>
            </w:r>
            <w:r>
              <w:rPr>
                <w:rFonts w:hint="eastAsia" w:ascii="宋体" w:hAnsi="宋体" w:eastAsia="宋体" w:cs="宋体"/>
                <w:color w:val="auto"/>
                <w:sz w:val="24"/>
                <w:szCs w:val="24"/>
                <w:highlight w:val="none"/>
              </w:rPr>
              <w:t>对所致事件的供货商品质量、安全方面的理解、分析和处置措施进行综合打分</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rPr>
              <w:t>（理解、分析透彻、措施合理得</w:t>
            </w:r>
            <w:r>
              <w:rPr>
                <w:rFonts w:hint="eastAsia" w:ascii="宋体" w:hAnsi="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分；理解、分析到位、措施较合理得</w:t>
            </w: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分；理解、分析、措施一般得</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r>
              <w:rPr>
                <w:rFonts w:hint="eastAsia" w:ascii="宋体" w:hAnsi="宋体" w:cs="宋体"/>
                <w:b/>
                <w:bCs/>
                <w:color w:val="auto"/>
                <w:sz w:val="24"/>
                <w:szCs w:val="24"/>
                <w:highlight w:val="none"/>
                <w:lang w:eastAsia="zh-CN"/>
              </w:rPr>
              <w:t>；</w:t>
            </w:r>
            <w:r>
              <w:rPr>
                <w:rFonts w:hint="eastAsia" w:ascii="宋体" w:hAnsi="宋体" w:cs="宋体"/>
                <w:b/>
                <w:bCs/>
                <w:color w:val="auto"/>
                <w:kern w:val="0"/>
                <w:sz w:val="24"/>
                <w:szCs w:val="24"/>
                <w:highlight w:val="none"/>
                <w:lang w:val="en-US" w:eastAsia="zh-CN"/>
              </w:rPr>
              <w:t>未提供或完全不符的0分</w:t>
            </w:r>
            <w:r>
              <w:rPr>
                <w:rFonts w:hint="eastAsia" w:ascii="宋体" w:hAnsi="宋体" w:eastAsia="宋体" w:cs="宋体"/>
                <w:b/>
                <w:bCs/>
                <w:color w:val="auto"/>
                <w:sz w:val="24"/>
                <w:szCs w:val="24"/>
                <w:highlight w:val="none"/>
              </w:rPr>
              <w:t>）</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主观分</w:t>
            </w:r>
          </w:p>
        </w:tc>
        <w:tc>
          <w:tcPr>
            <w:tcW w:w="945"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6177"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退换货承诺及方案</w:t>
            </w:r>
            <w:r>
              <w:rPr>
                <w:rFonts w:hint="eastAsia" w:ascii="宋体" w:hAnsi="宋体" w:cs="宋体"/>
                <w:b/>
                <w:bCs/>
                <w:color w:val="auto"/>
                <w:sz w:val="24"/>
                <w:szCs w:val="24"/>
                <w:highlight w:val="none"/>
                <w:lang w:eastAsia="zh-CN"/>
              </w:rPr>
              <w:t>：</w:t>
            </w:r>
            <w:r>
              <w:rPr>
                <w:rFonts w:hint="eastAsia" w:ascii="宋体" w:hAnsi="宋体" w:eastAsia="宋体" w:cs="宋体"/>
                <w:color w:val="auto"/>
                <w:sz w:val="24"/>
                <w:szCs w:val="24"/>
                <w:highlight w:val="none"/>
              </w:rPr>
              <w:t>退换货承诺及方案的科学性、合理性情况</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rPr>
              <w:t>（退换货方案符合要求，内容完整、充实</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科学、合理</w:t>
            </w:r>
            <w:r>
              <w:rPr>
                <w:rFonts w:hint="eastAsia" w:ascii="宋体" w:hAnsi="宋体" w:eastAsia="宋体" w:cs="宋体"/>
                <w:b/>
                <w:bCs/>
                <w:color w:val="auto"/>
                <w:sz w:val="24"/>
                <w:szCs w:val="24"/>
                <w:highlight w:val="none"/>
              </w:rPr>
              <w:t>的得</w:t>
            </w:r>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分；方案符合要求，内容完整，但有所欠缺的得</w:t>
            </w: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分；方案符合要求，但内容不完整的得</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分</w:t>
            </w:r>
            <w:r>
              <w:rPr>
                <w:rFonts w:hint="eastAsia" w:ascii="宋体" w:hAnsi="宋体" w:cs="宋体"/>
                <w:b/>
                <w:bCs/>
                <w:color w:val="auto"/>
                <w:sz w:val="24"/>
                <w:szCs w:val="24"/>
                <w:highlight w:val="none"/>
                <w:lang w:eastAsia="zh-CN"/>
              </w:rPr>
              <w:t>；</w:t>
            </w:r>
            <w:r>
              <w:rPr>
                <w:rFonts w:hint="eastAsia" w:ascii="宋体" w:hAnsi="宋体" w:cs="宋体"/>
                <w:b/>
                <w:bCs/>
                <w:color w:val="auto"/>
                <w:kern w:val="0"/>
                <w:sz w:val="24"/>
                <w:szCs w:val="24"/>
                <w:highlight w:val="none"/>
                <w:lang w:val="en-US" w:eastAsia="zh-CN"/>
              </w:rPr>
              <w:t>未提供或完全不符的0分</w:t>
            </w:r>
            <w:r>
              <w:rPr>
                <w:rFonts w:hint="eastAsia" w:ascii="宋体" w:hAnsi="宋体" w:eastAsia="宋体" w:cs="宋体"/>
                <w:b/>
                <w:bCs/>
                <w:color w:val="auto"/>
                <w:sz w:val="24"/>
                <w:szCs w:val="24"/>
                <w:highlight w:val="none"/>
              </w:rPr>
              <w:t>）</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主观分</w:t>
            </w:r>
          </w:p>
        </w:tc>
        <w:tc>
          <w:tcPr>
            <w:tcW w:w="945"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6177" w:type="dxa"/>
            <w:vAlign w:val="center"/>
          </w:tcPr>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sz w:val="24"/>
                <w:szCs w:val="24"/>
                <w:highlight w:val="none"/>
              </w:rPr>
            </w:pPr>
            <w:bookmarkStart w:id="520" w:name="_GoBack"/>
            <w:r>
              <w:rPr>
                <w:rFonts w:hint="eastAsia" w:ascii="宋体" w:hAnsi="宋体" w:eastAsia="宋体" w:cs="宋体"/>
                <w:color w:val="auto"/>
                <w:sz w:val="24"/>
                <w:szCs w:val="24"/>
                <w:highlight w:val="none"/>
              </w:rPr>
              <w:t>优惠承诺及合理化建议</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评标委员会根据各投标人提供的优惠承诺及合理化建议进行给分。</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0"/>
                <w:sz w:val="24"/>
                <w:szCs w:val="24"/>
                <w:highlight w:val="none"/>
              </w:rPr>
              <w:t>（方案符合要求，内容完整、充实</w:t>
            </w:r>
            <w:r>
              <w:rPr>
                <w:rFonts w:hint="eastAsia" w:ascii="宋体" w:hAnsi="宋体" w:cs="宋体"/>
                <w:b/>
                <w:bCs/>
                <w:color w:val="auto"/>
                <w:kern w:val="0"/>
                <w:sz w:val="24"/>
                <w:szCs w:val="24"/>
                <w:highlight w:val="none"/>
                <w:lang w:eastAsia="zh-CN"/>
              </w:rPr>
              <w:t>、</w:t>
            </w:r>
            <w:r>
              <w:rPr>
                <w:rFonts w:hint="eastAsia" w:ascii="宋体" w:hAnsi="宋体" w:cs="宋体"/>
                <w:b/>
                <w:bCs/>
                <w:color w:val="auto"/>
                <w:sz w:val="24"/>
                <w:szCs w:val="24"/>
                <w:highlight w:val="none"/>
                <w:lang w:val="en-US" w:eastAsia="zh-CN"/>
              </w:rPr>
              <w:t>合理</w:t>
            </w:r>
            <w:r>
              <w:rPr>
                <w:rFonts w:hint="eastAsia" w:ascii="宋体" w:hAnsi="宋体" w:eastAsia="宋体" w:cs="宋体"/>
                <w:b/>
                <w:bCs/>
                <w:color w:val="auto"/>
                <w:kern w:val="0"/>
                <w:sz w:val="24"/>
                <w:szCs w:val="24"/>
                <w:highlight w:val="none"/>
              </w:rPr>
              <w:t>的得</w:t>
            </w:r>
            <w:r>
              <w:rPr>
                <w:rFonts w:hint="eastAsia" w:ascii="宋体" w:hAnsi="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分；方案符合要求，内容完整，但有所欠缺的得</w:t>
            </w:r>
            <w:r>
              <w:rPr>
                <w:rFonts w:hint="eastAsia" w:ascii="宋体" w:hAnsi="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分；方案符合要求，但内容不完整的得</w:t>
            </w:r>
            <w:r>
              <w:rPr>
                <w:rFonts w:hint="eastAsia" w:ascii="宋体" w:hAnsi="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分</w:t>
            </w:r>
            <w:r>
              <w:rPr>
                <w:rFonts w:hint="eastAsia" w:ascii="宋体" w:hAnsi="宋体" w:cs="宋体"/>
                <w:b/>
                <w:bCs/>
                <w:color w:val="auto"/>
                <w:sz w:val="24"/>
                <w:szCs w:val="24"/>
                <w:highlight w:val="none"/>
                <w:lang w:eastAsia="zh-CN"/>
              </w:rPr>
              <w:t>；</w:t>
            </w:r>
            <w:r>
              <w:rPr>
                <w:rFonts w:hint="eastAsia" w:ascii="宋体" w:hAnsi="宋体" w:cs="宋体"/>
                <w:b/>
                <w:bCs/>
                <w:color w:val="auto"/>
                <w:kern w:val="0"/>
                <w:sz w:val="24"/>
                <w:szCs w:val="24"/>
                <w:highlight w:val="none"/>
                <w:lang w:val="en-US" w:eastAsia="zh-CN"/>
              </w:rPr>
              <w:t>未提供或完全不符的0分</w:t>
            </w:r>
            <w:r>
              <w:rPr>
                <w:rFonts w:hint="eastAsia" w:ascii="宋体" w:hAnsi="宋体" w:eastAsia="宋体" w:cs="宋体"/>
                <w:b/>
                <w:bCs/>
                <w:color w:val="auto"/>
                <w:kern w:val="0"/>
                <w:sz w:val="24"/>
                <w:szCs w:val="24"/>
                <w:highlight w:val="none"/>
              </w:rPr>
              <w:t>）</w:t>
            </w:r>
            <w:bookmarkEnd w:id="520"/>
          </w:p>
        </w:tc>
        <w:tc>
          <w:tcPr>
            <w:tcW w:w="720"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720"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主观分</w:t>
            </w:r>
          </w:p>
        </w:tc>
        <w:tc>
          <w:tcPr>
            <w:tcW w:w="945" w:type="dxa"/>
            <w:vAlign w:val="center"/>
          </w:tcPr>
          <w:p>
            <w:pPr>
              <w:snapToGrid w:val="0"/>
              <w:spacing w:line="360" w:lineRule="auto"/>
              <w:jc w:val="center"/>
              <w:rPr>
                <w:rFonts w:hint="eastAsia" w:ascii="宋体" w:hAnsi="宋体" w:eastAsia="宋体" w:cs="宋体"/>
                <w:color w:val="auto"/>
                <w:sz w:val="24"/>
                <w:szCs w:val="24"/>
                <w:highlight w:val="none"/>
              </w:rPr>
            </w:pP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4" w:name="第五部分"/>
      <w:bookmarkStart w:id="395"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6" w:name="_Toc22967"/>
      <w:bookmarkStart w:id="397" w:name="_Toc20421"/>
      <w:bookmarkStart w:id="398" w:name="_Toc19273"/>
      <w:bookmarkStart w:id="399" w:name="_Toc28855"/>
      <w:bookmarkStart w:id="400" w:name="_Toc15367"/>
      <w:r>
        <w:rPr>
          <w:rFonts w:ascii="宋体" w:hAnsi="宋体"/>
          <w:b/>
          <w:sz w:val="24"/>
        </w:rPr>
        <w:t xml:space="preserve">1.1 </w:t>
      </w:r>
      <w:r>
        <w:rPr>
          <w:rFonts w:hint="eastAsia" w:ascii="宋体" w:hAnsi="宋体"/>
          <w:b/>
          <w:sz w:val="24"/>
        </w:rPr>
        <w:t>合同组成部分</w:t>
      </w:r>
      <w:bookmarkEnd w:id="396"/>
      <w:bookmarkEnd w:id="397"/>
      <w:bookmarkEnd w:id="398"/>
      <w:bookmarkEnd w:id="399"/>
      <w:bookmarkEnd w:id="400"/>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1" w:name="_Toc2918"/>
      <w:bookmarkStart w:id="402" w:name="_Toc18585"/>
      <w:bookmarkStart w:id="403" w:name="_Toc6311"/>
      <w:bookmarkStart w:id="404" w:name="_Toc22185"/>
      <w:bookmarkStart w:id="405" w:name="_Toc6773"/>
      <w:r>
        <w:rPr>
          <w:rFonts w:ascii="宋体" w:hAnsi="宋体"/>
          <w:b/>
          <w:sz w:val="24"/>
        </w:rPr>
        <w:t xml:space="preserve">1.2 </w:t>
      </w:r>
      <w:r>
        <w:rPr>
          <w:rFonts w:hint="eastAsia" w:ascii="宋体" w:hAnsi="宋体"/>
          <w:b/>
          <w:sz w:val="24"/>
        </w:rPr>
        <w:t>标的</w:t>
      </w:r>
      <w:bookmarkEnd w:id="401"/>
      <w:bookmarkEnd w:id="402"/>
      <w:bookmarkEnd w:id="403"/>
      <w:bookmarkEnd w:id="404"/>
      <w:bookmarkEnd w:id="405"/>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6" w:name="_Toc1386"/>
      <w:bookmarkStart w:id="407" w:name="_Toc21124"/>
      <w:bookmarkStart w:id="408" w:name="_Toc4929"/>
      <w:bookmarkStart w:id="409" w:name="_Toc5635"/>
      <w:bookmarkStart w:id="410" w:name="_Toc13918"/>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6"/>
      <w:bookmarkEnd w:id="407"/>
      <w:bookmarkEnd w:id="408"/>
      <w:bookmarkEnd w:id="409"/>
      <w:bookmarkEnd w:id="410"/>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1" w:name="_Toc26916"/>
      <w:bookmarkStart w:id="412" w:name="_Toc30158"/>
      <w:bookmarkStart w:id="413" w:name="_Toc3654"/>
      <w:bookmarkStart w:id="414" w:name="_Toc14993"/>
      <w:bookmarkStart w:id="415" w:name="_Toc3050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1"/>
    <w:bookmarkEnd w:id="412"/>
    <w:bookmarkEnd w:id="413"/>
    <w:bookmarkEnd w:id="414"/>
    <w:bookmarkEnd w:id="415"/>
    <w:p>
      <w:pPr>
        <w:pStyle w:val="959"/>
        <w:spacing w:before="0" w:beforeAutospacing="0" w:after="0" w:afterAutospacing="0" w:line="360" w:lineRule="auto"/>
        <w:ind w:firstLine="480"/>
        <w:rPr>
          <w:b/>
        </w:rPr>
      </w:pPr>
      <w:bookmarkStart w:id="416" w:name="_Toc10340"/>
      <w:bookmarkStart w:id="417" w:name="_Toc22618"/>
      <w:bookmarkStart w:id="418" w:name="_Toc1814"/>
      <w:bookmarkStart w:id="419" w:name="_Toc8772"/>
      <w:bookmarkStart w:id="420" w:name="_Toc3625"/>
      <w:bookmarkStart w:id="421" w:name="_Toc4760"/>
      <w:bookmarkStart w:id="422" w:name="_Toc31421"/>
      <w:bookmarkStart w:id="423" w:name="_Toc11108"/>
      <w:r>
        <w:rPr>
          <w:rFonts w:hint="eastAsia"/>
          <w:b/>
        </w:rPr>
        <w:t>1.4履约保证金</w:t>
      </w:r>
    </w:p>
    <w:p>
      <w:pPr>
        <w:pStyle w:val="95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6"/>
      <w:bookmarkEnd w:id="417"/>
      <w:bookmarkEnd w:id="418"/>
      <w:r>
        <w:rPr>
          <w:rFonts w:hint="eastAsia" w:ascii="宋体" w:hAnsi="宋体" w:cs="宋体"/>
          <w:b/>
          <w:sz w:val="24"/>
        </w:rPr>
        <w:t>预付款</w:t>
      </w:r>
    </w:p>
    <w:p>
      <w:pPr>
        <w:pStyle w:val="95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b/>
          <w:bCs/>
        </w:rPr>
      </w:pPr>
      <w:r>
        <w:rPr>
          <w:rFonts w:hint="eastAsia"/>
          <w:b/>
          <w:bCs/>
        </w:rPr>
        <w:t>1.6资金支付</w:t>
      </w:r>
    </w:p>
    <w:p>
      <w:pPr>
        <w:pStyle w:val="95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9"/>
      <w:bookmarkEnd w:id="420"/>
      <w:bookmarkEnd w:id="421"/>
      <w:bookmarkEnd w:id="422"/>
      <w:bookmarkEnd w:id="423"/>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4" w:name="_Toc24662"/>
      <w:bookmarkStart w:id="425" w:name="_Toc8586"/>
      <w:bookmarkStart w:id="426" w:name="_Toc3079"/>
      <w:bookmarkStart w:id="427" w:name="_Toc5698"/>
      <w:bookmarkStart w:id="428" w:name="_Toc2375"/>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4"/>
      <w:bookmarkEnd w:id="425"/>
      <w:bookmarkEnd w:id="426"/>
      <w:bookmarkEnd w:id="427"/>
      <w:bookmarkEnd w:id="428"/>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9" w:name="_Toc32454"/>
      <w:bookmarkStart w:id="430" w:name="_Toc18683"/>
      <w:bookmarkStart w:id="431" w:name="_Toc30329"/>
      <w:bookmarkStart w:id="432" w:name="_Toc9497"/>
      <w:bookmarkStart w:id="433" w:name="_Toc2680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9"/>
    <w:bookmarkEnd w:id="430"/>
    <w:bookmarkEnd w:id="431"/>
    <w:bookmarkEnd w:id="432"/>
    <w:bookmarkEnd w:id="433"/>
    <w:p>
      <w:pPr>
        <w:spacing w:line="560" w:lineRule="exact"/>
        <w:ind w:firstLine="482" w:firstLineChars="200"/>
        <w:outlineLvl w:val="0"/>
        <w:rPr>
          <w:rFonts w:ascii="宋体" w:hAnsi="宋体" w:cs="宋体"/>
          <w:b/>
          <w:sz w:val="24"/>
        </w:rPr>
      </w:pPr>
      <w:bookmarkStart w:id="434" w:name="_Toc28375"/>
      <w:bookmarkStart w:id="435" w:name="_Toc15583"/>
      <w:bookmarkStart w:id="436" w:name="_Toc16021"/>
      <w:r>
        <w:rPr>
          <w:rFonts w:hint="eastAsia" w:ascii="宋体" w:hAnsi="宋体" w:cs="宋体"/>
          <w:b/>
          <w:sz w:val="24"/>
        </w:rPr>
        <w:t>1.9合同争议的解决</w:t>
      </w:r>
      <w:bookmarkEnd w:id="434"/>
      <w:bookmarkEnd w:id="435"/>
      <w:bookmarkEnd w:id="436"/>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7" w:name="_Toc11173"/>
      <w:bookmarkStart w:id="438" w:name="_Toc7245"/>
      <w:bookmarkStart w:id="439" w:name="_Toc15322"/>
      <w:r>
        <w:rPr>
          <w:rFonts w:hint="eastAsia" w:ascii="宋体" w:hAnsi="宋体" w:cs="宋体"/>
          <w:b/>
          <w:sz w:val="24"/>
        </w:rPr>
        <w:t>2.0 合同生效</w:t>
      </w:r>
      <w:bookmarkEnd w:id="437"/>
      <w:bookmarkEnd w:id="438"/>
      <w:bookmarkEnd w:id="439"/>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0" w:name="_Toc5228"/>
      <w:bookmarkStart w:id="441" w:name="_Toc25079"/>
      <w:bookmarkStart w:id="442" w:name="_Toc19680"/>
      <w:bookmarkStart w:id="443" w:name="_Toc31297"/>
      <w:bookmarkStart w:id="444" w:name="_Toc14021"/>
      <w:r>
        <w:rPr>
          <w:rFonts w:ascii="宋体" w:hAnsi="宋体"/>
          <w:b/>
          <w:sz w:val="24"/>
        </w:rPr>
        <w:t>2.1 定义</w:t>
      </w:r>
      <w:bookmarkEnd w:id="440"/>
      <w:bookmarkEnd w:id="441"/>
      <w:bookmarkEnd w:id="442"/>
      <w:bookmarkEnd w:id="443"/>
      <w:bookmarkEnd w:id="444"/>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5" w:name="_Toc3769"/>
      <w:bookmarkStart w:id="446" w:name="_Toc31402"/>
      <w:bookmarkStart w:id="447" w:name="_Toc16752"/>
      <w:bookmarkStart w:id="448" w:name="_Toc23289"/>
      <w:bookmarkStart w:id="449" w:name="_Toc19539"/>
      <w:r>
        <w:rPr>
          <w:rFonts w:ascii="宋体" w:hAnsi="宋体"/>
          <w:b/>
          <w:sz w:val="24"/>
        </w:rPr>
        <w:t>2.2 技术规范</w:t>
      </w:r>
      <w:bookmarkEnd w:id="445"/>
      <w:bookmarkEnd w:id="446"/>
      <w:bookmarkEnd w:id="447"/>
      <w:bookmarkEnd w:id="448"/>
      <w:bookmarkEnd w:id="449"/>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0" w:name="_Toc12412"/>
      <w:bookmarkStart w:id="451" w:name="_Toc4133"/>
      <w:bookmarkStart w:id="452" w:name="_Toc13673"/>
      <w:bookmarkStart w:id="453" w:name="_Toc27945"/>
      <w:bookmarkStart w:id="454" w:name="_Toc9161"/>
      <w:r>
        <w:rPr>
          <w:rFonts w:ascii="宋体" w:hAnsi="宋体"/>
          <w:b/>
          <w:sz w:val="24"/>
        </w:rPr>
        <w:t>2.3 知识产权</w:t>
      </w:r>
      <w:bookmarkEnd w:id="450"/>
      <w:bookmarkEnd w:id="451"/>
      <w:bookmarkEnd w:id="452"/>
      <w:bookmarkEnd w:id="453"/>
      <w:bookmarkEnd w:id="454"/>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5" w:name="_Toc26555"/>
      <w:bookmarkStart w:id="456" w:name="_Toc15447"/>
      <w:bookmarkStart w:id="457" w:name="_Toc32670"/>
      <w:bookmarkStart w:id="458" w:name="_Toc22011"/>
      <w:bookmarkStart w:id="459" w:name="_Toc31233"/>
      <w:r>
        <w:rPr>
          <w:rFonts w:ascii="宋体" w:hAnsi="宋体"/>
          <w:b/>
          <w:sz w:val="24"/>
        </w:rPr>
        <w:t>2.5 结算方式和付款条件</w:t>
      </w:r>
      <w:bookmarkEnd w:id="455"/>
      <w:bookmarkEnd w:id="456"/>
      <w:bookmarkEnd w:id="457"/>
      <w:bookmarkEnd w:id="458"/>
      <w:bookmarkEnd w:id="459"/>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0" w:name="_Toc18990"/>
      <w:bookmarkStart w:id="461" w:name="_Toc30507"/>
      <w:bookmarkStart w:id="462" w:name="_Toc13467"/>
      <w:bookmarkStart w:id="463" w:name="_Toc13154"/>
      <w:bookmarkStart w:id="464" w:name="_Toc16163"/>
      <w:r>
        <w:rPr>
          <w:rFonts w:ascii="宋体" w:hAnsi="宋体"/>
          <w:b/>
          <w:sz w:val="24"/>
        </w:rPr>
        <w:t>2.6 技术资料和保密义务</w:t>
      </w:r>
      <w:bookmarkEnd w:id="460"/>
      <w:bookmarkEnd w:id="461"/>
      <w:bookmarkEnd w:id="462"/>
      <w:bookmarkEnd w:id="463"/>
      <w:bookmarkEnd w:id="464"/>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5" w:name="_Toc19069"/>
      <w:r>
        <w:rPr>
          <w:rFonts w:ascii="宋体" w:hAnsi="宋体"/>
          <w:b/>
          <w:sz w:val="24"/>
        </w:rPr>
        <w:t xml:space="preserve">2.7 </w:t>
      </w:r>
      <w:r>
        <w:rPr>
          <w:rFonts w:hint="eastAsia" w:ascii="宋体" w:hAnsi="宋体"/>
          <w:b/>
          <w:sz w:val="24"/>
        </w:rPr>
        <w:t>质量保证</w:t>
      </w:r>
      <w:bookmarkEnd w:id="465"/>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6" w:name="_Toc22267"/>
      <w:r>
        <w:rPr>
          <w:rFonts w:ascii="宋体" w:hAnsi="宋体"/>
          <w:b/>
          <w:sz w:val="24"/>
        </w:rPr>
        <w:t xml:space="preserve">2.8 </w:t>
      </w:r>
      <w:r>
        <w:rPr>
          <w:rFonts w:hint="eastAsia" w:ascii="宋体" w:hAnsi="宋体"/>
          <w:b/>
          <w:sz w:val="24"/>
        </w:rPr>
        <w:t>延迟履行</w:t>
      </w:r>
      <w:bookmarkEnd w:id="466"/>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7" w:name="_Toc10611"/>
      <w:r>
        <w:rPr>
          <w:rFonts w:ascii="宋体" w:hAnsi="宋体"/>
          <w:b/>
          <w:sz w:val="24"/>
        </w:rPr>
        <w:t xml:space="preserve">2.9 </w:t>
      </w:r>
      <w:r>
        <w:rPr>
          <w:rFonts w:hint="eastAsia" w:ascii="宋体" w:hAnsi="宋体"/>
          <w:b/>
          <w:sz w:val="24"/>
        </w:rPr>
        <w:t>合同变更</w:t>
      </w:r>
      <w:bookmarkEnd w:id="467"/>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8" w:name="_Toc42"/>
      <w:bookmarkStart w:id="469" w:name="_Toc21830"/>
      <w:bookmarkStart w:id="470" w:name="_Toc26689"/>
      <w:bookmarkStart w:id="471" w:name="_Toc10663"/>
      <w:bookmarkStart w:id="472" w:name="_Toc23368"/>
      <w:r>
        <w:rPr>
          <w:rFonts w:ascii="宋体" w:hAnsi="宋体"/>
          <w:b/>
          <w:sz w:val="24"/>
        </w:rPr>
        <w:t>2.10 合同转让和分包</w:t>
      </w:r>
      <w:bookmarkEnd w:id="468"/>
      <w:bookmarkEnd w:id="469"/>
      <w:bookmarkEnd w:id="470"/>
      <w:bookmarkEnd w:id="471"/>
      <w:bookmarkEnd w:id="472"/>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3" w:name="_Toc4720"/>
      <w:bookmarkStart w:id="474" w:name="_Toc26633"/>
      <w:bookmarkStart w:id="475" w:name="_Toc14371"/>
      <w:bookmarkStart w:id="476" w:name="_Toc25571"/>
      <w:bookmarkStart w:id="477" w:name="_Toc32494"/>
      <w:r>
        <w:rPr>
          <w:rFonts w:ascii="宋体" w:hAnsi="宋体"/>
          <w:b/>
          <w:sz w:val="24"/>
        </w:rPr>
        <w:t>2.11 不可抗力</w:t>
      </w:r>
      <w:bookmarkEnd w:id="473"/>
      <w:bookmarkEnd w:id="474"/>
      <w:bookmarkEnd w:id="475"/>
      <w:bookmarkEnd w:id="476"/>
      <w:bookmarkEnd w:id="477"/>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8" w:name="_Toc23854"/>
      <w:bookmarkStart w:id="479" w:name="_Toc14115"/>
      <w:bookmarkStart w:id="480" w:name="_Toc3638"/>
      <w:bookmarkStart w:id="481" w:name="_Toc25783"/>
      <w:bookmarkStart w:id="482" w:name="_Toc24465"/>
      <w:r>
        <w:rPr>
          <w:rFonts w:ascii="宋体" w:hAnsi="宋体"/>
          <w:b/>
          <w:sz w:val="24"/>
        </w:rPr>
        <w:t>2.12 税费</w:t>
      </w:r>
      <w:bookmarkEnd w:id="478"/>
      <w:bookmarkEnd w:id="479"/>
      <w:bookmarkEnd w:id="480"/>
      <w:bookmarkEnd w:id="481"/>
      <w:bookmarkEnd w:id="482"/>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3" w:name="_Toc7315"/>
      <w:bookmarkStart w:id="484" w:name="_Toc30105"/>
      <w:bookmarkStart w:id="485" w:name="_Toc26883"/>
      <w:bookmarkStart w:id="486" w:name="_Toc14814"/>
      <w:bookmarkStart w:id="487" w:name="_Toc25525"/>
      <w:r>
        <w:rPr>
          <w:rFonts w:ascii="宋体" w:hAnsi="宋体"/>
          <w:b/>
          <w:sz w:val="24"/>
        </w:rPr>
        <w:t>2.13 乙方破产</w:t>
      </w:r>
      <w:bookmarkEnd w:id="483"/>
      <w:bookmarkEnd w:id="484"/>
      <w:bookmarkEnd w:id="485"/>
      <w:bookmarkEnd w:id="486"/>
      <w:bookmarkEnd w:id="487"/>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8" w:name="_Toc1123"/>
      <w:bookmarkStart w:id="489" w:name="_Toc23323"/>
      <w:bookmarkStart w:id="490" w:name="_Toc2016"/>
      <w:r>
        <w:rPr>
          <w:rFonts w:ascii="宋体" w:hAnsi="宋体"/>
          <w:b/>
          <w:sz w:val="24"/>
        </w:rPr>
        <w:t>2.14 合同中止、终止</w:t>
      </w:r>
      <w:bookmarkEnd w:id="488"/>
      <w:bookmarkEnd w:id="489"/>
      <w:bookmarkEnd w:id="490"/>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1" w:name="_Toc17363"/>
      <w:bookmarkStart w:id="492" w:name="_Toc14525"/>
      <w:bookmarkStart w:id="493" w:name="_Toc1969"/>
      <w:r>
        <w:rPr>
          <w:rFonts w:ascii="宋体" w:hAnsi="宋体"/>
          <w:b/>
          <w:sz w:val="24"/>
        </w:rPr>
        <w:t>2.15 检验和验收</w:t>
      </w:r>
      <w:bookmarkEnd w:id="491"/>
      <w:bookmarkEnd w:id="492"/>
      <w:bookmarkEnd w:id="493"/>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4" w:name="_Toc12666"/>
      <w:bookmarkStart w:id="495" w:name="_Toc25198"/>
      <w:bookmarkStart w:id="496" w:name="_Toc9808"/>
      <w:bookmarkStart w:id="497" w:name="_Toc2308"/>
      <w:bookmarkStart w:id="498" w:name="_Toc31892"/>
      <w:r>
        <w:rPr>
          <w:rFonts w:ascii="宋体" w:hAnsi="宋体"/>
          <w:b/>
          <w:sz w:val="24"/>
        </w:rPr>
        <w:t>2.16 通知和送达</w:t>
      </w:r>
      <w:bookmarkEnd w:id="494"/>
      <w:bookmarkEnd w:id="495"/>
      <w:bookmarkEnd w:id="496"/>
      <w:bookmarkEnd w:id="497"/>
      <w:bookmarkEnd w:id="498"/>
    </w:p>
    <w:p>
      <w:pPr>
        <w:spacing w:line="560" w:lineRule="exact"/>
        <w:ind w:firstLine="480" w:firstLineChars="200"/>
        <w:rPr>
          <w:rFonts w:ascii="宋体" w:hAnsi="宋体"/>
          <w:sz w:val="24"/>
        </w:rPr>
      </w:pPr>
      <w:bookmarkStart w:id="499" w:name="_Toc18401"/>
      <w:bookmarkStart w:id="500"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9"/>
      <w:bookmarkEnd w:id="500"/>
    </w:p>
    <w:p>
      <w:pPr>
        <w:spacing w:line="560" w:lineRule="exact"/>
        <w:ind w:firstLine="482" w:firstLineChars="200"/>
        <w:outlineLvl w:val="0"/>
        <w:rPr>
          <w:rFonts w:ascii="宋体" w:hAnsi="宋体"/>
          <w:b/>
          <w:sz w:val="24"/>
        </w:rPr>
      </w:pPr>
      <w:bookmarkStart w:id="501" w:name="_Toc12254"/>
      <w:bookmarkStart w:id="502" w:name="_Toc27644"/>
      <w:bookmarkStart w:id="503" w:name="_Toc20808"/>
      <w:bookmarkStart w:id="504" w:name="_Toc28906"/>
      <w:bookmarkStart w:id="505" w:name="_Toc5063"/>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1"/>
      <w:bookmarkEnd w:id="502"/>
      <w:bookmarkEnd w:id="503"/>
      <w:bookmarkEnd w:id="504"/>
      <w:bookmarkEnd w:id="505"/>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6" w:name="_Toc30599"/>
      <w:bookmarkStart w:id="507" w:name="_Toc4355"/>
      <w:bookmarkStart w:id="508" w:name="_Toc18540"/>
      <w:r>
        <w:rPr>
          <w:rFonts w:hint="eastAsia" w:ascii="宋体" w:hAnsi="宋体" w:cs="宋体"/>
          <w:b/>
          <w:sz w:val="24"/>
        </w:rPr>
        <w:t>2.18 计量单位</w:t>
      </w:r>
      <w:bookmarkEnd w:id="506"/>
      <w:bookmarkEnd w:id="507"/>
      <w:bookmarkEnd w:id="50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9" w:name="_Toc331685784"/>
      <w:r>
        <w:rPr>
          <w:rFonts w:hint="eastAsia" w:ascii="宋体" w:hAnsi="宋体" w:cs="宋体"/>
          <w:b/>
          <w:sz w:val="24"/>
        </w:rPr>
        <w:t xml:space="preserve"> </w:t>
      </w:r>
      <w:bookmarkEnd w:id="509"/>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4"/>
      <w:r>
        <w:rPr>
          <w:rFonts w:hint="eastAsia" w:ascii="宋体" w:hAnsi="宋体" w:cs="宋体"/>
          <w:b/>
          <w:sz w:val="36"/>
          <w:szCs w:val="20"/>
        </w:rPr>
        <w:t xml:space="preserve"> </w:t>
      </w:r>
      <w:bookmarkEnd w:id="39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10" w:name="_Hlk101257010"/>
      <w:r>
        <w:rPr>
          <w:rFonts w:hint="eastAsia" w:ascii="宋体" w:hAnsi="宋体" w:cs="宋体"/>
          <w:color w:val="FF0000"/>
          <w:sz w:val="24"/>
        </w:rPr>
        <w:t>（如果有)</w:t>
      </w:r>
      <w:bookmarkEnd w:id="510"/>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3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865"/>
        <w:gridCol w:w="1670"/>
        <w:gridCol w:w="1330"/>
        <w:gridCol w:w="2140"/>
        <w:gridCol w:w="53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0" w:hRule="atLeast"/>
          <w:tblHeader/>
          <w:jc w:val="center"/>
        </w:trPr>
        <w:tc>
          <w:tcPr>
            <w:tcW w:w="3865"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类型</w:t>
            </w:r>
          </w:p>
        </w:tc>
        <w:tc>
          <w:tcPr>
            <w:tcW w:w="167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en-GB"/>
              </w:rPr>
            </w:pPr>
            <w:r>
              <w:rPr>
                <w:rFonts w:hint="eastAsia" w:ascii="宋体" w:hAnsi="宋体" w:eastAsia="宋体" w:cs="宋体"/>
                <w:sz w:val="21"/>
                <w:szCs w:val="21"/>
                <w:lang w:val="en-GB"/>
              </w:rPr>
              <w:t>服务期</w:t>
            </w:r>
          </w:p>
        </w:tc>
        <w:tc>
          <w:tcPr>
            <w:tcW w:w="133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en-GB"/>
              </w:rPr>
            </w:pPr>
            <w:r>
              <w:rPr>
                <w:rFonts w:hint="eastAsia" w:ascii="宋体" w:hAnsi="宋体" w:eastAsia="宋体" w:cs="宋体"/>
                <w:sz w:val="21"/>
                <w:szCs w:val="21"/>
                <w:lang w:val="en-GB"/>
              </w:rPr>
              <w:t>数量</w:t>
            </w:r>
          </w:p>
        </w:tc>
        <w:tc>
          <w:tcPr>
            <w:tcW w:w="214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en-GB"/>
              </w:rPr>
            </w:pPr>
            <w:r>
              <w:rPr>
                <w:rFonts w:hint="eastAsia" w:ascii="宋体" w:hAnsi="宋体" w:eastAsia="宋体" w:cs="宋体"/>
                <w:sz w:val="21"/>
                <w:szCs w:val="21"/>
                <w:lang w:val="en-GB"/>
              </w:rPr>
              <w:t>单价</w:t>
            </w:r>
          </w:p>
        </w:tc>
        <w:tc>
          <w:tcPr>
            <w:tcW w:w="5323"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en-GB"/>
              </w:rPr>
            </w:pPr>
            <w:r>
              <w:rPr>
                <w:rFonts w:hint="eastAsia" w:ascii="宋体" w:hAnsi="宋体" w:eastAsia="宋体" w:cs="宋体"/>
                <w:sz w:val="21"/>
                <w:szCs w:val="21"/>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5" w:hRule="atLeast"/>
          <w:jc w:val="center"/>
        </w:trPr>
        <w:tc>
          <w:tcPr>
            <w:tcW w:w="3865"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蔬菜</w:t>
            </w:r>
          </w:p>
        </w:tc>
        <w:tc>
          <w:tcPr>
            <w:tcW w:w="1670" w:type="dxa"/>
            <w:vMerge w:val="restart"/>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按招标文件要求</w:t>
            </w:r>
          </w:p>
        </w:tc>
        <w:tc>
          <w:tcPr>
            <w:tcW w:w="133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1项</w:t>
            </w:r>
          </w:p>
        </w:tc>
        <w:tc>
          <w:tcPr>
            <w:tcW w:w="214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优惠后</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c>
          <w:tcPr>
            <w:tcW w:w="5323" w:type="dxa"/>
            <w:vMerge w:val="restart"/>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b/>
                <w:bCs/>
                <w:sz w:val="21"/>
                <w:szCs w:val="21"/>
              </w:rPr>
              <w:t>（折扣率：“</w:t>
            </w:r>
            <w:r>
              <w:rPr>
                <w:rFonts w:hint="eastAsia" w:ascii="宋体" w:hAnsi="宋体" w:cs="宋体"/>
                <w:b/>
                <w:bCs/>
                <w:sz w:val="21"/>
                <w:szCs w:val="21"/>
                <w:lang w:eastAsia="zh-CN"/>
              </w:rPr>
              <w:t>杭州市物价局官方网站</w:t>
            </w:r>
            <w:r>
              <w:rPr>
                <w:rFonts w:hint="eastAsia" w:ascii="宋体" w:hAnsi="宋体" w:eastAsia="宋体" w:cs="宋体"/>
                <w:b/>
                <w:bCs/>
                <w:sz w:val="21"/>
                <w:szCs w:val="21"/>
              </w:rPr>
              <w:t>”发布的当月整期杭州市城区部分民生商品价格公示的同类货物的平均价格（未在官网公布的以周边大型农贸市场或大型超市的价格）的</w:t>
            </w:r>
            <w:r>
              <w:rPr>
                <w:rFonts w:hint="eastAsia" w:ascii="宋体" w:hAnsi="宋体" w:eastAsia="宋体" w:cs="宋体"/>
                <w:b/>
                <w:bCs/>
                <w:sz w:val="21"/>
                <w:szCs w:val="21"/>
                <w:u w:val="single"/>
              </w:rPr>
              <w:t xml:space="preserve">     %（小数点后保留两位小数）</w:t>
            </w:r>
            <w:r>
              <w:rPr>
                <w:rFonts w:hint="eastAsia" w:ascii="宋体" w:hAnsi="宋体" w:eastAsia="宋体" w:cs="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3865"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水产</w:t>
            </w:r>
          </w:p>
        </w:tc>
        <w:tc>
          <w:tcPr>
            <w:tcW w:w="1670"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c>
          <w:tcPr>
            <w:tcW w:w="133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1项</w:t>
            </w:r>
          </w:p>
        </w:tc>
        <w:tc>
          <w:tcPr>
            <w:tcW w:w="214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优惠后</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c>
          <w:tcPr>
            <w:tcW w:w="5323"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3865"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水果</w:t>
            </w:r>
          </w:p>
        </w:tc>
        <w:tc>
          <w:tcPr>
            <w:tcW w:w="1670"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c>
          <w:tcPr>
            <w:tcW w:w="133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1项</w:t>
            </w:r>
          </w:p>
        </w:tc>
        <w:tc>
          <w:tcPr>
            <w:tcW w:w="214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优惠后</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c>
          <w:tcPr>
            <w:tcW w:w="5323"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0" w:hRule="atLeast"/>
          <w:jc w:val="center"/>
        </w:trPr>
        <w:tc>
          <w:tcPr>
            <w:tcW w:w="3865"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肉类</w:t>
            </w:r>
          </w:p>
        </w:tc>
        <w:tc>
          <w:tcPr>
            <w:tcW w:w="1670"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c>
          <w:tcPr>
            <w:tcW w:w="133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1项</w:t>
            </w:r>
          </w:p>
        </w:tc>
        <w:tc>
          <w:tcPr>
            <w:tcW w:w="214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优惠后</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c>
          <w:tcPr>
            <w:tcW w:w="5323"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3865"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禽蛋类</w:t>
            </w:r>
          </w:p>
        </w:tc>
        <w:tc>
          <w:tcPr>
            <w:tcW w:w="1670"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c>
          <w:tcPr>
            <w:tcW w:w="133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1项</w:t>
            </w:r>
          </w:p>
        </w:tc>
        <w:tc>
          <w:tcPr>
            <w:tcW w:w="214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优惠后</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c>
          <w:tcPr>
            <w:tcW w:w="5323"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865"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bCs/>
                <w:sz w:val="21"/>
                <w:szCs w:val="21"/>
              </w:rPr>
              <w:t>干货、调味品类</w:t>
            </w:r>
          </w:p>
        </w:tc>
        <w:tc>
          <w:tcPr>
            <w:tcW w:w="1670"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c>
          <w:tcPr>
            <w:tcW w:w="133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1项</w:t>
            </w:r>
          </w:p>
        </w:tc>
        <w:tc>
          <w:tcPr>
            <w:tcW w:w="214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优惠后</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c>
          <w:tcPr>
            <w:tcW w:w="5323"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jc w:val="center"/>
        </w:trPr>
        <w:tc>
          <w:tcPr>
            <w:tcW w:w="3865"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副食品</w:t>
            </w:r>
          </w:p>
        </w:tc>
        <w:tc>
          <w:tcPr>
            <w:tcW w:w="1670"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c>
          <w:tcPr>
            <w:tcW w:w="133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1项</w:t>
            </w:r>
          </w:p>
        </w:tc>
        <w:tc>
          <w:tcPr>
            <w:tcW w:w="2140"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优惠后</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c>
          <w:tcPr>
            <w:tcW w:w="5323"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5" w:hRule="atLeast"/>
          <w:jc w:val="center"/>
        </w:trPr>
        <w:tc>
          <w:tcPr>
            <w:tcW w:w="3865"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主食</w:t>
            </w:r>
          </w:p>
        </w:tc>
        <w:tc>
          <w:tcPr>
            <w:tcW w:w="1670"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c>
          <w:tcPr>
            <w:tcW w:w="133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1项</w:t>
            </w:r>
          </w:p>
        </w:tc>
        <w:tc>
          <w:tcPr>
            <w:tcW w:w="214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优惠后</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c>
          <w:tcPr>
            <w:tcW w:w="5323"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jc w:val="center"/>
        </w:trPr>
        <w:tc>
          <w:tcPr>
            <w:tcW w:w="3865"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bCs/>
                <w:sz w:val="21"/>
                <w:szCs w:val="21"/>
              </w:rPr>
              <w:t>豆制品类</w:t>
            </w:r>
          </w:p>
        </w:tc>
        <w:tc>
          <w:tcPr>
            <w:tcW w:w="1670"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c>
          <w:tcPr>
            <w:tcW w:w="133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1项</w:t>
            </w:r>
          </w:p>
        </w:tc>
        <w:tc>
          <w:tcPr>
            <w:tcW w:w="214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优惠后</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c>
          <w:tcPr>
            <w:tcW w:w="5323"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1"/>
                <w:szCs w:val="21"/>
              </w:rPr>
            </w:pPr>
          </w:p>
        </w:tc>
      </w:tr>
    </w:tbl>
    <w:p>
      <w:pPr>
        <w:snapToGrid w:val="0"/>
        <w:spacing w:line="360" w:lineRule="auto"/>
        <w:ind w:left="480"/>
        <w:rPr>
          <w:rFonts w:ascii="宋体" w:hAnsi="宋体" w:cs="宋体"/>
          <w:b/>
          <w:kern w:val="0"/>
          <w:sz w:val="24"/>
          <w:lang w:val="zh-CN"/>
        </w:rPr>
      </w:pPr>
      <w:r>
        <w:rPr>
          <w:rFonts w:hint="eastAsia" w:ascii="宋体" w:hAnsi="宋体" w:eastAsia="宋体" w:cs="宋体"/>
          <w:b/>
          <w:kern w:val="0"/>
          <w:sz w:val="21"/>
          <w:szCs w:val="21"/>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1" w:name="OLE_LINK14"/>
      <w:bookmarkStart w:id="512" w:name="OLE_LINK13"/>
      <w:r>
        <w:rPr>
          <w:rFonts w:hint="eastAsia" w:ascii="宋体" w:hAnsi="宋体" w:cs="宋体"/>
          <w:b/>
          <w:spacing w:val="6"/>
          <w:sz w:val="32"/>
          <w:szCs w:val="32"/>
        </w:rPr>
        <w:t>残疾人福利性单位声明函</w:t>
      </w:r>
    </w:p>
    <w:bookmarkEnd w:id="511"/>
    <w:bookmarkEnd w:id="51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3"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3"/>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4"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4"/>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164085800"/>
    <w:bookmarkStart w:id="517" w:name="_Toc36110187"/>
    <w:bookmarkStart w:id="518" w:name="_Toc91899912"/>
    <w:bookmarkStart w:id="519" w:name="_Toc131845147"/>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D0D4C4"/>
    <w:multiLevelType w:val="singleLevel"/>
    <w:tmpl w:val="D7D0D4C4"/>
    <w:lvl w:ilvl="0" w:tentative="0">
      <w:start w:val="1"/>
      <w:numFmt w:val="decimal"/>
      <w:suff w:val="nothing"/>
      <w:lvlText w:val="%1、"/>
      <w:lvlJc w:val="left"/>
    </w:lvl>
  </w:abstractNum>
  <w:abstractNum w:abstractNumId="1">
    <w:nsid w:val="21986F2B"/>
    <w:multiLevelType w:val="singleLevel"/>
    <w:tmpl w:val="21986F2B"/>
    <w:lvl w:ilvl="0" w:tentative="0">
      <w:start w:val="2"/>
      <w:numFmt w:val="chineseCounting"/>
      <w:suff w:val="nothing"/>
      <w:lvlText w:val="%1、"/>
      <w:lvlJc w:val="left"/>
      <w:rPr>
        <w:rFonts w:hint="eastAsia"/>
      </w:rPr>
    </w:lvl>
  </w:abstractNum>
  <w:abstractNum w:abstractNumId="2">
    <w:nsid w:val="68279943"/>
    <w:multiLevelType w:val="singleLevel"/>
    <w:tmpl w:val="68279943"/>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NmRlMDljOWVmYWEyY2FhYjk2YTU1NGYzYjZlNT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2630C1"/>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514F9"/>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EF34924"/>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3042C6"/>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F874E6"/>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D86445"/>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980905"/>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CA0205"/>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0"/>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199"/>
    <w:autoRedefine/>
    <w:qFormat/>
    <w:uiPriority w:val="0"/>
    <w:pPr>
      <w:shd w:val="clear" w:color="auto" w:fill="000080"/>
    </w:pPr>
  </w:style>
  <w:style w:type="paragraph" w:styleId="19">
    <w:name w:val="annotation text"/>
    <w:basedOn w:val="1"/>
    <w:link w:val="341"/>
    <w:autoRedefine/>
    <w:qFormat/>
    <w:uiPriority w:val="99"/>
    <w:pPr>
      <w:jc w:val="left"/>
    </w:pPr>
  </w:style>
  <w:style w:type="paragraph" w:styleId="20">
    <w:name w:val="Salutation"/>
    <w:basedOn w:val="1"/>
    <w:next w:val="1"/>
    <w:link w:val="295"/>
    <w:autoRedefine/>
    <w:qFormat/>
    <w:uiPriority w:val="0"/>
    <w:rPr>
      <w:rFonts w:ascii="仿宋_GB2312" w:eastAsia="仿宋_GB2312"/>
      <w:sz w:val="28"/>
      <w:szCs w:val="20"/>
    </w:rPr>
  </w:style>
  <w:style w:type="paragraph" w:styleId="21">
    <w:name w:val="Body Text 3"/>
    <w:basedOn w:val="1"/>
    <w:link w:val="327"/>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262"/>
    <w:autoRedefine/>
    <w:qFormat/>
    <w:uiPriority w:val="0"/>
    <w:pPr>
      <w:spacing w:line="480" w:lineRule="exact"/>
      <w:ind w:firstLine="480" w:firstLineChars="200"/>
    </w:pPr>
    <w:rPr>
      <w:rFonts w:ascii="宋体" w:hAnsi="宋体"/>
      <w:sz w:val="24"/>
    </w:rPr>
  </w:style>
  <w:style w:type="paragraph" w:styleId="25">
    <w:name w:val="Body Text First Indent 2"/>
    <w:basedOn w:val="24"/>
    <w:next w:val="1"/>
    <w:link w:val="118"/>
    <w:autoRedefine/>
    <w:qFormat/>
    <w:uiPriority w:val="0"/>
    <w:pPr>
      <w:adjustRightInd/>
      <w:spacing w:after="120" w:line="240" w:lineRule="auto"/>
      <w:ind w:left="420" w:leftChars="200" w:firstLine="210"/>
    </w:pPr>
    <w:rPr>
      <w:sz w:val="21"/>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78"/>
    <w:autoRedefine/>
    <w:qFormat/>
    <w:uiPriority w:val="0"/>
    <w:pPr>
      <w:ind w:left="100" w:leftChars="2500"/>
    </w:pPr>
    <w:rPr>
      <w:rFonts w:ascii="宋体"/>
      <w:sz w:val="24"/>
      <w:szCs w:val="21"/>
      <w:lang w:val="zh-CN"/>
    </w:rPr>
  </w:style>
  <w:style w:type="paragraph" w:styleId="37">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1"/>
    <w:autoRedefine/>
    <w:qFormat/>
    <w:uiPriority w:val="0"/>
    <w:rPr>
      <w:lang w:val="zh-CN"/>
    </w:rPr>
  </w:style>
  <w:style w:type="paragraph" w:styleId="39">
    <w:name w:val="Balloon Text"/>
    <w:basedOn w:val="1"/>
    <w:link w:val="185"/>
    <w:autoRedefine/>
    <w:qFormat/>
    <w:uiPriority w:val="0"/>
    <w:rPr>
      <w:sz w:val="18"/>
      <w:szCs w:val="18"/>
    </w:rPr>
  </w:style>
  <w:style w:type="paragraph" w:styleId="40">
    <w:name w:val="footer"/>
    <w:basedOn w:val="1"/>
    <w:link w:val="380"/>
    <w:autoRedefine/>
    <w:qFormat/>
    <w:uiPriority w:val="99"/>
    <w:pPr>
      <w:tabs>
        <w:tab w:val="center" w:pos="4153"/>
        <w:tab w:val="right" w:pos="8306"/>
      </w:tabs>
      <w:snapToGrid w:val="0"/>
      <w:jc w:val="left"/>
    </w:pPr>
    <w:rPr>
      <w:sz w:val="18"/>
      <w:szCs w:val="18"/>
    </w:rPr>
  </w:style>
  <w:style w:type="paragraph" w:styleId="41">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5"/>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2"/>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299"/>
    <w:autoRedefine/>
    <w:qFormat/>
    <w:uiPriority w:val="0"/>
    <w:pPr>
      <w:spacing w:after="120" w:line="480" w:lineRule="auto"/>
    </w:pPr>
  </w:style>
  <w:style w:type="paragraph" w:styleId="57">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autoRedefine/>
    <w:qFormat/>
    <w:uiPriority w:val="0"/>
    <w:rPr>
      <w:b/>
      <w:bCs/>
    </w:rPr>
  </w:style>
  <w:style w:type="paragraph" w:styleId="61">
    <w:name w:val="Body Text First Indent"/>
    <w:basedOn w:val="23"/>
    <w:link w:val="318"/>
    <w:autoRedefine/>
    <w:qFormat/>
    <w:uiPriority w:val="0"/>
    <w:pPr>
      <w:ind w:firstLine="420"/>
    </w:pPr>
    <w:rPr>
      <w:rFonts w:hAnsi="Calibri" w:cs="Times New Roman"/>
      <w:snapToGrid/>
      <w:szCs w:val="20"/>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表格非标题文字 Char"/>
    <w:link w:val="80"/>
    <w:autoRedefine/>
    <w:qFormat/>
    <w:uiPriority w:val="0"/>
    <w:rPr>
      <w:rFonts w:ascii="Futura Bk" w:hAnsi="Futura Bk"/>
      <w:kern w:val="2"/>
      <w:sz w:val="18"/>
      <w:szCs w:val="21"/>
      <w:lang w:val="en-US" w:eastAsia="zh-CN" w:bidi="ar-SA"/>
    </w:rPr>
  </w:style>
  <w:style w:type="paragraph" w:customStyle="1" w:styleId="80">
    <w:name w:val="表格非标题文字"/>
    <w:link w:val="7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宋体" w:hAnsi="宋体"/>
      <w:sz w:val="24"/>
    </w:rPr>
  </w:style>
  <w:style w:type="paragraph" w:customStyle="1" w:styleId="82">
    <w:name w:val="*正文"/>
    <w:basedOn w:val="1"/>
    <w:link w:val="81"/>
    <w:autoRedefine/>
    <w:qFormat/>
    <w:uiPriority w:val="0"/>
    <w:pPr>
      <w:snapToGrid w:val="0"/>
      <w:spacing w:line="360" w:lineRule="auto"/>
      <w:ind w:firstLine="482"/>
      <w:jc w:val="left"/>
    </w:pPr>
    <w:rPr>
      <w:rFonts w:ascii="宋体" w:hAnsi="宋体"/>
      <w:kern w:val="0"/>
      <w:sz w:val="24"/>
      <w:szCs w:val="20"/>
    </w:rPr>
  </w:style>
  <w:style w:type="character" w:customStyle="1" w:styleId="83">
    <w:name w:val="Char Char71"/>
    <w:autoRedefine/>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7">
    <w:name w:val="Char Char28"/>
    <w:autoRedefine/>
    <w:qFormat/>
    <w:uiPriority w:val="6"/>
    <w:rPr>
      <w:rFonts w:ascii="仿宋_GB2312" w:hAnsi="仿宋_GB2312" w:eastAsia="仿宋_GB2312"/>
      <w:kern w:val="1"/>
      <w:sz w:val="28"/>
    </w:rPr>
  </w:style>
  <w:style w:type="character" w:customStyle="1" w:styleId="8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autoRedefine/>
    <w:qFormat/>
    <w:uiPriority w:val="6"/>
    <w:rPr>
      <w:rFonts w:ascii="Times New Roman" w:hAnsi="Times New Roman" w:eastAsia="黑体" w:cs="Times New Roman"/>
      <w:b/>
      <w:kern w:val="0"/>
      <w:sz w:val="24"/>
      <w:szCs w:val="24"/>
    </w:rPr>
  </w:style>
  <w:style w:type="character" w:customStyle="1" w:styleId="90">
    <w:name w:val="U_正文 Char"/>
    <w:link w:val="91"/>
    <w:autoRedefine/>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autoRedefine/>
    <w:qFormat/>
    <w:uiPriority w:val="0"/>
    <w:rPr>
      <w:rFonts w:ascii="Times New Roman" w:hAnsi="Times New Roman" w:eastAsia="宋体" w:cs="Times New Roman"/>
      <w:i/>
      <w:iCs/>
      <w:szCs w:val="24"/>
    </w:rPr>
  </w:style>
  <w:style w:type="character" w:customStyle="1" w:styleId="93">
    <w:name w:val="批注主题 Char1"/>
    <w:link w:val="60"/>
    <w:autoRedefine/>
    <w:qFormat/>
    <w:uiPriority w:val="0"/>
    <w:rPr>
      <w:b/>
      <w:bCs/>
      <w:kern w:val="2"/>
      <w:sz w:val="21"/>
      <w:szCs w:val="24"/>
    </w:rPr>
  </w:style>
  <w:style w:type="character" w:customStyle="1" w:styleId="94">
    <w:name w:val="Char Char51"/>
    <w:autoRedefine/>
    <w:qFormat/>
    <w:uiPriority w:val="0"/>
    <w:rPr>
      <w:rFonts w:ascii="宋体" w:hAnsi="Courier New" w:eastAsia="宋体"/>
      <w:kern w:val="2"/>
      <w:sz w:val="21"/>
      <w:lang w:val="en-US" w:eastAsia="zh-CN"/>
    </w:rPr>
  </w:style>
  <w:style w:type="character" w:customStyle="1" w:styleId="95">
    <w:name w:val="表正文 Char"/>
    <w:autoRedefine/>
    <w:qFormat/>
    <w:uiPriority w:val="0"/>
    <w:rPr>
      <w:rFonts w:ascii="宋体" w:eastAsia="宋体"/>
      <w:snapToGrid w:val="0"/>
      <w:color w:val="000000"/>
      <w:kern w:val="28"/>
      <w:sz w:val="28"/>
      <w:lang w:val="en-US" w:eastAsia="zh-CN" w:bidi="ar-SA"/>
    </w:rPr>
  </w:style>
  <w:style w:type="character" w:customStyle="1" w:styleId="96">
    <w:name w:val="Char Char34"/>
    <w:autoRedefine/>
    <w:qFormat/>
    <w:uiPriority w:val="6"/>
    <w:rPr>
      <w:b/>
      <w:kern w:val="1"/>
      <w:sz w:val="28"/>
      <w:szCs w:val="28"/>
    </w:rPr>
  </w:style>
  <w:style w:type="character" w:customStyle="1" w:styleId="9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autoRedefine/>
    <w:qFormat/>
    <w:uiPriority w:val="0"/>
    <w:rPr>
      <w:rFonts w:ascii="宋体" w:hAnsi="宋体" w:eastAsia="宋体"/>
      <w:kern w:val="2"/>
      <w:sz w:val="24"/>
      <w:lang w:bidi="ar-SA"/>
    </w:rPr>
  </w:style>
  <w:style w:type="paragraph" w:customStyle="1" w:styleId="99">
    <w:name w:val="哈哈正文"/>
    <w:basedOn w:val="1"/>
    <w:link w:val="98"/>
    <w:autoRedefine/>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3">
    <w:name w:val="Char Char32"/>
    <w:autoRedefine/>
    <w:qFormat/>
    <w:uiPriority w:val="6"/>
    <w:rPr>
      <w:b/>
      <w:kern w:val="1"/>
      <w:sz w:val="24"/>
      <w:szCs w:val="24"/>
    </w:rPr>
  </w:style>
  <w:style w:type="character" w:customStyle="1" w:styleId="104">
    <w:name w:val="PI Char1"/>
    <w:autoRedefine/>
    <w:qFormat/>
    <w:uiPriority w:val="0"/>
    <w:rPr>
      <w:rFonts w:ascii="宋体" w:hAnsi="宋体"/>
      <w:kern w:val="2"/>
      <w:sz w:val="24"/>
      <w:szCs w:val="24"/>
    </w:rPr>
  </w:style>
  <w:style w:type="character" w:customStyle="1" w:styleId="105">
    <w:name w:val="tw4winTerm"/>
    <w:autoRedefine/>
    <w:qFormat/>
    <w:uiPriority w:val="0"/>
    <w:rPr>
      <w:color w:val="0000FF"/>
    </w:rPr>
  </w:style>
  <w:style w:type="character" w:customStyle="1" w:styleId="106">
    <w:name w:val="Footer Char"/>
    <w:autoRedefine/>
    <w:qFormat/>
    <w:locked/>
    <w:uiPriority w:val="0"/>
    <w:rPr>
      <w:rFonts w:eastAsia="宋体"/>
      <w:kern w:val="2"/>
      <w:sz w:val="18"/>
      <w:lang w:val="en-US" w:eastAsia="zh-CN" w:bidi="ar-SA"/>
    </w:rPr>
  </w:style>
  <w:style w:type="character" w:customStyle="1" w:styleId="107">
    <w:name w:val="普通文字 Char Char1"/>
    <w:autoRedefine/>
    <w:qFormat/>
    <w:uiPriority w:val="0"/>
    <w:rPr>
      <w:rFonts w:ascii="宋体" w:hAnsi="Courier New"/>
      <w:kern w:val="2"/>
      <w:sz w:val="21"/>
    </w:rPr>
  </w:style>
  <w:style w:type="character" w:customStyle="1" w:styleId="108">
    <w:name w:val="Char Char101"/>
    <w:autoRedefine/>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autoRedefine/>
    <w:qFormat/>
    <w:uiPriority w:val="0"/>
    <w:rPr>
      <w:color w:val="0000FF"/>
      <w:sz w:val="21"/>
      <w:szCs w:val="21"/>
      <w:u w:val="single"/>
    </w:rPr>
  </w:style>
  <w:style w:type="character" w:customStyle="1" w:styleId="111">
    <w:name w:val="h4 Char"/>
    <w:autoRedefine/>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autoRedefine/>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autoRedefine/>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首行缩进 2 Char"/>
    <w:link w:val="25"/>
    <w:autoRedefine/>
    <w:qFormat/>
    <w:uiPriority w:val="0"/>
    <w:rPr>
      <w:rFonts w:ascii="宋体" w:hAnsi="宋体"/>
      <w:kern w:val="2"/>
      <w:sz w:val="21"/>
      <w:szCs w:val="24"/>
    </w:rPr>
  </w:style>
  <w:style w:type="character" w:customStyle="1" w:styleId="119">
    <w:name w:val="font11"/>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autoRedefine/>
    <w:qFormat/>
    <w:uiPriority w:val="0"/>
    <w:rPr>
      <w:rFonts w:eastAsia="黑体"/>
      <w:sz w:val="24"/>
      <w:lang w:val="en-US" w:eastAsia="zh-CN"/>
    </w:rPr>
  </w:style>
  <w:style w:type="character" w:customStyle="1" w:styleId="127">
    <w:name w:val="正文2 Char Char"/>
    <w:link w:val="128"/>
    <w:autoRedefine/>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Char"/>
    <w:link w:val="47"/>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autoRedefine/>
    <w:qFormat/>
    <w:uiPriority w:val="0"/>
    <w:rPr>
      <w:rFonts w:hint="eastAsia" w:ascii="仿宋_GB2312" w:eastAsia="仿宋_GB2312" w:cs="仿宋_GB2312"/>
      <w:color w:val="000000"/>
      <w:sz w:val="22"/>
      <w:szCs w:val="22"/>
      <w:u w:val="none"/>
    </w:rPr>
  </w:style>
  <w:style w:type="character" w:customStyle="1" w:styleId="144">
    <w:name w:val="标题 6 Char"/>
    <w:link w:val="8"/>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2"/>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Char"/>
    <w:link w:val="36"/>
    <w:autoRedefine/>
    <w:qFormat/>
    <w:uiPriority w:val="0"/>
    <w:rPr>
      <w:rFonts w:ascii="宋体"/>
      <w:kern w:val="2"/>
      <w:sz w:val="24"/>
      <w:szCs w:val="21"/>
      <w:lang w:val="zh-CN"/>
    </w:rPr>
  </w:style>
  <w:style w:type="character" w:customStyle="1" w:styleId="179">
    <w:name w:val="标题 9 Char"/>
    <w:link w:val="11"/>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99"/>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Char"/>
    <w:link w:val="39"/>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autoRedefine/>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autoRedefine/>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autoRedefine/>
    <w:qFormat/>
    <w:uiPriority w:val="0"/>
    <w:rPr>
      <w:rFonts w:ascii="仿宋_GB2312" w:eastAsia="微软雅黑"/>
      <w:b/>
      <w:kern w:val="2"/>
      <w:sz w:val="32"/>
      <w:szCs w:val="32"/>
      <w:lang w:val="en-US" w:eastAsia="zh-CN" w:bidi="ar-SA"/>
    </w:rPr>
  </w:style>
  <w:style w:type="character" w:customStyle="1" w:styleId="199">
    <w:name w:val="文档结构图 Char1"/>
    <w:link w:val="18"/>
    <w:autoRedefine/>
    <w:qFormat/>
    <w:uiPriority w:val="0"/>
    <w:rPr>
      <w:kern w:val="2"/>
      <w:sz w:val="21"/>
      <w:szCs w:val="24"/>
      <w:shd w:val="clear" w:color="auto" w:fill="000080"/>
    </w:rPr>
  </w:style>
  <w:style w:type="character" w:customStyle="1" w:styleId="200">
    <w:name w:val="H6 Char"/>
    <w:autoRedefine/>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autoRedefine/>
    <w:qFormat/>
    <w:uiPriority w:val="0"/>
    <w:rPr>
      <w:rFonts w:hint="eastAsia" w:ascii="仿宋" w:hAnsi="仿宋" w:eastAsia="仿宋" w:cs="仿宋"/>
      <w:color w:val="000000"/>
      <w:sz w:val="20"/>
      <w:szCs w:val="20"/>
      <w:u w:val="none"/>
    </w:rPr>
  </w:style>
  <w:style w:type="character" w:customStyle="1" w:styleId="20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autoRedefine/>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Char"/>
    <w:link w:val="30"/>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6"/>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Char"/>
    <w:link w:val="16"/>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Char3"/>
    <w:link w:val="24"/>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Char"/>
    <w:link w:val="3"/>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Char2"/>
    <w:link w:val="59"/>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Char"/>
    <w:link w:val="7"/>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Char"/>
    <w:link w:val="20"/>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Char"/>
    <w:link w:val="57"/>
    <w:autoRedefine/>
    <w:qFormat/>
    <w:uiPriority w:val="0"/>
    <w:rPr>
      <w:rFonts w:ascii="黑体" w:hAnsi="Courier New" w:eastAsia="黑体"/>
    </w:rPr>
  </w:style>
  <w:style w:type="character" w:customStyle="1" w:styleId="299">
    <w:name w:val="正文文本 2 Char1"/>
    <w:link w:val="56"/>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6"/>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Char"/>
    <w:link w:val="9"/>
    <w:autoRedefine/>
    <w:qFormat/>
    <w:uiPriority w:val="0"/>
    <w:rPr>
      <w:b/>
      <w:bCs/>
      <w:kern w:val="2"/>
      <w:sz w:val="24"/>
      <w:szCs w:val="24"/>
    </w:rPr>
  </w:style>
  <w:style w:type="character" w:customStyle="1" w:styleId="305">
    <w:name w:val="正文文本缩进 2 Char"/>
    <w:link w:val="37"/>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Char"/>
    <w:link w:val="50"/>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首行缩进 Char"/>
    <w:link w:val="61"/>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Char2"/>
    <w:link w:val="6"/>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Char"/>
    <w:link w:val="21"/>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autoRedefine/>
    <w:qFormat/>
    <w:uiPriority w:val="99"/>
    <w:rPr>
      <w:kern w:val="2"/>
      <w:sz w:val="21"/>
      <w:szCs w:val="24"/>
    </w:rPr>
  </w:style>
  <w:style w:type="character" w:customStyle="1" w:styleId="342">
    <w:name w:val="签名 Char"/>
    <w:link w:val="42"/>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Char"/>
    <w:link w:val="53"/>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Char2"/>
    <w:link w:val="40"/>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Char2"/>
    <w:link w:val="41"/>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156"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5"/>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312"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2"/>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autoRedefine/>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autoRedefine/>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700"/>
    <w:next w:val="702"/>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700">
    <w:name w:val="正文1"/>
    <w:basedOn w:val="18"/>
    <w:next w:val="701"/>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701">
    <w:name w:val="标题 21"/>
    <w:basedOn w:val="700"/>
    <w:next w:val="700"/>
    <w:autoRedefine/>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customStyle="1" w:styleId="702">
    <w:name w:val="正文文本首行缩进 2"/>
    <w:basedOn w:val="699"/>
    <w:autoRedefine/>
    <w:qFormat/>
    <w:uiPriority w:val="99"/>
    <w:pPr>
      <w:spacing w:line="200" w:lineRule="atLeast"/>
      <w:ind w:firstLine="420"/>
    </w:pPr>
    <w:rPr>
      <w:rFonts w:ascii="宋体" w:hAnsi="Courier New" w:cs="宋体"/>
      <w:spacing w:val="-4"/>
      <w:sz w:val="18"/>
      <w:szCs w:val="18"/>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7"/>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37"/>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2"/>
    <w:next w:val="637"/>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1"/>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69"/>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5"/>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9"/>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0"/>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59"/>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8"/>
    <w:qFormat/>
    <w:uiPriority w:val="0"/>
    <w:rPr>
      <w:kern w:val="2"/>
      <w:sz w:val="21"/>
      <w:szCs w:val="24"/>
      <w:lang w:val="zh-CN"/>
    </w:rPr>
  </w:style>
  <w:style w:type="character" w:customStyle="1" w:styleId="932">
    <w:name w:val="无间隔 Char"/>
    <w:link w:val="480"/>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5"/>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Normal]"/>
    <w:autoRedefine/>
    <w:qFormat/>
    <w:uiPriority w:val="0"/>
    <w:rPr>
      <w:rFonts w:ascii="宋体" w:hAnsi="宋体" w:eastAsia="宋体" w:cs="Times New Roman"/>
      <w:sz w:val="24"/>
      <w:szCs w:val="22"/>
      <w:lang w:val="zh-CN" w:eastAsia="zh-CN" w:bidi="ar-SA"/>
    </w:rPr>
  </w:style>
  <w:style w:type="character" w:customStyle="1" w:styleId="965">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86</Pages>
  <Words>41096</Words>
  <Characters>43272</Characters>
  <Lines>281</Lines>
  <Paragraphs>79</Paragraphs>
  <TotalTime>63</TotalTime>
  <ScaleCrop>false</ScaleCrop>
  <LinksUpToDate>false</LinksUpToDate>
  <CharactersWithSpaces>48756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still／3421</cp:lastModifiedBy>
  <cp:lastPrinted>2021-12-27T03:06:00Z</cp:lastPrinted>
  <dcterms:modified xsi:type="dcterms:W3CDTF">2024-06-11T03:43:58Z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