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D5BEA">
      <w:pPr>
        <w:spacing w:line="360" w:lineRule="auto"/>
        <w:jc w:val="center"/>
        <w:rPr>
          <w:rFonts w:ascii="宋体" w:hAnsi="宋体" w:cs="宋体"/>
          <w:b/>
          <w:color w:val="auto"/>
          <w:sz w:val="24"/>
          <w:highlight w:val="none"/>
        </w:rPr>
      </w:pPr>
    </w:p>
    <w:p w14:paraId="4820BD3B">
      <w:pPr>
        <w:spacing w:line="360" w:lineRule="auto"/>
        <w:jc w:val="center"/>
        <w:rPr>
          <w:rFonts w:ascii="宋体" w:hAnsi="宋体" w:cs="宋体"/>
          <w:b/>
          <w:color w:val="auto"/>
          <w:sz w:val="24"/>
          <w:highlight w:val="none"/>
        </w:rPr>
      </w:pPr>
    </w:p>
    <w:p w14:paraId="32904056">
      <w:pPr>
        <w:spacing w:line="360" w:lineRule="auto"/>
        <w:jc w:val="center"/>
        <w:rPr>
          <w:rFonts w:ascii="宋体" w:hAnsi="宋体" w:cs="宋体"/>
          <w:b/>
          <w:color w:val="auto"/>
          <w:sz w:val="44"/>
          <w:szCs w:val="44"/>
          <w:highlight w:val="none"/>
        </w:rPr>
      </w:pPr>
    </w:p>
    <w:p w14:paraId="4E9AF939">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 xml:space="preserve">杭州市余杭区余杭街道社区卫生服务中心物业服务采购项目   </w:t>
      </w:r>
    </w:p>
    <w:p w14:paraId="09B47E36">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p>
    <w:p w14:paraId="23A1504C">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2F75457">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：HZYHZFCG-2025-008</w:t>
      </w:r>
    </w:p>
    <w:p w14:paraId="78E15786">
      <w:pPr>
        <w:adjustRightInd/>
        <w:spacing w:line="360" w:lineRule="auto"/>
        <w:rPr>
          <w:rFonts w:ascii="宋体" w:hAnsi="宋体" w:cs="宋体"/>
          <w:color w:val="auto"/>
          <w:sz w:val="28"/>
          <w:szCs w:val="20"/>
          <w:highlight w:val="none"/>
        </w:rPr>
      </w:pPr>
    </w:p>
    <w:p w14:paraId="6187E7B8">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9783B3F">
      <w:pPr>
        <w:spacing w:line="360" w:lineRule="auto"/>
        <w:jc w:val="center"/>
        <w:rPr>
          <w:rFonts w:ascii="宋体" w:hAnsi="宋体" w:cs="宋体"/>
          <w:b/>
          <w:color w:val="auto"/>
          <w:sz w:val="44"/>
          <w:szCs w:val="44"/>
          <w:highlight w:val="none"/>
        </w:rPr>
      </w:pPr>
    </w:p>
    <w:p w14:paraId="353461D1">
      <w:pPr>
        <w:spacing w:line="360" w:lineRule="auto"/>
        <w:jc w:val="center"/>
        <w:rPr>
          <w:rFonts w:ascii="宋体" w:hAnsi="宋体" w:cs="宋体"/>
          <w:color w:val="auto"/>
          <w:sz w:val="24"/>
          <w:highlight w:val="none"/>
        </w:rPr>
      </w:pPr>
    </w:p>
    <w:p w14:paraId="52389C33">
      <w:pPr>
        <w:spacing w:line="360" w:lineRule="auto"/>
        <w:jc w:val="center"/>
        <w:rPr>
          <w:rFonts w:ascii="宋体" w:hAnsi="宋体" w:cs="宋体"/>
          <w:color w:val="auto"/>
          <w:sz w:val="24"/>
          <w:highlight w:val="none"/>
        </w:rPr>
      </w:pPr>
    </w:p>
    <w:p w14:paraId="30D1E105">
      <w:pPr>
        <w:spacing w:line="360" w:lineRule="auto"/>
        <w:rPr>
          <w:rFonts w:ascii="宋体" w:hAnsi="宋体" w:cs="宋体"/>
          <w:color w:val="auto"/>
          <w:sz w:val="32"/>
          <w:szCs w:val="32"/>
          <w:highlight w:val="none"/>
        </w:rPr>
      </w:pPr>
    </w:p>
    <w:p w14:paraId="3AB13547">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杭州市余杭区余杭街道社区卫生服务中心</w:t>
      </w:r>
    </w:p>
    <w:p w14:paraId="2AE70FE9">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杭州市公共资源交易中心余杭分中心</w:t>
      </w:r>
    </w:p>
    <w:p w14:paraId="7EBD55A9">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一</w:t>
      </w:r>
      <w:r>
        <w:rPr>
          <w:rFonts w:hint="eastAsia" w:ascii="宋体" w:hAnsi="宋体" w:cs="宋体"/>
          <w:bCs/>
          <w:color w:val="auto"/>
          <w:sz w:val="32"/>
          <w:szCs w:val="32"/>
          <w:highlight w:val="none"/>
        </w:rPr>
        <w:t xml:space="preserve">月 </w:t>
      </w:r>
    </w:p>
    <w:p w14:paraId="4B21052A">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DD93C05">
      <w:pPr>
        <w:pStyle w:val="319"/>
        <w:rPr>
          <w:color w:val="auto"/>
          <w:highlight w:val="none"/>
        </w:rPr>
      </w:pPr>
    </w:p>
    <w:p w14:paraId="108603EE">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750855A">
      <w:pPr>
        <w:spacing w:line="360" w:lineRule="auto"/>
        <w:rPr>
          <w:rFonts w:ascii="宋体" w:hAnsi="宋体" w:cs="宋体"/>
          <w:color w:val="auto"/>
          <w:sz w:val="32"/>
          <w:szCs w:val="32"/>
          <w:highlight w:val="none"/>
        </w:rPr>
      </w:pPr>
    </w:p>
    <w:p w14:paraId="35A6C371">
      <w:pPr>
        <w:spacing w:line="360" w:lineRule="auto"/>
        <w:rPr>
          <w:rFonts w:ascii="宋体" w:hAnsi="宋体" w:cs="宋体"/>
          <w:color w:val="auto"/>
          <w:sz w:val="32"/>
          <w:szCs w:val="32"/>
          <w:highlight w:val="none"/>
        </w:rPr>
      </w:pPr>
    </w:p>
    <w:p w14:paraId="62EF6F5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C267A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08B969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AF6E2A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96CF87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16FFA5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8855B43">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0F6AEC2">
      <w:pPr>
        <w:spacing w:line="360" w:lineRule="auto"/>
        <w:ind w:firstLine="549" w:firstLineChars="229"/>
        <w:rPr>
          <w:rFonts w:ascii="宋体" w:hAnsi="宋体" w:cs="宋体"/>
          <w:color w:val="auto"/>
          <w:sz w:val="24"/>
          <w:highlight w:val="none"/>
        </w:rPr>
      </w:pPr>
    </w:p>
    <w:p w14:paraId="2988E1DC">
      <w:pPr>
        <w:spacing w:line="360" w:lineRule="auto"/>
        <w:ind w:firstLine="549" w:firstLineChars="229"/>
        <w:rPr>
          <w:rFonts w:ascii="宋体" w:hAnsi="宋体" w:cs="宋体"/>
          <w:color w:val="auto"/>
          <w:sz w:val="24"/>
          <w:highlight w:val="none"/>
        </w:rPr>
      </w:pPr>
    </w:p>
    <w:p w14:paraId="5AA9E8D2">
      <w:pPr>
        <w:spacing w:line="360" w:lineRule="auto"/>
        <w:ind w:firstLine="549" w:firstLineChars="229"/>
        <w:rPr>
          <w:rFonts w:ascii="宋体" w:hAnsi="宋体" w:cs="宋体"/>
          <w:color w:val="auto"/>
          <w:sz w:val="24"/>
          <w:highlight w:val="none"/>
        </w:rPr>
      </w:pPr>
    </w:p>
    <w:p w14:paraId="79F25210">
      <w:pPr>
        <w:spacing w:line="360" w:lineRule="auto"/>
        <w:ind w:firstLine="549" w:firstLineChars="229"/>
        <w:rPr>
          <w:rFonts w:ascii="宋体" w:hAnsi="宋体" w:cs="宋体"/>
          <w:color w:val="auto"/>
          <w:sz w:val="24"/>
          <w:highlight w:val="none"/>
        </w:rPr>
      </w:pPr>
    </w:p>
    <w:p w14:paraId="211FBF33">
      <w:pPr>
        <w:spacing w:line="360" w:lineRule="auto"/>
        <w:ind w:firstLine="549" w:firstLineChars="229"/>
        <w:rPr>
          <w:rFonts w:ascii="宋体" w:hAnsi="宋体" w:cs="宋体"/>
          <w:color w:val="auto"/>
          <w:sz w:val="24"/>
          <w:highlight w:val="none"/>
        </w:rPr>
      </w:pPr>
    </w:p>
    <w:p w14:paraId="771CC46F">
      <w:pPr>
        <w:spacing w:line="360" w:lineRule="auto"/>
        <w:ind w:firstLine="549" w:firstLineChars="229"/>
        <w:rPr>
          <w:rFonts w:ascii="宋体" w:hAnsi="宋体" w:cs="宋体"/>
          <w:color w:val="auto"/>
          <w:sz w:val="24"/>
          <w:highlight w:val="none"/>
        </w:rPr>
      </w:pPr>
    </w:p>
    <w:p w14:paraId="0DFC12FD">
      <w:pPr>
        <w:spacing w:line="360" w:lineRule="auto"/>
        <w:ind w:firstLine="549" w:firstLineChars="229"/>
        <w:rPr>
          <w:rFonts w:ascii="宋体" w:hAnsi="宋体" w:cs="宋体"/>
          <w:color w:val="auto"/>
          <w:sz w:val="24"/>
          <w:highlight w:val="none"/>
        </w:rPr>
      </w:pPr>
    </w:p>
    <w:p w14:paraId="4EA3976D">
      <w:pPr>
        <w:spacing w:line="360" w:lineRule="auto"/>
        <w:ind w:firstLine="549" w:firstLineChars="229"/>
        <w:rPr>
          <w:rFonts w:ascii="宋体" w:hAnsi="宋体" w:cs="宋体"/>
          <w:color w:val="auto"/>
          <w:sz w:val="24"/>
          <w:highlight w:val="none"/>
        </w:rPr>
      </w:pPr>
    </w:p>
    <w:p w14:paraId="47B77B15">
      <w:pPr>
        <w:spacing w:line="360" w:lineRule="auto"/>
        <w:ind w:firstLine="549" w:firstLineChars="229"/>
        <w:rPr>
          <w:rFonts w:ascii="宋体" w:hAnsi="宋体" w:cs="宋体"/>
          <w:color w:val="auto"/>
          <w:sz w:val="24"/>
          <w:highlight w:val="none"/>
        </w:rPr>
      </w:pPr>
    </w:p>
    <w:p w14:paraId="7B386450">
      <w:pPr>
        <w:spacing w:line="360" w:lineRule="auto"/>
        <w:ind w:firstLine="549" w:firstLineChars="229"/>
        <w:rPr>
          <w:rFonts w:ascii="宋体" w:hAnsi="宋体" w:cs="宋体"/>
          <w:color w:val="auto"/>
          <w:sz w:val="24"/>
          <w:highlight w:val="none"/>
        </w:rPr>
      </w:pPr>
    </w:p>
    <w:p w14:paraId="536E5F3A">
      <w:pPr>
        <w:spacing w:line="360" w:lineRule="auto"/>
        <w:ind w:firstLine="549" w:firstLineChars="229"/>
        <w:rPr>
          <w:rFonts w:ascii="宋体" w:hAnsi="宋体" w:cs="宋体"/>
          <w:color w:val="auto"/>
          <w:sz w:val="24"/>
          <w:highlight w:val="none"/>
        </w:rPr>
      </w:pPr>
    </w:p>
    <w:p w14:paraId="7AA75554">
      <w:pPr>
        <w:spacing w:line="360" w:lineRule="auto"/>
        <w:ind w:firstLine="549" w:firstLineChars="229"/>
        <w:rPr>
          <w:rFonts w:ascii="宋体" w:hAnsi="宋体" w:cs="宋体"/>
          <w:color w:val="auto"/>
          <w:sz w:val="24"/>
          <w:highlight w:val="none"/>
        </w:rPr>
      </w:pPr>
    </w:p>
    <w:p w14:paraId="7F34E893">
      <w:pPr>
        <w:spacing w:line="360" w:lineRule="auto"/>
        <w:rPr>
          <w:rFonts w:ascii="宋体" w:hAnsi="宋体" w:cs="宋体"/>
          <w:color w:val="auto"/>
          <w:sz w:val="24"/>
          <w:highlight w:val="none"/>
        </w:rPr>
      </w:pPr>
    </w:p>
    <w:p w14:paraId="6207DDE8">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1E0BA7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329D63E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杭州市余杭区余杭街道社区卫生服务中心物业服务采购项目   </w:t>
      </w:r>
      <w:r>
        <w:rPr>
          <w:rFonts w:hint="eastAsia" w:ascii="宋体" w:hAnsi="宋体" w:cs="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w:t>
      </w:r>
      <w:r>
        <w:rPr>
          <w:rStyle w:val="77"/>
          <w:rFonts w:hint="eastAsia" w:ascii="宋体" w:hAnsi="宋体" w:cs="宋体"/>
          <w:b/>
          <w:bCs/>
          <w:color w:val="auto"/>
          <w:kern w:val="2"/>
          <w:sz w:val="24"/>
          <w:szCs w:val="24"/>
          <w:highlight w:val="none"/>
          <w:u w:val="single" w:color="auto"/>
          <w:lang w:eastAsia="zh-CN"/>
        </w:rPr>
        <w:t>2025年2月19日9点30分00秒</w:t>
      </w:r>
      <w:r>
        <w:rPr>
          <w:rStyle w:val="77"/>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937335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1101B9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HZYHZFCG-2025-008</w:t>
      </w:r>
    </w:p>
    <w:p w14:paraId="29FF71D2">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w:t>
      </w:r>
      <w:r>
        <w:rPr>
          <w:rFonts w:hint="eastAsia" w:ascii="宋体" w:hAnsi="宋体" w:cs="宋体"/>
          <w:b/>
          <w:color w:val="auto"/>
          <w:sz w:val="24"/>
          <w:highlight w:val="none"/>
        </w:rPr>
        <w:t>名称：</w:t>
      </w:r>
      <w:r>
        <w:rPr>
          <w:rFonts w:hint="eastAsia" w:ascii="宋体" w:hAnsi="宋体" w:cs="宋体"/>
          <w:color w:val="auto"/>
          <w:sz w:val="24"/>
          <w:highlight w:val="none"/>
          <w:lang w:eastAsia="zh-CN"/>
        </w:rPr>
        <w:t xml:space="preserve">杭州市余杭区余杭街道社区卫生服务中心物业服务采购项目   </w:t>
      </w:r>
    </w:p>
    <w:p w14:paraId="522F990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新宋体" w:hAnsi="新宋体" w:eastAsia="新宋体" w:cs="新宋体"/>
          <w:b/>
          <w:color w:val="auto"/>
          <w:sz w:val="24"/>
          <w:highlight w:val="none"/>
        </w:rPr>
        <w:t>27</w:t>
      </w:r>
      <w:r>
        <w:rPr>
          <w:rFonts w:ascii="新宋体" w:hAnsi="新宋体" w:eastAsia="新宋体" w:cs="新宋体"/>
          <w:b/>
          <w:color w:val="auto"/>
          <w:sz w:val="24"/>
          <w:highlight w:val="none"/>
        </w:rPr>
        <w:t>775</w:t>
      </w:r>
      <w:r>
        <w:rPr>
          <w:rFonts w:hint="eastAsia" w:ascii="新宋体" w:hAnsi="新宋体" w:eastAsia="新宋体" w:cs="新宋体"/>
          <w:b/>
          <w:color w:val="auto"/>
          <w:sz w:val="24"/>
          <w:highlight w:val="none"/>
        </w:rPr>
        <w:t>00</w:t>
      </w:r>
      <w:r>
        <w:rPr>
          <w:rFonts w:ascii="宋体" w:hAnsi="宋体" w:cs="宋体"/>
          <w:color w:val="auto"/>
          <w:sz w:val="24"/>
          <w:highlight w:val="none"/>
        </w:rPr>
        <w:t xml:space="preserve"> </w:t>
      </w:r>
    </w:p>
    <w:p w14:paraId="329E7C6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w:t>
      </w:r>
      <w:r>
        <w:rPr>
          <w:rFonts w:ascii="宋体" w:hAnsi="宋体" w:cs="宋体"/>
          <w:color w:val="auto"/>
          <w:sz w:val="24"/>
          <w:highlight w:val="none"/>
        </w:rPr>
        <w:t xml:space="preserve"> </w:t>
      </w:r>
    </w:p>
    <w:p w14:paraId="2157B203">
      <w:pPr>
        <w:pStyle w:val="5"/>
        <w:spacing w:line="360" w:lineRule="auto"/>
        <w:ind w:firstLine="482" w:firstLineChars="20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val="en-US" w:eastAsia="zh-CN"/>
        </w:rPr>
        <w:t>本项目主要内容包括清洁保洁、安保消控管理、绿化养护、工程水电设备维护、会务服务，应急管理、运送服务等以及采购单位交办的其他工作。</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65F6A9A0">
      <w:pPr>
        <w:pStyle w:val="85"/>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新宋体" w:hAnsi="新宋体" w:eastAsia="新宋体" w:cs="新宋体"/>
          <w:color w:val="auto"/>
          <w:highlight w:val="none"/>
        </w:rPr>
        <w:t>自合同签订生效之日起</w:t>
      </w:r>
      <w:r>
        <w:rPr>
          <w:rFonts w:ascii="新宋体" w:hAnsi="新宋体" w:eastAsia="新宋体" w:cs="新宋体"/>
          <w:color w:val="auto"/>
          <w:highlight w:val="none"/>
        </w:rPr>
        <w:t>24</w:t>
      </w:r>
      <w:r>
        <w:rPr>
          <w:rFonts w:hint="eastAsia" w:ascii="新宋体" w:hAnsi="新宋体" w:eastAsia="新宋体" w:cs="新宋体"/>
          <w:color w:val="auto"/>
          <w:highlight w:val="none"/>
        </w:rPr>
        <w:t>个月。</w:t>
      </w:r>
      <w:r>
        <w:rPr>
          <w:rFonts w:ascii="宋体" w:hAnsi="宋体" w:cs="宋体"/>
          <w:color w:val="auto"/>
          <w:highlight w:val="none"/>
        </w:rPr>
        <w:t xml:space="preserve"> </w:t>
      </w:r>
    </w:p>
    <w:p w14:paraId="382C11A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67C2AB8B">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7DC14802">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555D1C4A">
      <w:pPr>
        <w:spacing w:line="360" w:lineRule="auto"/>
        <w:ind w:firstLine="48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w:t>
      </w:r>
      <w:r>
        <w:rPr>
          <w:rFonts w:hint="eastAsia" w:ascii="宋体" w:hAnsi="宋体" w:eastAsia="宋体" w:cs="宋体"/>
          <w:snapToGrid w:val="0"/>
          <w:color w:val="auto"/>
          <w:kern w:val="28"/>
          <w:sz w:val="24"/>
          <w:szCs w:val="20"/>
          <w:highlight w:val="none"/>
        </w:rPr>
        <w:t>联合体</w:t>
      </w:r>
      <w:r>
        <w:rPr>
          <w:rFonts w:hint="eastAsia" w:ascii="宋体" w:hAnsi="宋体" w:cs="宋体"/>
          <w:snapToGrid w:val="0"/>
          <w:color w:val="auto"/>
          <w:kern w:val="28"/>
          <w:sz w:val="24"/>
          <w:szCs w:val="20"/>
          <w:highlight w:val="none"/>
        </w:rPr>
        <w:t>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14:paraId="1BCC9220">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6B29323">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30974332">
      <w:pPr>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sym w:font="Wingdings 2" w:char="0052"/>
      </w:r>
      <w:r>
        <w:rPr>
          <w:rFonts w:hint="eastAsia" w:ascii="新宋体" w:hAnsi="新宋体" w:eastAsia="新宋体" w:cs="新宋体"/>
          <w:color w:val="auto"/>
          <w:kern w:val="0"/>
          <w:sz w:val="24"/>
          <w:highlight w:val="none"/>
        </w:rPr>
        <w:t>专</w:t>
      </w:r>
      <w:r>
        <w:rPr>
          <w:rFonts w:hint="eastAsia" w:ascii="新宋体" w:hAnsi="新宋体" w:eastAsia="新宋体" w:cs="新宋体"/>
          <w:color w:val="auto"/>
          <w:sz w:val="24"/>
          <w:highlight w:val="none"/>
        </w:rPr>
        <w:t>门面向中小企业</w:t>
      </w:r>
    </w:p>
    <w:p w14:paraId="0A6C7BA9">
      <w:pPr>
        <w:spacing w:line="360" w:lineRule="auto"/>
        <w:ind w:firstLine="897" w:firstLineChars="374"/>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sym w:font="Wingdings 2" w:char="0052"/>
      </w:r>
      <w:r>
        <w:rPr>
          <w:rFonts w:hint="eastAsia" w:ascii="新宋体" w:hAnsi="新宋体" w:eastAsia="新宋体" w:cs="新宋体"/>
          <w:color w:val="auto"/>
          <w:sz w:val="24"/>
          <w:highlight w:val="none"/>
        </w:rPr>
        <w:t>服务全部由符合政策要求的中小微企业承接，提供中小企业声明函；</w:t>
      </w:r>
    </w:p>
    <w:p w14:paraId="097FF24F">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37F9CDAD">
      <w:pPr>
        <w:spacing w:line="360" w:lineRule="auto"/>
        <w:rPr>
          <w:rFonts w:ascii="宋体" w:hAnsi="宋体" w:cs="宋体"/>
          <w:color w:val="auto"/>
          <w:highlight w:val="none"/>
        </w:rPr>
      </w:pPr>
    </w:p>
    <w:p w14:paraId="4259D54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5CC40DF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5C43088">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43FA66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无</w:t>
      </w:r>
    </w:p>
    <w:p w14:paraId="04DD20DC">
      <w:pPr>
        <w:snapToGrid w:val="0"/>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9C919">
      <w:pPr>
        <w:numPr>
          <w:ilvl w:val="0"/>
          <w:numId w:val="1"/>
        </w:numPr>
        <w:snapToGri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EE80C6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5BC9D6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b/>
          <w:bCs/>
          <w:color w:val="auto"/>
          <w:sz w:val="24"/>
          <w:highlight w:val="none"/>
          <w:u w:val="single"/>
          <w:lang w:eastAsia="zh-CN"/>
        </w:rPr>
        <w:t>2025年2月19日</w:t>
      </w:r>
      <w:r>
        <w:rPr>
          <w:rFonts w:hint="eastAsia" w:ascii="宋体" w:hAnsi="宋体" w:cs="宋体"/>
          <w:color w:val="auto"/>
          <w:sz w:val="24"/>
          <w:highlight w:val="none"/>
        </w:rPr>
        <w:t>，每天上午00:00至12:00 ，下午12:00至23:59（北京时间，线上获取法定节假日均可，线下获取文件法定节假日除外）</w:t>
      </w:r>
    </w:p>
    <w:p w14:paraId="7A59342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5ADA6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F630B1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7034EE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165E5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b/>
          <w:bCs/>
          <w:color w:val="auto"/>
          <w:sz w:val="24"/>
          <w:highlight w:val="none"/>
          <w:u w:val="single"/>
          <w:lang w:eastAsia="zh-CN"/>
        </w:rPr>
        <w:t>2025年2月19日9点30分00秒</w:t>
      </w:r>
      <w:r>
        <w:rPr>
          <w:rFonts w:hint="eastAsia" w:ascii="宋体" w:hAnsi="宋体" w:cs="宋体"/>
          <w:color w:val="auto"/>
          <w:sz w:val="24"/>
          <w:highlight w:val="none"/>
        </w:rPr>
        <w:t>（北京时间）</w:t>
      </w:r>
    </w:p>
    <w:p w14:paraId="62FD4A2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C9A504A">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bCs/>
          <w:color w:val="auto"/>
          <w:sz w:val="24"/>
          <w:highlight w:val="none"/>
          <w:u w:val="single"/>
          <w:lang w:eastAsia="zh-CN"/>
        </w:rPr>
        <w:t>2025年2月19日9点30分00秒</w:t>
      </w:r>
      <w:r>
        <w:rPr>
          <w:rFonts w:hint="eastAsia" w:ascii="宋体" w:hAnsi="宋体" w:cs="宋体"/>
          <w:color w:val="auto"/>
          <w:sz w:val="24"/>
          <w:highlight w:val="none"/>
        </w:rPr>
        <w:t>（北京时间）</w:t>
      </w:r>
    </w:p>
    <w:p w14:paraId="45EAEE8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532DB49">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D9367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E7B772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3B8E13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1AB94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w:t>
      </w:r>
      <w:r>
        <w:rPr>
          <w:rFonts w:hint="eastAsia" w:ascii="宋体" w:hAnsi="宋体" w:cs="宋体"/>
          <w:color w:val="auto"/>
          <w:sz w:val="24"/>
          <w:highlight w:val="none"/>
          <w:lang w:val="en-US" w:eastAsia="zh-CN"/>
        </w:rPr>
        <w:t>务</w:t>
      </w:r>
      <w:r>
        <w:rPr>
          <w:rFonts w:hint="eastAsia" w:ascii="宋体" w:hAnsi="宋体" w:cs="宋体"/>
          <w:color w:val="auto"/>
          <w:sz w:val="24"/>
          <w:highlight w:val="none"/>
        </w:rPr>
        <w:t>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14:paraId="075041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BF1D6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供应商”。（3）招标文件公告期限与招标公告的公告期限一致。</w:t>
      </w:r>
    </w:p>
    <w:p w14:paraId="4D70AEC0">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0FA77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005EA6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杭州市余杭区余杭街道社区卫生服务中心</w:t>
      </w:r>
      <w:r>
        <w:rPr>
          <w:rFonts w:hint="eastAsia" w:ascii="宋体" w:hAnsi="宋体" w:cs="宋体"/>
          <w:color w:val="auto"/>
          <w:sz w:val="24"/>
          <w:highlight w:val="none"/>
        </w:rPr>
        <w:t xml:space="preserve"> </w:t>
      </w:r>
    </w:p>
    <w:p w14:paraId="165C9B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新宋体" w:hAnsi="新宋体" w:eastAsia="新宋体" w:cs="新宋体"/>
          <w:color w:val="auto"/>
          <w:sz w:val="24"/>
          <w:highlight w:val="none"/>
        </w:rPr>
        <w:t>杭州市余杭区余杭街道凤新路3</w:t>
      </w:r>
      <w:r>
        <w:rPr>
          <w:rFonts w:ascii="新宋体" w:hAnsi="新宋体" w:eastAsia="新宋体" w:cs="新宋体"/>
          <w:color w:val="auto"/>
          <w:sz w:val="24"/>
          <w:highlight w:val="none"/>
        </w:rPr>
        <w:t>58</w:t>
      </w:r>
      <w:r>
        <w:rPr>
          <w:rFonts w:hint="eastAsia" w:ascii="新宋体" w:hAnsi="新宋体" w:eastAsia="新宋体" w:cs="新宋体"/>
          <w:color w:val="auto"/>
          <w:sz w:val="24"/>
          <w:highlight w:val="none"/>
        </w:rPr>
        <w:t xml:space="preserve">号   </w:t>
      </w:r>
      <w:r>
        <w:rPr>
          <w:rFonts w:hint="eastAsia" w:ascii="宋体" w:hAnsi="宋体" w:cs="宋体"/>
          <w:color w:val="auto"/>
          <w:sz w:val="24"/>
          <w:highlight w:val="none"/>
        </w:rPr>
        <w:t xml:space="preserve">    </w:t>
      </w:r>
    </w:p>
    <w:p w14:paraId="1B855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r>
        <w:rPr>
          <w:rFonts w:hint="eastAsia" w:ascii="新宋体" w:hAnsi="新宋体" w:eastAsia="新宋体" w:cs="新宋体"/>
          <w:color w:val="auto"/>
          <w:sz w:val="24"/>
          <w:highlight w:val="none"/>
        </w:rPr>
        <w:t>0571-8</w:t>
      </w:r>
      <w:r>
        <w:rPr>
          <w:rFonts w:ascii="新宋体" w:hAnsi="新宋体" w:eastAsia="新宋体" w:cs="新宋体"/>
          <w:color w:val="auto"/>
          <w:sz w:val="24"/>
          <w:highlight w:val="none"/>
        </w:rPr>
        <w:t>9051298</w:t>
      </w:r>
    </w:p>
    <w:p w14:paraId="4864E4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新宋体" w:hAnsi="新宋体" w:eastAsia="新宋体" w:cs="新宋体"/>
          <w:color w:val="auto"/>
          <w:sz w:val="24"/>
          <w:highlight w:val="none"/>
        </w:rPr>
        <w:t>江春花</w:t>
      </w:r>
      <w:r>
        <w:rPr>
          <w:rFonts w:hint="eastAsia" w:ascii="宋体" w:hAnsi="宋体" w:cs="宋体"/>
          <w:color w:val="auto"/>
          <w:sz w:val="24"/>
          <w:highlight w:val="none"/>
        </w:rPr>
        <w:t xml:space="preserve">  </w:t>
      </w:r>
    </w:p>
    <w:p w14:paraId="43BDF0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ascii="新宋体" w:hAnsi="新宋体" w:eastAsia="新宋体" w:cs="新宋体"/>
          <w:color w:val="auto"/>
          <w:sz w:val="24"/>
          <w:highlight w:val="none"/>
        </w:rPr>
        <w:t>18058760233</w:t>
      </w:r>
      <w:r>
        <w:rPr>
          <w:rFonts w:hint="eastAsia" w:ascii="宋体" w:hAnsi="宋体" w:cs="宋体"/>
          <w:color w:val="auto"/>
          <w:sz w:val="24"/>
          <w:highlight w:val="none"/>
        </w:rPr>
        <w:t xml:space="preserve">  </w:t>
      </w:r>
    </w:p>
    <w:p w14:paraId="369835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新宋体" w:hAnsi="新宋体" w:eastAsia="新宋体" w:cs="新宋体"/>
          <w:color w:val="auto"/>
          <w:sz w:val="24"/>
          <w:highlight w:val="none"/>
        </w:rPr>
        <w:t>徐挺</w:t>
      </w:r>
      <w:r>
        <w:rPr>
          <w:rFonts w:hint="eastAsia" w:ascii="宋体" w:hAnsi="宋体" w:cs="宋体"/>
          <w:color w:val="auto"/>
          <w:sz w:val="24"/>
          <w:highlight w:val="none"/>
        </w:rPr>
        <w:t xml:space="preserve"> </w:t>
      </w:r>
    </w:p>
    <w:p w14:paraId="1121C109">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ascii="新宋体" w:hAnsi="新宋体" w:eastAsia="新宋体" w:cs="新宋体"/>
          <w:color w:val="auto"/>
          <w:sz w:val="24"/>
          <w:highlight w:val="none"/>
        </w:rPr>
        <w:t>18969971788</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35FB2C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03CE5F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杭州市公共资源交易中心余杭分中心</w:t>
      </w:r>
    </w:p>
    <w:p w14:paraId="4D7B2F4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p>
    <w:p w14:paraId="0387EF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eastAsia="宋体" w:cs="宋体"/>
          <w:color w:val="auto"/>
          <w:sz w:val="24"/>
          <w:highlight w:val="none"/>
          <w:lang w:val="en-US" w:eastAsia="zh-CN"/>
        </w:rPr>
        <w:t>0571-893954</w:t>
      </w:r>
      <w:r>
        <w:rPr>
          <w:rFonts w:hint="eastAsia" w:ascii="宋体" w:hAnsi="宋体" w:cs="宋体"/>
          <w:color w:val="auto"/>
          <w:sz w:val="24"/>
          <w:highlight w:val="none"/>
          <w:lang w:val="en-US" w:eastAsia="zh-CN"/>
        </w:rPr>
        <w:t>38</w:t>
      </w:r>
      <w:r>
        <w:rPr>
          <w:rFonts w:hint="eastAsia" w:ascii="宋体" w:hAnsi="宋体" w:cs="宋体"/>
          <w:color w:val="auto"/>
          <w:sz w:val="24"/>
          <w:highlight w:val="none"/>
        </w:rPr>
        <w:t xml:space="preserve"> </w:t>
      </w:r>
    </w:p>
    <w:p w14:paraId="7C89884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徐工</w:t>
      </w:r>
    </w:p>
    <w:p w14:paraId="66E0844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项目联系方式（询问）：0571-89395436</w:t>
      </w:r>
    </w:p>
    <w:p w14:paraId="2771D92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质疑联系人：张</w:t>
      </w:r>
      <w:r>
        <w:rPr>
          <w:rFonts w:hint="eastAsia" w:ascii="宋体" w:hAnsi="宋体" w:cs="宋体"/>
          <w:color w:val="auto"/>
          <w:sz w:val="24"/>
          <w:highlight w:val="none"/>
          <w:lang w:val="en-US" w:eastAsia="zh-CN"/>
        </w:rPr>
        <w:t>工</w:t>
      </w:r>
    </w:p>
    <w:p w14:paraId="6D9C2C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eastAsia="宋体" w:cs="宋体"/>
          <w:color w:val="auto"/>
          <w:sz w:val="24"/>
          <w:highlight w:val="none"/>
          <w:lang w:val="en-US" w:eastAsia="zh-CN"/>
        </w:rPr>
        <w:t>0571-89</w:t>
      </w:r>
      <w:r>
        <w:rPr>
          <w:rFonts w:hint="eastAsia" w:ascii="宋体" w:hAnsi="宋体" w:cs="宋体"/>
          <w:color w:val="auto"/>
          <w:sz w:val="24"/>
          <w:highlight w:val="none"/>
          <w:lang w:val="en-US" w:eastAsia="zh-CN"/>
        </w:rPr>
        <w:t>517231</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5A6A3D7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3.同级政府采购监督管理部门</w:t>
      </w:r>
    </w:p>
    <w:p w14:paraId="1AD73B20">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名称：</w:t>
      </w:r>
      <w:r>
        <w:rPr>
          <w:rFonts w:hint="eastAsia" w:ascii="宋体" w:hAnsi="宋体" w:eastAsia="宋体" w:cs="宋体"/>
          <w:i w:val="0"/>
          <w:iCs w:val="0"/>
          <w:caps w:val="0"/>
          <w:color w:val="auto"/>
          <w:spacing w:val="0"/>
          <w:sz w:val="24"/>
          <w:szCs w:val="24"/>
          <w:highlight w:val="none"/>
          <w:shd w:val="clear"/>
        </w:rPr>
        <w:t>杭州市余杭区财政局、浙江省政府采购行政裁决服务中心（杭州）</w:t>
      </w:r>
    </w:p>
    <w:p w14:paraId="50105CDD">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地址：</w:t>
      </w:r>
      <w:r>
        <w:rPr>
          <w:rFonts w:hint="eastAsia" w:ascii="宋体" w:hAnsi="宋体" w:eastAsia="宋体" w:cs="宋体"/>
          <w:i w:val="0"/>
          <w:iCs w:val="0"/>
          <w:caps w:val="0"/>
          <w:color w:val="auto"/>
          <w:spacing w:val="0"/>
          <w:sz w:val="24"/>
          <w:szCs w:val="24"/>
          <w:highlight w:val="none"/>
          <w:shd w:val="clear"/>
        </w:rPr>
        <w:t>杭州市上城区四季青街道新业路市民之家G03办公室（快递仅限ems或顺丰）</w:t>
      </w:r>
    </w:p>
    <w:p w14:paraId="277F45F4">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传真： </w:t>
      </w:r>
      <w:r>
        <w:rPr>
          <w:rFonts w:hint="eastAsia" w:ascii="宋体" w:hAnsi="宋体" w:cs="宋体"/>
          <w:color w:val="auto"/>
          <w:sz w:val="24"/>
          <w:highlight w:val="none"/>
          <w:lang w:val="en-US" w:eastAsia="zh-CN"/>
        </w:rPr>
        <w:t>/</w:t>
      </w:r>
    </w:p>
    <w:p w14:paraId="6F8CBF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eastAsia="宋体" w:cs="宋体"/>
          <w:i w:val="0"/>
          <w:iCs w:val="0"/>
          <w:caps w:val="0"/>
          <w:color w:val="auto"/>
          <w:spacing w:val="0"/>
          <w:sz w:val="24"/>
          <w:szCs w:val="24"/>
          <w:highlight w:val="none"/>
          <w:shd w:val="clear"/>
        </w:rPr>
        <w:t>朱女士、王女士</w:t>
      </w:r>
      <w:r>
        <w:rPr>
          <w:rFonts w:hint="eastAsia" w:ascii="宋体" w:hAnsi="宋体" w:cs="宋体"/>
          <w:color w:val="auto"/>
          <w:sz w:val="24"/>
          <w:highlight w:val="none"/>
        </w:rPr>
        <w:t xml:space="preserve">   </w:t>
      </w:r>
    </w:p>
    <w:p w14:paraId="2FB86D9D">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color w:val="auto"/>
          <w:sz w:val="24"/>
          <w:highlight w:val="none"/>
        </w:rPr>
        <w:t>0571-87227671,0571-87800218</w:t>
      </w:r>
    </w:p>
    <w:p w14:paraId="38BA98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B50E5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F4925DC">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57EE73A">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5C44935E">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BE22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A0F70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7417C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5D16C2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8D45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6BC86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B32F1DE">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4AB5393">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2CDF0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5F0DE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9AABC0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AFAB04B">
            <w:pPr>
              <w:snapToGrid w:val="0"/>
              <w:spacing w:line="360" w:lineRule="auto"/>
              <w:rPr>
                <w:rFonts w:ascii="宋体" w:hAnsi="宋体" w:eastAsia="宋体" w:cs="宋体"/>
                <w:color w:val="auto"/>
                <w:highlight w:val="none"/>
                <w:lang w:val="en-US"/>
              </w:rPr>
            </w:pPr>
            <w:r>
              <w:rPr>
                <w:rFonts w:hint="eastAsia" w:ascii="新宋体" w:hAnsi="新宋体" w:eastAsia="新宋体" w:cs="新宋体"/>
                <w:color w:val="auto"/>
                <w:kern w:val="0"/>
                <w:sz w:val="24"/>
                <w:highlight w:val="none"/>
              </w:rPr>
              <w:t>标的：</w:t>
            </w:r>
            <w:r>
              <w:rPr>
                <w:rFonts w:hint="eastAsia" w:ascii="新宋体" w:hAnsi="新宋体" w:eastAsia="新宋体" w:cs="新宋体"/>
                <w:color w:val="auto"/>
                <w:kern w:val="0"/>
                <w:sz w:val="24"/>
                <w:highlight w:val="none"/>
                <w:u w:val="single"/>
              </w:rPr>
              <w:t>物业管理服务</w:t>
            </w:r>
            <w:r>
              <w:rPr>
                <w:rFonts w:hint="eastAsia" w:ascii="新宋体" w:hAnsi="新宋体" w:eastAsia="新宋体" w:cs="新宋体"/>
                <w:color w:val="auto"/>
                <w:kern w:val="0"/>
                <w:sz w:val="24"/>
                <w:highlight w:val="none"/>
              </w:rPr>
              <w:t>，属于</w:t>
            </w:r>
            <w:r>
              <w:rPr>
                <w:rFonts w:hint="eastAsia" w:ascii="新宋体" w:hAnsi="新宋体" w:eastAsia="新宋体" w:cs="新宋体"/>
                <w:color w:val="auto"/>
                <w:kern w:val="0"/>
                <w:sz w:val="24"/>
                <w:highlight w:val="none"/>
                <w:u w:val="single"/>
              </w:rPr>
              <w:t>物业管理</w:t>
            </w:r>
            <w:r>
              <w:rPr>
                <w:rFonts w:hint="eastAsia" w:ascii="新宋体" w:hAnsi="新宋体" w:eastAsia="新宋体" w:cs="新宋体"/>
                <w:color w:val="auto"/>
                <w:kern w:val="0"/>
                <w:sz w:val="24"/>
                <w:highlight w:val="none"/>
              </w:rPr>
              <w:t>行业；</w:t>
            </w:r>
          </w:p>
        </w:tc>
      </w:tr>
      <w:tr w14:paraId="6959B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7BA5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003E16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4CA60C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49E14E6C">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70A1F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E5137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1719A9F">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D3A55EE">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外墙清洗、绿化养护、电梯维护、消防设施设备维护、空调通风系统维护 </w:t>
            </w:r>
            <w:r>
              <w:rPr>
                <w:rFonts w:hint="eastAsia" w:ascii="宋体" w:hAnsi="宋体" w:cs="宋体"/>
                <w:color w:val="auto"/>
                <w:sz w:val="24"/>
                <w:highlight w:val="none"/>
              </w:rPr>
              <w:t>工作分包。</w:t>
            </w:r>
            <w:r>
              <w:rPr>
                <w:rFonts w:hint="eastAsia" w:ascii="MS Gothic" w:hAnsi="MS Gothic"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90D4964">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F9BD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E3F2B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1984BB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1463A94">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F5681B">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C01A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A7412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9D14E2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FC6F640">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EFB745F">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未提供样品或提供样品不满足采购需求实质性条件的供应商，投标无效</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7E47A12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5B4691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88CC7FE">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57ECA428">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样品分未超过价格分的50%；</w:t>
            </w:r>
          </w:p>
          <w:p w14:paraId="6C98966D">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66F61B0">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14:paraId="4D0D2F9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8DD9A5C">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。请投标人在上述时间内提供样品并按规定位置安装完毕。超过截止时间的，采购人将不予接收，并将清场并封闭样品现场。</w:t>
            </w:r>
          </w:p>
          <w:p w14:paraId="5BB71FA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采购活动结束后，对于未中标人提供的样品，采购人将通知未中标人在规定的时间内取回，逾期未取回的，采购人、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6A5BCD1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279F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9E110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955F60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EBBDDB9">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3DD305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14:paraId="43B6227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人。讲解演示结束后按要求解答评标委员会提问。</w:t>
            </w:r>
          </w:p>
          <w:p w14:paraId="48C5C1C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E1A5DC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01F1DC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6F434736">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B99F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C002C0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02B8CA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FF021AA">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FC28A2B">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976A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41575752">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EA90BE7">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6500317">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B72E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095E6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066E8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FC70A8C">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2376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6A792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2E2A6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31B1CF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4809C59D">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916E639">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831986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583E07F">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val="zh-CN"/>
              </w:rPr>
              <w:t>；</w:t>
            </w:r>
          </w:p>
          <w:p w14:paraId="6D093F4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826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02BE867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14:paraId="619C6B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B3BF">
            <w:pPr>
              <w:spacing w:line="360" w:lineRule="auto"/>
              <w:ind w:firstLine="240" w:firstLineChars="100"/>
              <w:rPr>
                <w:rFonts w:hint="eastAsia" w:ascii="宋体" w:hAnsi="宋体" w:cs="宋体"/>
                <w:b/>
                <w:color w:val="auto"/>
                <w:kern w:val="0"/>
                <w:sz w:val="24"/>
                <w:highlight w:val="none"/>
              </w:rPr>
            </w:pPr>
            <w:r>
              <w:rPr>
                <w:rFonts w:hint="eastAsia" w:ascii="宋体" w:hAnsi="宋体" w:eastAsia="宋体" w:cs="宋体"/>
                <w:color w:val="auto"/>
                <w:sz w:val="24"/>
                <w:highlight w:val="none"/>
                <w:lang w:val="en-US" w:eastAsia="zh-CN"/>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14:paraId="1E019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vMerge w:val="continue"/>
            <w:tcBorders>
              <w:left w:val="single" w:color="000000" w:sz="8" w:space="0"/>
              <w:right w:val="single" w:color="000000" w:sz="2" w:space="0"/>
            </w:tcBorders>
            <w:vAlign w:val="center"/>
          </w:tcPr>
          <w:p w14:paraId="0D19CBA1">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0C7557F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right w:val="single" w:color="000000" w:sz="8" w:space="0"/>
            </w:tcBorders>
            <w:vAlign w:val="center"/>
          </w:tcPr>
          <w:p w14:paraId="62F27903">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107C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71CCF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31C6B7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60507BA">
            <w:pPr>
              <w:widowControl w:val="0"/>
              <w:wordWrap/>
              <w:adjustRightInd w:val="0"/>
              <w:snapToGrid w:val="0"/>
              <w:spacing w:line="360" w:lineRule="auto"/>
              <w:ind w:left="0" w:leftChars="0" w:right="0" w:firstLine="480" w:firstLineChars="200"/>
              <w:jc w:val="both"/>
              <w:textAlignment w:val="auto"/>
              <w:outlineLvl w:val="9"/>
              <w:rPr>
                <w:rFonts w:hAnsi="宋体" w:cs="宋体"/>
                <w:color w:val="auto"/>
                <w:kern w:val="28"/>
                <w:sz w:val="24"/>
                <w:highlight w:val="none"/>
              </w:rPr>
            </w:pPr>
            <w:r>
              <w:rPr>
                <w:rFonts w:hint="eastAsia" w:ascii="宋体" w:hAnsi="宋体" w:eastAsia="宋体" w:cs="宋体"/>
                <w:color w:val="auto"/>
                <w:kern w:val="0"/>
                <w:sz w:val="24"/>
                <w:highlight w:val="none"/>
              </w:rPr>
              <w:t>投标人应当在投标截止时间前半小时内将以介质存储的数据电文形式的备份投标文件密封送交到</w:t>
            </w:r>
            <w:r>
              <w:rPr>
                <w:rFonts w:hint="eastAsia" w:ascii="宋体" w:hAnsi="宋体" w:eastAsia="宋体" w:cs="宋体"/>
                <w:b/>
                <w:bCs/>
                <w:color w:val="auto"/>
                <w:sz w:val="24"/>
                <w:highlight w:val="none"/>
              </w:rPr>
              <w:t>杭州市公共资源交易中心余杭分中心</w:t>
            </w:r>
            <w:r>
              <w:rPr>
                <w:rFonts w:hint="eastAsia" w:ascii="宋体" w:hAnsi="宋体" w:eastAsia="宋体" w:cs="宋体"/>
                <w:b/>
                <w:color w:val="auto"/>
                <w:kern w:val="0"/>
                <w:sz w:val="24"/>
                <w:highlight w:val="none"/>
                <w:u w:val="single"/>
              </w:rPr>
              <w:t xml:space="preserve">  </w:t>
            </w:r>
            <w:r>
              <w:rPr>
                <w:rFonts w:hint="eastAsia" w:ascii="宋体" w:hAnsi="宋体" w:cs="宋体"/>
                <w:b/>
                <w:color w:val="auto"/>
                <w:kern w:val="0"/>
                <w:sz w:val="24"/>
                <w:highlight w:val="none"/>
                <w:u w:val="single"/>
                <w:lang w:val="en-US" w:eastAsia="zh-CN"/>
              </w:rPr>
              <w:t>5</w:t>
            </w: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 xml:space="preserve"> 号开标室</w:t>
            </w:r>
            <w:r>
              <w:rPr>
                <w:rFonts w:hint="eastAsia" w:ascii="宋体" w:hAnsi="宋体" w:cs="宋体"/>
                <w:b/>
                <w:color w:val="auto"/>
                <w:kern w:val="0"/>
                <w:sz w:val="24"/>
                <w:highlight w:val="none"/>
                <w:lang w:eastAsia="zh-CN"/>
              </w:rPr>
              <w:t>（</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r>
              <w:rPr>
                <w:rFonts w:hint="eastAsia" w:ascii="宋体" w:hAnsi="宋体" w:cs="宋体"/>
                <w:color w:val="auto"/>
                <w:sz w:val="24"/>
                <w:highlight w:val="none"/>
                <w:lang w:eastAsia="zh-CN"/>
              </w:rPr>
              <w:t>）</w:t>
            </w:r>
            <w:r>
              <w:rPr>
                <w:rFonts w:hint="eastAsia" w:ascii="宋体" w:hAnsi="宋体" w:eastAsia="宋体" w:cs="宋体"/>
                <w:color w:val="auto"/>
                <w:kern w:val="0"/>
                <w:sz w:val="24"/>
                <w:highlight w:val="none"/>
              </w:rPr>
              <w:t>，逾期送达或未密封将被拒收。</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21622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4FB750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BEB8E2D">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394D6FF">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14:paraId="33963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4E4EFB66">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F6FF5F9">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0D6E7FC">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p w14:paraId="3A0B3081">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14:paraId="05A8F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2D0B5C45">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8565801">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ED5CD67">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评审因素对应的要求视为采购需求的一部分。</w:t>
            </w:r>
          </w:p>
        </w:tc>
      </w:tr>
      <w:tr w14:paraId="5B07B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14:paraId="18D3496A">
            <w:pPr>
              <w:snapToGrid w:val="0"/>
              <w:spacing w:line="360" w:lineRule="auto"/>
              <w:jc w:val="center"/>
              <w:rPr>
                <w:rFonts w:ascii="宋体" w:hAnsi="宋体" w:cs="宋体"/>
                <w:color w:val="auto"/>
                <w:sz w:val="24"/>
                <w:highlight w:val="none"/>
              </w:rPr>
            </w:pPr>
          </w:p>
        </w:tc>
        <w:tc>
          <w:tcPr>
            <w:tcW w:w="1843" w:type="dxa"/>
            <w:tcBorders>
              <w:left w:val="single" w:color="000000" w:sz="2" w:space="0"/>
              <w:bottom w:val="single" w:color="000000" w:sz="8" w:space="0"/>
              <w:right w:val="single" w:color="000000" w:sz="8" w:space="0"/>
            </w:tcBorders>
            <w:vAlign w:val="center"/>
          </w:tcPr>
          <w:p w14:paraId="00577BE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EC27344">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本项目评审报告推荐的中标候选人数量：</w:t>
            </w:r>
            <w:r>
              <w:rPr>
                <w:rFonts w:hint="eastAsia" w:ascii="宋体" w:hAnsi="宋体" w:eastAsia="宋体" w:cs="Arial"/>
                <w:color w:val="auto"/>
                <w:kern w:val="0"/>
                <w:sz w:val="24"/>
                <w:highlight w:val="none"/>
                <w:u w:val="single"/>
              </w:rPr>
              <w:t xml:space="preserve">  1 </w:t>
            </w:r>
            <w:r>
              <w:rPr>
                <w:rFonts w:hint="eastAsia" w:ascii="宋体" w:hAnsi="宋体" w:eastAsia="宋体" w:cs="Arial"/>
                <w:color w:val="auto"/>
                <w:kern w:val="0"/>
                <w:sz w:val="24"/>
                <w:highlight w:val="none"/>
              </w:rPr>
              <w:t xml:space="preserve"> 。</w:t>
            </w:r>
          </w:p>
        </w:tc>
      </w:tr>
    </w:tbl>
    <w:p w14:paraId="5A6B04C9">
      <w:pPr>
        <w:snapToGrid w:val="0"/>
        <w:spacing w:line="360" w:lineRule="auto"/>
        <w:jc w:val="center"/>
        <w:rPr>
          <w:rFonts w:ascii="宋体" w:hAnsi="宋体" w:cs="宋体"/>
          <w:b/>
          <w:color w:val="auto"/>
          <w:sz w:val="32"/>
          <w:szCs w:val="20"/>
          <w:highlight w:val="none"/>
        </w:rPr>
      </w:pPr>
    </w:p>
    <w:bookmarkEnd w:id="10"/>
    <w:p w14:paraId="2715B97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DF45776">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72C2E7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14:paraId="183F913B">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124D9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E09FA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063A45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0A60A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3447B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A673C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是</w:t>
      </w:r>
      <w:r>
        <w:rPr>
          <w:rFonts w:hint="eastAsia" w:ascii="宋体" w:hAnsi="宋体" w:cs="宋体"/>
          <w:color w:val="auto"/>
          <w:sz w:val="24"/>
          <w:highlight w:val="none"/>
        </w:rPr>
        <w:t>指本项目政府采购活动所依托的政府采购云平台（https://www.zcygov.cn/）。</w:t>
      </w:r>
    </w:p>
    <w:p w14:paraId="22F8C2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75475857">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F2AA7E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09314B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57C5711">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4D79A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023B97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快递包装政府采购需求标准（试行）》。优先采购绿色包装产品、绿色物流配送服务以及循环利用产品。</w:t>
      </w:r>
    </w:p>
    <w:p w14:paraId="1C6911B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6943C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2F49A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E4F9059">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E1898B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70743F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hint="eastAsia" w:ascii="宋体" w:hAnsi="宋体" w:cs="宋体"/>
          <w:color w:val="auto"/>
          <w:sz w:val="24"/>
          <w:highlight w:val="none"/>
          <w:lang w:eastAsia="zh-CN"/>
        </w:rPr>
        <w:t>—</w:t>
      </w:r>
      <w:r>
        <w:rPr>
          <w:rFonts w:ascii="宋体" w:hAnsi="宋体" w:cs="宋体"/>
          <w:color w:val="auto"/>
          <w:sz w:val="24"/>
          <w:highlight w:val="none"/>
        </w:rPr>
        <w:t>20</w:t>
      </w:r>
      <w:r>
        <w:rPr>
          <w:rFonts w:hint="eastAsia" w:ascii="宋体" w:hAnsi="宋体" w:cs="宋体"/>
          <w:color w:val="auto"/>
          <w:sz w:val="24"/>
          <w:highlight w:val="none"/>
        </w:rPr>
        <w:t>%的扣除</w:t>
      </w:r>
    </w:p>
    <w:p w14:paraId="2D8B1B12">
      <w:pPr>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sz w:val="24"/>
          <w:highlight w:val="none"/>
          <w:lang w:eastAsia="zh-CN"/>
        </w:rPr>
        <w:t>—</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6B5D6B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8AEC9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3F429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14:paraId="55376C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571863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541C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863D7D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BFF4C93">
      <w:pPr>
        <w:spacing w:line="360" w:lineRule="auto"/>
        <w:ind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w:t>
      </w:r>
      <w:r>
        <w:rPr>
          <w:rFonts w:hint="eastAsia" w:ascii="宋体" w:hAnsi="宋体" w:eastAsia="宋体" w:cs="宋体"/>
          <w:color w:val="auto"/>
          <w:sz w:val="24"/>
          <w:highlight w:val="none"/>
          <w:lang w:val="en-US" w:eastAsia="zh-CN"/>
        </w:rPr>
        <w:t>保护</w:t>
      </w:r>
      <w:r>
        <w:rPr>
          <w:rFonts w:hint="eastAsia" w:ascii="宋体" w:hAnsi="宋体" w:eastAsia="宋体" w:cs="仿宋"/>
          <w:b w:val="0"/>
          <w:bCs w:val="0"/>
          <w:color w:val="auto"/>
          <w:sz w:val="24"/>
          <w:szCs w:val="24"/>
          <w:highlight w:val="none"/>
          <w:lang w:val="en-US" w:eastAsia="zh-CN"/>
        </w:rPr>
        <w:t>相关法律法规，</w:t>
      </w:r>
      <w:r>
        <w:rPr>
          <w:rFonts w:hint="eastAsia" w:ascii="宋体" w:hAnsi="宋体" w:eastAsia="宋体" w:cs="仿宋"/>
          <w:b w:val="0"/>
          <w:bCs w:val="0"/>
          <w:color w:val="auto"/>
          <w:sz w:val="24"/>
          <w:szCs w:val="24"/>
          <w:highlight w:val="none"/>
          <w:lang w:val="en-US"/>
        </w:rPr>
        <w:t>应当采购使用正版软件。</w:t>
      </w:r>
    </w:p>
    <w:p w14:paraId="27C2F921">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BE64B9D">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5439692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w:t>
      </w:r>
      <w:r>
        <w:rPr>
          <w:rFonts w:hint="eastAsia" w:ascii="宋体" w:hAnsi="宋体" w:cs="宋体"/>
          <w:color w:val="auto"/>
          <w:kern w:val="0"/>
          <w:sz w:val="24"/>
          <w:highlight w:val="none"/>
          <w:lang w:val="en-US" w:eastAsia="zh-CN"/>
        </w:rPr>
        <w:t>务</w:t>
      </w:r>
      <w:r>
        <w:rPr>
          <w:rFonts w:hint="eastAsia" w:ascii="宋体" w:hAnsi="宋体" w:cs="宋体"/>
          <w:color w:val="auto"/>
          <w:kern w:val="0"/>
          <w:sz w:val="24"/>
          <w:highlight w:val="none"/>
          <w:lang w:val="zh-CN"/>
        </w:rPr>
        <w:t>服务网－政府采购投诉处理－在线办理。</w:t>
      </w:r>
    </w:p>
    <w:p w14:paraId="6BA0D92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31D2E4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5EA494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FDDAC6B">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EB2F1B8">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44BEE17">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00623D58">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D0459F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EFC6BF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B6EC9C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30ECD6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DCF7EC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83B77C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7757612">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17EF732">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7B60697">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6338C66">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F8C6062">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olor w:val="auto"/>
          <w:highlight w:val="none"/>
          <w:lang w:eastAsia="zh-CN"/>
        </w:rPr>
        <w:t>，</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D822DCA">
      <w:pPr>
        <w:pStyle w:val="571"/>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w:t>
      </w:r>
      <w:r>
        <w:rPr>
          <w:rFonts w:hint="eastAsia" w:ascii="宋体" w:hAnsi="宋体" w:eastAsia="宋体"/>
          <w:color w:val="auto"/>
          <w:sz w:val="24"/>
          <w:highlight w:val="none"/>
          <w:lang w:val="en-US" w:eastAsia="zh-CN"/>
        </w:rPr>
        <w:t>代理</w:t>
      </w:r>
      <w:r>
        <w:rPr>
          <w:rFonts w:hint="eastAsia" w:ascii="宋体" w:hAnsi="宋体" w:eastAsia="宋体"/>
          <w:color w:val="auto"/>
          <w:sz w:val="24"/>
          <w:highlight w:val="none"/>
        </w:rPr>
        <w:t>机构签订的《杭州市</w:t>
      </w:r>
      <w:r>
        <w:rPr>
          <w:rFonts w:hint="eastAsia" w:ascii="宋体" w:hAnsi="宋体" w:eastAsia="宋体"/>
          <w:color w:val="auto"/>
          <w:sz w:val="24"/>
          <w:highlight w:val="none"/>
          <w:lang w:val="en-US" w:eastAsia="zh-CN"/>
        </w:rPr>
        <w:t>余杭区</w:t>
      </w:r>
      <w:r>
        <w:rPr>
          <w:rFonts w:hint="eastAsia" w:ascii="宋体" w:hAnsi="宋体" w:eastAsia="宋体"/>
          <w:color w:val="auto"/>
          <w:sz w:val="24"/>
          <w:highlight w:val="none"/>
        </w:rPr>
        <w:t>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5F4B791B">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CD5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58BFEC41">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363BC522">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2BC5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AA32243">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7C8EE669">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08A3D346">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1E0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6BCEA17">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19BAA51F">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3B4E0ED0">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w:t>
            </w:r>
            <w:r>
              <w:rPr>
                <w:rFonts w:hint="eastAsia" w:asciiTheme="minorEastAsia" w:hAnsiTheme="minorEastAsia" w:eastAsiaTheme="minorEastAsia"/>
                <w:color w:val="auto"/>
                <w:sz w:val="24"/>
                <w:highlight w:val="none"/>
                <w:lang w:val="en-US" w:eastAsia="zh-CN"/>
              </w:rPr>
              <w:t>代理</w:t>
            </w:r>
            <w:r>
              <w:rPr>
                <w:rFonts w:hint="eastAsia" w:asciiTheme="minorEastAsia" w:hAnsiTheme="minorEastAsia" w:eastAsiaTheme="minorEastAsia"/>
                <w:color w:val="auto"/>
                <w:sz w:val="24"/>
                <w:highlight w:val="none"/>
              </w:rPr>
              <w:t>机构</w:t>
            </w:r>
          </w:p>
        </w:tc>
      </w:tr>
      <w:tr w14:paraId="363D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267B302">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7D380CCE">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、“资格审查”等由</w:t>
            </w:r>
            <w:r>
              <w:rPr>
                <w:rFonts w:hint="eastAsia" w:asciiTheme="minorEastAsia" w:hAnsiTheme="minorEastAsia" w:eastAsiaTheme="minorEastAsia"/>
                <w:color w:val="auto"/>
                <w:sz w:val="24"/>
                <w:szCs w:val="21"/>
                <w:highlight w:val="none"/>
                <w:lang w:val="en-US" w:eastAsia="zh-CN"/>
              </w:rPr>
              <w:t>采购人</w:t>
            </w:r>
            <w:r>
              <w:rPr>
                <w:rFonts w:hint="eastAsia" w:asciiTheme="minorEastAsia" w:hAnsiTheme="minorEastAsia" w:eastAsiaTheme="minorEastAsia"/>
                <w:color w:val="auto"/>
                <w:sz w:val="24"/>
                <w:szCs w:val="21"/>
                <w:highlight w:val="none"/>
              </w:rPr>
              <w:t>负责组织的环节的质疑</w:t>
            </w:r>
          </w:p>
        </w:tc>
        <w:tc>
          <w:tcPr>
            <w:tcW w:w="2232" w:type="dxa"/>
            <w:vAlign w:val="center"/>
          </w:tcPr>
          <w:p w14:paraId="3751CF77">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112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19F045B4">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7F8E6A5A">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5AEE2A3F">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w:t>
            </w:r>
            <w:r>
              <w:rPr>
                <w:rFonts w:hint="eastAsia" w:asciiTheme="minorEastAsia" w:hAnsiTheme="minorEastAsia" w:eastAsiaTheme="minorEastAsia"/>
                <w:color w:val="auto"/>
                <w:sz w:val="24"/>
                <w:highlight w:val="none"/>
                <w:lang w:val="en-US" w:eastAsia="zh-CN"/>
              </w:rPr>
              <w:t>代理</w:t>
            </w:r>
            <w:r>
              <w:rPr>
                <w:rFonts w:hint="eastAsia" w:asciiTheme="minorEastAsia" w:hAnsiTheme="minorEastAsia" w:eastAsiaTheme="minorEastAsia"/>
                <w:color w:val="auto"/>
                <w:sz w:val="24"/>
                <w:highlight w:val="none"/>
              </w:rPr>
              <w:t>机构</w:t>
            </w:r>
          </w:p>
        </w:tc>
      </w:tr>
    </w:tbl>
    <w:p w14:paraId="3014D099">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813FB3C">
      <w:pPr>
        <w:pStyle w:val="57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C4864EB">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759B358B">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EF9AB73">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D6A532D">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44CDC84C">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lang w:val="en-US" w:eastAsia="zh-CN"/>
        </w:rPr>
        <w:t xml:space="preserve"> </w:t>
      </w:r>
      <w:r>
        <w:rPr>
          <w:rFonts w:hint="eastAsia"/>
          <w:color w:val="auto"/>
          <w:highlight w:val="none"/>
        </w:rPr>
        <w:t>投诉书范本及制作说明详见附件3。</w:t>
      </w:r>
    </w:p>
    <w:p w14:paraId="64D75E34">
      <w:pPr>
        <w:pStyle w:val="85"/>
        <w:snapToGrid w:val="0"/>
        <w:spacing w:before="0"/>
        <w:ind w:firstLine="360"/>
        <w:rPr>
          <w:rFonts w:ascii="宋体" w:hAnsi="宋体" w:cs="宋体"/>
          <w:color w:val="auto"/>
          <w:sz w:val="18"/>
          <w:szCs w:val="18"/>
          <w:highlight w:val="none"/>
        </w:rPr>
      </w:pPr>
    </w:p>
    <w:p w14:paraId="051783A4">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296592E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F16FE9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2EFA78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BDD0FD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BF88D98">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26FBF4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B24C1F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051F0BA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78DB3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89220F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910CB51">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7A7CBE4">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EE98648">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2F100D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2D93DD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96C50BC">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BD0EC9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12D66AF9">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D7EB2A1">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2B979BE">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C153EF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497B89F">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97506D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34A730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3B29F8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16E15D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04D08D0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47EA14B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69238DE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797437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C82B80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777F19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1270F08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953501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206CBC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615D29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E249B20">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8F87403">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EF474B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016C617A">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727B4A3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3668CE3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1551762">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2423A4E">
      <w:pPr>
        <w:spacing w:line="360" w:lineRule="auto"/>
        <w:ind w:firstLine="723" w:firstLineChars="300"/>
        <w:rPr>
          <w:rFonts w:hint="eastAsia" w:ascii="宋体" w:hAnsi="宋体" w:cs="宋体"/>
          <w:b/>
          <w:color w:val="auto"/>
          <w:sz w:val="24"/>
          <w:highlight w:val="none"/>
        </w:rPr>
      </w:pPr>
      <w:r>
        <w:rPr>
          <w:rFonts w:hint="eastAsia"/>
          <w:b/>
          <w:bCs/>
          <w:color w:val="auto"/>
          <w:sz w:val="24"/>
          <w:szCs w:val="24"/>
          <w:highlight w:val="none"/>
          <w:shd w:val="clear" w:color="auto" w:fill="FFFFFF"/>
          <w:lang w:val="en-US" w:eastAsia="zh-CN"/>
        </w:rPr>
        <w:t>投标人应对投标文件中材料的真实性、合法性负责。</w:t>
      </w:r>
    </w:p>
    <w:p w14:paraId="387EEA84">
      <w:pPr>
        <w:pStyle w:val="8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D6E1C90">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FCAE33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1E8A76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02C9C9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4BDF04F">
      <w:pPr>
        <w:pStyle w:val="8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2056ACC">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70ECEEA">
      <w:pPr>
        <w:pStyle w:val="8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84A67CB">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F509DDD">
      <w:pPr>
        <w:pStyle w:val="8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C943958">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90245D8">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348AB615">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BBF6F18">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5A763EC">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w:t>
      </w:r>
      <w:r>
        <w:rPr>
          <w:rFonts w:hint="eastAsia" w:hAnsi="宋体" w:cs="宋体"/>
          <w:color w:val="auto"/>
          <w:sz w:val="24"/>
          <w:szCs w:val="24"/>
          <w:highlight w:val="none"/>
          <w:lang w:eastAsia="zh-CN"/>
        </w:rPr>
        <w:t>（</w:t>
      </w:r>
      <w:r>
        <w:rPr>
          <w:rFonts w:hint="eastAsia" w:hAnsi="宋体" w:cs="宋体"/>
          <w:color w:val="auto"/>
          <w:sz w:val="24"/>
          <w:szCs w:val="24"/>
          <w:highlight w:val="none"/>
        </w:rPr>
        <w:t>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hAnsi="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3FEC03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098F4F75">
      <w:pPr>
        <w:pStyle w:val="32"/>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15.</w:t>
      </w:r>
      <w:r>
        <w:rPr>
          <w:rFonts w:hint="eastAsia" w:hAnsi="宋体" w:cs="宋体"/>
          <w:b/>
          <w:color w:val="auto"/>
          <w:sz w:val="24"/>
          <w:szCs w:val="24"/>
          <w:highlight w:val="none"/>
          <w:lang w:val="en-US" w:eastAsia="zh-CN"/>
        </w:rPr>
        <w:t xml:space="preserve">4 </w:t>
      </w:r>
      <w:r>
        <w:rPr>
          <w:rFonts w:hint="eastAsia" w:hAnsi="宋体" w:cs="宋体"/>
          <w:b/>
          <w:color w:val="auto"/>
          <w:sz w:val="24"/>
          <w:szCs w:val="24"/>
          <w:highlight w:val="none"/>
        </w:rPr>
        <w:t>投标人仅提交备份投标文件，未在电子交易平台传输递交投标文件的，投标无效。</w:t>
      </w:r>
    </w:p>
    <w:p w14:paraId="28CD087C">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5E60E1C">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14:paraId="20E9CA79">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C092AA8">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61D1B80">
      <w:pPr>
        <w:pStyle w:val="8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F47CCDF">
      <w:pPr>
        <w:pStyle w:val="85"/>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3FE59F7">
      <w:pPr>
        <w:pStyle w:val="85"/>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48945103">
      <w:pPr>
        <w:pStyle w:val="85"/>
        <w:spacing w:before="0"/>
        <w:ind w:firstLine="643"/>
        <w:rPr>
          <w:rFonts w:ascii="宋体" w:hAnsi="宋体" w:cs="宋体"/>
          <w:b/>
          <w:color w:val="auto"/>
          <w:sz w:val="32"/>
          <w:highlight w:val="none"/>
        </w:rPr>
      </w:pPr>
    </w:p>
    <w:p w14:paraId="5C13C428">
      <w:pPr>
        <w:pStyle w:val="8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AC13E72">
      <w:pPr>
        <w:pStyle w:val="23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717AD70">
      <w:pPr>
        <w:pStyle w:val="23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06C59F6A">
      <w:pPr>
        <w:pStyle w:val="23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36B1DA94">
      <w:pPr>
        <w:pStyle w:val="23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441E271">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7C2CA05C">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255DF96A">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256A47D">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0ED37525">
      <w:pPr>
        <w:pStyle w:val="8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78870500">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2C8A5B4">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5E903AD4">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14:paraId="60AA0C22">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E057C89">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95F2AB8">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B7C5480">
      <w:pPr>
        <w:pStyle w:val="85"/>
        <w:spacing w:before="0"/>
        <w:ind w:firstLine="0" w:firstLineChars="0"/>
        <w:rPr>
          <w:rFonts w:ascii="宋体" w:hAnsi="宋体" w:cs="宋体"/>
          <w:color w:val="auto"/>
          <w:kern w:val="0"/>
          <w:szCs w:val="24"/>
          <w:highlight w:val="none"/>
        </w:rPr>
      </w:pPr>
    </w:p>
    <w:p w14:paraId="435DF54A">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63AB174">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8EF80E4">
      <w:pPr>
        <w:spacing w:line="360" w:lineRule="auto"/>
        <w:rPr>
          <w:rFonts w:ascii="宋体" w:hAnsi="宋体" w:cs="宋体"/>
          <w:b/>
          <w:color w:val="auto"/>
          <w:sz w:val="24"/>
          <w:highlight w:val="none"/>
        </w:rPr>
      </w:pPr>
    </w:p>
    <w:p w14:paraId="598A2A3A">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0949809">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39CB253">
      <w:pPr>
        <w:pStyle w:val="8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在采购结果确认环节，中标候选人撤销投标文件不能成为采购人不确认采购结果的正当理由。中标通知书和中标结果公告应当在规定时间内同时发出。</w:t>
      </w:r>
    </w:p>
    <w:p w14:paraId="601C5FEB">
      <w:pPr>
        <w:pStyle w:val="8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7F86C8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4C480FC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701BDD3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5F3887EF">
      <w:pPr>
        <w:snapToGrid w:val="0"/>
        <w:spacing w:line="360" w:lineRule="auto"/>
        <w:ind w:left="120" w:leftChars="57" w:firstLine="482" w:firstLineChars="150"/>
        <w:jc w:val="center"/>
        <w:rPr>
          <w:rFonts w:ascii="宋体" w:hAnsi="宋体" w:cs="宋体"/>
          <w:b/>
          <w:color w:val="auto"/>
          <w:sz w:val="32"/>
          <w:highlight w:val="none"/>
        </w:rPr>
      </w:pPr>
    </w:p>
    <w:p w14:paraId="73EAEA7A">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75932F4A">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BCA9605">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4CB00D8C">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705F55C">
      <w:pPr>
        <w:pStyle w:val="8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2DD61D3">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052C6B8">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14:paraId="40ED2BB4">
      <w:pPr>
        <w:pStyle w:val="8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7AA01D9F">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68D2D5EF">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23E739">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839E738">
      <w:pPr>
        <w:rPr>
          <w:color w:val="auto"/>
          <w:highlight w:val="none"/>
        </w:rPr>
      </w:pPr>
    </w:p>
    <w:p w14:paraId="180FF2F0">
      <w:pPr>
        <w:snapToGrid w:val="0"/>
        <w:spacing w:line="360" w:lineRule="auto"/>
        <w:ind w:firstLine="3357" w:firstLineChars="1045"/>
        <w:rPr>
          <w:rFonts w:ascii="宋体" w:hAnsi="宋体" w:cs="宋体"/>
          <w:b/>
          <w:color w:val="auto"/>
          <w:sz w:val="32"/>
          <w:highlight w:val="none"/>
        </w:rPr>
      </w:pPr>
    </w:p>
    <w:p w14:paraId="3BDE3B32">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3E01B15">
      <w:pPr>
        <w:pStyle w:val="85"/>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hint="eastAsia" w:ascii="宋体" w:hAnsi="宋体" w:cs="宋体"/>
          <w:b/>
          <w:bCs/>
          <w:color w:val="auto"/>
          <w:sz w:val="24"/>
          <w:szCs w:val="24"/>
          <w:highlight w:val="none"/>
          <w:lang w:val="en-US" w:eastAsia="zh-CN"/>
        </w:rPr>
        <w:t>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6E86C8D8">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.1电子交易平台发生故障而无法登录访问的； </w:t>
      </w:r>
    </w:p>
    <w:p w14:paraId="55533EF4">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.2电子交易平台应用或数据库出现错误，不能进行正常操作的；</w:t>
      </w:r>
    </w:p>
    <w:p w14:paraId="068F1F85">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.3电子交易平台发现严重安全漏洞，有潜在泄密危险的；</w:t>
      </w:r>
    </w:p>
    <w:p w14:paraId="5C45AFD1">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.4病毒发作导致不能进行正常操作的； </w:t>
      </w:r>
    </w:p>
    <w:p w14:paraId="4D7F121C">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.5其他无法保证电子交易的公平、公正和安全的情况。</w:t>
      </w:r>
    </w:p>
    <w:p w14:paraId="2C419E92">
      <w:pPr>
        <w:pStyle w:val="85"/>
        <w:snapToGrid w:val="0"/>
        <w:spacing w:before="0"/>
        <w:ind w:firstLine="0" w:firstLineChars="0"/>
        <w:rPr>
          <w:rFonts w:ascii="宋体" w:hAnsi="宋体" w:cs="宋体"/>
          <w:color w:val="auto"/>
          <w:sz w:val="24"/>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8</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1A3D4F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234B5E1">
      <w:pPr>
        <w:pStyle w:val="24"/>
        <w:spacing w:line="360" w:lineRule="auto"/>
        <w:ind w:firstLine="0" w:firstLineChars="0"/>
        <w:rPr>
          <w:rFonts w:cs="宋体"/>
          <w:b/>
          <w:color w:val="auto"/>
          <w:highlight w:val="none"/>
        </w:rPr>
      </w:pPr>
      <w:r>
        <w:rPr>
          <w:rFonts w:hint="eastAsia" w:cs="宋体"/>
          <w:b/>
          <w:color w:val="auto"/>
          <w:highlight w:val="none"/>
          <w:lang w:val="en-US" w:eastAsia="zh-CN"/>
        </w:rPr>
        <w:t>29</w:t>
      </w:r>
      <w:r>
        <w:rPr>
          <w:rFonts w:hint="eastAsia" w:cs="宋体"/>
          <w:b/>
          <w:color w:val="auto"/>
          <w:highlight w:val="none"/>
        </w:rPr>
        <w:t>.验收</w:t>
      </w:r>
    </w:p>
    <w:p w14:paraId="474469B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2599B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55AA422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1D3BE8">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2C81D1A">
      <w:pPr>
        <w:tabs>
          <w:tab w:val="left" w:pos="0"/>
        </w:tabs>
        <w:spacing w:line="360" w:lineRule="auto"/>
        <w:ind w:firstLine="480"/>
        <w:rPr>
          <w:color w:val="auto"/>
          <w:highlight w:val="none"/>
        </w:rPr>
      </w:pPr>
      <w:bookmarkStart w:id="15" w:name="_Hlt68403820"/>
      <w:bookmarkEnd w:id="15"/>
      <w:bookmarkStart w:id="16" w:name="_Hlt68057669"/>
      <w:bookmarkEnd w:id="16"/>
      <w:bookmarkStart w:id="17" w:name="_Hlt75236011"/>
      <w:bookmarkEnd w:id="17"/>
      <w:bookmarkStart w:id="18" w:name="_Hlt74730295"/>
      <w:bookmarkEnd w:id="18"/>
      <w:bookmarkStart w:id="19" w:name="_Hlt75236290"/>
      <w:bookmarkEnd w:id="19"/>
      <w:bookmarkStart w:id="20" w:name="_Hlt74714665"/>
      <w:bookmarkEnd w:id="20"/>
      <w:bookmarkStart w:id="21" w:name="_Hlt74707468"/>
      <w:bookmarkEnd w:id="21"/>
      <w:bookmarkStart w:id="22" w:name="_Hlt74729768"/>
      <w:bookmarkEnd w:id="22"/>
      <w:bookmarkStart w:id="23" w:name="_Hlt68072990"/>
      <w:bookmarkEnd w:id="23"/>
      <w:bookmarkStart w:id="24" w:name="_Hlt68073093"/>
      <w:bookmarkEnd w:id="24"/>
      <w:bookmarkStart w:id="25" w:name="_Hlt75236101"/>
      <w:bookmarkEnd w:id="25"/>
      <w:bookmarkStart w:id="26" w:name="_Hlt68072998"/>
      <w:bookmarkEnd w:id="26"/>
      <w:r>
        <w:rPr>
          <w:rFonts w:hint="eastAsia" w:ascii="宋体" w:hAnsi="宋体" w:eastAsia="宋体" w:cs="宋体"/>
          <w:b w:val="0"/>
          <w:bCs w:val="0"/>
          <w:color w:val="auto"/>
          <w:kern w:val="0"/>
          <w:sz w:val="24"/>
          <w:szCs w:val="24"/>
          <w:highlight w:val="none"/>
          <w:lang w:val="en-US" w:eastAsia="zh-CN"/>
        </w:rPr>
        <w:t>29</w:t>
      </w:r>
      <w:r>
        <w:rPr>
          <w:rFonts w:hint="eastAsia" w:ascii="宋体" w:hAnsi="宋体" w:eastAsia="宋体" w:cs="宋体"/>
          <w:b w:val="0"/>
          <w:bCs w:val="0"/>
          <w:color w:val="auto"/>
          <w:kern w:val="0"/>
          <w:sz w:val="24"/>
          <w:szCs w:val="24"/>
          <w:highlight w:val="none"/>
          <w:lang w:val="en-US"/>
        </w:rPr>
        <w:t>.</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6585E11C">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78ACBE16">
      <w:pPr>
        <w:keepNext w:val="0"/>
        <w:keepLines w:val="0"/>
        <w:pageBreakBefore w:val="0"/>
        <w:kinsoku/>
        <w:wordWrap/>
        <w:topLinePunct w:val="0"/>
        <w:bidi w:val="0"/>
        <w:adjustRightInd w:val="0"/>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35568B4">
      <w:pPr>
        <w:keepNext w:val="0"/>
        <w:keepLines w:val="0"/>
        <w:pageBreakBefore w:val="0"/>
        <w:numPr>
          <w:ilvl w:val="0"/>
          <w:numId w:val="2"/>
        </w:numPr>
        <w:kinsoku/>
        <w:wordWrap/>
        <w:topLinePunct w:val="0"/>
        <w:bidi w:val="0"/>
        <w:adjustRightIn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项目概况</w:t>
      </w:r>
    </w:p>
    <w:p w14:paraId="4581ED75">
      <w:pPr>
        <w:pStyle w:val="85"/>
        <w:keepNext w:val="0"/>
        <w:keepLines w:val="0"/>
        <w:pageBreakBefore w:val="0"/>
        <w:kinsoku/>
        <w:wordWrap/>
        <w:topLinePunct w:val="0"/>
        <w:bidi w:val="0"/>
        <w:adjustRightInd w:val="0"/>
        <w:spacing w:before="0" w:line="460" w:lineRule="exact"/>
        <w:ind w:firstLine="480"/>
        <w:rPr>
          <w:rFonts w:hAnsi="宋体" w:cs="宋体"/>
          <w:color w:val="auto"/>
          <w:szCs w:val="24"/>
          <w:highlight w:val="none"/>
        </w:rPr>
      </w:pPr>
      <w:r>
        <w:rPr>
          <w:rFonts w:hint="eastAsia" w:ascii="新宋体" w:hAnsi="新宋体" w:eastAsia="新宋体" w:cs="新宋体"/>
          <w:color w:val="auto"/>
          <w:highlight w:val="none"/>
        </w:rPr>
        <w:t>杭州市余杭区余杭街道社区卫生服务中心</w:t>
      </w:r>
      <w:r>
        <w:rPr>
          <w:rFonts w:hint="eastAsia" w:ascii="新宋体" w:hAnsi="新宋体" w:eastAsia="新宋体" w:cs="新宋体"/>
          <w:color w:val="auto"/>
          <w:kern w:val="0"/>
          <w:highlight w:val="none"/>
          <w:lang w:val="zh-CN"/>
        </w:rPr>
        <w:t>物业项目范围：地点位于</w:t>
      </w:r>
      <w:r>
        <w:rPr>
          <w:rFonts w:hint="eastAsia" w:ascii="新宋体" w:hAnsi="新宋体" w:eastAsia="新宋体" w:cs="新宋体"/>
          <w:color w:val="auto"/>
          <w:highlight w:val="none"/>
        </w:rPr>
        <w:t>杭州市余杭区余杭街道凤新路3</w:t>
      </w:r>
      <w:r>
        <w:rPr>
          <w:rFonts w:ascii="新宋体" w:hAnsi="新宋体" w:eastAsia="新宋体" w:cs="新宋体"/>
          <w:color w:val="auto"/>
          <w:highlight w:val="none"/>
        </w:rPr>
        <w:t>58</w:t>
      </w:r>
      <w:r>
        <w:rPr>
          <w:rFonts w:hint="eastAsia" w:ascii="新宋体" w:hAnsi="新宋体" w:eastAsia="新宋体" w:cs="新宋体"/>
          <w:color w:val="auto"/>
          <w:highlight w:val="none"/>
        </w:rPr>
        <w:t>号</w:t>
      </w:r>
      <w:r>
        <w:rPr>
          <w:rFonts w:hint="eastAsia" w:ascii="新宋体" w:hAnsi="新宋体" w:eastAsia="新宋体" w:cs="新宋体"/>
          <w:color w:val="auto"/>
          <w:kern w:val="0"/>
          <w:highlight w:val="none"/>
          <w:lang w:val="zh-CN"/>
        </w:rPr>
        <w:t>（其中包括1</w:t>
      </w:r>
      <w:r>
        <w:rPr>
          <w:rFonts w:ascii="新宋体" w:hAnsi="新宋体" w:eastAsia="新宋体" w:cs="新宋体"/>
          <w:color w:val="auto"/>
          <w:kern w:val="0"/>
          <w:highlight w:val="none"/>
          <w:lang w:val="zh-CN"/>
        </w:rPr>
        <w:t>0</w:t>
      </w:r>
      <w:r>
        <w:rPr>
          <w:rFonts w:hint="eastAsia" w:ascii="新宋体" w:hAnsi="新宋体" w:eastAsia="新宋体" w:cs="新宋体"/>
          <w:color w:val="auto"/>
          <w:kern w:val="0"/>
          <w:highlight w:val="none"/>
        </w:rPr>
        <w:t>个服务站的保洁</w:t>
      </w:r>
      <w:r>
        <w:rPr>
          <w:rFonts w:hint="eastAsia" w:ascii="新宋体" w:hAnsi="新宋体" w:eastAsia="新宋体" w:cs="新宋体"/>
          <w:color w:val="auto"/>
          <w:kern w:val="0"/>
          <w:highlight w:val="none"/>
          <w:lang w:val="zh-CN"/>
        </w:rPr>
        <w:t>）。</w:t>
      </w:r>
      <w:r>
        <w:rPr>
          <w:rFonts w:hint="eastAsia" w:hAnsi="宋体" w:cs="宋体"/>
          <w:color w:val="auto"/>
          <w:szCs w:val="24"/>
          <w:highlight w:val="none"/>
        </w:rPr>
        <w:t>列入本次综合物业管理的范围为：</w:t>
      </w:r>
      <w:r>
        <w:rPr>
          <w:rFonts w:hint="eastAsia" w:ascii="宋体" w:hAnsi="宋体"/>
          <w:color w:val="auto"/>
          <w:szCs w:val="24"/>
          <w:highlight w:val="none"/>
        </w:rPr>
        <w:t>本项目含中心及服务站等，总面积约</w:t>
      </w:r>
      <w:r>
        <w:rPr>
          <w:rFonts w:ascii="宋体" w:hAnsi="宋体"/>
          <w:color w:val="auto"/>
          <w:szCs w:val="24"/>
          <w:highlight w:val="none"/>
        </w:rPr>
        <w:t>14485</w:t>
      </w:r>
      <w:r>
        <w:rPr>
          <w:rFonts w:hint="eastAsia" w:ascii="宋体" w:hAnsi="宋体"/>
          <w:color w:val="auto"/>
          <w:szCs w:val="24"/>
          <w:highlight w:val="none"/>
        </w:rPr>
        <w:t>平方米，包括地上建筑面积（出入口、停车场、绿化面积、消控室等）约为13605平方米，地下建筑面积约为880平方米，占地面积约为8205平方米。</w:t>
      </w:r>
    </w:p>
    <w:p w14:paraId="7771A98B">
      <w:pPr>
        <w:keepNext w:val="0"/>
        <w:keepLines w:val="0"/>
        <w:pageBreakBefore w:val="0"/>
        <w:kinsoku/>
        <w:wordWrap/>
        <w:topLinePunct w:val="0"/>
        <w:bidi w:val="0"/>
        <w:adjustRightInd w:val="0"/>
        <w:spacing w:line="360" w:lineRule="auto"/>
        <w:ind w:firstLine="480" w:firstLineChars="200"/>
        <w:rPr>
          <w:rFonts w:ascii="新宋体" w:hAnsi="新宋体" w:eastAsia="新宋体" w:cs="新宋体"/>
          <w:color w:val="auto"/>
          <w:kern w:val="0"/>
          <w:sz w:val="24"/>
          <w:highlight w:val="none"/>
          <w:lang w:val="zh-CN"/>
        </w:rPr>
      </w:pPr>
      <w:r>
        <w:rPr>
          <w:rFonts w:hint="eastAsia" w:ascii="新宋体" w:hAnsi="新宋体" w:eastAsia="新宋体" w:cs="新宋体"/>
          <w:color w:val="auto"/>
          <w:kern w:val="0"/>
          <w:sz w:val="24"/>
          <w:highlight w:val="none"/>
          <w:lang w:val="zh-CN"/>
        </w:rPr>
        <w:t>空调设备（</w:t>
      </w:r>
      <w:r>
        <w:rPr>
          <w:rFonts w:hint="eastAsia" w:ascii="新宋体" w:hAnsi="新宋体" w:eastAsia="新宋体" w:cs="新宋体"/>
          <w:color w:val="auto"/>
          <w:kern w:val="0"/>
          <w:sz w:val="24"/>
          <w:highlight w:val="none"/>
        </w:rPr>
        <w:t>中央空调</w:t>
      </w:r>
      <w:r>
        <w:rPr>
          <w:rFonts w:hint="eastAsia" w:ascii="新宋体" w:hAnsi="新宋体" w:eastAsia="新宋体" w:cs="新宋体"/>
          <w:color w:val="auto"/>
          <w:kern w:val="0"/>
          <w:sz w:val="24"/>
          <w:highlight w:val="none"/>
          <w:lang w:val="zh-CN"/>
        </w:rPr>
        <w:t>）：门诊楼</w:t>
      </w:r>
      <w:r>
        <w:rPr>
          <w:rFonts w:ascii="新宋体" w:hAnsi="新宋体" w:eastAsia="新宋体" w:cs="新宋体"/>
          <w:color w:val="auto"/>
          <w:kern w:val="0"/>
          <w:sz w:val="24"/>
          <w:highlight w:val="none"/>
          <w:lang w:val="zh-CN"/>
        </w:rPr>
        <w:t>2</w:t>
      </w:r>
      <w:r>
        <w:rPr>
          <w:rFonts w:hint="eastAsia" w:ascii="新宋体" w:hAnsi="新宋体" w:eastAsia="新宋体" w:cs="新宋体"/>
          <w:color w:val="auto"/>
          <w:kern w:val="0"/>
          <w:sz w:val="24"/>
          <w:highlight w:val="none"/>
          <w:lang w:val="zh-CN"/>
        </w:rPr>
        <w:t>、7、8、9和综合楼1、4、5层为水机空调，门诊楼1、3、5、6和综合楼2、3层为氟机空调，其中门诊4楼妇科区为氟机空调，口腔科区为水机空调。</w:t>
      </w:r>
    </w:p>
    <w:p w14:paraId="603537EB">
      <w:pPr>
        <w:keepNext w:val="0"/>
        <w:keepLines w:val="0"/>
        <w:pageBreakBefore w:val="0"/>
        <w:kinsoku/>
        <w:wordWrap/>
        <w:topLinePunct w:val="0"/>
        <w:bidi w:val="0"/>
        <w:adjustRightInd w:val="0"/>
        <w:spacing w:line="360" w:lineRule="auto"/>
        <w:ind w:firstLine="480" w:firstLineChars="200"/>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电梯设备：余杭街道社区卫生服务中心</w:t>
      </w:r>
      <w:r>
        <w:rPr>
          <w:rFonts w:hint="eastAsia" w:ascii="新宋体" w:hAnsi="新宋体" w:eastAsia="新宋体" w:cs="新宋体"/>
          <w:color w:val="auto"/>
          <w:kern w:val="0"/>
          <w:sz w:val="24"/>
          <w:highlight w:val="none"/>
        </w:rPr>
        <w:t>共计</w:t>
      </w:r>
      <w:r>
        <w:rPr>
          <w:rFonts w:ascii="新宋体" w:hAnsi="新宋体" w:eastAsia="新宋体" w:cs="新宋体"/>
          <w:color w:val="auto"/>
          <w:kern w:val="0"/>
          <w:sz w:val="24"/>
          <w:highlight w:val="none"/>
        </w:rPr>
        <w:t>5</w:t>
      </w:r>
      <w:r>
        <w:rPr>
          <w:rFonts w:hint="eastAsia" w:ascii="新宋体" w:hAnsi="新宋体" w:eastAsia="新宋体" w:cs="新宋体"/>
          <w:color w:val="auto"/>
          <w:kern w:val="0"/>
          <w:sz w:val="24"/>
          <w:highlight w:val="none"/>
        </w:rPr>
        <w:t>台电梯。</w:t>
      </w:r>
    </w:p>
    <w:p w14:paraId="33DB85ED">
      <w:pPr>
        <w:keepNext w:val="0"/>
        <w:keepLines w:val="0"/>
        <w:pageBreakBefore w:val="0"/>
        <w:tabs>
          <w:tab w:val="left" w:pos="0"/>
        </w:tabs>
        <w:kinsoku/>
        <w:wordWrap/>
        <w:topLinePunct w:val="0"/>
        <w:bidi w:val="0"/>
        <w:adjustRightInd w:val="0"/>
        <w:spacing w:line="360" w:lineRule="auto"/>
        <w:ind w:firstLine="48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零星维修涉及的大型材料配件</w:t>
      </w:r>
      <w:r>
        <w:rPr>
          <w:rStyle w:val="79"/>
          <w:rFonts w:hint="eastAsia" w:ascii="新宋体" w:hAnsi="新宋体" w:eastAsia="新宋体" w:cs="新宋体"/>
          <w:b/>
          <w:bCs/>
          <w:color w:val="auto"/>
          <w:sz w:val="24"/>
          <w:highlight w:val="none"/>
        </w:rPr>
        <w:t>（800元以上）</w:t>
      </w:r>
      <w:r>
        <w:rPr>
          <w:rFonts w:hint="eastAsia" w:ascii="新宋体" w:hAnsi="新宋体" w:eastAsia="新宋体" w:cs="新宋体"/>
          <w:b/>
          <w:bCs/>
          <w:color w:val="auto"/>
          <w:sz w:val="24"/>
          <w:highlight w:val="none"/>
        </w:rPr>
        <w:t>、洗手台盆、公共卫生间感应水龙头、洗衣机、公共区域灯具等由采购人承担。</w:t>
      </w:r>
    </w:p>
    <w:p w14:paraId="41B81666">
      <w:pPr>
        <w:keepNext w:val="0"/>
        <w:keepLines w:val="0"/>
        <w:pageBreakBefore w:val="0"/>
        <w:tabs>
          <w:tab w:val="left" w:pos="0"/>
        </w:tabs>
        <w:kinsoku/>
        <w:wordWrap/>
        <w:topLinePunct w:val="0"/>
        <w:bidi w:val="0"/>
        <w:adjustRightInd w:val="0"/>
        <w:spacing w:line="360" w:lineRule="auto"/>
        <w:ind w:firstLine="48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采购需求、评标标准中所称的“以上”“以下”“内”“以内”“不少于”“不超过”，包括本数；所称的“不足”“低于”，不包括本数。</w:t>
      </w:r>
    </w:p>
    <w:p w14:paraId="30B4920B">
      <w:pPr>
        <w:keepNext w:val="0"/>
        <w:keepLines w:val="0"/>
        <w:pageBreakBefore w:val="0"/>
        <w:numPr>
          <w:ilvl w:val="0"/>
          <w:numId w:val="2"/>
        </w:numPr>
        <w:kinsoku/>
        <w:wordWrap/>
        <w:topLinePunct w:val="0"/>
        <w:bidi w:val="0"/>
        <w:adjustRightIn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服务年限</w:t>
      </w:r>
    </w:p>
    <w:p w14:paraId="3B9581BB">
      <w:pPr>
        <w:keepNext w:val="0"/>
        <w:keepLines w:val="0"/>
        <w:pageBreakBefore w:val="0"/>
        <w:kinsoku/>
        <w:wordWrap/>
        <w:topLinePunct w:val="0"/>
        <w:bidi w:val="0"/>
        <w:adjustRightIn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自合同签订生效之日起24个月。</w:t>
      </w:r>
    </w:p>
    <w:p w14:paraId="0C600111">
      <w:pPr>
        <w:keepNext w:val="0"/>
        <w:keepLines w:val="0"/>
        <w:pageBreakBefore w:val="0"/>
        <w:numPr>
          <w:ilvl w:val="0"/>
          <w:numId w:val="2"/>
        </w:numPr>
        <w:kinsoku/>
        <w:wordWrap/>
        <w:topLinePunct w:val="0"/>
        <w:bidi w:val="0"/>
        <w:adjustRightInd w:val="0"/>
        <w:spacing w:line="360" w:lineRule="auto"/>
        <w:rPr>
          <w:b/>
          <w:color w:val="auto"/>
          <w:sz w:val="28"/>
          <w:szCs w:val="22"/>
          <w:highlight w:val="none"/>
        </w:rPr>
      </w:pPr>
      <w:r>
        <w:rPr>
          <w:rFonts w:hint="eastAsia" w:ascii="新宋体" w:hAnsi="新宋体" w:eastAsia="新宋体" w:cs="新宋体"/>
          <w:b/>
          <w:bCs/>
          <w:color w:val="auto"/>
          <w:sz w:val="24"/>
          <w:highlight w:val="none"/>
        </w:rPr>
        <w:t>具体服务内容和服务要求:</w:t>
      </w:r>
      <w:r>
        <w:rPr>
          <w:rFonts w:hint="eastAsia"/>
          <w:b/>
          <w:color w:val="auto"/>
          <w:sz w:val="28"/>
          <w:szCs w:val="22"/>
          <w:highlight w:val="none"/>
        </w:rPr>
        <w:t xml:space="preserve">  </w:t>
      </w:r>
    </w:p>
    <w:p w14:paraId="264E3352">
      <w:pPr>
        <w:keepNext w:val="0"/>
        <w:keepLines w:val="0"/>
        <w:pageBreakBefore w:val="0"/>
        <w:widowControl/>
        <w:numPr>
          <w:ilvl w:val="0"/>
          <w:numId w:val="3"/>
        </w:numPr>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清洁保洁</w:t>
      </w:r>
    </w:p>
    <w:p w14:paraId="04BDAAB8">
      <w:pPr>
        <w:pStyle w:val="19"/>
        <w:keepNext w:val="0"/>
        <w:keepLines w:val="0"/>
        <w:pageBreakBefore w:val="0"/>
        <w:kinsoku/>
        <w:wordWrap/>
        <w:topLinePunct w:val="0"/>
        <w:bidi w:val="0"/>
        <w:adjustRightInd w:val="0"/>
        <w:rPr>
          <w:rFonts w:ascii="新宋体" w:hAnsi="新宋体" w:eastAsia="新宋体" w:cs="新宋体"/>
          <w:color w:val="auto"/>
          <w:sz w:val="24"/>
          <w:highlight w:val="none"/>
        </w:rPr>
      </w:pPr>
      <w:r>
        <w:rPr>
          <w:rFonts w:hint="eastAsia" w:ascii="新宋体" w:hAnsi="新宋体" w:eastAsia="新宋体" w:cs="新宋体"/>
          <w:b/>
          <w:bCs/>
          <w:color w:val="auto"/>
          <w:sz w:val="24"/>
          <w:highlight w:val="none"/>
        </w:rPr>
        <w:t>1.服务内容：</w:t>
      </w:r>
      <w:r>
        <w:rPr>
          <w:rFonts w:hint="eastAsia" w:ascii="新宋体" w:hAnsi="新宋体" w:eastAsia="新宋体" w:cs="新宋体"/>
          <w:color w:val="auto"/>
          <w:sz w:val="24"/>
          <w:highlight w:val="none"/>
        </w:rPr>
        <w:t>负责中心的办公楼内楼梯、大厅、走廊、电梯间、卫生间、茶水间、公共活动场所和办公楼室外广场，</w:t>
      </w:r>
      <w:r>
        <w:rPr>
          <w:rFonts w:hint="eastAsia" w:ascii="新宋体" w:hAnsi="新宋体" w:eastAsia="新宋体" w:cs="新宋体"/>
          <w:color w:val="auto"/>
          <w:sz w:val="24"/>
          <w:highlight w:val="none"/>
          <w:lang w:val="zh-CN"/>
        </w:rPr>
        <w:t>办公室、护士站、医护值班室、病房及其它用房地面、墙面、墙壁附体、办公家具、地下车库，普通机器（如空调表面、电梯表面及沟槽、电视机等）病区推车等用具清洁</w:t>
      </w:r>
      <w:r>
        <w:rPr>
          <w:rFonts w:hint="eastAsia" w:ascii="新宋体" w:hAnsi="新宋体" w:eastAsia="新宋体" w:cs="新宋体"/>
          <w:color w:val="auto"/>
          <w:sz w:val="24"/>
          <w:highlight w:val="none"/>
        </w:rPr>
        <w:t>保洁，日常消毒供应室管理（包括收集、清洗、打包等），以及垃圾、废弃物收集处理和消毒灭害等</w:t>
      </w:r>
      <w:r>
        <w:rPr>
          <w:rFonts w:hint="eastAsia" w:ascii="新宋体" w:hAnsi="新宋体" w:eastAsia="新宋体" w:cs="新宋体"/>
          <w:color w:val="auto"/>
          <w:sz w:val="24"/>
          <w:highlight w:val="none"/>
          <w:lang w:val="zh-CN"/>
        </w:rPr>
        <w:t>，</w:t>
      </w:r>
      <w:r>
        <w:rPr>
          <w:rFonts w:hint="eastAsia" w:ascii="新宋体" w:hAnsi="新宋体" w:eastAsia="新宋体" w:cs="新宋体"/>
          <w:color w:val="auto"/>
          <w:sz w:val="24"/>
          <w:highlight w:val="none"/>
        </w:rPr>
        <w:t>简单收发医护服装、床褥清洗及缝补工作</w:t>
      </w:r>
      <w:r>
        <w:rPr>
          <w:rFonts w:hint="eastAsia" w:ascii="新宋体" w:hAnsi="新宋体" w:eastAsia="新宋体" w:cs="新宋体"/>
          <w:color w:val="auto"/>
          <w:sz w:val="24"/>
          <w:highlight w:val="none"/>
          <w:lang w:val="zh-CN"/>
        </w:rPr>
        <w:t>。</w:t>
      </w:r>
      <w:r>
        <w:rPr>
          <w:rFonts w:hint="eastAsia" w:ascii="新宋体" w:hAnsi="新宋体" w:eastAsia="新宋体" w:cs="新宋体"/>
          <w:color w:val="auto"/>
          <w:sz w:val="24"/>
          <w:highlight w:val="none"/>
        </w:rPr>
        <w:t>以及下属服务站的大厅、诊室、过道、生活区和外围区域的日常保洁。</w:t>
      </w:r>
    </w:p>
    <w:p w14:paraId="54ADB68C">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2.服务基本要求：</w:t>
      </w:r>
    </w:p>
    <w:p w14:paraId="5DF8AC97">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（1）根据清洁区域的不同，对所使用的清洁工具，应标记不同标识或颜色加以区分。</w:t>
      </w:r>
    </w:p>
    <w:p w14:paraId="2B62912F">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（2）遇雨、雪、台风等特殊天气时应及时清扫道路，并在通道、台阶、出入口处放置警示标志，铺设防滑垫。</w:t>
      </w:r>
    </w:p>
    <w:p w14:paraId="51F9B2F2">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（3）开展2米或2米以上高空清洁作业时，应采取安全防护措施。</w:t>
      </w:r>
    </w:p>
    <w:p w14:paraId="595D863A">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（4）定期对公共场所和周围环境进行预防性卫生消杀，适时投放消杀药物和设施。</w:t>
      </w:r>
    </w:p>
    <w:p w14:paraId="7046E418">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（5）定期采取综合措施消灭“四害”，达到基本无鼠、无蟑螂、无苍蝇和无蚊虫。</w:t>
      </w:r>
    </w:p>
    <w:p w14:paraId="0958CD38">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lang w:val="zh-CN"/>
        </w:rPr>
      </w:pPr>
      <w:r>
        <w:rPr>
          <w:rFonts w:hint="eastAsia" w:ascii="新宋体" w:hAnsi="新宋体" w:eastAsia="新宋体" w:cs="新宋体"/>
          <w:color w:val="auto"/>
          <w:sz w:val="24"/>
          <w:highlight w:val="none"/>
        </w:rPr>
        <w:t>（6）</w:t>
      </w:r>
      <w:r>
        <w:rPr>
          <w:rFonts w:hint="eastAsia" w:ascii="新宋体" w:hAnsi="新宋体" w:eastAsia="新宋体" w:cs="新宋体"/>
          <w:color w:val="auto"/>
          <w:sz w:val="24"/>
          <w:highlight w:val="none"/>
          <w:lang w:val="zh-CN"/>
        </w:rPr>
        <w:t>为防止医院交叉感染，保洁人员需按规范配置消毒液、个人注重防护措施，医疗废弃物按标准收集。</w:t>
      </w:r>
    </w:p>
    <w:p w14:paraId="2CFCCA2E">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lang w:val="zh-CN"/>
        </w:rPr>
      </w:pPr>
      <w:r>
        <w:rPr>
          <w:rFonts w:hint="eastAsia" w:ascii="新宋体" w:hAnsi="新宋体" w:eastAsia="新宋体" w:cs="新宋体"/>
          <w:color w:val="auto"/>
          <w:sz w:val="24"/>
          <w:highlight w:val="none"/>
          <w:lang w:val="zh-CN"/>
        </w:rPr>
        <w:t>（</w:t>
      </w:r>
      <w:r>
        <w:rPr>
          <w:rFonts w:hint="eastAsia" w:ascii="新宋体" w:hAnsi="新宋体" w:eastAsia="新宋体" w:cs="新宋体"/>
          <w:color w:val="auto"/>
          <w:sz w:val="24"/>
          <w:highlight w:val="none"/>
        </w:rPr>
        <w:t>7</w:t>
      </w:r>
      <w:r>
        <w:rPr>
          <w:rFonts w:hint="eastAsia" w:ascii="新宋体" w:hAnsi="新宋体" w:eastAsia="新宋体" w:cs="新宋体"/>
          <w:color w:val="auto"/>
          <w:sz w:val="24"/>
          <w:highlight w:val="none"/>
          <w:lang w:val="zh-CN"/>
        </w:rPr>
        <w:t>）每天对投放至集中点的垃圾桶进行检查、分类准确，并配合做好市政垃圾清运的日产日清工作。</w:t>
      </w:r>
    </w:p>
    <w:p w14:paraId="3B780D1D">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lang w:val="zh-CN"/>
        </w:rPr>
      </w:pPr>
      <w:r>
        <w:rPr>
          <w:rFonts w:hint="eastAsia" w:ascii="新宋体" w:hAnsi="新宋体" w:eastAsia="新宋体" w:cs="新宋体"/>
          <w:color w:val="auto"/>
          <w:sz w:val="24"/>
          <w:highlight w:val="none"/>
          <w:lang w:val="zh-CN"/>
        </w:rPr>
        <w:t>（</w:t>
      </w:r>
      <w:r>
        <w:rPr>
          <w:rFonts w:hint="eastAsia" w:ascii="新宋体" w:hAnsi="新宋体" w:eastAsia="新宋体" w:cs="新宋体"/>
          <w:color w:val="auto"/>
          <w:sz w:val="24"/>
          <w:highlight w:val="none"/>
        </w:rPr>
        <w:t>8</w:t>
      </w:r>
      <w:r>
        <w:rPr>
          <w:rFonts w:hint="eastAsia" w:ascii="新宋体" w:hAnsi="新宋体" w:eastAsia="新宋体" w:cs="新宋体"/>
          <w:color w:val="auto"/>
          <w:sz w:val="24"/>
          <w:highlight w:val="none"/>
          <w:lang w:val="zh-CN"/>
        </w:rPr>
        <w:t>）门窗、窗帘、天台、明沟按要求定期清洗。</w:t>
      </w:r>
    </w:p>
    <w:p w14:paraId="02A53CDF">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lang w:val="zh-CN"/>
        </w:rPr>
      </w:pPr>
      <w:r>
        <w:rPr>
          <w:rFonts w:hint="eastAsia" w:ascii="新宋体" w:hAnsi="新宋体" w:eastAsia="新宋体" w:cs="新宋体"/>
          <w:color w:val="auto"/>
          <w:sz w:val="24"/>
          <w:highlight w:val="none"/>
          <w:lang w:val="zh-CN"/>
        </w:rPr>
        <w:t>（</w:t>
      </w:r>
      <w:r>
        <w:rPr>
          <w:rFonts w:hint="eastAsia" w:ascii="新宋体" w:hAnsi="新宋体" w:eastAsia="新宋体" w:cs="新宋体"/>
          <w:color w:val="auto"/>
          <w:sz w:val="24"/>
          <w:highlight w:val="none"/>
        </w:rPr>
        <w:t>9</w:t>
      </w:r>
      <w:r>
        <w:rPr>
          <w:rFonts w:hint="eastAsia" w:ascii="新宋体" w:hAnsi="新宋体" w:eastAsia="新宋体" w:cs="新宋体"/>
          <w:color w:val="auto"/>
          <w:sz w:val="24"/>
          <w:highlight w:val="none"/>
          <w:lang w:val="zh-CN"/>
        </w:rPr>
        <w:t>）负责医护服装、床褥的收发、清洗及缝补工作。</w:t>
      </w:r>
    </w:p>
    <w:p w14:paraId="2876BD81">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3.服务质量标准：</w:t>
      </w:r>
    </w:p>
    <w:p w14:paraId="61023005">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（1）室内公共区域的地面、墙面、楼梯、扶手、大厅、玻 璃、门及门窗框、天花板、栏杆、走廊等整洁干净，无垃圾、无积灰、无污渍、无手印。</w:t>
      </w:r>
    </w:p>
    <w:p w14:paraId="2D0074F6">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（2）室内卫生间、茶水间清洁，无垃圾、无污渍、无积水、 无异味、无堆积杂物，洁具、台面、镜面光洁无水迹，电器设施外观清洁，物品摆放有序。室内卫生间符合“美丽厕所”标准。</w:t>
      </w:r>
    </w:p>
    <w:p w14:paraId="35351B5A">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lang w:val="zh-CN"/>
        </w:rPr>
      </w:pPr>
      <w:r>
        <w:rPr>
          <w:rFonts w:hint="eastAsia" w:ascii="新宋体" w:hAnsi="新宋体" w:eastAsia="新宋体" w:cs="新宋体"/>
          <w:color w:val="auto"/>
          <w:sz w:val="24"/>
          <w:highlight w:val="none"/>
        </w:rPr>
        <w:t>（3）室外广场、道路、停车场（库）、屋面、“门前三包”等公共区域的地面干净，无杂物、无积水、无淤泥、无污垢。</w:t>
      </w:r>
      <w:r>
        <w:rPr>
          <w:rFonts w:hint="eastAsia" w:ascii="新宋体" w:hAnsi="新宋体" w:eastAsia="新宋体" w:cs="新宋体"/>
          <w:color w:val="auto"/>
          <w:sz w:val="24"/>
          <w:highlight w:val="none"/>
          <w:lang w:val="zh-CN"/>
        </w:rPr>
        <w:t>外围及绿化带秋冬季节或落叶较多季节增加清洁次数，目视无杂物。</w:t>
      </w:r>
    </w:p>
    <w:p w14:paraId="0C96783D">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（4）外墙应保持清洁，无明显污迹。</w:t>
      </w:r>
    </w:p>
    <w:p w14:paraId="0BFC85B5">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（5）定期对景观、照明灯设施设备进行清洁，确保表面干净无污渍。</w:t>
      </w:r>
    </w:p>
    <w:p w14:paraId="74BF4CF0">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（6）垃圾、废弃物按分类要求及时收集、日产日清，化粪池及时清掏，垃圾箱（房）外侧表面清洁、内侧无残留物、无异味。</w:t>
      </w:r>
    </w:p>
    <w:p w14:paraId="0BA4E591">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（7）垃圾应按照可回收物、有害垃圾、易腐垃圾和其他垃圾进行分类，对应垃圾桶颜色分别为蓝色、红色、绿色和灰色。</w:t>
      </w:r>
    </w:p>
    <w:p w14:paraId="2AA8C5E6">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lang w:val="zh-CN"/>
        </w:rPr>
      </w:pPr>
      <w:r>
        <w:rPr>
          <w:rFonts w:hint="eastAsia" w:ascii="新宋体" w:hAnsi="新宋体" w:eastAsia="新宋体" w:cs="新宋体"/>
          <w:color w:val="auto"/>
          <w:sz w:val="24"/>
          <w:highlight w:val="none"/>
          <w:lang w:val="zh-CN"/>
        </w:rPr>
        <w:t>（</w:t>
      </w:r>
      <w:r>
        <w:rPr>
          <w:rFonts w:hint="eastAsia" w:ascii="新宋体" w:hAnsi="新宋体" w:eastAsia="新宋体" w:cs="新宋体"/>
          <w:color w:val="auto"/>
          <w:sz w:val="24"/>
          <w:highlight w:val="none"/>
        </w:rPr>
        <w:t>8</w:t>
      </w:r>
      <w:r>
        <w:rPr>
          <w:rFonts w:hint="eastAsia" w:ascii="新宋体" w:hAnsi="新宋体" w:eastAsia="新宋体" w:cs="新宋体"/>
          <w:color w:val="auto"/>
          <w:sz w:val="24"/>
          <w:highlight w:val="none"/>
          <w:lang w:val="zh-CN"/>
        </w:rPr>
        <w:t>）门窗玻璃、窗帘清洗每年</w:t>
      </w: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zh-CN"/>
        </w:rPr>
        <w:t>次。天台、明沟每</w:t>
      </w:r>
      <w:r>
        <w:rPr>
          <w:rFonts w:hint="eastAsia" w:ascii="新宋体" w:hAnsi="新宋体" w:eastAsia="新宋体" w:cs="新宋体"/>
          <w:color w:val="auto"/>
          <w:sz w:val="24"/>
          <w:highlight w:val="none"/>
        </w:rPr>
        <w:t>季度</w:t>
      </w:r>
      <w:r>
        <w:rPr>
          <w:rFonts w:hint="eastAsia" w:ascii="新宋体" w:hAnsi="新宋体" w:eastAsia="新宋体" w:cs="新宋体"/>
          <w:color w:val="auto"/>
          <w:sz w:val="24"/>
          <w:highlight w:val="none"/>
          <w:lang w:val="zh-CN"/>
        </w:rPr>
        <w:t>清洁</w:t>
      </w: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zh-CN"/>
        </w:rPr>
        <w:t>次。</w:t>
      </w:r>
      <w:r>
        <w:rPr>
          <w:rFonts w:hint="eastAsia" w:ascii="新宋体" w:hAnsi="新宋体" w:eastAsia="新宋体" w:cs="新宋体"/>
          <w:color w:val="auto"/>
          <w:sz w:val="24"/>
          <w:highlight w:val="none"/>
        </w:rPr>
        <w:t>确保日常</w:t>
      </w:r>
      <w:r>
        <w:rPr>
          <w:rFonts w:hint="eastAsia" w:ascii="新宋体" w:hAnsi="新宋体" w:eastAsia="新宋体" w:cs="新宋体"/>
          <w:color w:val="auto"/>
          <w:sz w:val="24"/>
          <w:highlight w:val="none"/>
          <w:lang w:val="zh-CN"/>
        </w:rPr>
        <w:t>无垃圾堆放，排水顺畅。</w:t>
      </w:r>
    </w:p>
    <w:p w14:paraId="3D78EE96">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lang w:val="zh-CN"/>
        </w:rPr>
        <w:t>（</w:t>
      </w:r>
      <w:r>
        <w:rPr>
          <w:rFonts w:hint="eastAsia" w:ascii="新宋体" w:hAnsi="新宋体" w:eastAsia="新宋体" w:cs="新宋体"/>
          <w:color w:val="auto"/>
          <w:sz w:val="24"/>
          <w:highlight w:val="none"/>
        </w:rPr>
        <w:t>9</w:t>
      </w:r>
      <w:r>
        <w:rPr>
          <w:rFonts w:hint="eastAsia" w:ascii="新宋体" w:hAnsi="新宋体" w:eastAsia="新宋体" w:cs="新宋体"/>
          <w:color w:val="auto"/>
          <w:sz w:val="24"/>
          <w:highlight w:val="none"/>
          <w:lang w:val="zh-CN"/>
        </w:rPr>
        <w:t>）做好医护服装、床褥清洗工作要求做到主动、及时；点数认真细致，医护服装、床褥进出洗衣房，要认真核对，保证帐物相符，进行分类熨烫，操作时避免造成二次污染，折叠后送至各科室。清洗后发现衣物有破损的提供缝补服务。</w:t>
      </w:r>
    </w:p>
    <w:p w14:paraId="5D83A8C3">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（二）安保消控管理</w:t>
      </w:r>
    </w:p>
    <w:p w14:paraId="186F52B1">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b/>
          <w:bCs/>
          <w:color w:val="auto"/>
          <w:sz w:val="24"/>
          <w:highlight w:val="none"/>
        </w:rPr>
        <w:t>1.服务内容：</w:t>
      </w:r>
      <w:r>
        <w:rPr>
          <w:rFonts w:hint="eastAsia" w:ascii="新宋体" w:hAnsi="新宋体" w:eastAsia="新宋体" w:cs="新宋体"/>
          <w:color w:val="auto"/>
          <w:sz w:val="24"/>
          <w:highlight w:val="none"/>
        </w:rPr>
        <w:t>负责办公楼（区）门卫管理、巡逻检查，处理治安及其他突发事件，维护公共秩序；负责内部机动车和非机动车停放管理；负责消控、监控设施设备运行管理等。</w:t>
      </w:r>
    </w:p>
    <w:p w14:paraId="4D4DB146">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2.服务质量标准：</w:t>
      </w:r>
    </w:p>
    <w:p w14:paraId="3D4D1240">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（1）公共秩序维护</w:t>
      </w:r>
    </w:p>
    <w:p w14:paraId="249B6140">
      <w:pPr>
        <w:keepNext w:val="0"/>
        <w:keepLines w:val="0"/>
        <w:pageBreakBefore w:val="0"/>
        <w:widowControl/>
        <w:numPr>
          <w:ilvl w:val="0"/>
          <w:numId w:val="4"/>
        </w:numPr>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严格出入登记制度，发现问题及时上报处理，杜绝闲杂人员进入办公楼（区）。</w:t>
      </w:r>
    </w:p>
    <w:p w14:paraId="00D9AFCD">
      <w:pPr>
        <w:keepNext w:val="0"/>
        <w:keepLines w:val="0"/>
        <w:pageBreakBefore w:val="0"/>
        <w:widowControl/>
        <w:numPr>
          <w:ilvl w:val="0"/>
          <w:numId w:val="4"/>
        </w:numPr>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物品进出实施分类管理，实行物品进出审验制度，杜绝可疑危险品进入。</w:t>
      </w:r>
    </w:p>
    <w:p w14:paraId="29D9F303">
      <w:pPr>
        <w:keepNext w:val="0"/>
        <w:keepLines w:val="0"/>
        <w:pageBreakBefore w:val="0"/>
        <w:widowControl/>
        <w:numPr>
          <w:ilvl w:val="0"/>
          <w:numId w:val="4"/>
        </w:numPr>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对进出的各类机动车辆进行有序管理，设置行车指示标志，规定车辆行驶路线，引导车辆停放区域，车库内配置道闸和监视系统。非机动车统一停放在室外指定区域，设置集中充电桩。停车区域无易燃、易爆物品存放。</w:t>
      </w:r>
    </w:p>
    <w:p w14:paraId="7EC6D004">
      <w:pPr>
        <w:keepNext w:val="0"/>
        <w:keepLines w:val="0"/>
        <w:pageBreakBefore w:val="0"/>
        <w:widowControl/>
        <w:numPr>
          <w:ilvl w:val="0"/>
          <w:numId w:val="4"/>
        </w:numPr>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消控、监控设施设备应保持24小时正常运行，保证出入口、内部重点区域的安全监控、录像及协助布警。监控室收到异常情况报警信号后，应及时报警，并派专人赶到现场进行前期处理。监控资料应至少保留90天。做好防盗、防火报警监控设备日常使用管理。</w:t>
      </w:r>
    </w:p>
    <w:p w14:paraId="1806CDBB">
      <w:pPr>
        <w:keepNext w:val="0"/>
        <w:keepLines w:val="0"/>
        <w:pageBreakBefore w:val="0"/>
        <w:widowControl/>
        <w:numPr>
          <w:ilvl w:val="0"/>
          <w:numId w:val="4"/>
        </w:numPr>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明确防火巡查工作职责，对设备机房等重要区域、部位进行重点巡视并做好相关记录，及时发现和处理各种安全和事故隐患。</w:t>
      </w:r>
    </w:p>
    <w:p w14:paraId="1FEE7A0E">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（2）消控安全管理：</w:t>
      </w:r>
    </w:p>
    <w:p w14:paraId="7F481A1F">
      <w:pPr>
        <w:keepNext w:val="0"/>
        <w:keepLines w:val="0"/>
        <w:pageBreakBefore w:val="0"/>
        <w:widowControl/>
        <w:numPr>
          <w:ilvl w:val="0"/>
          <w:numId w:val="5"/>
        </w:numPr>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配备完善的消防设施和器材，定期对消防设施进行巡查，确保运行正常。消防设施的维护管理及消防控制室应符合相关国标要求。</w:t>
      </w:r>
    </w:p>
    <w:p w14:paraId="0B5518EE">
      <w:pPr>
        <w:keepNext w:val="0"/>
        <w:keepLines w:val="0"/>
        <w:pageBreakBefore w:val="0"/>
        <w:widowControl/>
        <w:numPr>
          <w:ilvl w:val="0"/>
          <w:numId w:val="5"/>
        </w:numPr>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应在各楼层明显位置张贴平面疏散示意图、引路标志及控烟标志。</w:t>
      </w:r>
    </w:p>
    <w:p w14:paraId="308573FC">
      <w:pPr>
        <w:keepNext w:val="0"/>
        <w:keepLines w:val="0"/>
        <w:pageBreakBefore w:val="0"/>
        <w:widowControl/>
        <w:numPr>
          <w:ilvl w:val="0"/>
          <w:numId w:val="5"/>
        </w:numPr>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定期开展防火检查，保证疏散通道、安全出口、消防车道通畅。</w:t>
      </w:r>
    </w:p>
    <w:p w14:paraId="5876F8CD">
      <w:pPr>
        <w:keepNext w:val="0"/>
        <w:keepLines w:val="0"/>
        <w:pageBreakBefore w:val="0"/>
        <w:widowControl/>
        <w:numPr>
          <w:ilvl w:val="0"/>
          <w:numId w:val="5"/>
        </w:numPr>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每年至少组织</w:t>
      </w:r>
      <w:r>
        <w:rPr>
          <w:rFonts w:ascii="新宋体" w:hAnsi="新宋体" w:eastAsia="新宋体" w:cs="新宋体"/>
          <w:color w:val="auto"/>
          <w:sz w:val="24"/>
          <w:highlight w:val="none"/>
        </w:rPr>
        <w:t>2</w:t>
      </w:r>
      <w:r>
        <w:rPr>
          <w:rFonts w:hint="eastAsia" w:ascii="新宋体" w:hAnsi="新宋体" w:eastAsia="新宋体" w:cs="新宋体"/>
          <w:color w:val="auto"/>
          <w:sz w:val="24"/>
          <w:highlight w:val="none"/>
        </w:rPr>
        <w:t>次消防安全培训及消防演练。</w:t>
      </w:r>
    </w:p>
    <w:p w14:paraId="50407C01">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（3）突发事件处理</w:t>
      </w:r>
    </w:p>
    <w:p w14:paraId="5014F4B8">
      <w:pPr>
        <w:keepNext w:val="0"/>
        <w:keepLines w:val="0"/>
        <w:pageBreakBefore w:val="0"/>
        <w:widowControl/>
        <w:kinsoku/>
        <w:wordWrap/>
        <w:topLinePunct w:val="0"/>
        <w:autoSpaceDE w:val="0"/>
        <w:autoSpaceDN w:val="0"/>
        <w:bidi w:val="0"/>
        <w:adjustRightInd w:val="0"/>
        <w:snapToGrid w:val="0"/>
        <w:spacing w:line="360" w:lineRule="auto"/>
        <w:ind w:firstLine="4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①　建立突发事件应急预案体系，包括但不限于电梯困人、紧急会议、火警火灾、突发停电、水管破裂、意外伤害、群体性上访、台风、暴雨及雷电等应急预案。</w:t>
      </w:r>
    </w:p>
    <w:p w14:paraId="07A09EE9">
      <w:pPr>
        <w:keepNext w:val="0"/>
        <w:keepLines w:val="0"/>
        <w:pageBreakBefore w:val="0"/>
        <w:widowControl/>
        <w:kinsoku/>
        <w:wordWrap/>
        <w:topLinePunct w:val="0"/>
        <w:autoSpaceDE w:val="0"/>
        <w:autoSpaceDN w:val="0"/>
        <w:bidi w:val="0"/>
        <w:adjustRightInd w:val="0"/>
        <w:snapToGrid w:val="0"/>
        <w:spacing w:line="360" w:lineRule="auto"/>
        <w:ind w:firstLine="4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②　突发事件发生时应立即启动应急预案，迅速展开指挥协调、信息报告、紧急处置、秩序维护、抢险救援、后勤保障等工作，并在第一时间内向有关部门汇报处理结果。</w:t>
      </w:r>
    </w:p>
    <w:p w14:paraId="2741E778">
      <w:pPr>
        <w:keepNext w:val="0"/>
        <w:keepLines w:val="0"/>
        <w:pageBreakBefore w:val="0"/>
        <w:widowControl/>
        <w:kinsoku/>
        <w:wordWrap/>
        <w:topLinePunct w:val="0"/>
        <w:autoSpaceDE w:val="0"/>
        <w:autoSpaceDN w:val="0"/>
        <w:bidi w:val="0"/>
        <w:adjustRightInd w:val="0"/>
        <w:snapToGrid w:val="0"/>
        <w:spacing w:line="360" w:lineRule="auto"/>
        <w:ind w:firstLine="400"/>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③　每年至少组织1次突发事件应急演习。</w:t>
      </w:r>
    </w:p>
    <w:p w14:paraId="299F04A8">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（三）绿化养护</w:t>
      </w:r>
    </w:p>
    <w:p w14:paraId="5C6CF76E">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b/>
          <w:bCs/>
          <w:color w:val="auto"/>
          <w:sz w:val="24"/>
          <w:highlight w:val="none"/>
        </w:rPr>
        <w:t>1.服务内容：</w:t>
      </w:r>
      <w:r>
        <w:rPr>
          <w:rFonts w:hint="eastAsia" w:ascii="新宋体" w:hAnsi="新宋体" w:eastAsia="新宋体" w:cs="新宋体"/>
          <w:color w:val="auto"/>
          <w:sz w:val="24"/>
          <w:highlight w:val="none"/>
        </w:rPr>
        <w:t>负责办公楼（区）树木、花草、绿地等绿化日常养护和管理，以及办公楼（区）门厅等公共区域花木、养护和管理等。</w:t>
      </w:r>
    </w:p>
    <w:p w14:paraId="250BDB28">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2.服务质量标准：</w:t>
      </w:r>
    </w:p>
    <w:p w14:paraId="62AAA3F3">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（1）室内外绿化养护期内各类绿植应100%存活。死后植株，按照市场平均价赔偿或重新种植相应大小的同类植株。</w:t>
      </w:r>
    </w:p>
    <w:p w14:paraId="5414A78F">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（2）根据季节和气候状况，进行浇灌、施肥、修剪和松土等养护。</w:t>
      </w:r>
    </w:p>
    <w:p w14:paraId="193939B3">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（3）应选择观赏性强、观赏期长、方便管理的鲜活植物摆放室内，植株长势良好，无残枝、无黄叶、无积尘，花朵饱满、无萎蔫，托盘内无积水。</w:t>
      </w:r>
    </w:p>
    <w:p w14:paraId="0997F688">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（4）室外乔木丰满健壮、生长良好，灌木枝叶紧密圆整， 无脱节、无枯枝。草坪生长整齐，清洁美观，修剪高度一致，覆盖率高。花卉色彩鲜艳，摆放造型新颖，无杂草、无枯死。</w:t>
      </w:r>
    </w:p>
    <w:p w14:paraId="5589D9AE">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（5）雨、雪、台风等特殊天气前，应派专人巡查，及时加固、支撑、修剪高大乔木，排除安全隐患。</w:t>
      </w:r>
    </w:p>
    <w:p w14:paraId="6EFD8C6C">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（6）定期检查病虫害情况，病虫害防治率100%，危害率低于5%。</w:t>
      </w:r>
    </w:p>
    <w:p w14:paraId="161DBF81">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（四）公共设施、工程设备维护</w:t>
      </w:r>
    </w:p>
    <w:p w14:paraId="466D99C1">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b/>
          <w:bCs/>
          <w:color w:val="auto"/>
          <w:sz w:val="24"/>
          <w:highlight w:val="none"/>
        </w:rPr>
        <w:t>1.服务内容：</w:t>
      </w:r>
      <w:r>
        <w:rPr>
          <w:rFonts w:hint="eastAsia" w:ascii="新宋体" w:hAnsi="新宋体" w:eastAsia="新宋体" w:cs="新宋体"/>
          <w:color w:val="auto"/>
          <w:sz w:val="24"/>
          <w:highlight w:val="none"/>
        </w:rPr>
        <w:t>负责办公楼（区）给排水系统、供配电系统、空调通风系统、智能弱电系统、消防监控系统设施设备的日常维修、维护、保养，做好办公</w:t>
      </w:r>
      <w:r>
        <w:rPr>
          <w:rFonts w:ascii="宋体" w:hAnsi="宋体" w:cs="宋体"/>
          <w:color w:val="auto"/>
          <w:sz w:val="22"/>
          <w:szCs w:val="22"/>
          <w:highlight w:val="none"/>
          <w:lang w:val="zh-CN" w:bidi="zh-CN"/>
        </w:rPr>
        <w:t>家具</w:t>
      </w:r>
      <w:r>
        <w:rPr>
          <w:rFonts w:hint="eastAsia" w:ascii="新宋体" w:hAnsi="新宋体" w:eastAsia="新宋体" w:cs="新宋体"/>
          <w:color w:val="auto"/>
          <w:sz w:val="24"/>
          <w:highlight w:val="none"/>
        </w:rPr>
        <w:t>的日常维护。</w:t>
      </w:r>
    </w:p>
    <w:p w14:paraId="04FE9507">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2.服务质量标准：</w:t>
      </w:r>
    </w:p>
    <w:p w14:paraId="02C46E84">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（1）房屋地面、墙、台面、吊顶、门窗、楼梯、通风道、卫生洁具、大厅玻璃顶、外墙幕墙等完好，无霉变破损。</w:t>
      </w:r>
    </w:p>
    <w:p w14:paraId="6C73260F">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（2）至少每2小时巡视一次配电房设备运行情况，如实记录设备运行参数。定期对各类机房设备设施进行检查、维护、清洁，并做好记录。</w:t>
      </w:r>
    </w:p>
    <w:p w14:paraId="7CF652A4">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（3）确保各类照明灯具、应急照明系统、供用电设备设施（包括配电箱、桥架、井道、开关、插座等）运行正常。</w:t>
      </w:r>
      <w:r>
        <w:rPr>
          <w:rFonts w:hint="eastAsia" w:ascii="新宋体" w:hAnsi="新宋体" w:eastAsia="新宋体" w:cs="新宋体"/>
          <w:color w:val="auto"/>
          <w:sz w:val="24"/>
          <w:highlight w:val="none"/>
          <w:lang w:val="zh-CN"/>
        </w:rPr>
        <w:t>及时修复损坏的开关、灯口、灯泡。每季度对强电井内线路进出端查看紧固。</w:t>
      </w:r>
    </w:p>
    <w:p w14:paraId="6D2F2236">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（4）每日检查污水泵、排水泵、生活水泵、阀门、管道、仪表等，确保给排水系统正常运行，无“跑”“冒”“滴”“漏”现象。</w:t>
      </w:r>
      <w:r>
        <w:rPr>
          <w:rFonts w:hint="eastAsia" w:ascii="新宋体" w:hAnsi="新宋体" w:eastAsia="新宋体" w:cs="新宋体"/>
          <w:color w:val="auto"/>
          <w:sz w:val="24"/>
          <w:highlight w:val="none"/>
          <w:lang w:val="zh-CN"/>
        </w:rPr>
        <w:t>1、每月巡查1次，及时修复损坏的水龙头、水阀等，</w:t>
      </w:r>
      <w:r>
        <w:rPr>
          <w:rFonts w:hint="eastAsia" w:ascii="新宋体" w:hAnsi="新宋体" w:eastAsia="新宋体" w:cs="新宋体"/>
          <w:color w:val="auto"/>
          <w:sz w:val="24"/>
          <w:highlight w:val="none"/>
        </w:rPr>
        <w:t>日常医疗污水泵房的管理工作（包括消毒药日常投放，污水含氯浓度日常检测及每月送检）。</w:t>
      </w:r>
    </w:p>
    <w:p w14:paraId="3380CCFB">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电梯应由专业资质维保单位至少每15日进行一次清洁、润滑、调整和检查，建立每台电梯的台账档案，日常维护和应急维修应及时记录。每年经有资质的检测机构检验合格，在《安全使用许可证》有效期内安全运行。</w:t>
      </w:r>
      <w:r>
        <w:rPr>
          <w:rFonts w:hint="eastAsia" w:ascii="新宋体" w:hAnsi="新宋体" w:eastAsia="新宋体" w:cs="新宋体"/>
          <w:color w:val="auto"/>
          <w:sz w:val="24"/>
          <w:highlight w:val="none"/>
          <w:lang w:val="zh-CN"/>
        </w:rPr>
        <w:t>发生突发性电梯故障，及时与维保单位沟通，第一时间处理故障。</w:t>
      </w:r>
    </w:p>
    <w:p w14:paraId="53A313F2">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（6）应配置持有特种设备作业人员证的电梯安全管理人员，对电梯保养、运行进行监督管理。</w:t>
      </w:r>
    </w:p>
    <w:p w14:paraId="2C6E3AFD">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（7）定期对空调通风系统进行检查、维护、清洁，测试运行控制和安全控制功能，记录运行参数，分析运行记录，确保空调系统正常运行。每年冬夏两次对空调通风系统进行全面的维护保养。</w:t>
      </w:r>
    </w:p>
    <w:p w14:paraId="262891AD">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8）确保办公楼（区）零星维修的及时性，一般修理在两小时内处理完毕，小修在半个工作日内处理完毕，其他大修项目自受理之日起3个工作日内处理完毕，确保零星维修合格率达到100%。工程维修人员必须持有效期内相应证件上岗。</w:t>
      </w:r>
    </w:p>
    <w:p w14:paraId="407B0D94">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lang w:val="zh-CN"/>
        </w:rPr>
        <w:t>（</w:t>
      </w:r>
      <w:r>
        <w:rPr>
          <w:rFonts w:hint="eastAsia" w:ascii="新宋体" w:hAnsi="新宋体" w:eastAsia="新宋体" w:cs="新宋体"/>
          <w:color w:val="auto"/>
          <w:sz w:val="24"/>
          <w:highlight w:val="none"/>
        </w:rPr>
        <w:t>9</w:t>
      </w:r>
      <w:r>
        <w:rPr>
          <w:rFonts w:hint="eastAsia" w:ascii="新宋体" w:hAnsi="新宋体" w:eastAsia="新宋体" w:cs="新宋体"/>
          <w:color w:val="auto"/>
          <w:sz w:val="24"/>
          <w:highlight w:val="none"/>
          <w:lang w:val="zh-CN"/>
        </w:rPr>
        <w:t>）中央空调、等离子空气消毒器清洗每年2次，包括滤网清洗，并做好清洗、更换记录台账。</w:t>
      </w:r>
    </w:p>
    <w:p w14:paraId="45B717BD">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（五）会务服务</w:t>
      </w:r>
    </w:p>
    <w:p w14:paraId="08E149E4">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shd w:val="clear" w:color="auto" w:fill="FFFFFF"/>
        </w:rPr>
      </w:pPr>
      <w:r>
        <w:rPr>
          <w:rFonts w:hint="eastAsia" w:ascii="新宋体" w:hAnsi="新宋体" w:eastAsia="新宋体" w:cs="新宋体"/>
          <w:b/>
          <w:bCs/>
          <w:color w:val="auto"/>
          <w:sz w:val="24"/>
          <w:highlight w:val="none"/>
        </w:rPr>
        <w:t>1.服务内容</w:t>
      </w:r>
      <w:r>
        <w:rPr>
          <w:rFonts w:hint="eastAsia" w:ascii="新宋体" w:hAnsi="新宋体" w:eastAsia="新宋体" w:cs="新宋体"/>
          <w:color w:val="auto"/>
          <w:sz w:val="24"/>
          <w:highlight w:val="none"/>
        </w:rPr>
        <w:t>：按照会务服务标准及流程，做好会前服务准备、会议期间服务以及会后服务。</w:t>
      </w:r>
    </w:p>
    <w:p w14:paraId="04870371">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2.服务质量标准：</w:t>
      </w:r>
    </w:p>
    <w:p w14:paraId="6CC03CBC">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（1）根据会议安排及采购人要求，确定台形，做好会议物品摆放、设备调试、会议资料发放等会前服务准备工作。</w:t>
      </w:r>
    </w:p>
    <w:p w14:paraId="6F4C6E4F">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（2）会议期间定时倒水，根据需要为与会人员提供服务，会议设备如出现问题及时协调处理。</w:t>
      </w:r>
    </w:p>
    <w:p w14:paraId="0736BB1D">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（3）会议结束后做好会议物品整理，茶具清洗、消毒，会议场地清扫，设施设备清点、检查、记录等会后服务。</w:t>
      </w:r>
    </w:p>
    <w:p w14:paraId="2AD0D31C">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（4）对会议服务期间接触的会议信息、会议资料应严格保密。</w:t>
      </w:r>
    </w:p>
    <w:p w14:paraId="6D2EF8D3">
      <w:pPr>
        <w:keepNext w:val="0"/>
        <w:keepLines w:val="0"/>
        <w:pageBreakBefore w:val="0"/>
        <w:kinsoku/>
        <w:wordWrap/>
        <w:topLinePunct w:val="0"/>
        <w:bidi w:val="0"/>
        <w:adjustRightInd w:val="0"/>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（六）运送服务</w:t>
      </w:r>
    </w:p>
    <w:p w14:paraId="07C8BEC3">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（1）认真完成中心的派车任务要求，服从调度人员指挥。</w:t>
      </w:r>
    </w:p>
    <w:p w14:paraId="2DDA683A">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（2）上班期间按要求衣着工作服、礼貌待人、热情服务，团结同事、不得当面议论病者病情。</w:t>
      </w:r>
    </w:p>
    <w:p w14:paraId="75F0E0AC">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（3）熟练掌握信息化办公。</w:t>
      </w:r>
    </w:p>
    <w:p w14:paraId="6A268AA7">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（4）保持公务车厢内的清洁整洁。</w:t>
      </w:r>
    </w:p>
    <w:p w14:paraId="4361DB97">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（5）运送执行各项任务应爱护医院各项设施设备，严格执行医院院感、交接等制度，确保安全生产。</w:t>
      </w:r>
    </w:p>
    <w:p w14:paraId="0C462CC1">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服务期间从事采购单位交办的临时性无偿工作安排。</w:t>
      </w:r>
    </w:p>
    <w:p w14:paraId="33FC2B67">
      <w:pPr>
        <w:keepNext w:val="0"/>
        <w:keepLines w:val="0"/>
        <w:pageBreakBefore w:val="0"/>
        <w:widowControl/>
        <w:kinsoku/>
        <w:wordWrap/>
        <w:topLinePunct w:val="0"/>
        <w:autoSpaceDE w:val="0"/>
        <w:autoSpaceDN w:val="0"/>
        <w:bidi w:val="0"/>
        <w:adjustRightInd w:val="0"/>
        <w:snapToGrid w:val="0"/>
        <w:spacing w:line="360" w:lineRule="auto"/>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（七）采购单位交办的其他工作</w:t>
      </w:r>
    </w:p>
    <w:p w14:paraId="7CE55BEC">
      <w:pPr>
        <w:keepNext w:val="0"/>
        <w:keepLines w:val="0"/>
        <w:pageBreakBefore w:val="0"/>
        <w:kinsoku/>
        <w:wordWrap/>
        <w:topLinePunct w:val="0"/>
        <w:bidi w:val="0"/>
        <w:adjustRightIn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重大活动期间服从采购单位交办的临时性工作安排。</w:t>
      </w:r>
    </w:p>
    <w:p w14:paraId="63A7B20C">
      <w:pPr>
        <w:keepNext w:val="0"/>
        <w:keepLines w:val="0"/>
        <w:pageBreakBefore w:val="0"/>
        <w:kinsoku/>
        <w:wordWrap/>
        <w:topLinePunct w:val="0"/>
        <w:bidi w:val="0"/>
        <w:adjustRightInd w:val="0"/>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（八）人员设置需求：</w:t>
      </w:r>
    </w:p>
    <w:p w14:paraId="709971C0">
      <w:pPr>
        <w:keepNext w:val="0"/>
        <w:keepLines w:val="0"/>
        <w:pageBreakBefore w:val="0"/>
        <w:kinsoku/>
        <w:wordWrap/>
        <w:topLinePunct w:val="0"/>
        <w:bidi w:val="0"/>
        <w:adjustRightIn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（一）总体要求</w:t>
      </w:r>
      <w:r>
        <w:rPr>
          <w:rFonts w:hint="eastAsia" w:ascii="新宋体" w:hAnsi="新宋体" w:eastAsia="新宋体" w:cs="新宋体"/>
          <w:color w:val="auto"/>
          <w:sz w:val="24"/>
          <w:highlight w:val="none"/>
        </w:rPr>
        <w:cr/>
      </w:r>
      <w:r>
        <w:rPr>
          <w:rFonts w:hint="eastAsia" w:ascii="新宋体" w:hAnsi="新宋体" w:eastAsia="新宋体" w:cs="新宋体"/>
          <w:color w:val="auto"/>
          <w:sz w:val="24"/>
          <w:highlight w:val="none"/>
        </w:rPr>
        <w:t>▲岗位总人数不得低于2</w:t>
      </w:r>
      <w:r>
        <w:rPr>
          <w:rFonts w:ascii="新宋体" w:hAnsi="新宋体" w:eastAsia="新宋体" w:cs="新宋体"/>
          <w:color w:val="auto"/>
          <w:sz w:val="24"/>
          <w:highlight w:val="none"/>
        </w:rPr>
        <w:t>6</w:t>
      </w:r>
      <w:r>
        <w:rPr>
          <w:rFonts w:hint="eastAsia" w:ascii="新宋体" w:hAnsi="新宋体" w:eastAsia="新宋体" w:cs="新宋体"/>
          <w:color w:val="auto"/>
          <w:sz w:val="24"/>
          <w:highlight w:val="none"/>
        </w:rPr>
        <w:t>人，包括：项目经理1人，保洁主管1人，保洁员1</w:t>
      </w:r>
      <w:r>
        <w:rPr>
          <w:rFonts w:ascii="新宋体" w:hAnsi="新宋体" w:eastAsia="新宋体" w:cs="新宋体"/>
          <w:color w:val="auto"/>
          <w:sz w:val="24"/>
          <w:highlight w:val="none"/>
        </w:rPr>
        <w:t>2</w:t>
      </w:r>
      <w:r>
        <w:rPr>
          <w:rFonts w:hint="eastAsia" w:ascii="新宋体" w:hAnsi="新宋体" w:eastAsia="新宋体" w:cs="新宋体"/>
          <w:color w:val="auto"/>
          <w:sz w:val="24"/>
          <w:highlight w:val="none"/>
        </w:rPr>
        <w:t>人,保安主管1人，保安员</w:t>
      </w:r>
      <w:r>
        <w:rPr>
          <w:rFonts w:ascii="新宋体" w:hAnsi="新宋体" w:eastAsia="新宋体" w:cs="新宋体"/>
          <w:color w:val="auto"/>
          <w:sz w:val="24"/>
          <w:highlight w:val="none"/>
        </w:rPr>
        <w:t>6</w:t>
      </w:r>
      <w:r>
        <w:rPr>
          <w:rFonts w:hint="eastAsia" w:ascii="新宋体" w:hAnsi="新宋体" w:eastAsia="新宋体" w:cs="新宋体"/>
          <w:color w:val="auto"/>
          <w:sz w:val="24"/>
          <w:highlight w:val="none"/>
        </w:rPr>
        <w:t>人，消控员3人，工程设备维修人员</w:t>
      </w:r>
      <w:r>
        <w:rPr>
          <w:rFonts w:ascii="新宋体" w:hAnsi="新宋体" w:eastAsia="新宋体" w:cs="新宋体"/>
          <w:color w:val="auto"/>
          <w:sz w:val="24"/>
          <w:highlight w:val="none"/>
        </w:rPr>
        <w:t>1</w:t>
      </w:r>
      <w:r>
        <w:rPr>
          <w:rFonts w:hint="eastAsia" w:ascii="新宋体" w:hAnsi="新宋体" w:eastAsia="新宋体" w:cs="新宋体"/>
          <w:color w:val="auto"/>
          <w:sz w:val="24"/>
          <w:highlight w:val="none"/>
        </w:rPr>
        <w:t>人，货物运送驾驶员1人。</w:t>
      </w:r>
      <w:r>
        <w:rPr>
          <w:rFonts w:hint="eastAsia" w:ascii="新宋体" w:hAnsi="新宋体" w:eastAsia="新宋体" w:cs="新宋体"/>
          <w:color w:val="auto"/>
          <w:sz w:val="24"/>
          <w:highlight w:val="none"/>
        </w:rPr>
        <w:cr/>
      </w:r>
      <w:r>
        <w:rPr>
          <w:rFonts w:hint="eastAsia" w:ascii="新宋体" w:hAnsi="新宋体" w:eastAsia="新宋体" w:cs="新宋体"/>
          <w:color w:val="auto"/>
          <w:sz w:val="24"/>
          <w:highlight w:val="none"/>
        </w:rPr>
        <w:t>▲法律法规和政策文件要求必须持证上岗的岗位，所派人员必须满足相关规定，持证上岗。</w:t>
      </w:r>
      <w:r>
        <w:rPr>
          <w:rFonts w:hint="eastAsia" w:ascii="新宋体" w:hAnsi="新宋体" w:eastAsia="新宋体" w:cs="新宋体"/>
          <w:color w:val="auto"/>
          <w:sz w:val="24"/>
          <w:highlight w:val="none"/>
        </w:rPr>
        <w:cr/>
      </w:r>
      <w:r>
        <w:rPr>
          <w:rFonts w:hint="eastAsia" w:ascii="新宋体" w:hAnsi="新宋体" w:eastAsia="新宋体" w:cs="新宋体"/>
          <w:color w:val="auto"/>
          <w:sz w:val="24"/>
          <w:highlight w:val="none"/>
        </w:rPr>
        <w:t>所有人员要求政治上可靠，无违法犯罪记录，身体健康，会说普通话，工作负责，吃苦耐劳。管理层人员应具有较强的组织领导能力和协调能力。</w:t>
      </w:r>
      <w:r>
        <w:rPr>
          <w:rFonts w:hint="eastAsia" w:ascii="新宋体" w:hAnsi="新宋体" w:eastAsia="新宋体" w:cs="新宋体"/>
          <w:color w:val="auto"/>
          <w:sz w:val="24"/>
          <w:highlight w:val="none"/>
        </w:rPr>
        <w:cr/>
      </w:r>
      <w:r>
        <w:rPr>
          <w:rFonts w:hint="eastAsia" w:ascii="新宋体" w:hAnsi="新宋体" w:eastAsia="新宋体" w:cs="新宋体"/>
          <w:color w:val="auto"/>
          <w:sz w:val="24"/>
          <w:highlight w:val="none"/>
        </w:rPr>
        <w:t>管理服务人员应按规定统一着装，工作服样式要求能体现岗位特色和方便不同岗位作业。知晓本岗位服务礼仪，遵守《物业管理服务人员行为规范》要求。</w:t>
      </w:r>
      <w:r>
        <w:rPr>
          <w:rFonts w:hint="eastAsia" w:ascii="新宋体" w:hAnsi="新宋体" w:eastAsia="新宋体" w:cs="新宋体"/>
          <w:color w:val="auto"/>
          <w:sz w:val="24"/>
          <w:highlight w:val="none"/>
        </w:rPr>
        <w:cr/>
      </w:r>
      <w:r>
        <w:rPr>
          <w:rFonts w:hint="eastAsia" w:ascii="新宋体" w:hAnsi="新宋体" w:eastAsia="新宋体" w:cs="新宋体"/>
          <w:color w:val="auto"/>
          <w:sz w:val="24"/>
          <w:highlight w:val="none"/>
        </w:rPr>
        <w:t>中标人应按招标要求，配备充足、能胜任各岗位的相关管理和服务人员，并保持人员稳定。遇调动或辞职等特殊情况确需更换人员的，项目经理（兼保洁主管）至少提前20天、其他人员至少提前7天告知采购人并征得采购人同意后方可更换，中标人应及时替换、补充符合招标要求的相应人员，提前做好交接班，不得影响采购人正常工作秩序。对采购人认为无能力、工作失职或不合适人员，中标人应立即更换。岗位人数不足时，按相应岗位成本扣除服务费。</w:t>
      </w:r>
    </w:p>
    <w:p w14:paraId="2FB988C5">
      <w:pPr>
        <w:keepNext w:val="0"/>
        <w:keepLines w:val="0"/>
        <w:pageBreakBefore w:val="0"/>
        <w:kinsoku/>
        <w:wordWrap/>
        <w:topLinePunct w:val="0"/>
        <w:bidi w:val="0"/>
        <w:adjustRightIn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（二）管理层人员要求</w:t>
      </w:r>
      <w:r>
        <w:rPr>
          <w:rFonts w:hint="eastAsia" w:ascii="新宋体" w:hAnsi="新宋体" w:eastAsia="新宋体" w:cs="新宋体"/>
          <w:color w:val="auto"/>
          <w:sz w:val="24"/>
          <w:highlight w:val="none"/>
        </w:rPr>
        <w:cr/>
      </w:r>
      <w:r>
        <w:rPr>
          <w:rFonts w:hint="eastAsia" w:ascii="新宋体" w:hAnsi="新宋体" w:eastAsia="新宋体" w:cs="新宋体"/>
          <w:color w:val="auto"/>
          <w:sz w:val="24"/>
          <w:highlight w:val="none"/>
        </w:rPr>
        <w:t>项目经理：年龄45周岁以下；具有医疗机构物业项目经理工作经验；</w:t>
      </w:r>
      <w:r>
        <w:rPr>
          <w:rFonts w:hint="eastAsia" w:ascii="新宋体" w:hAnsi="新宋体" w:eastAsia="新宋体" w:cs="新宋体"/>
          <w:color w:val="auto"/>
          <w:sz w:val="24"/>
          <w:highlight w:val="none"/>
        </w:rPr>
        <w:cr/>
      </w:r>
      <w:r>
        <w:rPr>
          <w:rFonts w:hint="eastAsia" w:ascii="新宋体" w:hAnsi="新宋体" w:eastAsia="新宋体" w:cs="新宋体"/>
          <w:color w:val="auto"/>
          <w:sz w:val="24"/>
          <w:highlight w:val="none"/>
        </w:rPr>
        <w:t>保安主管：年龄45周岁以下；具有物业保安主管工作经验；持消控证和保安证上岗；</w:t>
      </w:r>
    </w:p>
    <w:p w14:paraId="1F8FC6B9">
      <w:pPr>
        <w:keepNext w:val="0"/>
        <w:keepLines w:val="0"/>
        <w:pageBreakBefore w:val="0"/>
        <w:kinsoku/>
        <w:wordWrap/>
        <w:topLinePunct w:val="0"/>
        <w:bidi w:val="0"/>
        <w:adjustRightIn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保洁主管：年龄60周岁以下；具有物业保洁主管工作经验；</w:t>
      </w:r>
      <w:r>
        <w:rPr>
          <w:rFonts w:hint="eastAsia" w:ascii="新宋体" w:hAnsi="新宋体" w:eastAsia="新宋体" w:cs="新宋体"/>
          <w:color w:val="auto"/>
          <w:sz w:val="24"/>
          <w:highlight w:val="none"/>
        </w:rPr>
        <w:cr/>
      </w:r>
      <w:r>
        <w:rPr>
          <w:rFonts w:hint="eastAsia" w:ascii="新宋体" w:hAnsi="新宋体" w:eastAsia="新宋体" w:cs="新宋体"/>
          <w:color w:val="auto"/>
          <w:sz w:val="24"/>
          <w:highlight w:val="none"/>
        </w:rPr>
        <w:t>（三）其他服务人员要求</w:t>
      </w:r>
      <w:r>
        <w:rPr>
          <w:rFonts w:hint="eastAsia" w:ascii="新宋体" w:hAnsi="新宋体" w:eastAsia="新宋体" w:cs="新宋体"/>
          <w:color w:val="auto"/>
          <w:sz w:val="24"/>
          <w:highlight w:val="none"/>
        </w:rPr>
        <w:cr/>
      </w:r>
      <w:r>
        <w:rPr>
          <w:rFonts w:hint="eastAsia" w:ascii="新宋体" w:hAnsi="新宋体" w:eastAsia="新宋体" w:cs="新宋体"/>
          <w:color w:val="auto"/>
          <w:sz w:val="24"/>
          <w:highlight w:val="none"/>
        </w:rPr>
        <w:t>1.保洁员：</w:t>
      </w:r>
      <w:r>
        <w:rPr>
          <w:rFonts w:hint="eastAsia" w:ascii="新宋体" w:hAnsi="新宋体" w:eastAsia="新宋体" w:cs="新宋体"/>
          <w:color w:val="auto"/>
          <w:sz w:val="24"/>
          <w:highlight w:val="none"/>
        </w:rPr>
        <w:cr/>
      </w:r>
      <w:r>
        <w:rPr>
          <w:rFonts w:hint="eastAsia" w:ascii="新宋体" w:hAnsi="新宋体" w:eastAsia="新宋体" w:cs="新宋体"/>
          <w:color w:val="auto"/>
          <w:sz w:val="24"/>
          <w:highlight w:val="none"/>
        </w:rPr>
        <w:t>（1）普通保洁岗：年龄60周岁以下，具有保洁工作经验；</w:t>
      </w:r>
      <w:r>
        <w:rPr>
          <w:rFonts w:hint="eastAsia" w:ascii="新宋体" w:hAnsi="新宋体" w:eastAsia="新宋体" w:cs="新宋体"/>
          <w:color w:val="auto"/>
          <w:sz w:val="24"/>
          <w:highlight w:val="none"/>
        </w:rPr>
        <w:cr/>
      </w:r>
      <w:r>
        <w:rPr>
          <w:rFonts w:hint="eastAsia" w:ascii="新宋体" w:hAnsi="新宋体" w:eastAsia="新宋体" w:cs="新宋体"/>
          <w:color w:val="auto"/>
          <w:sz w:val="24"/>
          <w:highlight w:val="none"/>
        </w:rPr>
        <w:t>（2）医疗垃圾收集岗：年龄60周岁以下，具有医疗垃圾收集相关工作经验；</w:t>
      </w:r>
      <w:r>
        <w:rPr>
          <w:rFonts w:hint="eastAsia" w:ascii="新宋体" w:hAnsi="新宋体" w:eastAsia="新宋体" w:cs="新宋体"/>
          <w:color w:val="auto"/>
          <w:sz w:val="24"/>
          <w:highlight w:val="none"/>
        </w:rPr>
        <w:cr/>
      </w:r>
      <w:r>
        <w:rPr>
          <w:rFonts w:hint="eastAsia" w:ascii="新宋体" w:hAnsi="新宋体" w:eastAsia="新宋体" w:cs="新宋体"/>
          <w:color w:val="auto"/>
          <w:sz w:val="24"/>
          <w:highlight w:val="none"/>
        </w:rPr>
        <w:t>（3）外围保洁岗：年龄60周岁以下，具有保洁工作经验；</w:t>
      </w:r>
    </w:p>
    <w:p w14:paraId="531109CC">
      <w:pPr>
        <w:keepNext w:val="0"/>
        <w:keepLines w:val="0"/>
        <w:pageBreakBefore w:val="0"/>
        <w:kinsoku/>
        <w:wordWrap/>
        <w:topLinePunct w:val="0"/>
        <w:bidi w:val="0"/>
        <w:adjustRightInd w:val="0"/>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（4）洗衣工：年龄60周岁以下，具有</w:t>
      </w:r>
      <w:r>
        <w:rPr>
          <w:rFonts w:ascii="新宋体" w:hAnsi="新宋体" w:eastAsia="新宋体" w:cs="新宋体"/>
          <w:color w:val="auto"/>
          <w:kern w:val="0"/>
          <w:sz w:val="24"/>
          <w:highlight w:val="none"/>
        </w:rPr>
        <w:t>洗衣</w:t>
      </w:r>
      <w:r>
        <w:rPr>
          <w:rFonts w:hint="eastAsia" w:ascii="新宋体" w:hAnsi="新宋体" w:eastAsia="新宋体" w:cs="新宋体"/>
          <w:color w:val="auto"/>
          <w:kern w:val="0"/>
          <w:sz w:val="24"/>
          <w:highlight w:val="none"/>
        </w:rPr>
        <w:t>缝补相关工作经验；</w:t>
      </w:r>
    </w:p>
    <w:p w14:paraId="72BE59A2">
      <w:pPr>
        <w:keepNext w:val="0"/>
        <w:keepLines w:val="0"/>
        <w:pageBreakBefore w:val="0"/>
        <w:kinsoku/>
        <w:wordWrap/>
        <w:topLinePunct w:val="0"/>
        <w:bidi w:val="0"/>
        <w:adjustRightIn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2.保安员：年龄55周岁以下，具有保安工作经验，人员持证上岗；</w:t>
      </w:r>
      <w:r>
        <w:rPr>
          <w:rFonts w:hint="eastAsia" w:ascii="新宋体" w:hAnsi="新宋体" w:eastAsia="新宋体" w:cs="新宋体"/>
          <w:color w:val="auto"/>
          <w:sz w:val="24"/>
          <w:highlight w:val="none"/>
        </w:rPr>
        <w:cr/>
      </w:r>
      <w:r>
        <w:rPr>
          <w:rFonts w:hint="eastAsia" w:ascii="新宋体" w:hAnsi="新宋体" w:eastAsia="新宋体" w:cs="新宋体"/>
          <w:color w:val="auto"/>
          <w:sz w:val="24"/>
          <w:highlight w:val="none"/>
        </w:rPr>
        <w:t>3.消控员：年龄50周岁以下，具有消控工作经验，人员持证上岗；</w:t>
      </w:r>
    </w:p>
    <w:p w14:paraId="14F56BE1">
      <w:pPr>
        <w:keepNext w:val="0"/>
        <w:keepLines w:val="0"/>
        <w:pageBreakBefore w:val="0"/>
        <w:kinsoku/>
        <w:wordWrap/>
        <w:topLinePunct w:val="0"/>
        <w:bidi w:val="0"/>
        <w:adjustRightIn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4.货物运送驾驶员：年龄在45周岁以下，具有C级驾驶证，</w:t>
      </w:r>
      <w:r>
        <w:rPr>
          <w:rFonts w:ascii="新宋体" w:hAnsi="新宋体" w:eastAsia="新宋体" w:cs="新宋体"/>
          <w:color w:val="auto"/>
          <w:sz w:val="24"/>
          <w:highlight w:val="none"/>
        </w:rPr>
        <w:t>5</w:t>
      </w:r>
      <w:r>
        <w:rPr>
          <w:rFonts w:hint="eastAsia" w:ascii="新宋体" w:hAnsi="新宋体" w:eastAsia="新宋体" w:cs="新宋体"/>
          <w:color w:val="auto"/>
          <w:sz w:val="24"/>
          <w:highlight w:val="none"/>
        </w:rPr>
        <w:t>年以上驾驶经验；</w:t>
      </w:r>
    </w:p>
    <w:p w14:paraId="397DAC24">
      <w:pPr>
        <w:keepNext w:val="0"/>
        <w:keepLines w:val="0"/>
        <w:pageBreakBefore w:val="0"/>
        <w:kinsoku/>
        <w:wordWrap/>
        <w:topLinePunct w:val="0"/>
        <w:bidi w:val="0"/>
        <w:adjustRightInd w:val="0"/>
        <w:spacing w:line="360" w:lineRule="auto"/>
        <w:rPr>
          <w:rFonts w:ascii="新宋体" w:hAnsi="新宋体" w:eastAsia="新宋体" w:cs="新宋体"/>
          <w:color w:val="auto"/>
          <w:sz w:val="24"/>
          <w:highlight w:val="none"/>
        </w:rPr>
      </w:pPr>
      <w:r>
        <w:rPr>
          <w:rFonts w:ascii="新宋体" w:hAnsi="新宋体" w:eastAsia="新宋体" w:cs="新宋体"/>
          <w:color w:val="auto"/>
          <w:sz w:val="24"/>
          <w:highlight w:val="none"/>
        </w:rPr>
        <w:t>5</w:t>
      </w:r>
      <w:r>
        <w:rPr>
          <w:rFonts w:hint="eastAsia" w:ascii="新宋体" w:hAnsi="新宋体" w:eastAsia="新宋体" w:cs="新宋体"/>
          <w:color w:val="auto"/>
          <w:sz w:val="24"/>
          <w:highlight w:val="none"/>
        </w:rPr>
        <w:t>. 工程设备维修人员：50周岁以下，高中以上学历，具有工程维修工作经验，具有相关专业上岗证；</w:t>
      </w:r>
    </w:p>
    <w:p w14:paraId="41301D55">
      <w:pPr>
        <w:keepNext w:val="0"/>
        <w:keepLines w:val="0"/>
        <w:pageBreakBefore w:val="0"/>
        <w:kinsoku/>
        <w:wordWrap/>
        <w:topLinePunct w:val="0"/>
        <w:bidi w:val="0"/>
        <w:adjustRightInd w:val="0"/>
        <w:spacing w:line="360" w:lineRule="auto"/>
        <w:rPr>
          <w:rFonts w:ascii="新宋体" w:hAnsi="新宋体" w:eastAsia="新宋体" w:cs="新宋体"/>
          <w:color w:val="auto"/>
          <w:sz w:val="24"/>
          <w:highlight w:val="none"/>
        </w:rPr>
      </w:pPr>
      <w:r>
        <w:rPr>
          <w:rFonts w:ascii="新宋体" w:hAnsi="新宋体" w:eastAsia="新宋体" w:cs="新宋体"/>
          <w:color w:val="auto"/>
          <w:sz w:val="24"/>
          <w:highlight w:val="none"/>
        </w:rPr>
        <w:t>6</w:t>
      </w:r>
      <w:r>
        <w:rPr>
          <w:rFonts w:hint="eastAsia" w:ascii="新宋体" w:hAnsi="新宋体" w:eastAsia="新宋体" w:cs="新宋体"/>
          <w:color w:val="auto"/>
          <w:sz w:val="24"/>
          <w:highlight w:val="none"/>
        </w:rPr>
        <w:t>.绿化养护工：年龄在</w:t>
      </w:r>
      <w:r>
        <w:rPr>
          <w:rFonts w:ascii="新宋体" w:hAnsi="新宋体" w:eastAsia="新宋体" w:cs="新宋体"/>
          <w:color w:val="auto"/>
          <w:sz w:val="24"/>
          <w:highlight w:val="none"/>
        </w:rPr>
        <w:t>6</w:t>
      </w:r>
      <w:r>
        <w:rPr>
          <w:rFonts w:hint="eastAsia" w:ascii="新宋体" w:hAnsi="新宋体" w:eastAsia="新宋体" w:cs="新宋体"/>
          <w:color w:val="auto"/>
          <w:sz w:val="24"/>
          <w:highlight w:val="none"/>
        </w:rPr>
        <w:t>0周岁以下，具有绿化养护经验。</w:t>
      </w:r>
    </w:p>
    <w:p w14:paraId="1D017198">
      <w:pPr>
        <w:keepNext w:val="0"/>
        <w:keepLines w:val="0"/>
        <w:pageBreakBefore w:val="0"/>
        <w:kinsoku/>
        <w:wordWrap/>
        <w:topLinePunct w:val="0"/>
        <w:bidi w:val="0"/>
        <w:adjustRightInd w:val="0"/>
        <w:spacing w:line="360" w:lineRule="auto"/>
        <w:rPr>
          <w:rFonts w:ascii="新宋体" w:hAnsi="新宋体" w:eastAsia="新宋体" w:cs="新宋体"/>
          <w:color w:val="auto"/>
          <w:sz w:val="24"/>
          <w:highlight w:val="none"/>
        </w:rPr>
      </w:pPr>
      <w:r>
        <w:rPr>
          <w:rFonts w:ascii="新宋体" w:hAnsi="新宋体" w:eastAsia="新宋体" w:cs="新宋体"/>
          <w:color w:val="auto"/>
          <w:sz w:val="24"/>
          <w:highlight w:val="none"/>
        </w:rPr>
        <w:t>7</w:t>
      </w:r>
      <w:r>
        <w:rPr>
          <w:rFonts w:hint="eastAsia" w:ascii="新宋体" w:hAnsi="新宋体" w:eastAsia="新宋体" w:cs="新宋体"/>
          <w:color w:val="auto"/>
          <w:sz w:val="24"/>
          <w:highlight w:val="none"/>
        </w:rPr>
        <w:t>.会务人员：年龄40周岁以下，具有1年以上会务工作经验，熟悉信息化办公。</w:t>
      </w:r>
    </w:p>
    <w:p w14:paraId="6FADC8D6">
      <w:pPr>
        <w:keepNext w:val="0"/>
        <w:keepLines w:val="0"/>
        <w:pageBreakBefore w:val="0"/>
        <w:kinsoku/>
        <w:wordWrap/>
        <w:topLinePunct w:val="0"/>
        <w:bidi w:val="0"/>
        <w:adjustRightIn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（四）工作时间要求</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1486"/>
        <w:gridCol w:w="1521"/>
        <w:gridCol w:w="1347"/>
        <w:gridCol w:w="3582"/>
      </w:tblGrid>
      <w:tr w14:paraId="69CB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98" w:type="dxa"/>
            <w:vAlign w:val="center"/>
          </w:tcPr>
          <w:p w14:paraId="0B07FC1B">
            <w:pPr>
              <w:keepNext w:val="0"/>
              <w:keepLines w:val="0"/>
              <w:pageBreakBefore w:val="0"/>
              <w:widowControl/>
              <w:kinsoku/>
              <w:wordWrap/>
              <w:overflowPunct w:val="0"/>
              <w:topLinePunct w:val="0"/>
              <w:autoSpaceDE w:val="0"/>
              <w:autoSpaceDN w:val="0"/>
              <w:bidi w:val="0"/>
              <w:adjustRightInd w:val="0"/>
              <w:snapToGrid w:val="0"/>
              <w:spacing w:after="160"/>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序号</w:t>
            </w:r>
          </w:p>
        </w:tc>
        <w:tc>
          <w:tcPr>
            <w:tcW w:w="2376" w:type="dxa"/>
            <w:shd w:val="clear" w:color="auto" w:fill="auto"/>
          </w:tcPr>
          <w:p w14:paraId="6AAD0278">
            <w:pPr>
              <w:keepNext w:val="0"/>
              <w:keepLines w:val="0"/>
              <w:pageBreakBefore w:val="0"/>
              <w:widowControl/>
              <w:kinsoku/>
              <w:wordWrap/>
              <w:overflowPunct w:val="0"/>
              <w:topLinePunct w:val="0"/>
              <w:autoSpaceDE w:val="0"/>
              <w:autoSpaceDN w:val="0"/>
              <w:bidi w:val="0"/>
              <w:adjustRightInd w:val="0"/>
              <w:snapToGrid w:val="0"/>
              <w:spacing w:after="160"/>
              <w:jc w:val="center"/>
              <w:textAlignment w:val="bottom"/>
              <w:rPr>
                <w:rFonts w:ascii="新宋体" w:hAnsi="新宋体" w:eastAsia="新宋体" w:cs="新宋体"/>
                <w:b/>
                <w:color w:val="auto"/>
                <w:kern w:val="0"/>
                <w:sz w:val="24"/>
                <w:highlight w:val="none"/>
              </w:rPr>
            </w:pPr>
          </w:p>
          <w:p w14:paraId="6E87BDD5">
            <w:pPr>
              <w:keepNext w:val="0"/>
              <w:keepLines w:val="0"/>
              <w:pageBreakBefore w:val="0"/>
              <w:widowControl/>
              <w:kinsoku/>
              <w:wordWrap/>
              <w:overflowPunct w:val="0"/>
              <w:topLinePunct w:val="0"/>
              <w:autoSpaceDE w:val="0"/>
              <w:autoSpaceDN w:val="0"/>
              <w:bidi w:val="0"/>
              <w:adjustRightInd w:val="0"/>
              <w:snapToGrid w:val="0"/>
              <w:spacing w:after="160"/>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岗位</w:t>
            </w:r>
          </w:p>
        </w:tc>
        <w:tc>
          <w:tcPr>
            <w:tcW w:w="1716" w:type="dxa"/>
            <w:shd w:val="clear" w:color="auto" w:fill="auto"/>
            <w:vAlign w:val="center"/>
          </w:tcPr>
          <w:p w14:paraId="5E40B7CD">
            <w:pPr>
              <w:keepNext w:val="0"/>
              <w:keepLines w:val="0"/>
              <w:pageBreakBefore w:val="0"/>
              <w:widowControl/>
              <w:kinsoku/>
              <w:wordWrap/>
              <w:overflowPunct w:val="0"/>
              <w:topLinePunct w:val="0"/>
              <w:autoSpaceDE w:val="0"/>
              <w:autoSpaceDN w:val="0"/>
              <w:bidi w:val="0"/>
              <w:adjustRightInd w:val="0"/>
              <w:snapToGrid w:val="0"/>
              <w:spacing w:after="160"/>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在岗时间</w:t>
            </w:r>
          </w:p>
        </w:tc>
        <w:tc>
          <w:tcPr>
            <w:tcW w:w="1700" w:type="dxa"/>
            <w:shd w:val="clear" w:color="auto" w:fill="auto"/>
            <w:vAlign w:val="center"/>
          </w:tcPr>
          <w:p w14:paraId="35FB718C">
            <w:pPr>
              <w:keepNext w:val="0"/>
              <w:keepLines w:val="0"/>
              <w:pageBreakBefore w:val="0"/>
              <w:widowControl/>
              <w:kinsoku/>
              <w:wordWrap/>
              <w:overflowPunct w:val="0"/>
              <w:topLinePunct w:val="0"/>
              <w:autoSpaceDE w:val="0"/>
              <w:autoSpaceDN w:val="0"/>
              <w:bidi w:val="0"/>
              <w:adjustRightInd w:val="0"/>
              <w:snapToGrid w:val="0"/>
              <w:spacing w:after="160"/>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工作时间内应在岗人数（人）</w:t>
            </w:r>
          </w:p>
        </w:tc>
        <w:tc>
          <w:tcPr>
            <w:tcW w:w="6079" w:type="dxa"/>
            <w:shd w:val="clear" w:color="auto" w:fill="auto"/>
            <w:vAlign w:val="center"/>
          </w:tcPr>
          <w:p w14:paraId="7867952C">
            <w:pPr>
              <w:keepNext w:val="0"/>
              <w:keepLines w:val="0"/>
              <w:pageBreakBefore w:val="0"/>
              <w:widowControl/>
              <w:kinsoku/>
              <w:wordWrap/>
              <w:overflowPunct w:val="0"/>
              <w:topLinePunct w:val="0"/>
              <w:autoSpaceDE w:val="0"/>
              <w:autoSpaceDN w:val="0"/>
              <w:bidi w:val="0"/>
              <w:adjustRightInd w:val="0"/>
              <w:snapToGrid w:val="0"/>
              <w:spacing w:after="160"/>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备注</w:t>
            </w:r>
          </w:p>
        </w:tc>
      </w:tr>
      <w:tr w14:paraId="5D3C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98" w:type="dxa"/>
            <w:vAlign w:val="center"/>
          </w:tcPr>
          <w:p w14:paraId="3C46EDEE">
            <w:pPr>
              <w:keepNext w:val="0"/>
              <w:keepLines w:val="0"/>
              <w:pageBreakBefore w:val="0"/>
              <w:widowControl/>
              <w:kinsoku/>
              <w:wordWrap/>
              <w:overflowPunct w:val="0"/>
              <w:topLinePunct w:val="0"/>
              <w:autoSpaceDE w:val="0"/>
              <w:autoSpaceDN w:val="0"/>
              <w:bidi w:val="0"/>
              <w:adjustRightInd w:val="0"/>
              <w:snapToGrid w:val="0"/>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1</w:t>
            </w:r>
          </w:p>
        </w:tc>
        <w:tc>
          <w:tcPr>
            <w:tcW w:w="2376" w:type="dxa"/>
            <w:vAlign w:val="center"/>
          </w:tcPr>
          <w:p w14:paraId="4ED8D90D">
            <w:pPr>
              <w:keepNext w:val="0"/>
              <w:keepLines w:val="0"/>
              <w:pageBreakBefore w:val="0"/>
              <w:kinsoku/>
              <w:wordWrap/>
              <w:topLinePunct w:val="0"/>
              <w:bidi w:val="0"/>
              <w:adjustRightInd w:val="0"/>
              <w:jc w:val="center"/>
              <w:rPr>
                <w:rFonts w:ascii="新宋体" w:hAnsi="新宋体" w:cs="新宋体"/>
                <w:b/>
                <w:snapToGrid w:val="0"/>
                <w:color w:val="auto"/>
                <w:kern w:val="0"/>
                <w:sz w:val="24"/>
                <w:highlight w:val="none"/>
              </w:rPr>
            </w:pPr>
            <w:r>
              <w:rPr>
                <w:rFonts w:hint="eastAsia" w:ascii="新宋体" w:hAnsi="新宋体" w:eastAsia="新宋体" w:cs="新宋体"/>
                <w:color w:val="auto"/>
                <w:sz w:val="24"/>
                <w:highlight w:val="none"/>
              </w:rPr>
              <w:t>项目经理</w:t>
            </w:r>
          </w:p>
        </w:tc>
        <w:tc>
          <w:tcPr>
            <w:tcW w:w="1716" w:type="dxa"/>
            <w:vAlign w:val="center"/>
          </w:tcPr>
          <w:p w14:paraId="78ECBD0D">
            <w:pPr>
              <w:keepNext w:val="0"/>
              <w:keepLines w:val="0"/>
              <w:pageBreakBefore w:val="0"/>
              <w:kinsoku/>
              <w:wordWrap/>
              <w:topLinePunct w:val="0"/>
              <w:bidi w:val="0"/>
              <w:adjustRightInd w:val="0"/>
              <w:jc w:val="center"/>
              <w:rPr>
                <w:rFonts w:ascii="新宋体" w:hAnsi="新宋体" w:eastAsia="新宋体" w:cs="新宋体"/>
                <w:b/>
                <w:snapToGrid w:val="0"/>
                <w:color w:val="auto"/>
                <w:kern w:val="0"/>
                <w:sz w:val="24"/>
                <w:highlight w:val="none"/>
              </w:rPr>
            </w:pPr>
            <w:r>
              <w:rPr>
                <w:rFonts w:hint="eastAsia" w:ascii="新宋体" w:hAnsi="新宋体" w:eastAsia="新宋体" w:cs="新宋体"/>
                <w:color w:val="auto"/>
                <w:sz w:val="24"/>
                <w:highlight w:val="none"/>
              </w:rPr>
              <w:t>7：30-17：00</w:t>
            </w:r>
          </w:p>
        </w:tc>
        <w:tc>
          <w:tcPr>
            <w:tcW w:w="1700" w:type="dxa"/>
            <w:vAlign w:val="center"/>
          </w:tcPr>
          <w:p w14:paraId="40BD5528">
            <w:pPr>
              <w:keepNext w:val="0"/>
              <w:keepLines w:val="0"/>
              <w:pageBreakBefore w:val="0"/>
              <w:kinsoku/>
              <w:wordWrap/>
              <w:topLinePunct w:val="0"/>
              <w:bidi w:val="0"/>
              <w:adjustRightInd w:val="0"/>
              <w:jc w:val="center"/>
              <w:rPr>
                <w:rFonts w:ascii="新宋体" w:hAnsi="新宋体" w:eastAsia="新宋体" w:cs="新宋体"/>
                <w:snapToGrid w:val="0"/>
                <w:color w:val="auto"/>
                <w:kern w:val="0"/>
                <w:sz w:val="24"/>
                <w:highlight w:val="none"/>
              </w:rPr>
            </w:pPr>
            <w:r>
              <w:rPr>
                <w:rFonts w:hint="eastAsia" w:ascii="新宋体" w:hAnsi="新宋体" w:eastAsia="新宋体" w:cs="新宋体"/>
                <w:color w:val="auto"/>
                <w:sz w:val="24"/>
                <w:highlight w:val="none"/>
              </w:rPr>
              <w:t>1</w:t>
            </w:r>
          </w:p>
        </w:tc>
        <w:tc>
          <w:tcPr>
            <w:tcW w:w="6079" w:type="dxa"/>
            <w:vAlign w:val="center"/>
          </w:tcPr>
          <w:p w14:paraId="3551B693">
            <w:pPr>
              <w:keepNext w:val="0"/>
              <w:keepLines w:val="0"/>
              <w:pageBreakBefore w:val="0"/>
              <w:kinsoku/>
              <w:wordWrap/>
              <w:topLinePunct w:val="0"/>
              <w:bidi w:val="0"/>
              <w:adjustRightInd w:val="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做五休二</w:t>
            </w:r>
          </w:p>
        </w:tc>
      </w:tr>
      <w:tr w14:paraId="790A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98" w:type="dxa"/>
            <w:vAlign w:val="center"/>
          </w:tcPr>
          <w:p w14:paraId="57852284">
            <w:pPr>
              <w:keepNext w:val="0"/>
              <w:keepLines w:val="0"/>
              <w:pageBreakBefore w:val="0"/>
              <w:widowControl/>
              <w:kinsoku/>
              <w:wordWrap/>
              <w:overflowPunct w:val="0"/>
              <w:topLinePunct w:val="0"/>
              <w:autoSpaceDE w:val="0"/>
              <w:autoSpaceDN w:val="0"/>
              <w:bidi w:val="0"/>
              <w:adjustRightInd w:val="0"/>
              <w:snapToGrid w:val="0"/>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2</w:t>
            </w:r>
          </w:p>
        </w:tc>
        <w:tc>
          <w:tcPr>
            <w:tcW w:w="2376" w:type="dxa"/>
            <w:vAlign w:val="center"/>
          </w:tcPr>
          <w:p w14:paraId="070DD69A">
            <w:pPr>
              <w:keepNext w:val="0"/>
              <w:keepLines w:val="0"/>
              <w:pageBreakBefore w:val="0"/>
              <w:kinsoku/>
              <w:wordWrap/>
              <w:topLinePunct w:val="0"/>
              <w:bidi w:val="0"/>
              <w:adjustRightInd w:val="0"/>
              <w:jc w:val="center"/>
              <w:rPr>
                <w:rFonts w:ascii="新宋体" w:hAnsi="新宋体" w:eastAsia="新宋体" w:cs="新宋体"/>
                <w:color w:val="auto"/>
                <w:sz w:val="24"/>
                <w:highlight w:val="none"/>
              </w:rPr>
            </w:pPr>
            <w:r>
              <w:rPr>
                <w:rFonts w:hint="eastAsia"/>
                <w:color w:val="auto"/>
                <w:highlight w:val="none"/>
              </w:rPr>
              <w:t>保安主管</w:t>
            </w:r>
          </w:p>
        </w:tc>
        <w:tc>
          <w:tcPr>
            <w:tcW w:w="1716" w:type="dxa"/>
            <w:vAlign w:val="center"/>
          </w:tcPr>
          <w:p w14:paraId="1E98115E">
            <w:pPr>
              <w:keepNext w:val="0"/>
              <w:keepLines w:val="0"/>
              <w:pageBreakBefore w:val="0"/>
              <w:kinsoku/>
              <w:wordWrap/>
              <w:topLinePunct w:val="0"/>
              <w:bidi w:val="0"/>
              <w:adjustRightInd w:val="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7：30-16：30</w:t>
            </w:r>
          </w:p>
        </w:tc>
        <w:tc>
          <w:tcPr>
            <w:tcW w:w="1700" w:type="dxa"/>
            <w:vAlign w:val="center"/>
          </w:tcPr>
          <w:p w14:paraId="469183EE">
            <w:pPr>
              <w:keepNext w:val="0"/>
              <w:keepLines w:val="0"/>
              <w:pageBreakBefore w:val="0"/>
              <w:kinsoku/>
              <w:wordWrap/>
              <w:topLinePunct w:val="0"/>
              <w:bidi w:val="0"/>
              <w:adjustRightInd w:val="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6079" w:type="dxa"/>
            <w:vAlign w:val="center"/>
          </w:tcPr>
          <w:p w14:paraId="14E8E091">
            <w:pPr>
              <w:keepNext w:val="0"/>
              <w:keepLines w:val="0"/>
              <w:pageBreakBefore w:val="0"/>
              <w:kinsoku/>
              <w:wordWrap/>
              <w:topLinePunct w:val="0"/>
              <w:bidi w:val="0"/>
              <w:adjustRightInd w:val="0"/>
              <w:jc w:val="center"/>
              <w:rPr>
                <w:rFonts w:ascii="新宋体" w:hAnsi="新宋体" w:eastAsia="新宋体" w:cs="新宋体"/>
                <w:color w:val="auto"/>
                <w:sz w:val="24"/>
                <w:highlight w:val="none"/>
              </w:rPr>
            </w:pPr>
            <w:r>
              <w:rPr>
                <w:rFonts w:ascii="新宋体" w:hAnsi="新宋体" w:eastAsia="新宋体" w:cs="新宋体"/>
                <w:color w:val="auto"/>
                <w:sz w:val="24"/>
                <w:highlight w:val="none"/>
              </w:rPr>
              <w:t>月休</w:t>
            </w:r>
            <w:r>
              <w:rPr>
                <w:rFonts w:hint="eastAsia" w:ascii="新宋体" w:hAnsi="新宋体" w:eastAsia="新宋体" w:cs="新宋体"/>
                <w:color w:val="auto"/>
                <w:sz w:val="24"/>
                <w:highlight w:val="none"/>
              </w:rPr>
              <w:t>4天。白天在消控室上班。</w:t>
            </w:r>
          </w:p>
        </w:tc>
      </w:tr>
      <w:tr w14:paraId="026F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98" w:type="dxa"/>
            <w:shd w:val="clear" w:color="auto" w:fill="auto"/>
            <w:vAlign w:val="center"/>
          </w:tcPr>
          <w:p w14:paraId="443EF5BC">
            <w:pPr>
              <w:keepNext w:val="0"/>
              <w:keepLines w:val="0"/>
              <w:pageBreakBefore w:val="0"/>
              <w:widowControl/>
              <w:kinsoku/>
              <w:wordWrap/>
              <w:overflowPunct w:val="0"/>
              <w:topLinePunct w:val="0"/>
              <w:autoSpaceDE w:val="0"/>
              <w:autoSpaceDN w:val="0"/>
              <w:bidi w:val="0"/>
              <w:adjustRightInd w:val="0"/>
              <w:snapToGrid w:val="0"/>
              <w:jc w:val="center"/>
              <w:textAlignment w:val="bottom"/>
              <w:rPr>
                <w:rFonts w:ascii="新宋体" w:hAnsi="新宋体" w:eastAsia="新宋体" w:cs="新宋体"/>
                <w:b/>
                <w:color w:val="auto"/>
                <w:kern w:val="0"/>
                <w:sz w:val="24"/>
                <w:highlight w:val="none"/>
              </w:rPr>
            </w:pPr>
            <w:r>
              <w:rPr>
                <w:rFonts w:ascii="新宋体" w:hAnsi="新宋体" w:eastAsia="新宋体" w:cs="新宋体"/>
                <w:b/>
                <w:color w:val="auto"/>
                <w:kern w:val="0"/>
                <w:sz w:val="24"/>
                <w:highlight w:val="none"/>
              </w:rPr>
              <w:t>3</w:t>
            </w:r>
          </w:p>
        </w:tc>
        <w:tc>
          <w:tcPr>
            <w:tcW w:w="2376" w:type="dxa"/>
            <w:vAlign w:val="center"/>
          </w:tcPr>
          <w:p w14:paraId="4FF04CDE">
            <w:pPr>
              <w:keepNext w:val="0"/>
              <w:keepLines w:val="0"/>
              <w:pageBreakBefore w:val="0"/>
              <w:kinsoku/>
              <w:wordWrap/>
              <w:topLinePunct w:val="0"/>
              <w:bidi w:val="0"/>
              <w:adjustRightInd w:val="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保洁主管</w:t>
            </w:r>
          </w:p>
        </w:tc>
        <w:tc>
          <w:tcPr>
            <w:tcW w:w="1716" w:type="dxa"/>
            <w:vAlign w:val="center"/>
          </w:tcPr>
          <w:p w14:paraId="73FFA1E1">
            <w:pPr>
              <w:keepNext w:val="0"/>
              <w:keepLines w:val="0"/>
              <w:pageBreakBefore w:val="0"/>
              <w:kinsoku/>
              <w:wordWrap/>
              <w:topLinePunct w:val="0"/>
              <w:bidi w:val="0"/>
              <w:adjustRightInd w:val="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7：30-16：30</w:t>
            </w:r>
          </w:p>
        </w:tc>
        <w:tc>
          <w:tcPr>
            <w:tcW w:w="1700" w:type="dxa"/>
            <w:vAlign w:val="center"/>
          </w:tcPr>
          <w:p w14:paraId="6B570371">
            <w:pPr>
              <w:keepNext w:val="0"/>
              <w:keepLines w:val="0"/>
              <w:pageBreakBefore w:val="0"/>
              <w:kinsoku/>
              <w:wordWrap/>
              <w:topLinePunct w:val="0"/>
              <w:bidi w:val="0"/>
              <w:adjustRightInd w:val="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6079" w:type="dxa"/>
            <w:vAlign w:val="center"/>
          </w:tcPr>
          <w:p w14:paraId="656237B5">
            <w:pPr>
              <w:keepNext w:val="0"/>
              <w:keepLines w:val="0"/>
              <w:pageBreakBefore w:val="0"/>
              <w:kinsoku/>
              <w:wordWrap/>
              <w:topLinePunct w:val="0"/>
              <w:bidi w:val="0"/>
              <w:adjustRightInd w:val="0"/>
              <w:jc w:val="center"/>
              <w:rPr>
                <w:rFonts w:ascii="新宋体" w:hAnsi="新宋体" w:eastAsia="新宋体" w:cs="新宋体"/>
                <w:color w:val="auto"/>
                <w:sz w:val="24"/>
                <w:highlight w:val="none"/>
              </w:rPr>
            </w:pPr>
            <w:r>
              <w:rPr>
                <w:rFonts w:ascii="新宋体" w:hAnsi="新宋体" w:eastAsia="新宋体" w:cs="新宋体"/>
                <w:color w:val="auto"/>
                <w:sz w:val="24"/>
                <w:highlight w:val="none"/>
              </w:rPr>
              <w:t>月休</w:t>
            </w:r>
            <w:r>
              <w:rPr>
                <w:rFonts w:hint="eastAsia" w:ascii="新宋体" w:hAnsi="新宋体" w:eastAsia="新宋体" w:cs="新宋体"/>
                <w:color w:val="auto"/>
                <w:sz w:val="24"/>
                <w:highlight w:val="none"/>
              </w:rPr>
              <w:t>4天</w:t>
            </w:r>
          </w:p>
        </w:tc>
      </w:tr>
      <w:tr w14:paraId="7ACB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98" w:type="dxa"/>
            <w:shd w:val="clear" w:color="auto" w:fill="auto"/>
            <w:vAlign w:val="center"/>
          </w:tcPr>
          <w:p w14:paraId="348FAFC5">
            <w:pPr>
              <w:keepNext w:val="0"/>
              <w:keepLines w:val="0"/>
              <w:pageBreakBefore w:val="0"/>
              <w:widowControl/>
              <w:kinsoku/>
              <w:wordWrap/>
              <w:overflowPunct w:val="0"/>
              <w:topLinePunct w:val="0"/>
              <w:autoSpaceDE w:val="0"/>
              <w:autoSpaceDN w:val="0"/>
              <w:bidi w:val="0"/>
              <w:adjustRightInd w:val="0"/>
              <w:snapToGrid w:val="0"/>
              <w:jc w:val="center"/>
              <w:textAlignment w:val="bottom"/>
              <w:rPr>
                <w:rFonts w:ascii="新宋体" w:hAnsi="新宋体" w:eastAsia="新宋体" w:cs="新宋体"/>
                <w:b/>
                <w:color w:val="auto"/>
                <w:kern w:val="0"/>
                <w:sz w:val="24"/>
                <w:highlight w:val="none"/>
              </w:rPr>
            </w:pPr>
            <w:r>
              <w:rPr>
                <w:rFonts w:ascii="新宋体" w:hAnsi="新宋体" w:eastAsia="新宋体" w:cs="新宋体"/>
                <w:b/>
                <w:color w:val="auto"/>
                <w:kern w:val="0"/>
                <w:sz w:val="24"/>
                <w:highlight w:val="none"/>
              </w:rPr>
              <w:t>4</w:t>
            </w:r>
          </w:p>
        </w:tc>
        <w:tc>
          <w:tcPr>
            <w:tcW w:w="2376" w:type="dxa"/>
            <w:vAlign w:val="center"/>
          </w:tcPr>
          <w:p w14:paraId="2D4D004C">
            <w:pPr>
              <w:keepNext w:val="0"/>
              <w:keepLines w:val="0"/>
              <w:pageBreakBefore w:val="0"/>
              <w:kinsoku/>
              <w:wordWrap/>
              <w:topLinePunct w:val="0"/>
              <w:bidi w:val="0"/>
              <w:adjustRightInd w:val="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医疗垃圾收集员</w:t>
            </w:r>
          </w:p>
        </w:tc>
        <w:tc>
          <w:tcPr>
            <w:tcW w:w="1716" w:type="dxa"/>
            <w:vAlign w:val="center"/>
          </w:tcPr>
          <w:p w14:paraId="61A00E94">
            <w:pPr>
              <w:keepNext w:val="0"/>
              <w:keepLines w:val="0"/>
              <w:pageBreakBefore w:val="0"/>
              <w:kinsoku/>
              <w:wordWrap/>
              <w:topLinePunct w:val="0"/>
              <w:bidi w:val="0"/>
              <w:adjustRightInd w:val="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7：30-16：30</w:t>
            </w:r>
          </w:p>
        </w:tc>
        <w:tc>
          <w:tcPr>
            <w:tcW w:w="1700" w:type="dxa"/>
            <w:vAlign w:val="center"/>
          </w:tcPr>
          <w:p w14:paraId="773ECC7C">
            <w:pPr>
              <w:keepNext w:val="0"/>
              <w:keepLines w:val="0"/>
              <w:pageBreakBefore w:val="0"/>
              <w:kinsoku/>
              <w:wordWrap/>
              <w:topLinePunct w:val="0"/>
              <w:bidi w:val="0"/>
              <w:adjustRightInd w:val="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6079" w:type="dxa"/>
            <w:vAlign w:val="center"/>
          </w:tcPr>
          <w:p w14:paraId="21145D14">
            <w:pPr>
              <w:keepNext w:val="0"/>
              <w:keepLines w:val="0"/>
              <w:pageBreakBefore w:val="0"/>
              <w:kinsoku/>
              <w:wordWrap/>
              <w:topLinePunct w:val="0"/>
              <w:bidi w:val="0"/>
              <w:adjustRightInd w:val="0"/>
              <w:spacing w:before="144"/>
              <w:ind w:left="13" w:right="4"/>
              <w:jc w:val="center"/>
              <w:rPr>
                <w:rFonts w:ascii="新宋体" w:hAnsi="新宋体" w:eastAsia="新宋体" w:cs="新宋体"/>
                <w:color w:val="auto"/>
                <w:sz w:val="24"/>
                <w:highlight w:val="none"/>
              </w:rPr>
            </w:pPr>
            <w:r>
              <w:rPr>
                <w:rFonts w:ascii="新宋体" w:hAnsi="新宋体" w:eastAsia="新宋体" w:cs="新宋体"/>
                <w:color w:val="auto"/>
                <w:sz w:val="24"/>
                <w:highlight w:val="none"/>
              </w:rPr>
              <w:t>月休</w:t>
            </w:r>
            <w:r>
              <w:rPr>
                <w:rFonts w:hint="eastAsia" w:ascii="新宋体" w:hAnsi="新宋体" w:eastAsia="新宋体" w:cs="新宋体"/>
                <w:color w:val="auto"/>
                <w:sz w:val="24"/>
                <w:highlight w:val="none"/>
              </w:rPr>
              <w:t>4天</w:t>
            </w:r>
          </w:p>
        </w:tc>
      </w:tr>
      <w:tr w14:paraId="0D5C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98" w:type="dxa"/>
            <w:shd w:val="clear" w:color="auto" w:fill="auto"/>
            <w:vAlign w:val="center"/>
          </w:tcPr>
          <w:p w14:paraId="5F669492">
            <w:pPr>
              <w:keepNext w:val="0"/>
              <w:keepLines w:val="0"/>
              <w:pageBreakBefore w:val="0"/>
              <w:widowControl/>
              <w:kinsoku/>
              <w:wordWrap/>
              <w:overflowPunct w:val="0"/>
              <w:topLinePunct w:val="0"/>
              <w:autoSpaceDE w:val="0"/>
              <w:autoSpaceDN w:val="0"/>
              <w:bidi w:val="0"/>
              <w:adjustRightInd w:val="0"/>
              <w:snapToGrid w:val="0"/>
              <w:jc w:val="center"/>
              <w:textAlignment w:val="bottom"/>
              <w:rPr>
                <w:rFonts w:ascii="新宋体" w:hAnsi="新宋体" w:eastAsia="新宋体" w:cs="新宋体"/>
                <w:b/>
                <w:color w:val="auto"/>
                <w:kern w:val="0"/>
                <w:sz w:val="24"/>
                <w:highlight w:val="none"/>
              </w:rPr>
            </w:pPr>
            <w:r>
              <w:rPr>
                <w:rFonts w:ascii="新宋体" w:hAnsi="新宋体" w:eastAsia="新宋体" w:cs="新宋体"/>
                <w:b/>
                <w:color w:val="auto"/>
                <w:kern w:val="0"/>
                <w:sz w:val="24"/>
                <w:highlight w:val="none"/>
              </w:rPr>
              <w:t>5</w:t>
            </w:r>
          </w:p>
        </w:tc>
        <w:tc>
          <w:tcPr>
            <w:tcW w:w="2376" w:type="dxa"/>
            <w:vAlign w:val="center"/>
          </w:tcPr>
          <w:p w14:paraId="12B4DFA6">
            <w:pPr>
              <w:keepNext w:val="0"/>
              <w:keepLines w:val="0"/>
              <w:pageBreakBefore w:val="0"/>
              <w:kinsoku/>
              <w:wordWrap/>
              <w:topLinePunct w:val="0"/>
              <w:bidi w:val="0"/>
              <w:adjustRightInd w:val="0"/>
              <w:jc w:val="center"/>
              <w:rPr>
                <w:rFonts w:ascii="新宋体" w:hAnsi="新宋体" w:eastAsia="新宋体" w:cs="新宋体"/>
                <w:b/>
                <w:snapToGrid w:val="0"/>
                <w:color w:val="auto"/>
                <w:kern w:val="0"/>
                <w:sz w:val="24"/>
                <w:highlight w:val="none"/>
              </w:rPr>
            </w:pPr>
            <w:r>
              <w:rPr>
                <w:rFonts w:hint="eastAsia" w:ascii="新宋体" w:hAnsi="新宋体" w:eastAsia="新宋体" w:cs="新宋体"/>
                <w:color w:val="auto"/>
                <w:sz w:val="24"/>
                <w:highlight w:val="none"/>
              </w:rPr>
              <w:t>普通保洁员</w:t>
            </w:r>
          </w:p>
        </w:tc>
        <w:tc>
          <w:tcPr>
            <w:tcW w:w="1716" w:type="dxa"/>
            <w:vAlign w:val="center"/>
          </w:tcPr>
          <w:p w14:paraId="5B03D1B2">
            <w:pPr>
              <w:keepNext w:val="0"/>
              <w:keepLines w:val="0"/>
              <w:pageBreakBefore w:val="0"/>
              <w:kinsoku/>
              <w:wordWrap/>
              <w:topLinePunct w:val="0"/>
              <w:bidi w:val="0"/>
              <w:adjustRightInd w:val="0"/>
              <w:jc w:val="center"/>
              <w:rPr>
                <w:rFonts w:ascii="新宋体" w:hAnsi="新宋体" w:eastAsia="新宋体" w:cs="新宋体"/>
                <w:b/>
                <w:snapToGrid w:val="0"/>
                <w:color w:val="auto"/>
                <w:kern w:val="0"/>
                <w:sz w:val="24"/>
                <w:highlight w:val="none"/>
              </w:rPr>
            </w:pPr>
            <w:r>
              <w:rPr>
                <w:rFonts w:hint="eastAsia" w:ascii="新宋体" w:hAnsi="新宋体" w:eastAsia="新宋体" w:cs="新宋体"/>
                <w:color w:val="auto"/>
                <w:sz w:val="24"/>
                <w:highlight w:val="none"/>
              </w:rPr>
              <w:t>7：30-16：30</w:t>
            </w:r>
          </w:p>
        </w:tc>
        <w:tc>
          <w:tcPr>
            <w:tcW w:w="1700" w:type="dxa"/>
            <w:vAlign w:val="center"/>
          </w:tcPr>
          <w:p w14:paraId="05407445">
            <w:pPr>
              <w:keepNext w:val="0"/>
              <w:keepLines w:val="0"/>
              <w:pageBreakBefore w:val="0"/>
              <w:kinsoku/>
              <w:wordWrap/>
              <w:topLinePunct w:val="0"/>
              <w:bidi w:val="0"/>
              <w:adjustRightInd w:val="0"/>
              <w:jc w:val="center"/>
              <w:rPr>
                <w:rFonts w:ascii="新宋体" w:hAnsi="新宋体" w:eastAsia="新宋体" w:cs="新宋体"/>
                <w:snapToGrid w:val="0"/>
                <w:color w:val="auto"/>
                <w:kern w:val="0"/>
                <w:sz w:val="24"/>
                <w:highlight w:val="none"/>
              </w:rPr>
            </w:pPr>
            <w:r>
              <w:rPr>
                <w:rFonts w:ascii="新宋体" w:hAnsi="新宋体" w:eastAsia="新宋体" w:cs="新宋体"/>
                <w:snapToGrid w:val="0"/>
                <w:color w:val="auto"/>
                <w:kern w:val="0"/>
                <w:sz w:val="24"/>
                <w:highlight w:val="none"/>
              </w:rPr>
              <w:t>9</w:t>
            </w:r>
          </w:p>
        </w:tc>
        <w:tc>
          <w:tcPr>
            <w:tcW w:w="6079" w:type="dxa"/>
            <w:vAlign w:val="center"/>
          </w:tcPr>
          <w:p w14:paraId="3175369F">
            <w:pPr>
              <w:keepNext w:val="0"/>
              <w:keepLines w:val="0"/>
              <w:pageBreakBefore w:val="0"/>
              <w:kinsoku/>
              <w:wordWrap/>
              <w:topLinePunct w:val="0"/>
              <w:bidi w:val="0"/>
              <w:adjustRightInd w:val="0"/>
              <w:spacing w:before="144"/>
              <w:ind w:left="13" w:right="4"/>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月休4天</w:t>
            </w:r>
          </w:p>
        </w:tc>
      </w:tr>
      <w:tr w14:paraId="3A306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98" w:type="dxa"/>
            <w:shd w:val="clear" w:color="auto" w:fill="auto"/>
            <w:vAlign w:val="center"/>
          </w:tcPr>
          <w:p w14:paraId="4B2C134C">
            <w:pPr>
              <w:keepNext w:val="0"/>
              <w:keepLines w:val="0"/>
              <w:pageBreakBefore w:val="0"/>
              <w:widowControl/>
              <w:kinsoku/>
              <w:wordWrap/>
              <w:overflowPunct w:val="0"/>
              <w:topLinePunct w:val="0"/>
              <w:autoSpaceDE w:val="0"/>
              <w:autoSpaceDN w:val="0"/>
              <w:bidi w:val="0"/>
              <w:adjustRightInd w:val="0"/>
              <w:snapToGrid w:val="0"/>
              <w:jc w:val="center"/>
              <w:textAlignment w:val="bottom"/>
              <w:rPr>
                <w:rFonts w:ascii="新宋体" w:hAnsi="新宋体" w:eastAsia="新宋体" w:cs="新宋体"/>
                <w:b/>
                <w:color w:val="auto"/>
                <w:kern w:val="0"/>
                <w:sz w:val="24"/>
                <w:highlight w:val="none"/>
              </w:rPr>
            </w:pPr>
            <w:r>
              <w:rPr>
                <w:rFonts w:ascii="新宋体" w:hAnsi="新宋体" w:eastAsia="新宋体" w:cs="新宋体"/>
                <w:b/>
                <w:color w:val="auto"/>
                <w:kern w:val="0"/>
                <w:sz w:val="24"/>
                <w:highlight w:val="none"/>
              </w:rPr>
              <w:t>6</w:t>
            </w:r>
          </w:p>
        </w:tc>
        <w:tc>
          <w:tcPr>
            <w:tcW w:w="2376" w:type="dxa"/>
            <w:vAlign w:val="center"/>
          </w:tcPr>
          <w:p w14:paraId="657DB52D">
            <w:pPr>
              <w:keepNext w:val="0"/>
              <w:keepLines w:val="0"/>
              <w:pageBreakBefore w:val="0"/>
              <w:kinsoku/>
              <w:wordWrap/>
              <w:topLinePunct w:val="0"/>
              <w:bidi w:val="0"/>
              <w:adjustRightInd w:val="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外围保洁岗</w:t>
            </w:r>
          </w:p>
        </w:tc>
        <w:tc>
          <w:tcPr>
            <w:tcW w:w="1716" w:type="dxa"/>
            <w:vAlign w:val="center"/>
          </w:tcPr>
          <w:p w14:paraId="57FAF342">
            <w:pPr>
              <w:keepNext w:val="0"/>
              <w:keepLines w:val="0"/>
              <w:pageBreakBefore w:val="0"/>
              <w:kinsoku/>
              <w:wordWrap/>
              <w:topLinePunct w:val="0"/>
              <w:bidi w:val="0"/>
              <w:adjustRightInd w:val="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7：30-16：30</w:t>
            </w:r>
          </w:p>
        </w:tc>
        <w:tc>
          <w:tcPr>
            <w:tcW w:w="1700" w:type="dxa"/>
            <w:vAlign w:val="center"/>
          </w:tcPr>
          <w:p w14:paraId="5A41338D">
            <w:pPr>
              <w:keepNext w:val="0"/>
              <w:keepLines w:val="0"/>
              <w:pageBreakBefore w:val="0"/>
              <w:kinsoku/>
              <w:wordWrap/>
              <w:topLinePunct w:val="0"/>
              <w:bidi w:val="0"/>
              <w:adjustRightInd w:val="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6079" w:type="dxa"/>
            <w:vAlign w:val="center"/>
          </w:tcPr>
          <w:p w14:paraId="56102F3B">
            <w:pPr>
              <w:keepNext w:val="0"/>
              <w:keepLines w:val="0"/>
              <w:pageBreakBefore w:val="0"/>
              <w:kinsoku/>
              <w:wordWrap/>
              <w:topLinePunct w:val="0"/>
              <w:bidi w:val="0"/>
              <w:adjustRightInd w:val="0"/>
              <w:jc w:val="center"/>
              <w:rPr>
                <w:rFonts w:ascii="新宋体" w:hAnsi="新宋体" w:eastAsia="新宋体" w:cs="新宋体"/>
                <w:b/>
                <w:snapToGrid w:val="0"/>
                <w:color w:val="auto"/>
                <w:kern w:val="0"/>
                <w:sz w:val="24"/>
                <w:highlight w:val="none"/>
              </w:rPr>
            </w:pPr>
            <w:r>
              <w:rPr>
                <w:rFonts w:hint="eastAsia" w:ascii="新宋体" w:hAnsi="新宋体" w:eastAsia="新宋体" w:cs="新宋体"/>
                <w:color w:val="auto"/>
                <w:sz w:val="24"/>
                <w:highlight w:val="none"/>
              </w:rPr>
              <w:t>月休4天</w:t>
            </w:r>
          </w:p>
        </w:tc>
      </w:tr>
      <w:tr w14:paraId="17ED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98" w:type="dxa"/>
            <w:shd w:val="clear" w:color="auto" w:fill="auto"/>
            <w:vAlign w:val="center"/>
          </w:tcPr>
          <w:p w14:paraId="282796D7">
            <w:pPr>
              <w:keepNext w:val="0"/>
              <w:keepLines w:val="0"/>
              <w:pageBreakBefore w:val="0"/>
              <w:widowControl/>
              <w:kinsoku/>
              <w:wordWrap/>
              <w:overflowPunct w:val="0"/>
              <w:topLinePunct w:val="0"/>
              <w:autoSpaceDE w:val="0"/>
              <w:autoSpaceDN w:val="0"/>
              <w:bidi w:val="0"/>
              <w:adjustRightInd w:val="0"/>
              <w:snapToGrid w:val="0"/>
              <w:jc w:val="center"/>
              <w:textAlignment w:val="bottom"/>
              <w:rPr>
                <w:rFonts w:ascii="新宋体" w:hAnsi="新宋体" w:eastAsia="新宋体" w:cs="新宋体"/>
                <w:b/>
                <w:color w:val="auto"/>
                <w:kern w:val="0"/>
                <w:sz w:val="24"/>
                <w:highlight w:val="none"/>
              </w:rPr>
            </w:pPr>
            <w:r>
              <w:rPr>
                <w:rFonts w:ascii="新宋体" w:hAnsi="新宋体" w:eastAsia="新宋体" w:cs="新宋体"/>
                <w:b/>
                <w:color w:val="auto"/>
                <w:kern w:val="0"/>
                <w:sz w:val="24"/>
                <w:highlight w:val="none"/>
              </w:rPr>
              <w:t>7</w:t>
            </w:r>
          </w:p>
        </w:tc>
        <w:tc>
          <w:tcPr>
            <w:tcW w:w="2376" w:type="dxa"/>
            <w:vAlign w:val="center"/>
          </w:tcPr>
          <w:p w14:paraId="6DE570D3">
            <w:pPr>
              <w:keepNext w:val="0"/>
              <w:keepLines w:val="0"/>
              <w:pageBreakBefore w:val="0"/>
              <w:kinsoku/>
              <w:wordWrap/>
              <w:topLinePunct w:val="0"/>
              <w:bidi w:val="0"/>
              <w:adjustRightInd w:val="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会务人员</w:t>
            </w:r>
          </w:p>
        </w:tc>
        <w:tc>
          <w:tcPr>
            <w:tcW w:w="1716" w:type="dxa"/>
            <w:vAlign w:val="center"/>
          </w:tcPr>
          <w:p w14:paraId="7D503BD5">
            <w:pPr>
              <w:keepNext w:val="0"/>
              <w:keepLines w:val="0"/>
              <w:pageBreakBefore w:val="0"/>
              <w:kinsoku/>
              <w:wordWrap/>
              <w:topLinePunct w:val="0"/>
              <w:bidi w:val="0"/>
              <w:adjustRightInd w:val="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7：30-16：30</w:t>
            </w:r>
          </w:p>
        </w:tc>
        <w:tc>
          <w:tcPr>
            <w:tcW w:w="1700" w:type="dxa"/>
            <w:vAlign w:val="center"/>
          </w:tcPr>
          <w:p w14:paraId="59EC5576">
            <w:pPr>
              <w:keepNext w:val="0"/>
              <w:keepLines w:val="0"/>
              <w:pageBreakBefore w:val="0"/>
              <w:kinsoku/>
              <w:wordWrap/>
              <w:topLinePunct w:val="0"/>
              <w:bidi w:val="0"/>
              <w:adjustRightInd w:val="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6079" w:type="dxa"/>
            <w:vAlign w:val="center"/>
          </w:tcPr>
          <w:p w14:paraId="1C067880">
            <w:pPr>
              <w:keepNext w:val="0"/>
              <w:keepLines w:val="0"/>
              <w:pageBreakBefore w:val="0"/>
              <w:kinsoku/>
              <w:wordWrap/>
              <w:topLinePunct w:val="0"/>
              <w:bidi w:val="0"/>
              <w:adjustRightInd w:val="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月休4天</w:t>
            </w:r>
          </w:p>
        </w:tc>
      </w:tr>
      <w:tr w14:paraId="61DC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98" w:type="dxa"/>
            <w:shd w:val="clear" w:color="auto" w:fill="auto"/>
            <w:vAlign w:val="center"/>
          </w:tcPr>
          <w:p w14:paraId="646B1387">
            <w:pPr>
              <w:keepNext w:val="0"/>
              <w:keepLines w:val="0"/>
              <w:pageBreakBefore w:val="0"/>
              <w:widowControl/>
              <w:kinsoku/>
              <w:wordWrap/>
              <w:overflowPunct w:val="0"/>
              <w:topLinePunct w:val="0"/>
              <w:autoSpaceDE w:val="0"/>
              <w:autoSpaceDN w:val="0"/>
              <w:bidi w:val="0"/>
              <w:adjustRightInd w:val="0"/>
              <w:snapToGrid w:val="0"/>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8</w:t>
            </w:r>
          </w:p>
        </w:tc>
        <w:tc>
          <w:tcPr>
            <w:tcW w:w="2376" w:type="dxa"/>
            <w:vAlign w:val="center"/>
          </w:tcPr>
          <w:p w14:paraId="400022CC">
            <w:pPr>
              <w:keepNext w:val="0"/>
              <w:keepLines w:val="0"/>
              <w:pageBreakBefore w:val="0"/>
              <w:kinsoku/>
              <w:wordWrap/>
              <w:topLinePunct w:val="0"/>
              <w:bidi w:val="0"/>
              <w:adjustRightInd w:val="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门卫保安</w:t>
            </w:r>
          </w:p>
        </w:tc>
        <w:tc>
          <w:tcPr>
            <w:tcW w:w="1716" w:type="dxa"/>
            <w:vAlign w:val="center"/>
          </w:tcPr>
          <w:p w14:paraId="47C5766C">
            <w:pPr>
              <w:keepNext w:val="0"/>
              <w:keepLines w:val="0"/>
              <w:pageBreakBefore w:val="0"/>
              <w:kinsoku/>
              <w:wordWrap/>
              <w:topLinePunct w:val="0"/>
              <w:bidi w:val="0"/>
              <w:adjustRightInd w:val="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8小时接班制</w:t>
            </w:r>
          </w:p>
        </w:tc>
        <w:tc>
          <w:tcPr>
            <w:tcW w:w="1700" w:type="dxa"/>
            <w:vAlign w:val="center"/>
          </w:tcPr>
          <w:p w14:paraId="16CE1F04">
            <w:pPr>
              <w:keepNext w:val="0"/>
              <w:keepLines w:val="0"/>
              <w:pageBreakBefore w:val="0"/>
              <w:kinsoku/>
              <w:wordWrap/>
              <w:topLinePunct w:val="0"/>
              <w:bidi w:val="0"/>
              <w:adjustRightInd w:val="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6079" w:type="dxa"/>
            <w:vAlign w:val="center"/>
          </w:tcPr>
          <w:p w14:paraId="613C7BB5">
            <w:pPr>
              <w:keepNext w:val="0"/>
              <w:keepLines w:val="0"/>
              <w:pageBreakBefore w:val="0"/>
              <w:kinsoku/>
              <w:wordWrap/>
              <w:topLinePunct w:val="0"/>
              <w:bidi w:val="0"/>
              <w:adjustRightInd w:val="0"/>
              <w:jc w:val="center"/>
              <w:rPr>
                <w:rFonts w:ascii="新宋体" w:hAnsi="新宋体" w:eastAsia="新宋体" w:cs="新宋体"/>
                <w:b/>
                <w:snapToGrid w:val="0"/>
                <w:color w:val="auto"/>
                <w:kern w:val="0"/>
                <w:sz w:val="24"/>
                <w:highlight w:val="none"/>
              </w:rPr>
            </w:pPr>
            <w:r>
              <w:rPr>
                <w:rFonts w:ascii="新宋体" w:hAnsi="新宋体" w:eastAsia="新宋体" w:cs="新宋体"/>
                <w:color w:val="auto"/>
                <w:sz w:val="24"/>
                <w:highlight w:val="none"/>
              </w:rPr>
              <w:t>月休</w:t>
            </w:r>
            <w:r>
              <w:rPr>
                <w:rFonts w:hint="eastAsia" w:ascii="新宋体" w:hAnsi="新宋体" w:eastAsia="新宋体" w:cs="新宋体"/>
                <w:color w:val="auto"/>
                <w:sz w:val="24"/>
                <w:highlight w:val="none"/>
              </w:rPr>
              <w:t>4天</w:t>
            </w:r>
          </w:p>
        </w:tc>
      </w:tr>
      <w:tr w14:paraId="101C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98" w:type="dxa"/>
            <w:shd w:val="clear" w:color="auto" w:fill="auto"/>
            <w:vAlign w:val="center"/>
          </w:tcPr>
          <w:p w14:paraId="53577A95">
            <w:pPr>
              <w:keepNext w:val="0"/>
              <w:keepLines w:val="0"/>
              <w:pageBreakBefore w:val="0"/>
              <w:widowControl/>
              <w:kinsoku/>
              <w:wordWrap/>
              <w:overflowPunct w:val="0"/>
              <w:topLinePunct w:val="0"/>
              <w:autoSpaceDE w:val="0"/>
              <w:autoSpaceDN w:val="0"/>
              <w:bidi w:val="0"/>
              <w:adjustRightInd w:val="0"/>
              <w:snapToGrid w:val="0"/>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9</w:t>
            </w:r>
          </w:p>
        </w:tc>
        <w:tc>
          <w:tcPr>
            <w:tcW w:w="2376" w:type="dxa"/>
            <w:vAlign w:val="center"/>
          </w:tcPr>
          <w:p w14:paraId="57C644F6">
            <w:pPr>
              <w:keepNext w:val="0"/>
              <w:keepLines w:val="0"/>
              <w:pageBreakBefore w:val="0"/>
              <w:kinsoku/>
              <w:wordWrap/>
              <w:topLinePunct w:val="0"/>
              <w:bidi w:val="0"/>
              <w:adjustRightInd w:val="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消控员</w:t>
            </w:r>
          </w:p>
        </w:tc>
        <w:tc>
          <w:tcPr>
            <w:tcW w:w="1716" w:type="dxa"/>
            <w:vAlign w:val="center"/>
          </w:tcPr>
          <w:p w14:paraId="064A2C5A">
            <w:pPr>
              <w:keepNext w:val="0"/>
              <w:keepLines w:val="0"/>
              <w:pageBreakBefore w:val="0"/>
              <w:kinsoku/>
              <w:wordWrap/>
              <w:topLinePunct w:val="0"/>
              <w:bidi w:val="0"/>
              <w:adjustRightInd w:val="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8小时接班制</w:t>
            </w:r>
          </w:p>
        </w:tc>
        <w:tc>
          <w:tcPr>
            <w:tcW w:w="1700" w:type="dxa"/>
            <w:vAlign w:val="center"/>
          </w:tcPr>
          <w:p w14:paraId="3F0DC2DC">
            <w:pPr>
              <w:keepNext w:val="0"/>
              <w:keepLines w:val="0"/>
              <w:pageBreakBefore w:val="0"/>
              <w:kinsoku/>
              <w:wordWrap/>
              <w:topLinePunct w:val="0"/>
              <w:bidi w:val="0"/>
              <w:adjustRightInd w:val="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白间2人，夜间1人</w:t>
            </w:r>
          </w:p>
        </w:tc>
        <w:tc>
          <w:tcPr>
            <w:tcW w:w="6079" w:type="dxa"/>
            <w:vAlign w:val="center"/>
          </w:tcPr>
          <w:p w14:paraId="61B99C90">
            <w:pPr>
              <w:keepNext w:val="0"/>
              <w:keepLines w:val="0"/>
              <w:pageBreakBefore w:val="0"/>
              <w:kinsoku/>
              <w:wordWrap/>
              <w:topLinePunct w:val="0"/>
              <w:bidi w:val="0"/>
              <w:adjustRightInd w:val="0"/>
              <w:jc w:val="center"/>
              <w:rPr>
                <w:rFonts w:ascii="新宋体" w:hAnsi="新宋体" w:cs="新宋体"/>
                <w:b/>
                <w:snapToGrid w:val="0"/>
                <w:color w:val="auto"/>
                <w:kern w:val="0"/>
                <w:sz w:val="24"/>
                <w:highlight w:val="none"/>
              </w:rPr>
            </w:pPr>
            <w:r>
              <w:rPr>
                <w:rFonts w:ascii="新宋体" w:hAnsi="新宋体" w:eastAsia="新宋体" w:cs="新宋体"/>
                <w:color w:val="auto"/>
                <w:sz w:val="24"/>
                <w:highlight w:val="none"/>
              </w:rPr>
              <w:t>月休</w:t>
            </w:r>
            <w:r>
              <w:rPr>
                <w:rFonts w:hint="eastAsia" w:ascii="新宋体" w:hAnsi="新宋体" w:eastAsia="新宋体" w:cs="新宋体"/>
                <w:color w:val="auto"/>
                <w:sz w:val="24"/>
                <w:highlight w:val="none"/>
              </w:rPr>
              <w:t>4天。白天其中一个岗位消控员由</w:t>
            </w:r>
            <w:r>
              <w:rPr>
                <w:rFonts w:hint="eastAsia"/>
                <w:color w:val="auto"/>
                <w:highlight w:val="none"/>
              </w:rPr>
              <w:t>保安主管兼职。</w:t>
            </w:r>
          </w:p>
        </w:tc>
      </w:tr>
      <w:tr w14:paraId="381C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98" w:type="dxa"/>
            <w:shd w:val="clear" w:color="auto" w:fill="auto"/>
            <w:vAlign w:val="center"/>
          </w:tcPr>
          <w:p w14:paraId="31BFD23E">
            <w:pPr>
              <w:keepNext w:val="0"/>
              <w:keepLines w:val="0"/>
              <w:pageBreakBefore w:val="0"/>
              <w:widowControl/>
              <w:kinsoku/>
              <w:wordWrap/>
              <w:overflowPunct w:val="0"/>
              <w:topLinePunct w:val="0"/>
              <w:autoSpaceDE w:val="0"/>
              <w:autoSpaceDN w:val="0"/>
              <w:bidi w:val="0"/>
              <w:adjustRightInd w:val="0"/>
              <w:snapToGrid w:val="0"/>
              <w:jc w:val="center"/>
              <w:textAlignment w:val="bottom"/>
              <w:rPr>
                <w:rFonts w:ascii="新宋体" w:hAnsi="新宋体" w:eastAsia="新宋体" w:cs="新宋体"/>
                <w:b/>
                <w:color w:val="auto"/>
                <w:kern w:val="0"/>
                <w:sz w:val="24"/>
                <w:highlight w:val="none"/>
              </w:rPr>
            </w:pPr>
            <w:r>
              <w:rPr>
                <w:rFonts w:ascii="新宋体" w:hAnsi="新宋体" w:eastAsia="新宋体" w:cs="新宋体"/>
                <w:b/>
                <w:color w:val="auto"/>
                <w:kern w:val="0"/>
                <w:sz w:val="24"/>
                <w:highlight w:val="none"/>
              </w:rPr>
              <w:t>1</w:t>
            </w:r>
            <w:r>
              <w:rPr>
                <w:rFonts w:hint="eastAsia" w:ascii="新宋体" w:hAnsi="新宋体" w:eastAsia="新宋体" w:cs="新宋体"/>
                <w:b/>
                <w:color w:val="auto"/>
                <w:kern w:val="0"/>
                <w:sz w:val="24"/>
                <w:highlight w:val="none"/>
              </w:rPr>
              <w:t>0</w:t>
            </w:r>
          </w:p>
        </w:tc>
        <w:tc>
          <w:tcPr>
            <w:tcW w:w="2376" w:type="dxa"/>
            <w:vAlign w:val="center"/>
          </w:tcPr>
          <w:p w14:paraId="74DEB255">
            <w:pPr>
              <w:keepNext w:val="0"/>
              <w:keepLines w:val="0"/>
              <w:pageBreakBefore w:val="0"/>
              <w:kinsoku/>
              <w:wordWrap/>
              <w:topLinePunct w:val="0"/>
              <w:bidi w:val="0"/>
              <w:adjustRightInd w:val="0"/>
              <w:jc w:val="center"/>
              <w:rPr>
                <w:rFonts w:ascii="新宋体" w:hAnsi="新宋体" w:eastAsia="新宋体" w:cs="新宋体"/>
                <w:b/>
                <w:snapToGrid w:val="0"/>
                <w:color w:val="auto"/>
                <w:kern w:val="0"/>
                <w:sz w:val="24"/>
                <w:highlight w:val="none"/>
              </w:rPr>
            </w:pPr>
            <w:r>
              <w:rPr>
                <w:rFonts w:hint="eastAsia" w:ascii="新宋体" w:hAnsi="新宋体" w:eastAsia="新宋体" w:cs="新宋体"/>
                <w:color w:val="auto"/>
                <w:sz w:val="24"/>
                <w:highlight w:val="none"/>
              </w:rPr>
              <w:t>保安岗</w:t>
            </w:r>
          </w:p>
        </w:tc>
        <w:tc>
          <w:tcPr>
            <w:tcW w:w="1716" w:type="dxa"/>
            <w:vAlign w:val="center"/>
          </w:tcPr>
          <w:p w14:paraId="5AEDA8AA">
            <w:pPr>
              <w:keepNext w:val="0"/>
              <w:keepLines w:val="0"/>
              <w:pageBreakBefore w:val="0"/>
              <w:kinsoku/>
              <w:wordWrap/>
              <w:topLinePunct w:val="0"/>
              <w:bidi w:val="0"/>
              <w:adjustRightInd w:val="0"/>
              <w:jc w:val="center"/>
              <w:rPr>
                <w:rFonts w:ascii="新宋体" w:hAnsi="新宋体" w:eastAsia="新宋体" w:cs="新宋体"/>
                <w:b/>
                <w:snapToGrid w:val="0"/>
                <w:color w:val="auto"/>
                <w:kern w:val="0"/>
                <w:sz w:val="24"/>
                <w:highlight w:val="none"/>
              </w:rPr>
            </w:pPr>
            <w:r>
              <w:rPr>
                <w:rFonts w:hint="eastAsia" w:ascii="新宋体" w:hAnsi="新宋体" w:eastAsia="新宋体" w:cs="新宋体"/>
                <w:color w:val="auto"/>
                <w:sz w:val="24"/>
                <w:highlight w:val="none"/>
              </w:rPr>
              <w:t>7:00-16：30</w:t>
            </w:r>
          </w:p>
        </w:tc>
        <w:tc>
          <w:tcPr>
            <w:tcW w:w="1700" w:type="dxa"/>
            <w:vAlign w:val="center"/>
          </w:tcPr>
          <w:p w14:paraId="39AB9BC9">
            <w:pPr>
              <w:keepNext w:val="0"/>
              <w:keepLines w:val="0"/>
              <w:pageBreakBefore w:val="0"/>
              <w:kinsoku/>
              <w:wordWrap/>
              <w:topLinePunct w:val="0"/>
              <w:bidi w:val="0"/>
              <w:adjustRightInd w:val="0"/>
              <w:jc w:val="center"/>
              <w:rPr>
                <w:rFonts w:ascii="新宋体" w:hAnsi="新宋体" w:eastAsia="新宋体" w:cs="新宋体"/>
                <w:snapToGrid w:val="0"/>
                <w:color w:val="auto"/>
                <w:kern w:val="0"/>
                <w:sz w:val="24"/>
                <w:highlight w:val="none"/>
              </w:rPr>
            </w:pPr>
            <w:r>
              <w:rPr>
                <w:rFonts w:hint="eastAsia" w:ascii="新宋体" w:hAnsi="新宋体" w:eastAsia="新宋体" w:cs="新宋体"/>
                <w:snapToGrid w:val="0"/>
                <w:color w:val="auto"/>
                <w:kern w:val="0"/>
                <w:sz w:val="24"/>
                <w:highlight w:val="none"/>
              </w:rPr>
              <w:t>3</w:t>
            </w:r>
          </w:p>
        </w:tc>
        <w:tc>
          <w:tcPr>
            <w:tcW w:w="6079" w:type="dxa"/>
            <w:vAlign w:val="center"/>
          </w:tcPr>
          <w:p w14:paraId="3180BF05">
            <w:pPr>
              <w:keepNext w:val="0"/>
              <w:keepLines w:val="0"/>
              <w:pageBreakBefore w:val="0"/>
              <w:kinsoku/>
              <w:wordWrap/>
              <w:topLinePunct w:val="0"/>
              <w:bidi w:val="0"/>
              <w:adjustRightInd w:val="0"/>
              <w:jc w:val="center"/>
              <w:rPr>
                <w:rFonts w:ascii="新宋体" w:hAnsi="新宋体" w:eastAsia="新宋体" w:cs="新宋体"/>
                <w:b/>
                <w:snapToGrid w:val="0"/>
                <w:color w:val="auto"/>
                <w:kern w:val="0"/>
                <w:sz w:val="24"/>
                <w:highlight w:val="none"/>
              </w:rPr>
            </w:pPr>
            <w:r>
              <w:rPr>
                <w:rFonts w:hint="eastAsia" w:ascii="新宋体" w:hAnsi="新宋体" w:eastAsia="新宋体" w:cs="新宋体"/>
                <w:color w:val="auto"/>
                <w:sz w:val="24"/>
                <w:highlight w:val="none"/>
              </w:rPr>
              <w:t>月休4天</w:t>
            </w:r>
          </w:p>
        </w:tc>
      </w:tr>
      <w:tr w14:paraId="6D92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98" w:type="dxa"/>
            <w:shd w:val="clear" w:color="auto" w:fill="auto"/>
            <w:vAlign w:val="center"/>
          </w:tcPr>
          <w:p w14:paraId="1AE0ECA4">
            <w:pPr>
              <w:keepNext w:val="0"/>
              <w:keepLines w:val="0"/>
              <w:pageBreakBefore w:val="0"/>
              <w:widowControl/>
              <w:kinsoku/>
              <w:wordWrap/>
              <w:overflowPunct w:val="0"/>
              <w:topLinePunct w:val="0"/>
              <w:autoSpaceDE w:val="0"/>
              <w:autoSpaceDN w:val="0"/>
              <w:bidi w:val="0"/>
              <w:adjustRightInd w:val="0"/>
              <w:snapToGrid w:val="0"/>
              <w:jc w:val="center"/>
              <w:textAlignment w:val="bottom"/>
              <w:rPr>
                <w:rFonts w:ascii="新宋体" w:hAnsi="新宋体" w:eastAsia="新宋体" w:cs="新宋体"/>
                <w:b/>
                <w:color w:val="auto"/>
                <w:kern w:val="0"/>
                <w:sz w:val="24"/>
                <w:highlight w:val="none"/>
              </w:rPr>
            </w:pPr>
            <w:r>
              <w:rPr>
                <w:rFonts w:ascii="新宋体" w:hAnsi="新宋体" w:eastAsia="新宋体" w:cs="新宋体"/>
                <w:b/>
                <w:color w:val="auto"/>
                <w:kern w:val="0"/>
                <w:sz w:val="24"/>
                <w:highlight w:val="none"/>
              </w:rPr>
              <w:t>12</w:t>
            </w:r>
          </w:p>
        </w:tc>
        <w:tc>
          <w:tcPr>
            <w:tcW w:w="2376" w:type="dxa"/>
            <w:vAlign w:val="center"/>
          </w:tcPr>
          <w:p w14:paraId="6D757AFA">
            <w:pPr>
              <w:keepNext w:val="0"/>
              <w:keepLines w:val="0"/>
              <w:pageBreakBefore w:val="0"/>
              <w:kinsoku/>
              <w:wordWrap/>
              <w:topLinePunct w:val="0"/>
              <w:bidi w:val="0"/>
              <w:adjustRightInd w:val="0"/>
              <w:jc w:val="center"/>
              <w:rPr>
                <w:rFonts w:ascii="新宋体" w:hAnsi="新宋体" w:eastAsia="新宋体" w:cs="新宋体"/>
                <w:b/>
                <w:snapToGrid w:val="0"/>
                <w:color w:val="auto"/>
                <w:kern w:val="0"/>
                <w:sz w:val="24"/>
                <w:highlight w:val="none"/>
              </w:rPr>
            </w:pPr>
            <w:r>
              <w:rPr>
                <w:rFonts w:hint="eastAsia" w:ascii="新宋体" w:hAnsi="新宋体" w:eastAsia="新宋体" w:cs="新宋体"/>
                <w:color w:val="auto"/>
                <w:sz w:val="24"/>
                <w:highlight w:val="none"/>
              </w:rPr>
              <w:t>工程设备维修人员</w:t>
            </w:r>
          </w:p>
        </w:tc>
        <w:tc>
          <w:tcPr>
            <w:tcW w:w="1716" w:type="dxa"/>
            <w:vAlign w:val="center"/>
          </w:tcPr>
          <w:p w14:paraId="61DF26CC">
            <w:pPr>
              <w:keepNext w:val="0"/>
              <w:keepLines w:val="0"/>
              <w:pageBreakBefore w:val="0"/>
              <w:kinsoku/>
              <w:wordWrap/>
              <w:topLinePunct w:val="0"/>
              <w:bidi w:val="0"/>
              <w:adjustRightInd w:val="0"/>
              <w:jc w:val="center"/>
              <w:rPr>
                <w:rFonts w:ascii="新宋体" w:hAnsi="新宋体" w:eastAsia="新宋体" w:cs="新宋体"/>
                <w:b/>
                <w:snapToGrid w:val="0"/>
                <w:color w:val="auto"/>
                <w:kern w:val="0"/>
                <w:sz w:val="24"/>
                <w:highlight w:val="none"/>
              </w:rPr>
            </w:pPr>
            <w:r>
              <w:rPr>
                <w:rFonts w:hint="eastAsia" w:ascii="新宋体" w:hAnsi="新宋体" w:eastAsia="新宋体" w:cs="新宋体"/>
                <w:color w:val="auto"/>
                <w:sz w:val="24"/>
                <w:highlight w:val="none"/>
              </w:rPr>
              <w:t>7:00-16：30</w:t>
            </w:r>
          </w:p>
        </w:tc>
        <w:tc>
          <w:tcPr>
            <w:tcW w:w="1700" w:type="dxa"/>
            <w:vAlign w:val="center"/>
          </w:tcPr>
          <w:p w14:paraId="0537D326">
            <w:pPr>
              <w:keepNext w:val="0"/>
              <w:keepLines w:val="0"/>
              <w:pageBreakBefore w:val="0"/>
              <w:kinsoku/>
              <w:wordWrap/>
              <w:topLinePunct w:val="0"/>
              <w:bidi w:val="0"/>
              <w:adjustRightInd w:val="0"/>
              <w:jc w:val="center"/>
              <w:rPr>
                <w:rFonts w:ascii="新宋体" w:hAnsi="新宋体" w:eastAsia="新宋体" w:cs="新宋体"/>
                <w:snapToGrid w:val="0"/>
                <w:color w:val="auto"/>
                <w:kern w:val="0"/>
                <w:sz w:val="24"/>
                <w:highlight w:val="none"/>
              </w:rPr>
            </w:pPr>
            <w:r>
              <w:rPr>
                <w:rFonts w:hint="eastAsia" w:ascii="新宋体" w:hAnsi="新宋体" w:eastAsia="新宋体" w:cs="新宋体"/>
                <w:snapToGrid w:val="0"/>
                <w:color w:val="auto"/>
                <w:kern w:val="0"/>
                <w:sz w:val="24"/>
                <w:highlight w:val="none"/>
              </w:rPr>
              <w:t>1</w:t>
            </w:r>
          </w:p>
        </w:tc>
        <w:tc>
          <w:tcPr>
            <w:tcW w:w="6079" w:type="dxa"/>
            <w:vAlign w:val="center"/>
          </w:tcPr>
          <w:p w14:paraId="5D949B95">
            <w:pPr>
              <w:keepNext w:val="0"/>
              <w:keepLines w:val="0"/>
              <w:pageBreakBefore w:val="0"/>
              <w:kinsoku/>
              <w:wordWrap/>
              <w:topLinePunct w:val="0"/>
              <w:bidi w:val="0"/>
              <w:adjustRightInd w:val="0"/>
              <w:jc w:val="center"/>
              <w:rPr>
                <w:rFonts w:ascii="新宋体" w:hAnsi="新宋体" w:cs="新宋体"/>
                <w:b/>
                <w:snapToGrid w:val="0"/>
                <w:color w:val="auto"/>
                <w:kern w:val="0"/>
                <w:sz w:val="24"/>
                <w:highlight w:val="none"/>
              </w:rPr>
            </w:pPr>
            <w:r>
              <w:rPr>
                <w:rFonts w:hint="eastAsia" w:ascii="新宋体" w:hAnsi="新宋体" w:eastAsia="新宋体" w:cs="新宋体"/>
                <w:color w:val="auto"/>
                <w:sz w:val="24"/>
                <w:highlight w:val="none"/>
              </w:rPr>
              <w:t>双休日、法定节假日由于特殊原因、灾害性天气等应急维修需要半小时到场</w:t>
            </w:r>
          </w:p>
        </w:tc>
      </w:tr>
      <w:tr w14:paraId="44A8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98" w:type="dxa"/>
            <w:vAlign w:val="center"/>
          </w:tcPr>
          <w:p w14:paraId="5646C256">
            <w:pPr>
              <w:keepNext w:val="0"/>
              <w:keepLines w:val="0"/>
              <w:pageBreakBefore w:val="0"/>
              <w:widowControl/>
              <w:kinsoku/>
              <w:wordWrap/>
              <w:overflowPunct w:val="0"/>
              <w:topLinePunct w:val="0"/>
              <w:autoSpaceDE w:val="0"/>
              <w:autoSpaceDN w:val="0"/>
              <w:bidi w:val="0"/>
              <w:adjustRightInd w:val="0"/>
              <w:snapToGrid w:val="0"/>
              <w:jc w:val="center"/>
              <w:textAlignment w:val="bottom"/>
              <w:rPr>
                <w:rFonts w:ascii="新宋体" w:hAnsi="新宋体" w:eastAsia="新宋体" w:cs="新宋体"/>
                <w:b/>
                <w:color w:val="auto"/>
                <w:kern w:val="0"/>
                <w:sz w:val="24"/>
                <w:highlight w:val="none"/>
              </w:rPr>
            </w:pPr>
            <w:r>
              <w:rPr>
                <w:rFonts w:ascii="新宋体" w:hAnsi="新宋体" w:eastAsia="新宋体" w:cs="新宋体"/>
                <w:b/>
                <w:color w:val="auto"/>
                <w:kern w:val="0"/>
                <w:sz w:val="24"/>
                <w:highlight w:val="none"/>
              </w:rPr>
              <w:t>1</w:t>
            </w:r>
            <w:r>
              <w:rPr>
                <w:rFonts w:hint="eastAsia" w:ascii="新宋体" w:hAnsi="新宋体" w:eastAsia="新宋体" w:cs="新宋体"/>
                <w:b/>
                <w:color w:val="auto"/>
                <w:kern w:val="0"/>
                <w:sz w:val="24"/>
                <w:highlight w:val="none"/>
              </w:rPr>
              <w:t>3</w:t>
            </w:r>
          </w:p>
        </w:tc>
        <w:tc>
          <w:tcPr>
            <w:tcW w:w="2376" w:type="dxa"/>
            <w:vAlign w:val="center"/>
          </w:tcPr>
          <w:p w14:paraId="55FC5920">
            <w:pPr>
              <w:keepNext w:val="0"/>
              <w:keepLines w:val="0"/>
              <w:pageBreakBefore w:val="0"/>
              <w:kinsoku/>
              <w:wordWrap/>
              <w:topLinePunct w:val="0"/>
              <w:bidi w:val="0"/>
              <w:adjustRightInd w:val="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货物运送驾驶员</w:t>
            </w:r>
          </w:p>
        </w:tc>
        <w:tc>
          <w:tcPr>
            <w:tcW w:w="1716" w:type="dxa"/>
            <w:vAlign w:val="center"/>
          </w:tcPr>
          <w:p w14:paraId="19E49F98">
            <w:pPr>
              <w:keepNext w:val="0"/>
              <w:keepLines w:val="0"/>
              <w:pageBreakBefore w:val="0"/>
              <w:kinsoku/>
              <w:wordWrap/>
              <w:topLinePunct w:val="0"/>
              <w:bidi w:val="0"/>
              <w:adjustRightInd w:val="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7：30-16：30</w:t>
            </w:r>
          </w:p>
        </w:tc>
        <w:tc>
          <w:tcPr>
            <w:tcW w:w="1700" w:type="dxa"/>
            <w:vAlign w:val="center"/>
          </w:tcPr>
          <w:p w14:paraId="05260582">
            <w:pPr>
              <w:keepNext w:val="0"/>
              <w:keepLines w:val="0"/>
              <w:pageBreakBefore w:val="0"/>
              <w:kinsoku/>
              <w:wordWrap/>
              <w:topLinePunct w:val="0"/>
              <w:bidi w:val="0"/>
              <w:adjustRightInd w:val="0"/>
              <w:jc w:val="center"/>
              <w:rPr>
                <w:rFonts w:ascii="新宋体" w:hAnsi="新宋体" w:eastAsia="新宋体" w:cs="新宋体"/>
                <w:snapToGrid w:val="0"/>
                <w:color w:val="auto"/>
                <w:kern w:val="0"/>
                <w:sz w:val="24"/>
                <w:highlight w:val="none"/>
              </w:rPr>
            </w:pPr>
            <w:r>
              <w:rPr>
                <w:rFonts w:hint="eastAsia" w:ascii="新宋体" w:hAnsi="新宋体" w:eastAsia="新宋体" w:cs="新宋体"/>
                <w:snapToGrid w:val="0"/>
                <w:color w:val="auto"/>
                <w:kern w:val="0"/>
                <w:sz w:val="24"/>
                <w:highlight w:val="none"/>
              </w:rPr>
              <w:t>1</w:t>
            </w:r>
          </w:p>
        </w:tc>
        <w:tc>
          <w:tcPr>
            <w:tcW w:w="6079" w:type="dxa"/>
            <w:vAlign w:val="center"/>
          </w:tcPr>
          <w:p w14:paraId="44D05F9A">
            <w:pPr>
              <w:keepNext w:val="0"/>
              <w:keepLines w:val="0"/>
              <w:pageBreakBefore w:val="0"/>
              <w:kinsoku/>
              <w:wordWrap/>
              <w:topLinePunct w:val="0"/>
              <w:bidi w:val="0"/>
              <w:adjustRightInd w:val="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月休4天，双休日、法定节假日由于特殊原因需要半小时到场</w:t>
            </w:r>
          </w:p>
        </w:tc>
      </w:tr>
      <w:tr w14:paraId="5E8F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98" w:type="dxa"/>
            <w:vAlign w:val="center"/>
          </w:tcPr>
          <w:p w14:paraId="6AD8F7D2">
            <w:pPr>
              <w:keepNext w:val="0"/>
              <w:keepLines w:val="0"/>
              <w:pageBreakBefore w:val="0"/>
              <w:widowControl/>
              <w:kinsoku/>
              <w:wordWrap/>
              <w:overflowPunct w:val="0"/>
              <w:topLinePunct w:val="0"/>
              <w:autoSpaceDE w:val="0"/>
              <w:autoSpaceDN w:val="0"/>
              <w:bidi w:val="0"/>
              <w:adjustRightInd w:val="0"/>
              <w:snapToGrid w:val="0"/>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14</w:t>
            </w:r>
          </w:p>
        </w:tc>
        <w:tc>
          <w:tcPr>
            <w:tcW w:w="2376" w:type="dxa"/>
            <w:shd w:val="clear" w:color="auto" w:fill="auto"/>
            <w:vAlign w:val="center"/>
          </w:tcPr>
          <w:p w14:paraId="6F82C5C7">
            <w:pPr>
              <w:keepNext w:val="0"/>
              <w:keepLines w:val="0"/>
              <w:pageBreakBefore w:val="0"/>
              <w:kinsoku/>
              <w:wordWrap/>
              <w:topLinePunct w:val="0"/>
              <w:bidi w:val="0"/>
              <w:adjustRightInd w:val="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洗衣工</w:t>
            </w:r>
          </w:p>
        </w:tc>
        <w:tc>
          <w:tcPr>
            <w:tcW w:w="1716" w:type="dxa"/>
            <w:vAlign w:val="center"/>
          </w:tcPr>
          <w:p w14:paraId="21303884">
            <w:pPr>
              <w:keepNext w:val="0"/>
              <w:keepLines w:val="0"/>
              <w:pageBreakBefore w:val="0"/>
              <w:kinsoku/>
              <w:wordWrap/>
              <w:topLinePunct w:val="0"/>
              <w:bidi w:val="0"/>
              <w:adjustRightInd w:val="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7：30-16：30</w:t>
            </w:r>
          </w:p>
        </w:tc>
        <w:tc>
          <w:tcPr>
            <w:tcW w:w="1700" w:type="dxa"/>
            <w:vAlign w:val="center"/>
          </w:tcPr>
          <w:p w14:paraId="6D446202">
            <w:pPr>
              <w:keepNext w:val="0"/>
              <w:keepLines w:val="0"/>
              <w:pageBreakBefore w:val="0"/>
              <w:kinsoku/>
              <w:wordWrap/>
              <w:topLinePunct w:val="0"/>
              <w:bidi w:val="0"/>
              <w:adjustRightInd w:val="0"/>
              <w:jc w:val="center"/>
              <w:rPr>
                <w:rFonts w:ascii="新宋体" w:hAnsi="新宋体" w:eastAsia="新宋体" w:cs="新宋体"/>
                <w:snapToGrid w:val="0"/>
                <w:color w:val="auto"/>
                <w:kern w:val="0"/>
                <w:sz w:val="24"/>
                <w:highlight w:val="none"/>
              </w:rPr>
            </w:pPr>
            <w:r>
              <w:rPr>
                <w:rFonts w:hint="eastAsia" w:ascii="新宋体" w:hAnsi="新宋体" w:eastAsia="新宋体" w:cs="新宋体"/>
                <w:snapToGrid w:val="0"/>
                <w:color w:val="auto"/>
                <w:kern w:val="0"/>
                <w:sz w:val="24"/>
                <w:highlight w:val="none"/>
              </w:rPr>
              <w:t>1</w:t>
            </w:r>
          </w:p>
        </w:tc>
        <w:tc>
          <w:tcPr>
            <w:tcW w:w="6079" w:type="dxa"/>
            <w:shd w:val="clear" w:color="auto" w:fill="auto"/>
            <w:vAlign w:val="center"/>
          </w:tcPr>
          <w:p w14:paraId="0D1959C0">
            <w:pPr>
              <w:keepNext w:val="0"/>
              <w:keepLines w:val="0"/>
              <w:pageBreakBefore w:val="0"/>
              <w:kinsoku/>
              <w:wordWrap/>
              <w:topLinePunct w:val="0"/>
              <w:bidi w:val="0"/>
              <w:adjustRightInd w:val="0"/>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月休4天</w:t>
            </w:r>
          </w:p>
        </w:tc>
      </w:tr>
    </w:tbl>
    <w:p w14:paraId="6605AA5C">
      <w:pPr>
        <w:keepNext w:val="0"/>
        <w:keepLines w:val="0"/>
        <w:pageBreakBefore w:val="0"/>
        <w:kinsoku/>
        <w:wordWrap/>
        <w:topLinePunct w:val="0"/>
        <w:bidi w:val="0"/>
        <w:adjustRightInd w:val="0"/>
        <w:spacing w:line="360" w:lineRule="auto"/>
        <w:rPr>
          <w:rFonts w:ascii="新宋体" w:hAnsi="新宋体" w:eastAsia="新宋体" w:cs="新宋体"/>
          <w:color w:val="auto"/>
          <w:kern w:val="0"/>
          <w:sz w:val="24"/>
          <w:highlight w:val="none"/>
        </w:rPr>
      </w:pPr>
    </w:p>
    <w:p w14:paraId="73E74B1E">
      <w:pPr>
        <w:keepNext w:val="0"/>
        <w:keepLines w:val="0"/>
        <w:pageBreakBefore w:val="0"/>
        <w:kinsoku/>
        <w:wordWrap/>
        <w:topLinePunct w:val="0"/>
        <w:bidi w:val="0"/>
        <w:adjustRightInd w:val="0"/>
        <w:spacing w:line="360" w:lineRule="auto"/>
        <w:rPr>
          <w:rFonts w:ascii="新宋体" w:hAnsi="新宋体" w:eastAsia="新宋体" w:cs="新宋体"/>
          <w:b/>
          <w:bCs/>
          <w:color w:val="auto"/>
          <w:sz w:val="24"/>
          <w:highlight w:val="none"/>
        </w:rPr>
      </w:pPr>
      <w:r>
        <w:rPr>
          <w:rFonts w:hint="eastAsia" w:ascii="新宋体" w:hAnsi="新宋体" w:eastAsia="新宋体" w:cs="新宋体"/>
          <w:color w:val="auto"/>
          <w:kern w:val="0"/>
          <w:sz w:val="24"/>
          <w:highlight w:val="none"/>
        </w:rPr>
        <w:t>以上所有岗位的设置、排班，应符合《</w:t>
      </w:r>
      <w:r>
        <w:rPr>
          <w:color w:val="auto"/>
          <w:highlight w:val="none"/>
        </w:rPr>
        <w:fldChar w:fldCharType="begin"/>
      </w:r>
      <w:r>
        <w:rPr>
          <w:color w:val="auto"/>
          <w:highlight w:val="none"/>
        </w:rPr>
        <w:instrText xml:space="preserve"> HYPERLINK "http://www.baidu.com/link?url=F45hGkUIbBtxVnxPZATPQbkbwCTU3UxFBB4t-a-QSoW-3bIW4BtrL6FnbZHsoQuDz-Tl0uQwaqK33u1ssI-PWGeDOXSuPpiDhEwM8ziWofO" \t "https://www.baidu.com/_blank" </w:instrText>
      </w:r>
      <w:r>
        <w:rPr>
          <w:color w:val="auto"/>
          <w:highlight w:val="none"/>
        </w:rPr>
        <w:fldChar w:fldCharType="separate"/>
      </w:r>
      <w:r>
        <w:rPr>
          <w:rFonts w:hint="eastAsia" w:ascii="新宋体" w:hAnsi="新宋体" w:eastAsia="新宋体" w:cs="新宋体"/>
          <w:color w:val="auto"/>
          <w:kern w:val="0"/>
          <w:sz w:val="24"/>
          <w:highlight w:val="none"/>
        </w:rPr>
        <w:t>中华人民共和国劳动法</w:t>
      </w:r>
      <w:r>
        <w:rPr>
          <w:rFonts w:hint="eastAsia" w:ascii="新宋体" w:hAnsi="新宋体" w:eastAsia="新宋体" w:cs="新宋体"/>
          <w:color w:val="auto"/>
          <w:kern w:val="0"/>
          <w:sz w:val="24"/>
          <w:highlight w:val="none"/>
        </w:rPr>
        <w:fldChar w:fldCharType="end"/>
      </w:r>
      <w:r>
        <w:rPr>
          <w:rFonts w:hint="eastAsia" w:ascii="新宋体" w:hAnsi="新宋体" w:eastAsia="新宋体" w:cs="新宋体"/>
          <w:color w:val="auto"/>
          <w:kern w:val="0"/>
          <w:sz w:val="24"/>
          <w:highlight w:val="none"/>
        </w:rPr>
        <w:t>》相关规定，应满足采购人工作日、双休日、法定节假日的全部工作任务，投标人自行合理安排员工休息时间，如产生替班加班情况，均由投标人自行承担相应费用。</w:t>
      </w:r>
    </w:p>
    <w:p w14:paraId="6F58D2C7">
      <w:pPr>
        <w:rPr>
          <w:rFonts w:hint="eastAsia" w:ascii="新宋体" w:hAnsi="新宋体" w:eastAsia="新宋体" w:cs="新宋体"/>
          <w:b/>
          <w:bCs/>
          <w:color w:val="auto"/>
          <w:sz w:val="24"/>
          <w:highlight w:val="none"/>
        </w:rPr>
        <w:sectPr>
          <w:pgSz w:w="11907" w:h="16839"/>
          <w:pgMar w:top="1440" w:right="1800" w:bottom="1440" w:left="1800" w:header="0" w:footer="0" w:gutter="0"/>
          <w:cols w:space="720" w:num="1"/>
          <w:docGrid w:type="lines" w:linePitch="319" w:charSpace="0"/>
        </w:sectPr>
      </w:pPr>
      <w:r>
        <w:rPr>
          <w:rFonts w:hint="eastAsia" w:ascii="新宋体" w:hAnsi="新宋体" w:eastAsia="新宋体" w:cs="新宋体"/>
          <w:b/>
          <w:bCs/>
          <w:color w:val="auto"/>
          <w:sz w:val="24"/>
          <w:highlight w:val="none"/>
        </w:rPr>
        <w:br w:type="page"/>
      </w:r>
    </w:p>
    <w:p w14:paraId="00B714D9">
      <w:pPr>
        <w:pStyle w:val="2"/>
        <w:rPr>
          <w:color w:val="auto"/>
          <w:highlight w:val="none"/>
        </w:rPr>
      </w:pPr>
    </w:p>
    <w:p w14:paraId="60476A08">
      <w:p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（五）《物业管理服务人员行为规范》</w:t>
      </w:r>
    </w:p>
    <w:p w14:paraId="5A9C4545">
      <w:pPr>
        <w:spacing w:line="26" w:lineRule="exact"/>
        <w:rPr>
          <w:rFonts w:ascii="新宋体" w:hAnsi="新宋体" w:eastAsia="新宋体" w:cs="新宋体"/>
          <w:color w:val="auto"/>
          <w:sz w:val="24"/>
          <w:highlight w:val="none"/>
        </w:rPr>
      </w:pPr>
    </w:p>
    <w:tbl>
      <w:tblPr>
        <w:tblStyle w:val="964"/>
        <w:tblW w:w="145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053"/>
        <w:gridCol w:w="11777"/>
      </w:tblGrid>
      <w:tr w14:paraId="5EFB2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790" w:type="dxa"/>
            <w:gridSpan w:val="2"/>
          </w:tcPr>
          <w:p w14:paraId="66C5B541">
            <w:pPr>
              <w:spacing w:before="94" w:line="185" w:lineRule="auto"/>
              <w:ind w:left="1081"/>
              <w:rPr>
                <w:rFonts w:ascii="新宋体" w:hAnsi="新宋体" w:eastAsia="新宋体" w:cs="新宋体"/>
                <w:color w:val="auto"/>
                <w:sz w:val="24"/>
                <w:highlight w:val="none"/>
              </w:rPr>
            </w:pPr>
            <w:r>
              <w:rPr>
                <w:rFonts w:hint="eastAsia" w:ascii="新宋体" w:hAnsi="新宋体" w:eastAsia="新宋体" w:cs="新宋体"/>
                <w:color w:val="auto"/>
                <w:spacing w:val="11"/>
                <w:sz w:val="24"/>
                <w:highlight w:val="none"/>
              </w:rPr>
              <w:t>项</w:t>
            </w:r>
            <w:r>
              <w:rPr>
                <w:rFonts w:hint="eastAsia" w:ascii="新宋体" w:hAnsi="新宋体" w:eastAsia="新宋体" w:cs="新宋体"/>
                <w:color w:val="auto"/>
                <w:spacing w:val="9"/>
                <w:sz w:val="24"/>
                <w:highlight w:val="none"/>
              </w:rPr>
              <w:t xml:space="preserve">   目</w:t>
            </w:r>
          </w:p>
        </w:tc>
        <w:tc>
          <w:tcPr>
            <w:tcW w:w="11777" w:type="dxa"/>
          </w:tcPr>
          <w:p w14:paraId="7F0F970B">
            <w:pPr>
              <w:spacing w:before="94" w:line="185" w:lineRule="auto"/>
              <w:ind w:left="525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行</w:t>
            </w:r>
            <w:r>
              <w:rPr>
                <w:rFonts w:hint="eastAsia" w:ascii="新宋体" w:hAnsi="新宋体" w:eastAsia="新宋体" w:cs="新宋体"/>
                <w:color w:val="auto"/>
                <w:sz w:val="24"/>
                <w:highlight w:val="none"/>
              </w:rPr>
              <w:t>为参考规范</w:t>
            </w:r>
          </w:p>
        </w:tc>
      </w:tr>
      <w:tr w14:paraId="728A5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737" w:type="dxa"/>
            <w:vMerge w:val="restart"/>
            <w:textDirection w:val="tbRlV"/>
          </w:tcPr>
          <w:p w14:paraId="42E22AB7">
            <w:pPr>
              <w:spacing w:before="93" w:line="181" w:lineRule="auto"/>
              <w:ind w:left="1575"/>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 xml:space="preserve">仪  容  仪  </w:t>
            </w:r>
            <w:r>
              <w:rPr>
                <w:rFonts w:hint="eastAsia" w:ascii="新宋体" w:hAnsi="新宋体" w:eastAsia="新宋体" w:cs="新宋体"/>
                <w:color w:val="auto"/>
                <w:sz w:val="24"/>
                <w:highlight w:val="none"/>
              </w:rPr>
              <w:t>表</w:t>
            </w:r>
          </w:p>
        </w:tc>
        <w:tc>
          <w:tcPr>
            <w:tcW w:w="2053" w:type="dxa"/>
          </w:tcPr>
          <w:p w14:paraId="6A05B576">
            <w:pPr>
              <w:spacing w:line="450" w:lineRule="auto"/>
              <w:rPr>
                <w:rFonts w:ascii="新宋体" w:hAnsi="新宋体" w:eastAsia="新宋体" w:cs="新宋体"/>
                <w:color w:val="auto"/>
                <w:sz w:val="24"/>
                <w:highlight w:val="none"/>
              </w:rPr>
            </w:pPr>
          </w:p>
          <w:p w14:paraId="5A085F1A">
            <w:pPr>
              <w:spacing w:before="90" w:line="186" w:lineRule="auto"/>
              <w:ind w:left="605"/>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服饰着装</w:t>
            </w:r>
          </w:p>
        </w:tc>
        <w:tc>
          <w:tcPr>
            <w:tcW w:w="11777" w:type="dxa"/>
          </w:tcPr>
          <w:p w14:paraId="65003E67">
            <w:pPr>
              <w:spacing w:before="32" w:line="219"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5"/>
                <w:sz w:val="24"/>
                <w:highlight w:val="none"/>
              </w:rPr>
              <w:t>1、上班时间必须穿工作服，工作服穿戴整齐整洁</w:t>
            </w:r>
            <w:r>
              <w:rPr>
                <w:rFonts w:hint="eastAsia" w:ascii="新宋体" w:hAnsi="新宋体" w:eastAsia="新宋体" w:cs="新宋体"/>
                <w:color w:val="auto"/>
                <w:spacing w:val="-4"/>
                <w:sz w:val="24"/>
                <w:highlight w:val="none"/>
              </w:rPr>
              <w:t>；</w:t>
            </w:r>
          </w:p>
          <w:p w14:paraId="4D9A4763">
            <w:pPr>
              <w:spacing w:before="92" w:line="219"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2、上班统一佩戴工作牌，工作牌应端正地戴在左胸襟处</w:t>
            </w:r>
            <w:r>
              <w:rPr>
                <w:rFonts w:hint="eastAsia" w:ascii="新宋体" w:hAnsi="新宋体" w:eastAsia="新宋体" w:cs="新宋体"/>
                <w:color w:val="auto"/>
                <w:spacing w:val="-2"/>
                <w:sz w:val="24"/>
                <w:highlight w:val="none"/>
              </w:rPr>
              <w:t>；</w:t>
            </w:r>
          </w:p>
          <w:p w14:paraId="3A3AAAF9">
            <w:pPr>
              <w:spacing w:before="91" w:line="219"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5"/>
                <w:sz w:val="24"/>
                <w:highlight w:val="none"/>
              </w:rPr>
              <w:t>3</w:t>
            </w:r>
            <w:r>
              <w:rPr>
                <w:rFonts w:hint="eastAsia" w:ascii="新宋体" w:hAnsi="新宋体" w:eastAsia="新宋体" w:cs="新宋体"/>
                <w:color w:val="auto"/>
                <w:spacing w:val="-4"/>
                <w:sz w:val="24"/>
                <w:highlight w:val="none"/>
              </w:rPr>
              <w:t>、鞋袜穿戴整齐清洁，非工作需要不允许打赤脚或穿雨鞋到处走。特殊工作完毕应在工作场所将鞋擦干净再走；</w:t>
            </w:r>
          </w:p>
          <w:p w14:paraId="4B66F1B8">
            <w:pPr>
              <w:spacing w:before="91" w:line="221"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10"/>
                <w:sz w:val="24"/>
                <w:highlight w:val="none"/>
              </w:rPr>
              <w:t>4、</w:t>
            </w:r>
            <w:r>
              <w:rPr>
                <w:rFonts w:hint="eastAsia" w:ascii="新宋体" w:hAnsi="新宋体" w:eastAsia="新宋体" w:cs="新宋体"/>
                <w:color w:val="auto"/>
                <w:spacing w:val="-5"/>
                <w:sz w:val="24"/>
                <w:highlight w:val="none"/>
              </w:rPr>
              <w:t>非特殊情况不允许穿背心、短裤、拖鞋。</w:t>
            </w:r>
          </w:p>
        </w:tc>
      </w:tr>
      <w:tr w14:paraId="68C37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737" w:type="dxa"/>
            <w:vMerge w:val="continue"/>
            <w:textDirection w:val="tbRlV"/>
          </w:tcPr>
          <w:p w14:paraId="03BCDE96">
            <w:pPr>
              <w:rPr>
                <w:rFonts w:ascii="新宋体" w:hAnsi="新宋体" w:eastAsia="新宋体" w:cs="新宋体"/>
                <w:color w:val="auto"/>
                <w:sz w:val="24"/>
                <w:highlight w:val="none"/>
              </w:rPr>
            </w:pPr>
          </w:p>
        </w:tc>
        <w:tc>
          <w:tcPr>
            <w:tcW w:w="2053" w:type="dxa"/>
          </w:tcPr>
          <w:p w14:paraId="3608D9B8">
            <w:pPr>
              <w:spacing w:line="282" w:lineRule="auto"/>
              <w:rPr>
                <w:rFonts w:ascii="新宋体" w:hAnsi="新宋体" w:eastAsia="新宋体" w:cs="新宋体"/>
                <w:color w:val="auto"/>
                <w:sz w:val="24"/>
                <w:highlight w:val="none"/>
              </w:rPr>
            </w:pPr>
          </w:p>
          <w:p w14:paraId="3BA16F6B">
            <w:pPr>
              <w:spacing w:before="91" w:line="185" w:lineRule="auto"/>
              <w:ind w:left="81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须</w:t>
            </w:r>
            <w:r>
              <w:rPr>
                <w:rFonts w:hint="eastAsia" w:ascii="新宋体" w:hAnsi="新宋体" w:eastAsia="新宋体" w:cs="新宋体"/>
                <w:color w:val="auto"/>
                <w:sz w:val="24"/>
                <w:highlight w:val="none"/>
              </w:rPr>
              <w:t>发</w:t>
            </w:r>
          </w:p>
        </w:tc>
        <w:tc>
          <w:tcPr>
            <w:tcW w:w="11777" w:type="dxa"/>
          </w:tcPr>
          <w:p w14:paraId="2F3E66F7">
            <w:pPr>
              <w:spacing w:before="32" w:line="221"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1</w:t>
            </w:r>
            <w:r>
              <w:rPr>
                <w:rFonts w:hint="eastAsia" w:ascii="新宋体" w:hAnsi="新宋体" w:eastAsia="新宋体" w:cs="新宋体"/>
                <w:color w:val="auto"/>
                <w:spacing w:val="-12"/>
                <w:sz w:val="24"/>
                <w:highlight w:val="none"/>
              </w:rPr>
              <w:t>、女员工前发不遮眼，不梳怪异发型；</w:t>
            </w:r>
          </w:p>
          <w:p w14:paraId="4158AB73">
            <w:pPr>
              <w:spacing w:before="90" w:line="221"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2</w:t>
            </w:r>
            <w:r>
              <w:rPr>
                <w:rFonts w:hint="eastAsia" w:ascii="新宋体" w:hAnsi="新宋体" w:eastAsia="新宋体" w:cs="新宋体"/>
                <w:color w:val="auto"/>
                <w:spacing w:val="-9"/>
                <w:sz w:val="24"/>
                <w:highlight w:val="none"/>
              </w:rPr>
              <w:t>、</w:t>
            </w:r>
            <w:r>
              <w:rPr>
                <w:rFonts w:hint="eastAsia" w:ascii="新宋体" w:hAnsi="新宋体" w:eastAsia="新宋体" w:cs="新宋体"/>
                <w:color w:val="auto"/>
                <w:spacing w:val="-6"/>
                <w:sz w:val="24"/>
                <w:highlight w:val="none"/>
              </w:rPr>
              <w:t>男员工不留长发，不留胡须；</w:t>
            </w:r>
          </w:p>
          <w:p w14:paraId="1FB202AF">
            <w:pPr>
              <w:spacing w:before="88" w:line="218"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3</w:t>
            </w:r>
            <w:r>
              <w:rPr>
                <w:rFonts w:hint="eastAsia" w:ascii="新宋体" w:hAnsi="新宋体" w:eastAsia="新宋体" w:cs="新宋体"/>
                <w:color w:val="auto"/>
                <w:spacing w:val="-8"/>
                <w:sz w:val="24"/>
                <w:highlight w:val="none"/>
              </w:rPr>
              <w:t>、所有员工头发应保持整洁。</w:t>
            </w:r>
          </w:p>
        </w:tc>
      </w:tr>
      <w:tr w14:paraId="5A44E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737" w:type="dxa"/>
            <w:vMerge w:val="continue"/>
            <w:textDirection w:val="tbRlV"/>
          </w:tcPr>
          <w:p w14:paraId="2A4072B5">
            <w:pPr>
              <w:rPr>
                <w:rFonts w:ascii="新宋体" w:hAnsi="新宋体" w:eastAsia="新宋体" w:cs="新宋体"/>
                <w:color w:val="auto"/>
                <w:sz w:val="24"/>
                <w:highlight w:val="none"/>
              </w:rPr>
            </w:pPr>
          </w:p>
        </w:tc>
        <w:tc>
          <w:tcPr>
            <w:tcW w:w="2053" w:type="dxa"/>
          </w:tcPr>
          <w:p w14:paraId="15F002D7">
            <w:pPr>
              <w:spacing w:line="262" w:lineRule="auto"/>
              <w:rPr>
                <w:rFonts w:ascii="新宋体" w:hAnsi="新宋体" w:eastAsia="新宋体" w:cs="新宋体"/>
                <w:color w:val="auto"/>
                <w:sz w:val="24"/>
                <w:highlight w:val="none"/>
              </w:rPr>
            </w:pPr>
          </w:p>
          <w:p w14:paraId="0DD3382C">
            <w:pPr>
              <w:spacing w:line="263" w:lineRule="auto"/>
              <w:rPr>
                <w:rFonts w:ascii="新宋体" w:hAnsi="新宋体" w:eastAsia="新宋体" w:cs="新宋体"/>
                <w:color w:val="auto"/>
                <w:sz w:val="24"/>
                <w:highlight w:val="none"/>
              </w:rPr>
            </w:pPr>
          </w:p>
          <w:p w14:paraId="4EF62511">
            <w:pPr>
              <w:spacing w:line="263" w:lineRule="auto"/>
              <w:rPr>
                <w:rFonts w:ascii="新宋体" w:hAnsi="新宋体" w:eastAsia="新宋体" w:cs="新宋体"/>
                <w:color w:val="auto"/>
                <w:sz w:val="24"/>
                <w:highlight w:val="none"/>
              </w:rPr>
            </w:pPr>
          </w:p>
          <w:p w14:paraId="0B23C8A5">
            <w:pPr>
              <w:spacing w:before="90" w:line="187" w:lineRule="auto"/>
              <w:ind w:left="605"/>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个人卫生</w:t>
            </w:r>
          </w:p>
        </w:tc>
        <w:tc>
          <w:tcPr>
            <w:tcW w:w="11777" w:type="dxa"/>
          </w:tcPr>
          <w:p w14:paraId="2008C7D6">
            <w:pPr>
              <w:spacing w:before="34" w:line="220"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13"/>
                <w:sz w:val="24"/>
                <w:highlight w:val="none"/>
              </w:rPr>
              <w:t>1</w:t>
            </w:r>
            <w:r>
              <w:rPr>
                <w:rFonts w:hint="eastAsia" w:ascii="新宋体" w:hAnsi="新宋体" w:eastAsia="新宋体" w:cs="新宋体"/>
                <w:color w:val="auto"/>
                <w:spacing w:val="-8"/>
                <w:sz w:val="24"/>
                <w:highlight w:val="none"/>
              </w:rPr>
              <w:t>、保持手部干净，经常修剪指甲；</w:t>
            </w:r>
          </w:p>
          <w:p w14:paraId="0EFA312C">
            <w:pPr>
              <w:spacing w:before="90" w:line="22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2</w:t>
            </w:r>
            <w:r>
              <w:rPr>
                <w:rFonts w:hint="eastAsia" w:ascii="新宋体" w:hAnsi="新宋体" w:eastAsia="新宋体" w:cs="新宋体"/>
                <w:color w:val="auto"/>
                <w:spacing w:val="-3"/>
                <w:sz w:val="24"/>
                <w:highlight w:val="none"/>
              </w:rPr>
              <w:t>、员工应经常洗澡防汗臭，勤换衣服。衣服因工作而弄湿、弄脏后应换洗；</w:t>
            </w:r>
          </w:p>
          <w:p w14:paraId="15F47423">
            <w:pPr>
              <w:spacing w:before="87" w:line="218"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7"/>
                <w:sz w:val="24"/>
                <w:highlight w:val="none"/>
              </w:rPr>
              <w:t>3、上班前和上班期间应注意饮食，保持口腔清洁、口气清新</w:t>
            </w:r>
            <w:r>
              <w:rPr>
                <w:rFonts w:hint="eastAsia" w:ascii="新宋体" w:hAnsi="新宋体" w:eastAsia="新宋体" w:cs="新宋体"/>
                <w:color w:val="auto"/>
                <w:spacing w:val="-6"/>
                <w:sz w:val="24"/>
                <w:highlight w:val="none"/>
              </w:rPr>
              <w:t>；</w:t>
            </w:r>
          </w:p>
          <w:p w14:paraId="0EEEF7D6">
            <w:pPr>
              <w:spacing w:before="92" w:line="221"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4</w:t>
            </w:r>
            <w:r>
              <w:rPr>
                <w:rFonts w:hint="eastAsia" w:ascii="新宋体" w:hAnsi="新宋体" w:eastAsia="新宋体" w:cs="新宋体"/>
                <w:color w:val="auto"/>
                <w:spacing w:val="-11"/>
                <w:sz w:val="24"/>
                <w:highlight w:val="none"/>
              </w:rPr>
              <w:t>、</w:t>
            </w:r>
            <w:r>
              <w:rPr>
                <w:rFonts w:hint="eastAsia" w:ascii="新宋体" w:hAnsi="新宋体" w:eastAsia="新宋体" w:cs="新宋体"/>
                <w:color w:val="auto"/>
                <w:spacing w:val="-7"/>
                <w:sz w:val="24"/>
                <w:highlight w:val="none"/>
              </w:rPr>
              <w:t>保持眼部、耳部清洁；</w:t>
            </w:r>
          </w:p>
          <w:p w14:paraId="1DAAE435">
            <w:pPr>
              <w:spacing w:before="90" w:line="220"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5、</w:t>
            </w:r>
            <w:r>
              <w:rPr>
                <w:rFonts w:hint="eastAsia" w:ascii="新宋体" w:hAnsi="新宋体" w:eastAsia="新宋体" w:cs="新宋体"/>
                <w:color w:val="auto"/>
                <w:spacing w:val="-6"/>
                <w:sz w:val="24"/>
                <w:highlight w:val="none"/>
              </w:rPr>
              <w:t>女员工应淡妆打扮，不允许浓妆艳抹，不宜使用味浓的化妆品；</w:t>
            </w:r>
          </w:p>
          <w:p w14:paraId="2CBCD498">
            <w:pPr>
              <w:spacing w:before="90" w:line="221" w:lineRule="auto"/>
              <w:ind w:left="114"/>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6、</w:t>
            </w:r>
            <w:r>
              <w:rPr>
                <w:rFonts w:hint="eastAsia" w:ascii="新宋体" w:hAnsi="新宋体" w:eastAsia="新宋体" w:cs="新宋体"/>
                <w:color w:val="auto"/>
                <w:spacing w:val="-6"/>
                <w:sz w:val="24"/>
                <w:highlight w:val="none"/>
              </w:rPr>
              <w:t>每天上班前应注意检查自己的仪表，必要时应到卫生间或工作间整理。</w:t>
            </w:r>
          </w:p>
        </w:tc>
      </w:tr>
      <w:tr w14:paraId="76103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8" w:hRule="atLeast"/>
        </w:trPr>
        <w:tc>
          <w:tcPr>
            <w:tcW w:w="737" w:type="dxa"/>
            <w:vMerge w:val="restart"/>
            <w:textDirection w:val="tbRlV"/>
          </w:tcPr>
          <w:p w14:paraId="29040563">
            <w:pPr>
              <w:spacing w:before="93" w:line="180" w:lineRule="auto"/>
              <w:ind w:left="614"/>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行为举</w:t>
            </w:r>
            <w:r>
              <w:rPr>
                <w:rFonts w:hint="eastAsia" w:ascii="新宋体" w:hAnsi="新宋体" w:eastAsia="新宋体" w:cs="新宋体"/>
                <w:color w:val="auto"/>
                <w:sz w:val="24"/>
                <w:highlight w:val="none"/>
              </w:rPr>
              <w:t>止</w:t>
            </w:r>
          </w:p>
        </w:tc>
        <w:tc>
          <w:tcPr>
            <w:tcW w:w="2053" w:type="dxa"/>
          </w:tcPr>
          <w:p w14:paraId="0ACCE41E">
            <w:pPr>
              <w:spacing w:before="207" w:line="185" w:lineRule="auto"/>
              <w:ind w:left="605"/>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服务态度</w:t>
            </w:r>
          </w:p>
        </w:tc>
        <w:tc>
          <w:tcPr>
            <w:tcW w:w="11777" w:type="dxa"/>
          </w:tcPr>
          <w:p w14:paraId="6DA3194D">
            <w:pPr>
              <w:spacing w:before="35" w:line="221"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7"/>
                <w:sz w:val="24"/>
                <w:highlight w:val="none"/>
              </w:rPr>
              <w:t>1、对客人服务应面带笑容，和颜悦色，热情主动，做到微笑服务</w:t>
            </w:r>
            <w:r>
              <w:rPr>
                <w:rFonts w:hint="eastAsia" w:ascii="新宋体" w:hAnsi="新宋体" w:eastAsia="新宋体" w:cs="新宋体"/>
                <w:color w:val="auto"/>
                <w:spacing w:val="-3"/>
                <w:sz w:val="24"/>
                <w:highlight w:val="none"/>
              </w:rPr>
              <w:t>；</w:t>
            </w:r>
          </w:p>
          <w:p w14:paraId="6140F6BD">
            <w:pPr>
              <w:spacing w:before="90" w:line="219"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8"/>
                <w:sz w:val="24"/>
                <w:highlight w:val="none"/>
              </w:rPr>
              <w:t>2、</w:t>
            </w:r>
            <w:r>
              <w:rPr>
                <w:rFonts w:hint="eastAsia" w:ascii="新宋体" w:hAnsi="新宋体" w:eastAsia="新宋体" w:cs="新宋体"/>
                <w:color w:val="auto"/>
                <w:spacing w:val="-9"/>
                <w:sz w:val="24"/>
                <w:highlight w:val="none"/>
              </w:rPr>
              <w:t>谦虚和悦接受客人的评价，耐心倾听客人的投诉，事后汇报。</w:t>
            </w:r>
          </w:p>
        </w:tc>
      </w:tr>
      <w:tr w14:paraId="0EEAE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737" w:type="dxa"/>
            <w:vMerge w:val="continue"/>
            <w:textDirection w:val="tbRlV"/>
          </w:tcPr>
          <w:p w14:paraId="5E28B0F9">
            <w:pPr>
              <w:rPr>
                <w:rFonts w:ascii="新宋体" w:hAnsi="新宋体" w:eastAsia="新宋体" w:cs="新宋体"/>
                <w:color w:val="auto"/>
                <w:sz w:val="24"/>
                <w:highlight w:val="none"/>
              </w:rPr>
            </w:pPr>
          </w:p>
        </w:tc>
        <w:tc>
          <w:tcPr>
            <w:tcW w:w="2053" w:type="dxa"/>
          </w:tcPr>
          <w:p w14:paraId="1A1D5E26">
            <w:pPr>
              <w:spacing w:line="455" w:lineRule="auto"/>
              <w:rPr>
                <w:rFonts w:ascii="新宋体" w:hAnsi="新宋体" w:eastAsia="新宋体" w:cs="新宋体"/>
                <w:color w:val="auto"/>
                <w:sz w:val="24"/>
                <w:highlight w:val="none"/>
              </w:rPr>
            </w:pPr>
          </w:p>
          <w:p w14:paraId="19F67937">
            <w:pPr>
              <w:spacing w:before="90" w:line="186" w:lineRule="auto"/>
              <w:ind w:left="604"/>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行</w:t>
            </w:r>
            <w:r>
              <w:rPr>
                <w:rFonts w:hint="eastAsia" w:ascii="新宋体" w:hAnsi="新宋体" w:eastAsia="新宋体" w:cs="新宋体"/>
                <w:color w:val="auto"/>
                <w:sz w:val="24"/>
                <w:highlight w:val="none"/>
              </w:rPr>
              <w:t>走姿态</w:t>
            </w:r>
          </w:p>
        </w:tc>
        <w:tc>
          <w:tcPr>
            <w:tcW w:w="11777" w:type="dxa"/>
          </w:tcPr>
          <w:p w14:paraId="2942CE23">
            <w:pPr>
              <w:spacing w:before="36" w:line="221"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1</w:t>
            </w:r>
            <w:r>
              <w:rPr>
                <w:rFonts w:hint="eastAsia" w:ascii="新宋体" w:hAnsi="新宋体" w:eastAsia="新宋体" w:cs="新宋体"/>
                <w:color w:val="auto"/>
                <w:spacing w:val="-10"/>
                <w:sz w:val="24"/>
                <w:highlight w:val="none"/>
              </w:rPr>
              <w:t>、</w:t>
            </w:r>
            <w:r>
              <w:rPr>
                <w:rFonts w:hint="eastAsia" w:ascii="新宋体" w:hAnsi="新宋体" w:eastAsia="新宋体" w:cs="新宋体"/>
                <w:color w:val="auto"/>
                <w:spacing w:val="-6"/>
                <w:sz w:val="24"/>
                <w:highlight w:val="none"/>
              </w:rPr>
              <w:t>行走时不宜双手抱胸或背手走路；</w:t>
            </w:r>
          </w:p>
          <w:p w14:paraId="53092BF8">
            <w:pPr>
              <w:spacing w:before="89" w:line="218"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8"/>
                <w:sz w:val="24"/>
                <w:highlight w:val="none"/>
              </w:rPr>
              <w:t>2</w:t>
            </w:r>
            <w:r>
              <w:rPr>
                <w:rFonts w:hint="eastAsia" w:ascii="新宋体" w:hAnsi="新宋体" w:eastAsia="新宋体" w:cs="新宋体"/>
                <w:color w:val="auto"/>
                <w:spacing w:val="-11"/>
                <w:sz w:val="24"/>
                <w:highlight w:val="none"/>
              </w:rPr>
              <w:t>、</w:t>
            </w:r>
            <w:r>
              <w:rPr>
                <w:rFonts w:hint="eastAsia" w:ascii="新宋体" w:hAnsi="新宋体" w:eastAsia="新宋体" w:cs="新宋体"/>
                <w:color w:val="auto"/>
                <w:spacing w:val="-9"/>
                <w:sz w:val="24"/>
                <w:highlight w:val="none"/>
              </w:rPr>
              <w:t>在工作场合与他人同行时，不允许勾肩搭背，不允许同行时嬉戏打闹；</w:t>
            </w:r>
          </w:p>
          <w:p w14:paraId="16B73D72">
            <w:pPr>
              <w:spacing w:before="91" w:line="218"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3、手</w:t>
            </w:r>
            <w:r>
              <w:rPr>
                <w:rFonts w:hint="eastAsia" w:ascii="新宋体" w:hAnsi="新宋体" w:eastAsia="新宋体" w:cs="新宋体"/>
                <w:color w:val="auto"/>
                <w:spacing w:val="-3"/>
                <w:sz w:val="24"/>
                <w:highlight w:val="none"/>
              </w:rPr>
              <w:t>拉货物行走时应注意前方行人或障碍物，尽量靠路右侧行走；</w:t>
            </w:r>
          </w:p>
          <w:p w14:paraId="38FE2D5F">
            <w:pPr>
              <w:spacing w:before="92" w:line="218"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20"/>
                <w:sz w:val="24"/>
                <w:highlight w:val="none"/>
              </w:rPr>
              <w:t>4</w:t>
            </w:r>
            <w:r>
              <w:rPr>
                <w:rFonts w:hint="eastAsia" w:ascii="新宋体" w:hAnsi="新宋体" w:eastAsia="新宋体" w:cs="新宋体"/>
                <w:color w:val="auto"/>
                <w:spacing w:val="-13"/>
                <w:sz w:val="24"/>
                <w:highlight w:val="none"/>
              </w:rPr>
              <w:t>、</w:t>
            </w:r>
            <w:r>
              <w:rPr>
                <w:rFonts w:hint="eastAsia" w:ascii="新宋体" w:hAnsi="新宋体" w:eastAsia="新宋体" w:cs="新宋体"/>
                <w:color w:val="auto"/>
                <w:spacing w:val="-10"/>
                <w:sz w:val="24"/>
                <w:highlight w:val="none"/>
              </w:rPr>
              <w:t>与客户相遇时，应主动点头示意。</w:t>
            </w:r>
          </w:p>
        </w:tc>
      </w:tr>
      <w:tr w14:paraId="0B3BA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7" w:type="dxa"/>
            <w:vMerge w:val="continue"/>
            <w:textDirection w:val="tbRlV"/>
          </w:tcPr>
          <w:p w14:paraId="6370CB77">
            <w:pPr>
              <w:rPr>
                <w:rFonts w:ascii="新宋体" w:hAnsi="新宋体" w:eastAsia="新宋体" w:cs="新宋体"/>
                <w:color w:val="auto"/>
                <w:sz w:val="24"/>
                <w:highlight w:val="none"/>
              </w:rPr>
            </w:pPr>
          </w:p>
        </w:tc>
        <w:tc>
          <w:tcPr>
            <w:tcW w:w="2053" w:type="dxa"/>
          </w:tcPr>
          <w:p w14:paraId="46CA1ED5">
            <w:pPr>
              <w:spacing w:before="96" w:line="186" w:lineRule="auto"/>
              <w:ind w:left="608"/>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坐立姿</w:t>
            </w:r>
            <w:r>
              <w:rPr>
                <w:rFonts w:hint="eastAsia" w:ascii="新宋体" w:hAnsi="新宋体" w:eastAsia="新宋体" w:cs="新宋体"/>
                <w:color w:val="auto"/>
                <w:sz w:val="24"/>
                <w:highlight w:val="none"/>
              </w:rPr>
              <w:t>态</w:t>
            </w:r>
          </w:p>
        </w:tc>
        <w:tc>
          <w:tcPr>
            <w:tcW w:w="11777" w:type="dxa"/>
          </w:tcPr>
          <w:p w14:paraId="285AD204">
            <w:pPr>
              <w:spacing w:before="96" w:line="218"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1、入</w:t>
            </w:r>
            <w:r>
              <w:rPr>
                <w:rFonts w:hint="eastAsia" w:ascii="新宋体" w:hAnsi="新宋体" w:eastAsia="新宋体" w:cs="新宋体"/>
                <w:color w:val="auto"/>
                <w:spacing w:val="-8"/>
                <w:sz w:val="24"/>
                <w:highlight w:val="none"/>
              </w:rPr>
              <w:t>坐</w:t>
            </w:r>
            <w:r>
              <w:rPr>
                <w:rFonts w:hint="eastAsia" w:ascii="新宋体" w:hAnsi="新宋体" w:eastAsia="新宋体" w:cs="新宋体"/>
                <w:color w:val="auto"/>
                <w:spacing w:val="-6"/>
                <w:sz w:val="24"/>
                <w:highlight w:val="none"/>
              </w:rPr>
              <w:t>要轻缓，就坐时姿态要端正，上身要直，腰部挺起，双膝并拢，手自然放在双膝上，面带笑容；</w:t>
            </w:r>
          </w:p>
        </w:tc>
      </w:tr>
    </w:tbl>
    <w:p w14:paraId="61858572">
      <w:pPr>
        <w:rPr>
          <w:rFonts w:ascii="新宋体" w:hAnsi="新宋体" w:eastAsia="新宋体" w:cs="新宋体"/>
          <w:color w:val="auto"/>
          <w:sz w:val="24"/>
          <w:highlight w:val="none"/>
        </w:rPr>
      </w:pPr>
    </w:p>
    <w:p w14:paraId="7402563D">
      <w:pPr>
        <w:rPr>
          <w:rFonts w:ascii="新宋体" w:hAnsi="新宋体" w:eastAsia="新宋体" w:cs="新宋体"/>
          <w:color w:val="auto"/>
          <w:sz w:val="24"/>
          <w:highlight w:val="none"/>
        </w:rPr>
        <w:sectPr>
          <w:pgSz w:w="16839" w:h="11907" w:orient="landscape"/>
          <w:pgMar w:top="1800" w:right="1440" w:bottom="1800" w:left="1440" w:header="0" w:footer="0" w:gutter="0"/>
          <w:cols w:space="720" w:num="1"/>
          <w:docGrid w:type="lines" w:linePitch="319" w:charSpace="0"/>
        </w:sectPr>
      </w:pPr>
    </w:p>
    <w:p w14:paraId="3D930D1A">
      <w:pPr>
        <w:rPr>
          <w:rFonts w:ascii="新宋体" w:hAnsi="新宋体" w:eastAsia="新宋体" w:cs="新宋体"/>
          <w:color w:val="auto"/>
          <w:sz w:val="24"/>
          <w:highlight w:val="none"/>
        </w:rPr>
      </w:pPr>
    </w:p>
    <w:p w14:paraId="6B3C77C9">
      <w:pPr>
        <w:rPr>
          <w:rFonts w:ascii="新宋体" w:hAnsi="新宋体" w:eastAsia="新宋体" w:cs="新宋体"/>
          <w:color w:val="auto"/>
          <w:sz w:val="24"/>
          <w:highlight w:val="none"/>
        </w:rPr>
      </w:pPr>
    </w:p>
    <w:p w14:paraId="003DBB96">
      <w:pPr>
        <w:rPr>
          <w:rFonts w:ascii="新宋体" w:hAnsi="新宋体" w:eastAsia="新宋体" w:cs="新宋体"/>
          <w:color w:val="auto"/>
          <w:sz w:val="24"/>
          <w:highlight w:val="none"/>
        </w:rPr>
      </w:pPr>
    </w:p>
    <w:p w14:paraId="7924669B">
      <w:pPr>
        <w:spacing w:line="66" w:lineRule="exact"/>
        <w:rPr>
          <w:rFonts w:ascii="新宋体" w:hAnsi="新宋体" w:eastAsia="新宋体" w:cs="新宋体"/>
          <w:color w:val="auto"/>
          <w:sz w:val="24"/>
          <w:highlight w:val="none"/>
        </w:rPr>
      </w:pPr>
    </w:p>
    <w:tbl>
      <w:tblPr>
        <w:tblStyle w:val="964"/>
        <w:tblW w:w="14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054"/>
        <w:gridCol w:w="11781"/>
      </w:tblGrid>
      <w:tr w14:paraId="186BA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37" w:type="dxa"/>
            <w:vMerge w:val="restart"/>
          </w:tcPr>
          <w:p w14:paraId="3C669701">
            <w:pPr>
              <w:rPr>
                <w:rFonts w:ascii="新宋体" w:hAnsi="新宋体" w:eastAsia="新宋体" w:cs="新宋体"/>
                <w:color w:val="auto"/>
                <w:sz w:val="24"/>
                <w:highlight w:val="none"/>
              </w:rPr>
            </w:pPr>
          </w:p>
        </w:tc>
        <w:tc>
          <w:tcPr>
            <w:tcW w:w="2053" w:type="dxa"/>
          </w:tcPr>
          <w:p w14:paraId="4C53411D">
            <w:pPr>
              <w:rPr>
                <w:rFonts w:ascii="新宋体" w:hAnsi="新宋体" w:eastAsia="新宋体" w:cs="新宋体"/>
                <w:color w:val="auto"/>
                <w:sz w:val="24"/>
                <w:highlight w:val="none"/>
              </w:rPr>
            </w:pPr>
          </w:p>
        </w:tc>
        <w:tc>
          <w:tcPr>
            <w:tcW w:w="11777" w:type="dxa"/>
          </w:tcPr>
          <w:p w14:paraId="2D8E74A8">
            <w:pPr>
              <w:spacing w:before="36" w:line="22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3"/>
                <w:sz w:val="24"/>
                <w:highlight w:val="none"/>
              </w:rPr>
              <w:t>2、坐在椅子上不允许前俯后仰、摇腿跷脚或趴在工作台上或把脚放于工作台</w:t>
            </w:r>
            <w:r>
              <w:rPr>
                <w:rFonts w:hint="eastAsia" w:ascii="新宋体" w:hAnsi="新宋体" w:eastAsia="新宋体" w:cs="新宋体"/>
                <w:color w:val="auto"/>
                <w:spacing w:val="-1"/>
                <w:sz w:val="24"/>
                <w:highlight w:val="none"/>
              </w:rPr>
              <w:t>上</w:t>
            </w:r>
            <w:r>
              <w:rPr>
                <w:rFonts w:hint="eastAsia" w:ascii="新宋体" w:hAnsi="新宋体" w:eastAsia="新宋体" w:cs="新宋体"/>
                <w:color w:val="auto"/>
                <w:sz w:val="24"/>
                <w:highlight w:val="none"/>
              </w:rPr>
              <w:t>；</w:t>
            </w:r>
          </w:p>
          <w:p w14:paraId="6B611976">
            <w:pPr>
              <w:spacing w:before="91" w:line="218"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3、站</w:t>
            </w:r>
            <w:r>
              <w:rPr>
                <w:rFonts w:hint="eastAsia" w:ascii="新宋体" w:hAnsi="新宋体" w:eastAsia="新宋体" w:cs="新宋体"/>
                <w:color w:val="auto"/>
                <w:spacing w:val="-10"/>
                <w:sz w:val="24"/>
                <w:highlight w:val="none"/>
              </w:rPr>
              <w:t>立</w:t>
            </w:r>
            <w:r>
              <w:rPr>
                <w:rFonts w:hint="eastAsia" w:ascii="新宋体" w:hAnsi="新宋体" w:eastAsia="新宋体" w:cs="新宋体"/>
                <w:color w:val="auto"/>
                <w:spacing w:val="-7"/>
                <w:sz w:val="24"/>
                <w:highlight w:val="none"/>
              </w:rPr>
              <w:t>时姿态要端正，上身要直，人体重心要稳，腰部挺起，双手自然下坠，双脚并拢，目光平视，面带笑容。</w:t>
            </w:r>
          </w:p>
        </w:tc>
      </w:tr>
      <w:tr w14:paraId="126C1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737" w:type="dxa"/>
            <w:vMerge w:val="continue"/>
          </w:tcPr>
          <w:p w14:paraId="4AEC340D">
            <w:pPr>
              <w:rPr>
                <w:rFonts w:ascii="新宋体" w:hAnsi="新宋体" w:eastAsia="新宋体" w:cs="新宋体"/>
                <w:color w:val="auto"/>
                <w:sz w:val="24"/>
                <w:highlight w:val="none"/>
              </w:rPr>
            </w:pPr>
          </w:p>
        </w:tc>
        <w:tc>
          <w:tcPr>
            <w:tcW w:w="2053" w:type="dxa"/>
          </w:tcPr>
          <w:p w14:paraId="188E41BE">
            <w:pPr>
              <w:spacing w:line="282" w:lineRule="auto"/>
              <w:rPr>
                <w:rFonts w:ascii="新宋体" w:hAnsi="新宋体" w:eastAsia="新宋体" w:cs="新宋体"/>
                <w:color w:val="auto"/>
                <w:sz w:val="24"/>
                <w:highlight w:val="none"/>
              </w:rPr>
            </w:pPr>
          </w:p>
          <w:p w14:paraId="5315EA21">
            <w:pPr>
              <w:spacing w:before="90" w:line="185" w:lineRule="auto"/>
              <w:ind w:left="60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其</w:t>
            </w:r>
            <w:r>
              <w:rPr>
                <w:rFonts w:hint="eastAsia" w:ascii="新宋体" w:hAnsi="新宋体" w:eastAsia="新宋体" w:cs="新宋体"/>
                <w:color w:val="auto"/>
                <w:sz w:val="24"/>
                <w:highlight w:val="none"/>
              </w:rPr>
              <w:t>他行为</w:t>
            </w:r>
          </w:p>
        </w:tc>
        <w:tc>
          <w:tcPr>
            <w:tcW w:w="11777" w:type="dxa"/>
          </w:tcPr>
          <w:p w14:paraId="53FFF13A">
            <w:pPr>
              <w:spacing w:before="32" w:line="217"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1、要注意</w:t>
            </w:r>
            <w:r>
              <w:rPr>
                <w:rFonts w:hint="eastAsia" w:ascii="新宋体" w:hAnsi="新宋体" w:eastAsia="新宋体" w:cs="新宋体"/>
                <w:color w:val="auto"/>
                <w:spacing w:val="-3"/>
                <w:sz w:val="24"/>
                <w:highlight w:val="none"/>
              </w:rPr>
              <w:t>个人形象，不允许随地吐痰，乱扔果皮、纸屑；上班时间不允许吃零食，玩弄个人小物品或做与工作无关的事情；</w:t>
            </w:r>
          </w:p>
          <w:p w14:paraId="196F5FAB">
            <w:pPr>
              <w:spacing w:before="93" w:line="221"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2</w:t>
            </w:r>
            <w:r>
              <w:rPr>
                <w:rFonts w:hint="eastAsia" w:ascii="新宋体" w:hAnsi="新宋体" w:eastAsia="新宋体" w:cs="新宋体"/>
                <w:color w:val="auto"/>
                <w:sz w:val="24"/>
                <w:highlight w:val="none"/>
              </w:rPr>
              <w:t>、到公共、工作场所（或客户处）进行工作时，不允许乱翻乱摸，更不允许随意拿走公用的（或客户的）东西；</w:t>
            </w:r>
          </w:p>
          <w:p w14:paraId="0E9136EE">
            <w:pPr>
              <w:spacing w:before="90" w:line="219"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3、谈话时，手势不宜过多，幅度不宜太大</w:t>
            </w:r>
            <w:r>
              <w:rPr>
                <w:rFonts w:hint="eastAsia" w:ascii="新宋体" w:hAnsi="新宋体" w:eastAsia="新宋体" w:cs="新宋体"/>
                <w:color w:val="auto"/>
                <w:spacing w:val="-2"/>
                <w:sz w:val="24"/>
                <w:highlight w:val="none"/>
              </w:rPr>
              <w:t>。</w:t>
            </w:r>
          </w:p>
        </w:tc>
      </w:tr>
      <w:tr w14:paraId="7A30F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restart"/>
            <w:textDirection w:val="tbRlV"/>
          </w:tcPr>
          <w:p w14:paraId="46F1DE82">
            <w:pPr>
              <w:spacing w:before="92" w:line="181" w:lineRule="auto"/>
              <w:ind w:left="1901"/>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礼貌用</w:t>
            </w:r>
            <w:r>
              <w:rPr>
                <w:rFonts w:hint="eastAsia" w:ascii="新宋体" w:hAnsi="新宋体" w:eastAsia="新宋体" w:cs="新宋体"/>
                <w:color w:val="auto"/>
                <w:sz w:val="24"/>
                <w:highlight w:val="none"/>
              </w:rPr>
              <w:t>语</w:t>
            </w:r>
          </w:p>
        </w:tc>
        <w:tc>
          <w:tcPr>
            <w:tcW w:w="2053" w:type="dxa"/>
          </w:tcPr>
          <w:p w14:paraId="3330AC22">
            <w:pPr>
              <w:spacing w:before="90" w:line="186" w:lineRule="auto"/>
              <w:ind w:left="720"/>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问候语</w:t>
            </w:r>
          </w:p>
        </w:tc>
        <w:tc>
          <w:tcPr>
            <w:tcW w:w="11777" w:type="dxa"/>
          </w:tcPr>
          <w:p w14:paraId="6890FD29">
            <w:pPr>
              <w:spacing w:before="90" w:line="221" w:lineRule="auto"/>
              <w:ind w:left="114"/>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您好、早安、午安、早、早上好、下午好、</w:t>
            </w:r>
            <w:r>
              <w:rPr>
                <w:rFonts w:hint="eastAsia" w:ascii="新宋体" w:hAnsi="新宋体" w:eastAsia="新宋体" w:cs="新宋体"/>
                <w:color w:val="auto"/>
                <w:sz w:val="24"/>
                <w:highlight w:val="none"/>
              </w:rPr>
              <w:t>晚上好、路上辛苦了。</w:t>
            </w:r>
          </w:p>
        </w:tc>
      </w:tr>
      <w:tr w14:paraId="61BB9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14:paraId="44F57C70">
            <w:pPr>
              <w:rPr>
                <w:rFonts w:ascii="新宋体" w:hAnsi="新宋体" w:eastAsia="新宋体" w:cs="新宋体"/>
                <w:color w:val="auto"/>
                <w:sz w:val="24"/>
                <w:highlight w:val="none"/>
              </w:rPr>
            </w:pPr>
          </w:p>
        </w:tc>
        <w:tc>
          <w:tcPr>
            <w:tcW w:w="2053" w:type="dxa"/>
          </w:tcPr>
          <w:p w14:paraId="24BD7AE7">
            <w:pPr>
              <w:spacing w:before="90" w:line="187" w:lineRule="auto"/>
              <w:ind w:left="710"/>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欢</w:t>
            </w:r>
            <w:r>
              <w:rPr>
                <w:rFonts w:hint="eastAsia" w:ascii="新宋体" w:hAnsi="新宋体" w:eastAsia="新宋体" w:cs="新宋体"/>
                <w:color w:val="auto"/>
                <w:sz w:val="24"/>
                <w:highlight w:val="none"/>
              </w:rPr>
              <w:t>迎语</w:t>
            </w:r>
          </w:p>
        </w:tc>
        <w:tc>
          <w:tcPr>
            <w:tcW w:w="11777" w:type="dxa"/>
          </w:tcPr>
          <w:p w14:paraId="2499142B">
            <w:pPr>
              <w:spacing w:before="90" w:line="221" w:lineRule="auto"/>
              <w:ind w:left="112"/>
              <w:rPr>
                <w:rFonts w:ascii="新宋体" w:hAnsi="新宋体" w:eastAsia="新宋体" w:cs="新宋体"/>
                <w:color w:val="auto"/>
                <w:sz w:val="24"/>
                <w:highlight w:val="none"/>
              </w:rPr>
            </w:pPr>
            <w:r>
              <w:rPr>
                <w:rFonts w:hint="eastAsia" w:ascii="新宋体" w:hAnsi="新宋体" w:eastAsia="新宋体" w:cs="新宋体"/>
                <w:color w:val="auto"/>
                <w:spacing w:val="-8"/>
                <w:sz w:val="24"/>
                <w:highlight w:val="none"/>
              </w:rPr>
              <w:t>欢</w:t>
            </w:r>
            <w:r>
              <w:rPr>
                <w:rFonts w:hint="eastAsia" w:ascii="新宋体" w:hAnsi="新宋体" w:eastAsia="新宋体" w:cs="新宋体"/>
                <w:color w:val="auto"/>
                <w:spacing w:val="-7"/>
                <w:sz w:val="24"/>
                <w:highlight w:val="none"/>
              </w:rPr>
              <w:t>迎光临、欢迎您来XX单位。</w:t>
            </w:r>
          </w:p>
        </w:tc>
      </w:tr>
      <w:tr w14:paraId="65F2F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37" w:type="dxa"/>
            <w:vMerge w:val="continue"/>
            <w:textDirection w:val="tbRlV"/>
          </w:tcPr>
          <w:p w14:paraId="567ADF6F">
            <w:pPr>
              <w:rPr>
                <w:rFonts w:ascii="新宋体" w:hAnsi="新宋体" w:eastAsia="新宋体" w:cs="新宋体"/>
                <w:color w:val="auto"/>
                <w:sz w:val="24"/>
                <w:highlight w:val="none"/>
              </w:rPr>
            </w:pPr>
          </w:p>
        </w:tc>
        <w:tc>
          <w:tcPr>
            <w:tcW w:w="2053" w:type="dxa"/>
          </w:tcPr>
          <w:p w14:paraId="57563C9D">
            <w:pPr>
              <w:spacing w:before="92" w:line="186"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祝贺语</w:t>
            </w:r>
          </w:p>
        </w:tc>
        <w:tc>
          <w:tcPr>
            <w:tcW w:w="11777" w:type="dxa"/>
          </w:tcPr>
          <w:p w14:paraId="739DC333">
            <w:pPr>
              <w:spacing w:before="91" w:line="221" w:lineRule="auto"/>
              <w:ind w:left="112"/>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祝您节</w:t>
            </w:r>
            <w:r>
              <w:rPr>
                <w:rFonts w:hint="eastAsia" w:ascii="新宋体" w:hAnsi="新宋体" w:eastAsia="新宋体" w:cs="新宋体"/>
                <w:color w:val="auto"/>
                <w:sz w:val="24"/>
                <w:highlight w:val="none"/>
              </w:rPr>
              <w:t>日愉快、祝您新年快乐、祝您新春快乐。</w:t>
            </w:r>
          </w:p>
        </w:tc>
      </w:tr>
      <w:tr w14:paraId="3B279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14:paraId="0E74F16B">
            <w:pPr>
              <w:rPr>
                <w:rFonts w:ascii="新宋体" w:hAnsi="新宋体" w:eastAsia="新宋体" w:cs="新宋体"/>
                <w:color w:val="auto"/>
                <w:sz w:val="24"/>
                <w:highlight w:val="none"/>
              </w:rPr>
            </w:pPr>
          </w:p>
        </w:tc>
        <w:tc>
          <w:tcPr>
            <w:tcW w:w="2053" w:type="dxa"/>
          </w:tcPr>
          <w:p w14:paraId="3664F3EF">
            <w:pPr>
              <w:spacing w:before="92" w:line="186" w:lineRule="auto"/>
              <w:ind w:left="713"/>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告别</w:t>
            </w:r>
            <w:r>
              <w:rPr>
                <w:rFonts w:hint="eastAsia" w:ascii="新宋体" w:hAnsi="新宋体" w:eastAsia="新宋体" w:cs="新宋体"/>
                <w:color w:val="auto"/>
                <w:sz w:val="24"/>
                <w:highlight w:val="none"/>
              </w:rPr>
              <w:t>语</w:t>
            </w:r>
          </w:p>
        </w:tc>
        <w:tc>
          <w:tcPr>
            <w:tcW w:w="11777" w:type="dxa"/>
          </w:tcPr>
          <w:p w14:paraId="4D07335A">
            <w:pPr>
              <w:spacing w:before="91" w:line="221" w:lineRule="auto"/>
              <w:ind w:left="114"/>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再见、晚安</w:t>
            </w:r>
            <w:r>
              <w:rPr>
                <w:rFonts w:hint="eastAsia" w:ascii="新宋体" w:hAnsi="新宋体" w:eastAsia="新宋体" w:cs="新宋体"/>
                <w:color w:val="auto"/>
                <w:sz w:val="24"/>
                <w:highlight w:val="none"/>
              </w:rPr>
              <w:t>、明天见、祝您一路平安。</w:t>
            </w:r>
          </w:p>
        </w:tc>
      </w:tr>
      <w:tr w14:paraId="217D5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14:paraId="004878C2">
            <w:pPr>
              <w:rPr>
                <w:rFonts w:ascii="新宋体" w:hAnsi="新宋体" w:eastAsia="新宋体" w:cs="新宋体"/>
                <w:color w:val="auto"/>
                <w:sz w:val="24"/>
                <w:highlight w:val="none"/>
              </w:rPr>
            </w:pPr>
          </w:p>
        </w:tc>
        <w:tc>
          <w:tcPr>
            <w:tcW w:w="2053" w:type="dxa"/>
          </w:tcPr>
          <w:p w14:paraId="391FCBEF">
            <w:pPr>
              <w:spacing w:before="93" w:line="185"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道歉语</w:t>
            </w:r>
          </w:p>
        </w:tc>
        <w:tc>
          <w:tcPr>
            <w:tcW w:w="11777" w:type="dxa"/>
          </w:tcPr>
          <w:p w14:paraId="1DD51B23">
            <w:pPr>
              <w:spacing w:before="93" w:line="221"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对不起</w:t>
            </w:r>
            <w:r>
              <w:rPr>
                <w:rFonts w:hint="eastAsia" w:ascii="新宋体" w:hAnsi="新宋体" w:eastAsia="新宋体" w:cs="新宋体"/>
                <w:color w:val="auto"/>
                <w:sz w:val="24"/>
                <w:highlight w:val="none"/>
              </w:rPr>
              <w:t>、请原谅、打扰您了、失礼了。</w:t>
            </w:r>
          </w:p>
        </w:tc>
      </w:tr>
      <w:tr w14:paraId="257FD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37" w:type="dxa"/>
            <w:vMerge w:val="continue"/>
            <w:textDirection w:val="tbRlV"/>
          </w:tcPr>
          <w:p w14:paraId="76C871ED">
            <w:pPr>
              <w:rPr>
                <w:rFonts w:ascii="新宋体" w:hAnsi="新宋体" w:eastAsia="新宋体" w:cs="新宋体"/>
                <w:color w:val="auto"/>
                <w:sz w:val="24"/>
                <w:highlight w:val="none"/>
              </w:rPr>
            </w:pPr>
          </w:p>
        </w:tc>
        <w:tc>
          <w:tcPr>
            <w:tcW w:w="2053" w:type="dxa"/>
          </w:tcPr>
          <w:p w14:paraId="0BFB958C">
            <w:pPr>
              <w:spacing w:before="93" w:line="187"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道谢语</w:t>
            </w:r>
          </w:p>
        </w:tc>
        <w:tc>
          <w:tcPr>
            <w:tcW w:w="11777" w:type="dxa"/>
          </w:tcPr>
          <w:p w14:paraId="6C3B2A47">
            <w:pPr>
              <w:spacing w:before="93" w:line="221" w:lineRule="auto"/>
              <w:ind w:left="112"/>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谢谢、非常</w:t>
            </w:r>
            <w:r>
              <w:rPr>
                <w:rFonts w:hint="eastAsia" w:ascii="新宋体" w:hAnsi="新宋体" w:eastAsia="新宋体" w:cs="新宋体"/>
                <w:color w:val="auto"/>
                <w:sz w:val="24"/>
                <w:highlight w:val="none"/>
              </w:rPr>
              <w:t>感谢。</w:t>
            </w:r>
          </w:p>
        </w:tc>
      </w:tr>
      <w:tr w14:paraId="7E615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14:paraId="0187C671">
            <w:pPr>
              <w:rPr>
                <w:rFonts w:ascii="新宋体" w:hAnsi="新宋体" w:eastAsia="新宋体" w:cs="新宋体"/>
                <w:color w:val="auto"/>
                <w:sz w:val="24"/>
                <w:highlight w:val="none"/>
              </w:rPr>
            </w:pPr>
          </w:p>
        </w:tc>
        <w:tc>
          <w:tcPr>
            <w:tcW w:w="2053" w:type="dxa"/>
          </w:tcPr>
          <w:p w14:paraId="3737A4F8">
            <w:pPr>
              <w:spacing w:before="94" w:line="186"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应答语</w:t>
            </w:r>
          </w:p>
        </w:tc>
        <w:tc>
          <w:tcPr>
            <w:tcW w:w="11777" w:type="dxa"/>
          </w:tcPr>
          <w:p w14:paraId="46A74D1F">
            <w:pPr>
              <w:spacing w:before="93" w:line="219" w:lineRule="auto"/>
              <w:ind w:left="11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是的、好的、我明白了、谢谢您的好意、不要客</w:t>
            </w:r>
            <w:r>
              <w:rPr>
                <w:rFonts w:hint="eastAsia" w:ascii="新宋体" w:hAnsi="新宋体" w:eastAsia="新宋体" w:cs="新宋体"/>
                <w:color w:val="auto"/>
                <w:sz w:val="24"/>
                <w:highlight w:val="none"/>
              </w:rPr>
              <w:t>气、没关系、这是我应该做的。</w:t>
            </w:r>
          </w:p>
        </w:tc>
      </w:tr>
      <w:tr w14:paraId="399DB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14:paraId="1CF4651C">
            <w:pPr>
              <w:rPr>
                <w:rFonts w:ascii="新宋体" w:hAnsi="新宋体" w:eastAsia="新宋体" w:cs="新宋体"/>
                <w:color w:val="auto"/>
                <w:sz w:val="24"/>
                <w:highlight w:val="none"/>
              </w:rPr>
            </w:pPr>
          </w:p>
        </w:tc>
        <w:tc>
          <w:tcPr>
            <w:tcW w:w="2053" w:type="dxa"/>
          </w:tcPr>
          <w:p w14:paraId="4F60CFD2">
            <w:pPr>
              <w:spacing w:before="93" w:line="187"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征询语</w:t>
            </w:r>
          </w:p>
        </w:tc>
        <w:tc>
          <w:tcPr>
            <w:tcW w:w="11777" w:type="dxa"/>
          </w:tcPr>
          <w:p w14:paraId="7DDCB522">
            <w:pPr>
              <w:spacing w:before="93" w:line="219"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3"/>
                <w:sz w:val="24"/>
                <w:highlight w:val="none"/>
              </w:rPr>
              <w:t>请问您有什么事？我能为您做什么吗？需要我帮您做什么吗？您有别的事吗？</w:t>
            </w:r>
          </w:p>
        </w:tc>
      </w:tr>
      <w:tr w14:paraId="29505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37" w:type="dxa"/>
            <w:vMerge w:val="continue"/>
            <w:textDirection w:val="tbRlV"/>
          </w:tcPr>
          <w:p w14:paraId="5A2B5C3A">
            <w:pPr>
              <w:rPr>
                <w:rFonts w:ascii="新宋体" w:hAnsi="新宋体" w:eastAsia="新宋体" w:cs="新宋体"/>
                <w:color w:val="auto"/>
                <w:sz w:val="24"/>
                <w:highlight w:val="none"/>
              </w:rPr>
            </w:pPr>
          </w:p>
        </w:tc>
        <w:tc>
          <w:tcPr>
            <w:tcW w:w="2053" w:type="dxa"/>
          </w:tcPr>
          <w:p w14:paraId="06E5D391">
            <w:pPr>
              <w:spacing w:before="94" w:line="187"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请求语</w:t>
            </w:r>
          </w:p>
        </w:tc>
        <w:tc>
          <w:tcPr>
            <w:tcW w:w="11777" w:type="dxa"/>
          </w:tcPr>
          <w:p w14:paraId="19CCE873">
            <w:pPr>
              <w:spacing w:before="94" w:line="219"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请您协</w:t>
            </w:r>
            <w:r>
              <w:rPr>
                <w:rFonts w:hint="eastAsia" w:ascii="新宋体" w:hAnsi="新宋体" w:eastAsia="新宋体" w:cs="新宋体"/>
                <w:color w:val="auto"/>
                <w:spacing w:val="-3"/>
                <w:sz w:val="24"/>
                <w:highlight w:val="none"/>
              </w:rPr>
              <w:t>助我们……、请您……好吗？</w:t>
            </w:r>
          </w:p>
        </w:tc>
      </w:tr>
      <w:tr w14:paraId="72082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14:paraId="1D8C4E81">
            <w:pPr>
              <w:rPr>
                <w:rFonts w:ascii="新宋体" w:hAnsi="新宋体" w:eastAsia="新宋体" w:cs="新宋体"/>
                <w:color w:val="auto"/>
                <w:sz w:val="24"/>
                <w:highlight w:val="none"/>
              </w:rPr>
            </w:pPr>
          </w:p>
        </w:tc>
        <w:tc>
          <w:tcPr>
            <w:tcW w:w="2053" w:type="dxa"/>
          </w:tcPr>
          <w:p w14:paraId="0E21C95E">
            <w:pPr>
              <w:spacing w:before="93" w:line="187" w:lineRule="auto"/>
              <w:ind w:left="716"/>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商</w:t>
            </w:r>
            <w:r>
              <w:rPr>
                <w:rFonts w:hint="eastAsia" w:ascii="新宋体" w:hAnsi="新宋体" w:eastAsia="新宋体" w:cs="新宋体"/>
                <w:color w:val="auto"/>
                <w:spacing w:val="-1"/>
                <w:sz w:val="24"/>
                <w:highlight w:val="none"/>
              </w:rPr>
              <w:t>量语</w:t>
            </w:r>
          </w:p>
        </w:tc>
        <w:tc>
          <w:tcPr>
            <w:tcW w:w="11777" w:type="dxa"/>
          </w:tcPr>
          <w:p w14:paraId="68663D58">
            <w:pPr>
              <w:spacing w:before="93" w:line="221" w:lineRule="auto"/>
              <w:ind w:left="126"/>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……您看</w:t>
            </w:r>
            <w:r>
              <w:rPr>
                <w:rFonts w:hint="eastAsia" w:ascii="新宋体" w:hAnsi="新宋体" w:eastAsia="新宋体" w:cs="新宋体"/>
                <w:color w:val="auto"/>
                <w:spacing w:val="-3"/>
                <w:sz w:val="24"/>
                <w:highlight w:val="none"/>
              </w:rPr>
              <w:t>这样好不好？……您看这样可以吗？</w:t>
            </w:r>
          </w:p>
        </w:tc>
      </w:tr>
      <w:tr w14:paraId="008E2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14:paraId="65C1138D">
            <w:pPr>
              <w:rPr>
                <w:rFonts w:ascii="新宋体" w:hAnsi="新宋体" w:eastAsia="新宋体" w:cs="新宋体"/>
                <w:color w:val="auto"/>
                <w:sz w:val="24"/>
                <w:highlight w:val="none"/>
              </w:rPr>
            </w:pPr>
          </w:p>
        </w:tc>
        <w:tc>
          <w:tcPr>
            <w:tcW w:w="2053" w:type="dxa"/>
          </w:tcPr>
          <w:p w14:paraId="675073D6">
            <w:pPr>
              <w:spacing w:before="95" w:line="186" w:lineRule="auto"/>
              <w:ind w:left="710"/>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解</w:t>
            </w:r>
            <w:r>
              <w:rPr>
                <w:rFonts w:hint="eastAsia" w:ascii="新宋体" w:hAnsi="新宋体" w:eastAsia="新宋体" w:cs="新宋体"/>
                <w:color w:val="auto"/>
                <w:sz w:val="24"/>
                <w:highlight w:val="none"/>
              </w:rPr>
              <w:t>释语</w:t>
            </w:r>
          </w:p>
        </w:tc>
        <w:tc>
          <w:tcPr>
            <w:tcW w:w="11777" w:type="dxa"/>
          </w:tcPr>
          <w:p w14:paraId="0D8A553A">
            <w:pPr>
              <w:spacing w:before="93" w:line="221" w:lineRule="auto"/>
              <w:ind w:left="114"/>
              <w:rPr>
                <w:rFonts w:ascii="新宋体" w:hAnsi="新宋体" w:eastAsia="新宋体" w:cs="新宋体"/>
                <w:color w:val="auto"/>
                <w:sz w:val="24"/>
                <w:highlight w:val="none"/>
              </w:rPr>
            </w:pPr>
            <w:r>
              <w:rPr>
                <w:rFonts w:hint="eastAsia" w:ascii="新宋体" w:hAnsi="新宋体" w:eastAsia="新宋体" w:cs="新宋体"/>
                <w:color w:val="auto"/>
                <w:spacing w:val="-10"/>
                <w:sz w:val="24"/>
                <w:highlight w:val="none"/>
              </w:rPr>
              <w:t>很抱</w:t>
            </w:r>
            <w:r>
              <w:rPr>
                <w:rFonts w:hint="eastAsia" w:ascii="新宋体" w:hAnsi="新宋体" w:eastAsia="新宋体" w:cs="新宋体"/>
                <w:color w:val="auto"/>
                <w:spacing w:val="-5"/>
                <w:sz w:val="24"/>
                <w:highlight w:val="none"/>
              </w:rPr>
              <w:t>歉，这种情况，单位的规定是这样的。</w:t>
            </w:r>
          </w:p>
        </w:tc>
      </w:tr>
      <w:tr w14:paraId="499D0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2" w:hRule="atLeast"/>
        </w:trPr>
        <w:tc>
          <w:tcPr>
            <w:tcW w:w="737" w:type="dxa"/>
            <w:textDirection w:val="tbRlV"/>
          </w:tcPr>
          <w:p w14:paraId="05609E80">
            <w:pPr>
              <w:spacing w:before="92" w:line="181" w:lineRule="auto"/>
              <w:ind w:left="39"/>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对来访</w:t>
            </w:r>
            <w:r>
              <w:rPr>
                <w:rFonts w:hint="eastAsia" w:ascii="新宋体" w:hAnsi="新宋体" w:eastAsia="新宋体" w:cs="新宋体"/>
                <w:color w:val="auto"/>
                <w:sz w:val="24"/>
                <w:highlight w:val="none"/>
              </w:rPr>
              <w:t>人员</w:t>
            </w:r>
          </w:p>
        </w:tc>
        <w:tc>
          <w:tcPr>
            <w:tcW w:w="13830" w:type="dxa"/>
            <w:gridSpan w:val="2"/>
          </w:tcPr>
          <w:p w14:paraId="1664E104">
            <w:pPr>
              <w:spacing w:before="39" w:line="219" w:lineRule="auto"/>
              <w:ind w:left="127"/>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1.主动说：“您好，请问您</w:t>
            </w:r>
            <w:r>
              <w:rPr>
                <w:rFonts w:hint="eastAsia" w:ascii="新宋体" w:hAnsi="新宋体" w:eastAsia="新宋体" w:cs="新宋体"/>
                <w:color w:val="auto"/>
                <w:spacing w:val="-3"/>
                <w:sz w:val="24"/>
                <w:highlight w:val="none"/>
              </w:rPr>
              <w:t>找</w:t>
            </w:r>
            <w:r>
              <w:rPr>
                <w:rFonts w:hint="eastAsia" w:ascii="新宋体" w:hAnsi="新宋体" w:eastAsia="新宋体" w:cs="新宋体"/>
                <w:color w:val="auto"/>
                <w:spacing w:val="-2"/>
                <w:sz w:val="24"/>
                <w:highlight w:val="none"/>
              </w:rPr>
              <w:t>哪一位”或“我可以帮助您吗？”“请您出示证件。”（保安专用）</w:t>
            </w:r>
          </w:p>
          <w:p w14:paraId="41B3B647">
            <w:pPr>
              <w:spacing w:before="89" w:line="219" w:lineRule="auto"/>
              <w:ind w:left="113"/>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2.</w:t>
            </w:r>
            <w:r>
              <w:rPr>
                <w:rFonts w:hint="eastAsia" w:ascii="新宋体" w:hAnsi="新宋体" w:eastAsia="新宋体" w:cs="新宋体"/>
                <w:color w:val="auto"/>
                <w:spacing w:val="-8"/>
                <w:sz w:val="24"/>
                <w:highlight w:val="none"/>
              </w:rPr>
              <w:t>确</w:t>
            </w:r>
            <w:r>
              <w:rPr>
                <w:rFonts w:hint="eastAsia" w:ascii="新宋体" w:hAnsi="新宋体" w:eastAsia="新宋体" w:cs="新宋体"/>
                <w:color w:val="auto"/>
                <w:spacing w:val="-7"/>
                <w:sz w:val="24"/>
                <w:highlight w:val="none"/>
              </w:rPr>
              <w:t>认来访人要求后，说“请稍等，我帮您联系”与被访人联系后告诉来访人“他马上来，请您先等一下，好吗？”</w:t>
            </w:r>
          </w:p>
          <w:p w14:paraId="0405E2F4">
            <w:pPr>
              <w:spacing w:before="91" w:line="219"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8"/>
                <w:sz w:val="24"/>
                <w:highlight w:val="none"/>
              </w:rPr>
              <w:t>3.当</w:t>
            </w:r>
            <w:r>
              <w:rPr>
                <w:rFonts w:hint="eastAsia" w:ascii="新宋体" w:hAnsi="新宋体" w:eastAsia="新宋体" w:cs="新宋体"/>
                <w:color w:val="auto"/>
                <w:spacing w:val="-4"/>
                <w:sz w:val="24"/>
                <w:highlight w:val="none"/>
              </w:rPr>
              <w:t>来访人员不理解或不愿意出示证件时，应说：“对不起，先生/小姐，这是单位规定，请理解！”（保安专用）。</w:t>
            </w:r>
          </w:p>
          <w:p w14:paraId="73F1BAC1">
            <w:pPr>
              <w:spacing w:before="92" w:line="219" w:lineRule="auto"/>
              <w:ind w:left="110"/>
              <w:rPr>
                <w:rFonts w:ascii="新宋体" w:hAnsi="新宋体" w:eastAsia="新宋体" w:cs="新宋体"/>
                <w:color w:val="auto"/>
                <w:spacing w:val="-8"/>
                <w:sz w:val="24"/>
                <w:highlight w:val="none"/>
              </w:rPr>
            </w:pPr>
            <w:r>
              <w:rPr>
                <w:rFonts w:hint="eastAsia" w:ascii="新宋体" w:hAnsi="新宋体" w:eastAsia="新宋体" w:cs="新宋体"/>
                <w:color w:val="auto"/>
                <w:spacing w:val="-16"/>
                <w:sz w:val="24"/>
                <w:highlight w:val="none"/>
              </w:rPr>
              <w:t>4.</w:t>
            </w:r>
            <w:r>
              <w:rPr>
                <w:rFonts w:hint="eastAsia" w:ascii="新宋体" w:hAnsi="新宋体" w:eastAsia="新宋体" w:cs="新宋体"/>
                <w:color w:val="auto"/>
                <w:spacing w:val="-12"/>
                <w:sz w:val="24"/>
                <w:highlight w:val="none"/>
              </w:rPr>
              <w:t>当</w:t>
            </w:r>
            <w:r>
              <w:rPr>
                <w:rFonts w:hint="eastAsia" w:ascii="新宋体" w:hAnsi="新宋体" w:eastAsia="新宋体" w:cs="新宋体"/>
                <w:color w:val="auto"/>
                <w:spacing w:val="-8"/>
                <w:sz w:val="24"/>
                <w:highlight w:val="none"/>
              </w:rPr>
              <w:t>来访人员忘记带证件必须进入区域时，应说：“先生/小姐，请稍候，让我请示一下好吗？”</w:t>
            </w:r>
          </w:p>
          <w:p w14:paraId="2CF1B9BB">
            <w:pPr>
              <w:spacing w:before="36" w:line="217"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5.当确认来访</w:t>
            </w:r>
            <w:r>
              <w:rPr>
                <w:rFonts w:hint="eastAsia" w:ascii="新宋体" w:hAnsi="新宋体" w:eastAsia="新宋体" w:cs="新宋体"/>
                <w:color w:val="auto"/>
                <w:spacing w:val="-6"/>
                <w:sz w:val="24"/>
                <w:highlight w:val="none"/>
              </w:rPr>
              <w:t>人故意捣乱，耍横硬闯时，应先说：“对不起，按单位的规定，没有证件不允许进入办公区，请配合我的工作。”</w:t>
            </w:r>
          </w:p>
          <w:p w14:paraId="211E2C47">
            <w:pPr>
              <w:spacing w:before="93" w:line="221" w:lineRule="auto"/>
              <w:ind w:left="113"/>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6.当来访人</w:t>
            </w:r>
            <w:r>
              <w:rPr>
                <w:rFonts w:hint="eastAsia" w:ascii="新宋体" w:hAnsi="新宋体" w:eastAsia="新宋体" w:cs="新宋体"/>
                <w:color w:val="auto"/>
                <w:sz w:val="24"/>
                <w:highlight w:val="none"/>
              </w:rPr>
              <w:t>员出示证件时，应说：“谢谢您的配合。”</w:t>
            </w:r>
          </w:p>
          <w:p w14:paraId="1B1B04F7">
            <w:pPr>
              <w:spacing w:before="89" w:line="220" w:lineRule="auto"/>
              <w:ind w:left="11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7.如</w:t>
            </w:r>
            <w:r>
              <w:rPr>
                <w:rFonts w:hint="eastAsia" w:ascii="新宋体" w:hAnsi="新宋体" w:eastAsia="新宋体" w:cs="新宋体"/>
                <w:color w:val="auto"/>
                <w:sz w:val="24"/>
                <w:highlight w:val="none"/>
              </w:rPr>
              <w:t>果要找的人不在或不想见时，应礼貌地对对方说“对不起，他现在不在，您能留下卡片或口信吗？”</w:t>
            </w:r>
          </w:p>
          <w:p w14:paraId="765D1394">
            <w:pPr>
              <w:spacing w:before="92" w:line="219" w:lineRule="auto"/>
              <w:ind w:left="110"/>
              <w:rPr>
                <w:rFonts w:ascii="新宋体" w:hAnsi="新宋体" w:eastAsia="新宋体" w:cs="新宋体"/>
                <w:color w:val="auto"/>
                <w:spacing w:val="-8"/>
                <w:sz w:val="24"/>
                <w:highlight w:val="none"/>
              </w:rPr>
            </w:pPr>
            <w:r>
              <w:rPr>
                <w:rFonts w:hint="eastAsia" w:ascii="新宋体" w:hAnsi="新宋体" w:eastAsia="新宋体" w:cs="新宋体"/>
                <w:color w:val="auto"/>
                <w:spacing w:val="-8"/>
                <w:sz w:val="24"/>
                <w:highlight w:val="none"/>
              </w:rPr>
              <w:t>8.当</w:t>
            </w:r>
            <w:r>
              <w:rPr>
                <w:rFonts w:hint="eastAsia" w:ascii="新宋体" w:hAnsi="新宋体" w:eastAsia="新宋体" w:cs="新宋体"/>
                <w:color w:val="auto"/>
                <w:spacing w:val="-5"/>
                <w:sz w:val="24"/>
                <w:highlight w:val="none"/>
              </w:rPr>
              <w:t>来</w:t>
            </w:r>
            <w:r>
              <w:rPr>
                <w:rFonts w:hint="eastAsia" w:ascii="新宋体" w:hAnsi="新宋体" w:eastAsia="新宋体" w:cs="新宋体"/>
                <w:color w:val="auto"/>
                <w:spacing w:val="-4"/>
                <w:sz w:val="24"/>
                <w:highlight w:val="none"/>
              </w:rPr>
              <w:t>访人员离开时，应礼貌地说“再见！”</w:t>
            </w:r>
          </w:p>
        </w:tc>
      </w:tr>
      <w:tr w14:paraId="4ACA6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8" w:hRule="atLeast"/>
        </w:trPr>
        <w:tc>
          <w:tcPr>
            <w:tcW w:w="737" w:type="dxa"/>
            <w:textDirection w:val="tbRlV"/>
          </w:tcPr>
          <w:p w14:paraId="161A167B">
            <w:pPr>
              <w:spacing w:before="93" w:line="181" w:lineRule="auto"/>
              <w:ind w:left="545"/>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接听拨打电</w:t>
            </w:r>
            <w:r>
              <w:rPr>
                <w:rFonts w:hint="eastAsia" w:ascii="新宋体" w:hAnsi="新宋体" w:eastAsia="新宋体" w:cs="新宋体"/>
                <w:color w:val="auto"/>
                <w:spacing w:val="1"/>
                <w:sz w:val="24"/>
                <w:highlight w:val="none"/>
              </w:rPr>
              <w:t>话</w:t>
            </w:r>
          </w:p>
        </w:tc>
        <w:tc>
          <w:tcPr>
            <w:tcW w:w="13830" w:type="dxa"/>
            <w:gridSpan w:val="2"/>
          </w:tcPr>
          <w:p w14:paraId="34EEB5AC">
            <w:pPr>
              <w:spacing w:before="33" w:line="221" w:lineRule="auto"/>
              <w:ind w:left="127"/>
              <w:rPr>
                <w:rFonts w:ascii="新宋体" w:hAnsi="新宋体" w:eastAsia="新宋体" w:cs="新宋体"/>
                <w:color w:val="auto"/>
                <w:sz w:val="24"/>
                <w:highlight w:val="none"/>
              </w:rPr>
            </w:pPr>
            <w:r>
              <w:rPr>
                <w:rFonts w:hint="eastAsia" w:ascii="新宋体" w:hAnsi="新宋体" w:eastAsia="新宋体" w:cs="新宋体"/>
                <w:color w:val="auto"/>
                <w:spacing w:val="-5"/>
                <w:sz w:val="24"/>
                <w:highlight w:val="none"/>
              </w:rPr>
              <w:t>1.接听电话时应清晰应答：“您好，××单位。</w:t>
            </w:r>
            <w:r>
              <w:rPr>
                <w:rFonts w:hint="eastAsia" w:ascii="新宋体" w:hAnsi="新宋体" w:eastAsia="新宋体" w:cs="新宋体"/>
                <w:color w:val="auto"/>
                <w:spacing w:val="-1"/>
                <w:sz w:val="24"/>
                <w:highlight w:val="none"/>
              </w:rPr>
              <w:t>”</w:t>
            </w:r>
          </w:p>
          <w:p w14:paraId="2F4D0216">
            <w:pPr>
              <w:spacing w:before="90" w:line="260" w:lineRule="auto"/>
              <w:ind w:left="112" w:right="113" w:firstLine="1"/>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2.认真倾听对方的电话事由，若需传呼他人，应请对方稍候，然后轻轻搁下电话，去传呼他人：如对方有公事相告时，应将对方要求逐条记录</w:t>
            </w:r>
            <w:r>
              <w:rPr>
                <w:rFonts w:hint="eastAsia" w:ascii="新宋体" w:hAnsi="新宋体" w:eastAsia="新宋体" w:cs="新宋体"/>
                <w:color w:val="auto"/>
                <w:spacing w:val="-3"/>
                <w:sz w:val="24"/>
                <w:highlight w:val="none"/>
              </w:rPr>
              <w:t>在</w:t>
            </w:r>
            <w:r>
              <w:rPr>
                <w:rFonts w:hint="eastAsia" w:ascii="新宋体" w:hAnsi="新宋体" w:eastAsia="新宋体" w:cs="新宋体"/>
                <w:color w:val="auto"/>
                <w:sz w:val="24"/>
                <w:highlight w:val="none"/>
              </w:rPr>
              <w:t>《工</w:t>
            </w:r>
            <w:r>
              <w:rPr>
                <w:rFonts w:hint="eastAsia" w:ascii="新宋体" w:hAnsi="新宋体" w:eastAsia="新宋体" w:cs="新宋体"/>
                <w:color w:val="auto"/>
                <w:spacing w:val="-2"/>
                <w:sz w:val="24"/>
                <w:highlight w:val="none"/>
              </w:rPr>
              <w:t>作日记》内，并尽量详细回</w:t>
            </w:r>
            <w:r>
              <w:rPr>
                <w:rFonts w:hint="eastAsia" w:ascii="新宋体" w:hAnsi="新宋体" w:eastAsia="新宋体" w:cs="新宋体"/>
                <w:color w:val="auto"/>
                <w:spacing w:val="-1"/>
                <w:sz w:val="24"/>
                <w:highlight w:val="none"/>
              </w:rPr>
              <w:t>答。</w:t>
            </w:r>
          </w:p>
          <w:p w14:paraId="332CD37D">
            <w:pPr>
              <w:spacing w:before="89" w:line="22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3</w:t>
            </w:r>
            <w:r>
              <w:rPr>
                <w:rFonts w:hint="eastAsia" w:ascii="新宋体" w:hAnsi="新宋体" w:eastAsia="新宋体" w:cs="新宋体"/>
                <w:color w:val="auto"/>
                <w:spacing w:val="-13"/>
                <w:sz w:val="24"/>
                <w:highlight w:val="none"/>
              </w:rPr>
              <w:t>.</w:t>
            </w:r>
            <w:r>
              <w:rPr>
                <w:rFonts w:hint="eastAsia" w:ascii="新宋体" w:hAnsi="新宋体" w:eastAsia="新宋体" w:cs="新宋体"/>
                <w:color w:val="auto"/>
                <w:spacing w:val="-7"/>
                <w:sz w:val="24"/>
                <w:highlight w:val="none"/>
              </w:rPr>
              <w:t>通话完毕，应说：“谢谢，再见！”语气平和，并在对方放下电话后再轻轻放下电话。</w:t>
            </w:r>
          </w:p>
          <w:p w14:paraId="4D883CB0">
            <w:pPr>
              <w:spacing w:before="88" w:line="217" w:lineRule="auto"/>
              <w:ind w:left="110"/>
              <w:rPr>
                <w:rFonts w:ascii="新宋体" w:hAnsi="新宋体" w:eastAsia="新宋体" w:cs="新宋体"/>
                <w:color w:val="auto"/>
                <w:sz w:val="24"/>
                <w:highlight w:val="none"/>
              </w:rPr>
            </w:pPr>
            <w:r>
              <w:rPr>
                <w:rFonts w:hint="eastAsia" w:ascii="新宋体" w:hAnsi="新宋体" w:eastAsia="新宋体" w:cs="新宋体"/>
                <w:color w:val="auto"/>
                <w:spacing w:val="-16"/>
                <w:sz w:val="24"/>
                <w:highlight w:val="none"/>
              </w:rPr>
              <w:t>4.如</w:t>
            </w:r>
            <w:r>
              <w:rPr>
                <w:rFonts w:hint="eastAsia" w:ascii="新宋体" w:hAnsi="新宋体" w:eastAsia="新宋体" w:cs="新宋体"/>
                <w:color w:val="auto"/>
                <w:spacing w:val="-13"/>
                <w:sz w:val="24"/>
                <w:highlight w:val="none"/>
              </w:rPr>
              <w:t>接</w:t>
            </w:r>
            <w:r>
              <w:rPr>
                <w:rFonts w:hint="eastAsia" w:ascii="新宋体" w:hAnsi="新宋体" w:eastAsia="新宋体" w:cs="新宋体"/>
                <w:color w:val="auto"/>
                <w:spacing w:val="-8"/>
                <w:sz w:val="24"/>
                <w:highlight w:val="none"/>
              </w:rPr>
              <w:t>电话听不懂对方语言时，应说：“对不起，请您用普通话，好吗？”或“不好意思，请稍候，我不会说当地话。”</w:t>
            </w:r>
          </w:p>
          <w:p w14:paraId="62AEE31D">
            <w:pPr>
              <w:spacing w:before="93" w:line="221"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5.中途若遇急事需暂时中</w:t>
            </w:r>
            <w:r>
              <w:rPr>
                <w:rFonts w:hint="eastAsia" w:ascii="新宋体" w:hAnsi="新宋体" w:eastAsia="新宋体" w:cs="新宋体"/>
                <w:color w:val="auto"/>
                <w:spacing w:val="-5"/>
                <w:sz w:val="24"/>
                <w:highlight w:val="none"/>
              </w:rPr>
              <w:t>断</w:t>
            </w:r>
            <w:r>
              <w:rPr>
                <w:rFonts w:hint="eastAsia" w:ascii="新宋体" w:hAnsi="新宋体" w:eastAsia="新宋体" w:cs="新宋体"/>
                <w:color w:val="auto"/>
                <w:spacing w:val="-3"/>
                <w:sz w:val="24"/>
                <w:highlight w:val="none"/>
              </w:rPr>
              <w:t>与对方通话时，应先征得对方的同意，并表示感谢，恢复与对方通话时，切勿忘记向对方致歉。</w:t>
            </w:r>
          </w:p>
          <w:p w14:paraId="09D30434">
            <w:pPr>
              <w:spacing w:before="90" w:line="221" w:lineRule="auto"/>
              <w:ind w:left="113"/>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6.接听电话时，声调要自然清晰、柔和、亲切，音量</w:t>
            </w:r>
            <w:r>
              <w:rPr>
                <w:rFonts w:hint="eastAsia" w:ascii="新宋体" w:hAnsi="新宋体" w:eastAsia="新宋体" w:cs="新宋体"/>
                <w:color w:val="auto"/>
                <w:sz w:val="24"/>
                <w:highlight w:val="none"/>
              </w:rPr>
              <w:t>要适宜，以免对方听不清楚。</w:t>
            </w:r>
          </w:p>
          <w:p w14:paraId="0AAFFC43">
            <w:pPr>
              <w:spacing w:before="90" w:line="219" w:lineRule="auto"/>
              <w:ind w:left="116"/>
              <w:rPr>
                <w:rFonts w:ascii="新宋体" w:hAnsi="新宋体" w:eastAsia="新宋体" w:cs="新宋体"/>
                <w:color w:val="auto"/>
                <w:sz w:val="24"/>
                <w:highlight w:val="none"/>
              </w:rPr>
            </w:pPr>
            <w:r>
              <w:rPr>
                <w:rFonts w:hint="eastAsia" w:ascii="新宋体" w:hAnsi="新宋体" w:eastAsia="新宋体" w:cs="新宋体"/>
                <w:color w:val="auto"/>
                <w:spacing w:val="-10"/>
                <w:sz w:val="24"/>
                <w:highlight w:val="none"/>
              </w:rPr>
              <w:t>7.拨打电话接通后，应首先向对方致以问候，如：“您好”，并作自我介绍。使用敬语，将要找的通话人姓名及要做的事交待清</w:t>
            </w:r>
            <w:r>
              <w:rPr>
                <w:rFonts w:hint="eastAsia" w:ascii="新宋体" w:hAnsi="新宋体" w:eastAsia="新宋体" w:cs="新宋体"/>
                <w:color w:val="auto"/>
                <w:spacing w:val="-7"/>
                <w:sz w:val="24"/>
                <w:highlight w:val="none"/>
              </w:rPr>
              <w:t>楚</w:t>
            </w:r>
            <w:r>
              <w:rPr>
                <w:rFonts w:hint="eastAsia" w:ascii="新宋体" w:hAnsi="新宋体" w:eastAsia="新宋体" w:cs="新宋体"/>
                <w:color w:val="auto"/>
                <w:sz w:val="24"/>
                <w:highlight w:val="none"/>
              </w:rPr>
              <w:t>。</w:t>
            </w:r>
          </w:p>
          <w:p w14:paraId="0DC6A485">
            <w:pPr>
              <w:spacing w:before="91" w:line="221" w:lineRule="auto"/>
              <w:ind w:left="112"/>
              <w:rPr>
                <w:rFonts w:ascii="新宋体" w:hAnsi="新宋体" w:eastAsia="新宋体" w:cs="新宋体"/>
                <w:color w:val="auto"/>
                <w:sz w:val="24"/>
                <w:highlight w:val="none"/>
              </w:rPr>
            </w:pPr>
            <w:r>
              <w:rPr>
                <w:rFonts w:hint="eastAsia" w:ascii="新宋体" w:hAnsi="新宋体" w:eastAsia="新宋体" w:cs="新宋体"/>
                <w:color w:val="auto"/>
                <w:spacing w:val="-22"/>
                <w:sz w:val="24"/>
                <w:highlight w:val="none"/>
              </w:rPr>
              <w:t>8</w:t>
            </w:r>
            <w:r>
              <w:rPr>
                <w:rFonts w:hint="eastAsia" w:ascii="新宋体" w:hAnsi="新宋体" w:eastAsia="新宋体" w:cs="新宋体"/>
                <w:color w:val="auto"/>
                <w:spacing w:val="-13"/>
                <w:sz w:val="24"/>
                <w:highlight w:val="none"/>
              </w:rPr>
              <w:t>.通话完毕时，应说：“谢谢，再见。”</w:t>
            </w:r>
          </w:p>
        </w:tc>
      </w:tr>
      <w:tr w14:paraId="2F2D8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737" w:type="dxa"/>
          </w:tcPr>
          <w:p w14:paraId="389E1DA1">
            <w:pPr>
              <w:spacing w:before="206" w:line="227" w:lineRule="auto"/>
              <w:ind w:left="168"/>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同</w:t>
            </w:r>
            <w:r>
              <w:rPr>
                <w:rFonts w:hint="eastAsia" w:ascii="新宋体" w:hAnsi="新宋体" w:eastAsia="新宋体" w:cs="新宋体"/>
                <w:color w:val="auto"/>
                <w:spacing w:val="-2"/>
                <w:sz w:val="24"/>
                <w:highlight w:val="none"/>
              </w:rPr>
              <w:t>乘</w:t>
            </w:r>
          </w:p>
          <w:p w14:paraId="507A8D16">
            <w:pPr>
              <w:spacing w:line="186" w:lineRule="auto"/>
              <w:ind w:left="168"/>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电</w:t>
            </w:r>
            <w:r>
              <w:rPr>
                <w:rFonts w:hint="eastAsia" w:ascii="新宋体" w:hAnsi="新宋体" w:eastAsia="新宋体" w:cs="新宋体"/>
                <w:color w:val="auto"/>
                <w:spacing w:val="-2"/>
                <w:sz w:val="24"/>
                <w:highlight w:val="none"/>
              </w:rPr>
              <w:t>梯</w:t>
            </w:r>
          </w:p>
        </w:tc>
        <w:tc>
          <w:tcPr>
            <w:tcW w:w="13830" w:type="dxa"/>
            <w:gridSpan w:val="2"/>
          </w:tcPr>
          <w:p w14:paraId="52AD8096">
            <w:pPr>
              <w:spacing w:before="36" w:line="260" w:lineRule="auto"/>
              <w:ind w:left="110" w:right="167" w:firstLine="16"/>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1.主动按</w:t>
            </w:r>
            <w:r>
              <w:rPr>
                <w:rFonts w:hint="eastAsia" w:ascii="新宋体" w:hAnsi="新宋体" w:eastAsia="新宋体" w:cs="新宋体"/>
                <w:color w:val="auto"/>
                <w:spacing w:val="-3"/>
                <w:sz w:val="24"/>
                <w:highlight w:val="none"/>
              </w:rPr>
              <w:t>“开门”钮，电梯到层时，应站在梯门边，一只手斜放在梯门上，以免梯门突然关闭，同时面带微笑地说“电梯来了，请进。”顾客进</w:t>
            </w:r>
            <w:r>
              <w:rPr>
                <w:rFonts w:hint="eastAsia" w:ascii="新宋体" w:hAnsi="新宋体" w:eastAsia="新宋体" w:cs="新宋体"/>
                <w:color w:val="auto"/>
                <w:spacing w:val="-10"/>
                <w:sz w:val="24"/>
                <w:highlight w:val="none"/>
              </w:rPr>
              <w:t>入</w:t>
            </w:r>
            <w:r>
              <w:rPr>
                <w:rFonts w:hint="eastAsia" w:ascii="新宋体" w:hAnsi="新宋体" w:eastAsia="新宋体" w:cs="新宋体"/>
                <w:color w:val="auto"/>
                <w:spacing w:val="-8"/>
                <w:sz w:val="24"/>
                <w:highlight w:val="none"/>
              </w:rPr>
              <w:t>电</w:t>
            </w:r>
            <w:r>
              <w:rPr>
                <w:rFonts w:hint="eastAsia" w:ascii="新宋体" w:hAnsi="新宋体" w:eastAsia="新宋体" w:cs="新宋体"/>
                <w:color w:val="auto"/>
                <w:spacing w:val="-5"/>
                <w:sz w:val="24"/>
                <w:highlight w:val="none"/>
              </w:rPr>
              <w:t>梯后再进电梯，面向电梯门，按“关门”钮。</w:t>
            </w:r>
          </w:p>
          <w:p w14:paraId="32DDF863">
            <w:pPr>
              <w:spacing w:before="87" w:line="221" w:lineRule="auto"/>
              <w:ind w:left="113"/>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2.电梯停止梯门打开后，首先出去站立在梯门旁，一只手斜放在梯门上，同时另一只手指向通道</w:t>
            </w:r>
            <w:r>
              <w:rPr>
                <w:rFonts w:hint="eastAsia" w:ascii="新宋体" w:hAnsi="新宋体" w:eastAsia="新宋体" w:cs="新宋体"/>
                <w:color w:val="auto"/>
                <w:spacing w:val="-1"/>
                <w:sz w:val="24"/>
                <w:highlight w:val="none"/>
              </w:rPr>
              <w:t>，面带微笑地说：“到了，请走好。”</w:t>
            </w:r>
          </w:p>
        </w:tc>
      </w:tr>
    </w:tbl>
    <w:p w14:paraId="122DE9C9">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其他相关要求</w:t>
      </w:r>
    </w:p>
    <w:p w14:paraId="11B00848">
      <w:pPr>
        <w:numPr>
          <w:ilvl w:val="0"/>
          <w:numId w:val="6"/>
        </w:numP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根据本项目物业使用特点，提出合理的物业管理服务理念、服务定位和服务目标。</w:t>
      </w:r>
    </w:p>
    <w:p w14:paraId="185A9498">
      <w:pPr>
        <w:numPr>
          <w:ilvl w:val="0"/>
          <w:numId w:val="6"/>
        </w:numP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针对本项目有比较完善的组织架构、主要管理流程（包括：运作流程图、信息反馈及处理运作流程图、投诉处理运作流程图、紧急情况处理运作流程图）、主要管理机制（包括：激励机制、监督机制、约束机制）。</w:t>
      </w:r>
    </w:p>
    <w:p w14:paraId="00E7CA80">
      <w:pPr>
        <w:numPr>
          <w:ilvl w:val="0"/>
          <w:numId w:val="6"/>
        </w:numP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有完善的物业管理制度，包括：考勤管理制度、财务管理制度、接待投诉制度、培训学习制度、监督考核制度、档案管理制度、各项工作制度等，体现标准化服务水平。</w:t>
      </w:r>
    </w:p>
    <w:p w14:paraId="4A04B614">
      <w:pPr>
        <w:numPr>
          <w:ilvl w:val="0"/>
          <w:numId w:val="6"/>
        </w:numP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针对本项目的员工培训方案，包括：培训目的、培训内容、培训时间、培训地点、培训者、培训对象、培训方式等。</w:t>
      </w:r>
    </w:p>
    <w:p w14:paraId="488356C3">
      <w:pPr>
        <w:numPr>
          <w:ilvl w:val="0"/>
          <w:numId w:val="6"/>
        </w:numP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本项目投入设施设备等情况</w:t>
      </w:r>
    </w:p>
    <w:p w14:paraId="481045A0">
      <w:pPr>
        <w:numPr>
          <w:ilvl w:val="0"/>
          <w:numId w:val="7"/>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采购人免费提供物业管理的办公场地，根据需要在适合的楼层配备洁具堆放间，其它房间（如工程管理需要的应急备件仓库、工程值班室、保洁仓库、员工的更衣室）进场后视情况协调解决。中标单位必须配置办公设备独立放置于采购人提供的办公区域内，不能与物管区域外单位、部门或团体共用，其办公用品所需耗材由中标单位自行承担。</w:t>
      </w:r>
    </w:p>
    <w:p w14:paraId="28235478">
      <w:pPr>
        <w:numPr>
          <w:ilvl w:val="0"/>
          <w:numId w:val="7"/>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中标单位应投入本项目的设备：洗地车1辆、吸尘器1台，清运垃圾三轮车1辆。</w:t>
      </w:r>
    </w:p>
    <w:p w14:paraId="415502FD">
      <w:pPr>
        <w:numPr>
          <w:ilvl w:val="0"/>
          <w:numId w:val="7"/>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中标单位应提供保洁日常工具、厕纸、擦手纸、洗手液等耗材。</w:t>
      </w:r>
    </w:p>
    <w:p w14:paraId="17448F4D">
      <w:pPr>
        <w:numPr>
          <w:ilvl w:val="0"/>
          <w:numId w:val="6"/>
        </w:numP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投标人拥有智能化物业管理能力。</w:t>
      </w:r>
    </w:p>
    <w:p w14:paraId="24FBD42C">
      <w:pPr>
        <w:numPr>
          <w:ilvl w:val="0"/>
          <w:numId w:val="6"/>
        </w:numP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投标人具有类似物业管理服务经验。</w:t>
      </w:r>
    </w:p>
    <w:p w14:paraId="31ABECAC">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管理服务费用及支付</w:t>
      </w:r>
    </w:p>
    <w:p w14:paraId="3965A2DE">
      <w:pPr>
        <w:numPr>
          <w:ilvl w:val="0"/>
          <w:numId w:val="8"/>
        </w:numPr>
        <w:spacing w:line="360" w:lineRule="auto"/>
        <w:rPr>
          <w:rFonts w:ascii="新宋体" w:hAnsi="新宋体" w:eastAsia="新宋体" w:cs="新宋体"/>
          <w:b/>
          <w:bCs/>
          <w:color w:val="auto"/>
          <w:spacing w:val="11"/>
          <w:sz w:val="24"/>
          <w:highlight w:val="none"/>
        </w:rPr>
      </w:pPr>
      <w:r>
        <w:rPr>
          <w:rFonts w:hint="eastAsia" w:ascii="新宋体" w:hAnsi="新宋体" w:eastAsia="新宋体" w:cs="新宋体"/>
          <w:b/>
          <w:bCs/>
          <w:color w:val="auto"/>
          <w:spacing w:val="11"/>
          <w:sz w:val="24"/>
          <w:highlight w:val="none"/>
        </w:rPr>
        <w:t>报价说明</w:t>
      </w:r>
    </w:p>
    <w:p w14:paraId="109A2CF7">
      <w:pPr>
        <w:widowControl/>
        <w:numPr>
          <w:ilvl w:val="0"/>
          <w:numId w:val="9"/>
        </w:numPr>
        <w:adjustRightInd/>
        <w:spacing w:line="360" w:lineRule="auto"/>
        <w:jc w:val="left"/>
        <w:rPr>
          <w:rFonts w:ascii="新宋体" w:hAnsi="新宋体" w:eastAsia="新宋体" w:cs="新宋体"/>
          <w:bCs/>
          <w:color w:val="auto"/>
          <w:sz w:val="24"/>
          <w:highlight w:val="none"/>
        </w:rPr>
      </w:pPr>
      <w:r>
        <w:rPr>
          <w:rFonts w:hint="eastAsia" w:ascii="新宋体" w:hAnsi="新宋体" w:eastAsia="新宋体" w:cs="新宋体"/>
          <w:bCs/>
          <w:color w:val="auto"/>
          <w:sz w:val="24"/>
          <w:highlight w:val="none"/>
        </w:rPr>
        <w:t>投标报价包含完成本项目招标要求的</w:t>
      </w:r>
      <w:r>
        <w:rPr>
          <w:rFonts w:hint="eastAsia" w:ascii="新宋体" w:hAnsi="新宋体" w:eastAsia="新宋体" w:cs="新宋体"/>
          <w:color w:val="auto"/>
          <w:sz w:val="24"/>
          <w:highlight w:val="none"/>
        </w:rPr>
        <w:t>清洁保洁、</w:t>
      </w:r>
      <w:r>
        <w:rPr>
          <w:rFonts w:hint="eastAsia" w:ascii="新宋体" w:hAnsi="新宋体" w:eastAsia="新宋体" w:cs="新宋体"/>
          <w:bCs/>
          <w:color w:val="auto"/>
          <w:sz w:val="24"/>
          <w:highlight w:val="none"/>
        </w:rPr>
        <w:t>安全消控管理、绿化养护、工程设备维护</w:t>
      </w:r>
      <w:r>
        <w:rPr>
          <w:rFonts w:hint="eastAsia" w:ascii="新宋体" w:hAnsi="新宋体" w:eastAsia="新宋体" w:cs="新宋体"/>
          <w:color w:val="auto"/>
          <w:sz w:val="24"/>
          <w:highlight w:val="none"/>
        </w:rPr>
        <w:t>、会务服务、清洗服务以及</w:t>
      </w:r>
      <w:r>
        <w:rPr>
          <w:rFonts w:hint="eastAsia" w:ascii="新宋体" w:hAnsi="新宋体" w:eastAsia="新宋体" w:cs="新宋体"/>
          <w:bCs/>
          <w:color w:val="auto"/>
          <w:sz w:val="24"/>
          <w:highlight w:val="none"/>
        </w:rPr>
        <w:t>采购人交办的其他工作所产生的所有费用，包括但不限于人员工资、奖金、福利等以及人员服装费、设备维护费、设备使用费、维修配件费、保洁工具耗材费、管理费、税费等，采购人不再支付其他费用。</w:t>
      </w:r>
    </w:p>
    <w:p w14:paraId="75F1DC8B">
      <w:pPr>
        <w:widowControl/>
        <w:numPr>
          <w:ilvl w:val="0"/>
          <w:numId w:val="9"/>
        </w:numPr>
        <w:adjustRightInd/>
        <w:spacing w:line="360" w:lineRule="auto"/>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中标单位应严格按照杭州市社保缴纳基数相关规定进行社保缴纳，并按规定缴纳住房公积金，做到合法用工。</w:t>
      </w:r>
    </w:p>
    <w:p w14:paraId="34FE53C6">
      <w:pPr>
        <w:widowControl/>
        <w:numPr>
          <w:ilvl w:val="0"/>
          <w:numId w:val="9"/>
        </w:numPr>
        <w:adjustRightInd/>
        <w:spacing w:line="360" w:lineRule="auto"/>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物业管理服务费用以签订的合同价为准，合同期内如遇工作人员的最低工资调整等其他因素，产生的费用由中标单位承担，采购人不追加因用工成本增加产生的费用。</w:t>
      </w:r>
    </w:p>
    <w:p w14:paraId="019CB245">
      <w:pPr>
        <w:pStyle w:val="100"/>
        <w:numPr>
          <w:ilvl w:val="0"/>
          <w:numId w:val="8"/>
        </w:numPr>
        <w:spacing w:line="400" w:lineRule="exact"/>
        <w:ind w:firstLineChars="0"/>
        <w:rPr>
          <w:rFonts w:ascii="宋体" w:hAnsi="宋体"/>
          <w:bCs/>
          <w:color w:val="auto"/>
          <w:sz w:val="24"/>
          <w:highlight w:val="none"/>
        </w:rPr>
      </w:pPr>
      <w:r>
        <w:rPr>
          <w:rFonts w:hint="eastAsia" w:ascii="新宋体" w:hAnsi="新宋体" w:eastAsia="新宋体" w:cs="新宋体"/>
          <w:b/>
          <w:bCs/>
          <w:color w:val="auto"/>
          <w:spacing w:val="11"/>
          <w:sz w:val="24"/>
          <w:highlight w:val="none"/>
        </w:rPr>
        <w:t>费用支付</w:t>
      </w:r>
    </w:p>
    <w:p w14:paraId="2FDBDCD0">
      <w:pPr>
        <w:pStyle w:val="100"/>
        <w:numPr>
          <w:ilvl w:val="0"/>
          <w:numId w:val="10"/>
        </w:numPr>
        <w:spacing w:line="400" w:lineRule="exact"/>
        <w:ind w:firstLineChars="0"/>
        <w:rPr>
          <w:rFonts w:ascii="宋体" w:hAnsi="宋体"/>
          <w:bCs/>
          <w:color w:val="auto"/>
          <w:sz w:val="24"/>
          <w:highlight w:val="none"/>
        </w:rPr>
      </w:pPr>
      <w:r>
        <w:rPr>
          <w:rFonts w:hint="eastAsia" w:ascii="新宋体" w:hAnsi="新宋体" w:eastAsia="新宋体" w:cs="新宋体"/>
          <w:bCs/>
          <w:color w:val="auto"/>
          <w:sz w:val="24"/>
          <w:highlight w:val="none"/>
        </w:rPr>
        <w:t xml:space="preserve">采购人根据物业服务质量考核结果按每月支付物业管理服务费。乙方因工作失误造成的扣款在付款时予以扣除。物业管理服务费用以签订的合同价为准。 </w:t>
      </w:r>
    </w:p>
    <w:p w14:paraId="134C0E02">
      <w:pPr>
        <w:pStyle w:val="100"/>
        <w:numPr>
          <w:ilvl w:val="0"/>
          <w:numId w:val="10"/>
        </w:numPr>
        <w:spacing w:line="460" w:lineRule="exact"/>
        <w:ind w:firstLineChars="0"/>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中标人因合同违约、工作失误或根据考核结果造成的扣款，采购人在支付</w:t>
      </w:r>
      <w:r>
        <w:rPr>
          <w:rFonts w:hint="eastAsia" w:ascii="新宋体" w:hAnsi="新宋体" w:eastAsia="新宋体" w:cs="新宋体"/>
          <w:bCs/>
          <w:color w:val="auto"/>
          <w:sz w:val="24"/>
          <w:highlight w:val="none"/>
        </w:rPr>
        <w:t>每月</w:t>
      </w:r>
      <w:r>
        <w:rPr>
          <w:rFonts w:hint="eastAsia" w:ascii="新宋体" w:hAnsi="新宋体" w:eastAsia="新宋体" w:cs="新宋体"/>
          <w:color w:val="auto"/>
          <w:sz w:val="24"/>
          <w:highlight w:val="none"/>
          <w:shd w:val="clear" w:color="040000" w:fill="FFFFFF"/>
        </w:rPr>
        <w:t>服务费时在应支付的服务费中相应扣除。</w:t>
      </w:r>
    </w:p>
    <w:p w14:paraId="7701E4E0">
      <w:pPr>
        <w:pStyle w:val="100"/>
        <w:numPr>
          <w:ilvl w:val="0"/>
          <w:numId w:val="10"/>
        </w:numPr>
        <w:spacing w:line="460" w:lineRule="exact"/>
        <w:ind w:firstLineChars="0"/>
        <w:rPr>
          <w:rFonts w:ascii="宋体" w:hAnsi="宋体"/>
          <w:bCs/>
          <w:color w:val="auto"/>
          <w:sz w:val="24"/>
          <w:highlight w:val="none"/>
        </w:rPr>
      </w:pPr>
      <w:r>
        <w:rPr>
          <w:rFonts w:ascii="宋体" w:hAnsi="宋体"/>
          <w:bCs/>
          <w:color w:val="auto"/>
          <w:sz w:val="24"/>
          <w:highlight w:val="none"/>
        </w:rPr>
        <w:t>双方约定无须交纳履约保证金</w:t>
      </w:r>
      <w:r>
        <w:rPr>
          <w:rFonts w:hint="eastAsia" w:ascii="宋体" w:hAnsi="宋体"/>
          <w:bCs/>
          <w:color w:val="auto"/>
          <w:sz w:val="24"/>
          <w:highlight w:val="none"/>
        </w:rPr>
        <w:t>。</w:t>
      </w:r>
    </w:p>
    <w:p w14:paraId="743A243D">
      <w:pPr>
        <w:pStyle w:val="100"/>
        <w:numPr>
          <w:ilvl w:val="0"/>
          <w:numId w:val="10"/>
        </w:numPr>
        <w:shd w:val="clear" w:color="040000" w:fill="FFFFFF"/>
        <w:snapToGrid w:val="0"/>
        <w:spacing w:line="360" w:lineRule="auto"/>
        <w:ind w:firstLineChars="0"/>
        <w:jc w:val="left"/>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采购人每次付款前，中标人须提交对应金额的正规发票。</w:t>
      </w:r>
    </w:p>
    <w:p w14:paraId="1596E356">
      <w:pPr>
        <w:pStyle w:val="2"/>
        <w:rPr>
          <w:color w:val="auto"/>
          <w:highlight w:val="none"/>
        </w:rPr>
        <w:sectPr>
          <w:pgSz w:w="16839" w:h="11907" w:orient="landscape"/>
          <w:pgMar w:top="1012" w:right="938" w:bottom="0" w:left="1327" w:header="0" w:footer="0" w:gutter="0"/>
          <w:cols w:space="720" w:num="1"/>
          <w:docGrid w:type="lines" w:linePitch="319" w:charSpace="0"/>
        </w:sectPr>
      </w:pPr>
    </w:p>
    <w:p w14:paraId="070B4790">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物业服务质量考核标准</w:t>
      </w:r>
    </w:p>
    <w:p w14:paraId="67E62F75">
      <w:pPr>
        <w:snapToGrid w:val="0"/>
        <w:spacing w:line="440" w:lineRule="exact"/>
        <w:ind w:firstLine="480" w:firstLineChars="200"/>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 xml:space="preserve">本考核要求采用百分制，每年考核四次，每三个月考核一次，采购人可视情况增加考核次数，并按以下原则评定考核等级： </w:t>
      </w:r>
    </w:p>
    <w:p w14:paraId="5B3F5652">
      <w:pPr>
        <w:numPr>
          <w:ilvl w:val="0"/>
          <w:numId w:val="11"/>
        </w:numPr>
        <w:snapToGrid w:val="0"/>
        <w:spacing w:line="440" w:lineRule="exact"/>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考核分≥90分，视为优秀，全额拨付当期物业服务费用。</w:t>
      </w:r>
    </w:p>
    <w:p w14:paraId="1FA5C5A5">
      <w:pPr>
        <w:numPr>
          <w:ilvl w:val="0"/>
          <w:numId w:val="11"/>
        </w:numPr>
        <w:snapToGrid w:val="0"/>
        <w:spacing w:line="440" w:lineRule="exact"/>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80≤考核分＜90分，视为良好，扣除当期物业服务费用的2%；</w:t>
      </w:r>
    </w:p>
    <w:p w14:paraId="44277C30">
      <w:pPr>
        <w:numPr>
          <w:ilvl w:val="0"/>
          <w:numId w:val="11"/>
        </w:numPr>
        <w:snapToGrid w:val="0"/>
        <w:spacing w:line="440" w:lineRule="exact"/>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70≤考核分＜80分，视为合格，扣除当期物业服务费用的5%；</w:t>
      </w:r>
    </w:p>
    <w:p w14:paraId="0E0C82FE">
      <w:pPr>
        <w:numPr>
          <w:ilvl w:val="0"/>
          <w:numId w:val="11"/>
        </w:numPr>
        <w:snapToGrid w:val="0"/>
        <w:spacing w:line="440" w:lineRule="exact"/>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考核分＜70分视为不合格，扣除当期物业服务费用的10%。如在考核中中标人连续二次考核分＜70分，采购人将通知中标人解除物业服务合同。</w:t>
      </w:r>
    </w:p>
    <w:p w14:paraId="5D7CA4B4">
      <w:pPr>
        <w:snapToGrid w:val="0"/>
        <w:spacing w:line="440" w:lineRule="exact"/>
        <w:jc w:val="center"/>
        <w:rPr>
          <w:rFonts w:ascii="新宋体" w:hAnsi="新宋体" w:eastAsia="新宋体" w:cs="新宋体"/>
          <w:b/>
          <w:bCs/>
          <w:color w:val="auto"/>
          <w:sz w:val="24"/>
          <w:highlight w:val="none"/>
        </w:rPr>
      </w:pPr>
    </w:p>
    <w:p w14:paraId="28FC7E9D">
      <w:pPr>
        <w:snapToGrid w:val="0"/>
        <w:spacing w:line="440" w:lineRule="exact"/>
        <w:jc w:val="center"/>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（项目名称）物业服务质量考核标准</w:t>
      </w:r>
    </w:p>
    <w:p w14:paraId="07881EC8">
      <w:pPr>
        <w:snapToGrid w:val="0"/>
        <w:spacing w:line="440" w:lineRule="exact"/>
        <w:ind w:firstLine="3373" w:firstLineChars="1400"/>
        <w:jc w:val="left"/>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考核人：                                          考核时间：</w:t>
      </w:r>
    </w:p>
    <w:tbl>
      <w:tblPr>
        <w:tblStyle w:val="964"/>
        <w:tblpPr w:leftFromText="180" w:rightFromText="180" w:vertAnchor="text" w:horzAnchor="page" w:tblpX="1061" w:tblpY="598"/>
        <w:tblOverlap w:val="never"/>
        <w:tblW w:w="140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844"/>
        <w:gridCol w:w="8022"/>
        <w:gridCol w:w="1110"/>
        <w:gridCol w:w="1665"/>
        <w:gridCol w:w="1665"/>
      </w:tblGrid>
      <w:tr w14:paraId="1C08B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blHeader/>
        </w:trPr>
        <w:tc>
          <w:tcPr>
            <w:tcW w:w="721" w:type="dxa"/>
            <w:tcBorders>
              <w:left w:val="single" w:color="000000" w:sz="6" w:space="0"/>
            </w:tcBorders>
            <w:vAlign w:val="center"/>
          </w:tcPr>
          <w:p w14:paraId="371FFCB8">
            <w:pPr>
              <w:widowControl/>
              <w:autoSpaceDE w:val="0"/>
              <w:autoSpaceDN w:val="0"/>
              <w:snapToGrid w:val="0"/>
              <w:spacing w:line="240" w:lineRule="atLeast"/>
              <w:ind w:left="139"/>
              <w:jc w:val="center"/>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spacing w:val="-1"/>
                <w:kern w:val="0"/>
                <w:sz w:val="24"/>
                <w:highlight w:val="none"/>
              </w:rPr>
              <w:t>序</w:t>
            </w:r>
            <w:r>
              <w:rPr>
                <w:rFonts w:hint="eastAsia" w:ascii="新宋体" w:hAnsi="新宋体" w:eastAsia="新宋体" w:cs="新宋体"/>
                <w:color w:val="auto"/>
                <w:kern w:val="0"/>
                <w:sz w:val="24"/>
                <w:highlight w:val="none"/>
              </w:rPr>
              <w:t>号</w:t>
            </w:r>
          </w:p>
        </w:tc>
        <w:tc>
          <w:tcPr>
            <w:tcW w:w="844" w:type="dxa"/>
            <w:vAlign w:val="center"/>
          </w:tcPr>
          <w:p w14:paraId="434FFB45">
            <w:pPr>
              <w:widowControl/>
              <w:autoSpaceDE w:val="0"/>
              <w:autoSpaceDN w:val="0"/>
              <w:snapToGrid w:val="0"/>
              <w:spacing w:line="240" w:lineRule="atLeast"/>
              <w:ind w:left="205"/>
              <w:jc w:val="center"/>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spacing w:val="-1"/>
                <w:kern w:val="0"/>
                <w:sz w:val="24"/>
                <w:highlight w:val="none"/>
              </w:rPr>
              <w:t>项</w:t>
            </w:r>
            <w:r>
              <w:rPr>
                <w:rFonts w:hint="eastAsia" w:ascii="新宋体" w:hAnsi="新宋体" w:eastAsia="新宋体" w:cs="新宋体"/>
                <w:color w:val="auto"/>
                <w:kern w:val="0"/>
                <w:sz w:val="24"/>
                <w:highlight w:val="none"/>
              </w:rPr>
              <w:t>目</w:t>
            </w:r>
          </w:p>
        </w:tc>
        <w:tc>
          <w:tcPr>
            <w:tcW w:w="8022" w:type="dxa"/>
            <w:vAlign w:val="center"/>
          </w:tcPr>
          <w:p w14:paraId="08A432F2">
            <w:pPr>
              <w:widowControl/>
              <w:autoSpaceDE w:val="0"/>
              <w:autoSpaceDN w:val="0"/>
              <w:snapToGrid w:val="0"/>
              <w:spacing w:line="240" w:lineRule="atLeast"/>
              <w:ind w:left="2968"/>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spacing w:val="1"/>
                <w:kern w:val="0"/>
                <w:sz w:val="24"/>
                <w:highlight w:val="none"/>
              </w:rPr>
              <w:t>考核</w:t>
            </w:r>
            <w:r>
              <w:rPr>
                <w:rFonts w:hint="eastAsia" w:ascii="新宋体" w:hAnsi="新宋体" w:eastAsia="新宋体" w:cs="新宋体"/>
                <w:color w:val="auto"/>
                <w:kern w:val="0"/>
                <w:sz w:val="24"/>
                <w:highlight w:val="none"/>
              </w:rPr>
              <w:t>标准</w:t>
            </w:r>
          </w:p>
        </w:tc>
        <w:tc>
          <w:tcPr>
            <w:tcW w:w="1110" w:type="dxa"/>
            <w:vAlign w:val="center"/>
          </w:tcPr>
          <w:p w14:paraId="6E1B0F6A">
            <w:pPr>
              <w:widowControl/>
              <w:autoSpaceDE w:val="0"/>
              <w:autoSpaceDN w:val="0"/>
              <w:snapToGrid w:val="0"/>
              <w:spacing w:line="240" w:lineRule="atLeast"/>
              <w:ind w:left="268"/>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spacing w:val="-1"/>
                <w:kern w:val="0"/>
                <w:sz w:val="24"/>
                <w:highlight w:val="none"/>
              </w:rPr>
              <w:t>分</w:t>
            </w:r>
            <w:r>
              <w:rPr>
                <w:rFonts w:hint="eastAsia" w:ascii="新宋体" w:hAnsi="新宋体" w:eastAsia="新宋体" w:cs="新宋体"/>
                <w:color w:val="auto"/>
                <w:kern w:val="0"/>
                <w:sz w:val="24"/>
                <w:highlight w:val="none"/>
              </w:rPr>
              <w:t>值</w:t>
            </w:r>
          </w:p>
        </w:tc>
        <w:tc>
          <w:tcPr>
            <w:tcW w:w="1665" w:type="dxa"/>
            <w:vAlign w:val="center"/>
          </w:tcPr>
          <w:p w14:paraId="2EFF7366">
            <w:pPr>
              <w:widowControl/>
              <w:autoSpaceDE w:val="0"/>
              <w:autoSpaceDN w:val="0"/>
              <w:snapToGrid w:val="0"/>
              <w:spacing w:line="240" w:lineRule="atLeast"/>
              <w:ind w:left="256"/>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spacing w:val="-1"/>
                <w:kern w:val="0"/>
                <w:sz w:val="24"/>
                <w:highlight w:val="none"/>
              </w:rPr>
              <w:t>评</w:t>
            </w:r>
            <w:r>
              <w:rPr>
                <w:rFonts w:hint="eastAsia" w:ascii="新宋体" w:hAnsi="新宋体" w:eastAsia="新宋体" w:cs="新宋体"/>
                <w:color w:val="auto"/>
                <w:kern w:val="0"/>
                <w:sz w:val="24"/>
                <w:highlight w:val="none"/>
              </w:rPr>
              <w:t>分</w:t>
            </w:r>
          </w:p>
        </w:tc>
        <w:tc>
          <w:tcPr>
            <w:tcW w:w="1665" w:type="dxa"/>
            <w:tcBorders>
              <w:right w:val="single" w:color="000000" w:sz="6" w:space="0"/>
            </w:tcBorders>
            <w:vAlign w:val="center"/>
          </w:tcPr>
          <w:p w14:paraId="44D92A0F">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spacing w:val="-1"/>
                <w:kern w:val="0"/>
                <w:sz w:val="24"/>
                <w:highlight w:val="none"/>
              </w:rPr>
              <w:t>评</w:t>
            </w:r>
            <w:r>
              <w:rPr>
                <w:rFonts w:hint="eastAsia" w:ascii="新宋体" w:hAnsi="新宋体" w:eastAsia="新宋体" w:cs="新宋体"/>
                <w:color w:val="auto"/>
                <w:kern w:val="0"/>
                <w:sz w:val="24"/>
                <w:highlight w:val="none"/>
              </w:rPr>
              <w:t>分细则</w:t>
            </w:r>
          </w:p>
        </w:tc>
      </w:tr>
      <w:tr w14:paraId="2803A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blHeader/>
        </w:trPr>
        <w:tc>
          <w:tcPr>
            <w:tcW w:w="721" w:type="dxa"/>
            <w:vMerge w:val="restart"/>
            <w:tcBorders>
              <w:left w:val="single" w:color="000000" w:sz="6" w:space="0"/>
            </w:tcBorders>
            <w:vAlign w:val="center"/>
          </w:tcPr>
          <w:p w14:paraId="497BC4B8">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p w14:paraId="0BB4F5DE">
            <w:pPr>
              <w:widowControl/>
              <w:autoSpaceDE w:val="0"/>
              <w:autoSpaceDN w:val="0"/>
              <w:snapToGrid w:val="0"/>
              <w:spacing w:line="240" w:lineRule="atLeast"/>
              <w:ind w:left="310"/>
              <w:jc w:val="center"/>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1</w:t>
            </w:r>
          </w:p>
        </w:tc>
        <w:tc>
          <w:tcPr>
            <w:tcW w:w="844" w:type="dxa"/>
            <w:vMerge w:val="restart"/>
            <w:vAlign w:val="center"/>
          </w:tcPr>
          <w:p w14:paraId="09E4797E">
            <w:pPr>
              <w:widowControl/>
              <w:autoSpaceDE w:val="0"/>
              <w:autoSpaceDN w:val="0"/>
              <w:snapToGrid w:val="0"/>
              <w:spacing w:line="240" w:lineRule="atLeast"/>
              <w:ind w:left="209"/>
              <w:jc w:val="center"/>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人员</w:t>
            </w:r>
          </w:p>
          <w:p w14:paraId="61E24F04">
            <w:pPr>
              <w:widowControl/>
              <w:autoSpaceDE w:val="0"/>
              <w:autoSpaceDN w:val="0"/>
              <w:snapToGrid w:val="0"/>
              <w:spacing w:line="240" w:lineRule="atLeast"/>
              <w:ind w:left="209"/>
              <w:jc w:val="center"/>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管理</w:t>
            </w:r>
          </w:p>
        </w:tc>
        <w:tc>
          <w:tcPr>
            <w:tcW w:w="8022" w:type="dxa"/>
            <w:vAlign w:val="center"/>
          </w:tcPr>
          <w:p w14:paraId="0ED76EC4">
            <w:pPr>
              <w:widowControl/>
              <w:numPr>
                <w:ilvl w:val="0"/>
                <w:numId w:val="12"/>
              </w:numPr>
              <w:autoSpaceDE w:val="0"/>
              <w:autoSpaceDN w:val="0"/>
              <w:snapToGrid w:val="0"/>
              <w:spacing w:line="240" w:lineRule="atLeast"/>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spacing w:val="-2"/>
                <w:kern w:val="0"/>
                <w:sz w:val="24"/>
                <w:highlight w:val="none"/>
              </w:rPr>
              <w:t>实行</w:t>
            </w:r>
            <w:r>
              <w:rPr>
                <w:rFonts w:hint="eastAsia" w:ascii="新宋体" w:hAnsi="新宋体" w:eastAsia="新宋体" w:cs="新宋体"/>
                <w:color w:val="auto"/>
                <w:spacing w:val="-1"/>
                <w:kern w:val="0"/>
                <w:sz w:val="24"/>
                <w:highlight w:val="none"/>
              </w:rPr>
              <w:t>持证上岗制度。</w:t>
            </w:r>
          </w:p>
        </w:tc>
        <w:tc>
          <w:tcPr>
            <w:tcW w:w="1110" w:type="dxa"/>
            <w:vAlign w:val="center"/>
          </w:tcPr>
          <w:p w14:paraId="352976E5">
            <w:pPr>
              <w:widowControl/>
              <w:autoSpaceDE w:val="0"/>
              <w:autoSpaceDN w:val="0"/>
              <w:snapToGrid w:val="0"/>
              <w:spacing w:line="240" w:lineRule="atLeast"/>
              <w:ind w:left="426"/>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1</w:t>
            </w:r>
          </w:p>
        </w:tc>
        <w:tc>
          <w:tcPr>
            <w:tcW w:w="1665" w:type="dxa"/>
            <w:vAlign w:val="center"/>
          </w:tcPr>
          <w:p w14:paraId="179EB3F3">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restart"/>
            <w:tcBorders>
              <w:right w:val="single" w:color="000000" w:sz="6" w:space="0"/>
            </w:tcBorders>
            <w:vAlign w:val="center"/>
          </w:tcPr>
          <w:p w14:paraId="553CCCA2">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p w14:paraId="72F0E89C">
            <w:pPr>
              <w:widowControl/>
              <w:autoSpaceDE w:val="0"/>
              <w:autoSpaceDN w:val="0"/>
              <w:snapToGrid w:val="0"/>
              <w:spacing w:line="240" w:lineRule="atLeast"/>
              <w:ind w:left="119"/>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spacing w:val="-22"/>
                <w:kern w:val="0"/>
                <w:sz w:val="24"/>
                <w:highlight w:val="none"/>
              </w:rPr>
              <w:t>凡</w:t>
            </w:r>
            <w:r>
              <w:rPr>
                <w:rFonts w:hint="eastAsia" w:ascii="新宋体" w:hAnsi="新宋体" w:eastAsia="新宋体" w:cs="新宋体"/>
                <w:color w:val="auto"/>
                <w:spacing w:val="-14"/>
                <w:kern w:val="0"/>
                <w:sz w:val="24"/>
                <w:highlight w:val="none"/>
              </w:rPr>
              <w:t>有</w:t>
            </w:r>
            <w:r>
              <w:rPr>
                <w:rFonts w:hint="eastAsia" w:ascii="新宋体" w:hAnsi="新宋体" w:eastAsia="新宋体" w:cs="新宋体"/>
                <w:color w:val="auto"/>
                <w:spacing w:val="-11"/>
                <w:kern w:val="0"/>
                <w:sz w:val="24"/>
                <w:highlight w:val="none"/>
              </w:rPr>
              <w:t xml:space="preserve"> 1 人不符合， 扣除 1 分</w:t>
            </w:r>
          </w:p>
        </w:tc>
      </w:tr>
      <w:tr w14:paraId="20848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trPr>
        <w:tc>
          <w:tcPr>
            <w:tcW w:w="721" w:type="dxa"/>
            <w:vMerge w:val="continue"/>
            <w:tcBorders>
              <w:left w:val="single" w:color="000000" w:sz="6" w:space="0"/>
            </w:tcBorders>
            <w:vAlign w:val="center"/>
          </w:tcPr>
          <w:p w14:paraId="1383AC01">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44" w:type="dxa"/>
            <w:vMerge w:val="continue"/>
            <w:vAlign w:val="center"/>
          </w:tcPr>
          <w:p w14:paraId="19AE1277">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022" w:type="dxa"/>
            <w:vAlign w:val="center"/>
          </w:tcPr>
          <w:p w14:paraId="4F7BDDEE">
            <w:pPr>
              <w:widowControl/>
              <w:numPr>
                <w:ilvl w:val="0"/>
                <w:numId w:val="12"/>
              </w:numPr>
              <w:autoSpaceDE w:val="0"/>
              <w:autoSpaceDN w:val="0"/>
              <w:snapToGrid w:val="0"/>
              <w:spacing w:line="240" w:lineRule="atLeast"/>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spacing w:val="-2"/>
                <w:kern w:val="0"/>
                <w:sz w:val="24"/>
                <w:highlight w:val="none"/>
              </w:rPr>
              <w:t>项目投标时所承诺的项目工作人员，</w:t>
            </w:r>
            <w:r>
              <w:rPr>
                <w:rFonts w:hint="eastAsia" w:ascii="新宋体" w:hAnsi="新宋体" w:eastAsia="新宋体" w:cs="新宋体"/>
                <w:color w:val="auto"/>
                <w:spacing w:val="-1"/>
                <w:kern w:val="0"/>
                <w:sz w:val="24"/>
                <w:highlight w:val="none"/>
              </w:rPr>
              <w:t>必须和承接此项目后开展工作的团队</w:t>
            </w:r>
            <w:r>
              <w:rPr>
                <w:rFonts w:hint="eastAsia" w:ascii="新宋体" w:hAnsi="新宋体" w:eastAsia="新宋体" w:cs="新宋体"/>
                <w:color w:val="auto"/>
                <w:spacing w:val="-5"/>
                <w:kern w:val="0"/>
                <w:sz w:val="24"/>
                <w:highlight w:val="none"/>
              </w:rPr>
              <w:t>人员相符， 未征得采购人同意不得随意更换团队成员。</w:t>
            </w:r>
          </w:p>
        </w:tc>
        <w:tc>
          <w:tcPr>
            <w:tcW w:w="1110" w:type="dxa"/>
            <w:vAlign w:val="center"/>
          </w:tcPr>
          <w:p w14:paraId="3E64FE61">
            <w:pPr>
              <w:widowControl/>
              <w:autoSpaceDE w:val="0"/>
              <w:autoSpaceDN w:val="0"/>
              <w:snapToGrid w:val="0"/>
              <w:spacing w:line="240" w:lineRule="atLeast"/>
              <w:ind w:left="426"/>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1</w:t>
            </w:r>
          </w:p>
        </w:tc>
        <w:tc>
          <w:tcPr>
            <w:tcW w:w="1665" w:type="dxa"/>
            <w:vAlign w:val="center"/>
          </w:tcPr>
          <w:p w14:paraId="62A7F100">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continue"/>
            <w:tcBorders>
              <w:right w:val="single" w:color="000000" w:sz="6" w:space="0"/>
            </w:tcBorders>
            <w:vAlign w:val="center"/>
          </w:tcPr>
          <w:p w14:paraId="697F9102">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r>
      <w:tr w14:paraId="0FD1A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trPr>
        <w:tc>
          <w:tcPr>
            <w:tcW w:w="721" w:type="dxa"/>
            <w:vMerge w:val="continue"/>
            <w:tcBorders>
              <w:left w:val="single" w:color="000000" w:sz="6" w:space="0"/>
            </w:tcBorders>
            <w:vAlign w:val="center"/>
          </w:tcPr>
          <w:p w14:paraId="1A2D0031">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44" w:type="dxa"/>
            <w:vMerge w:val="continue"/>
            <w:vAlign w:val="center"/>
          </w:tcPr>
          <w:p w14:paraId="10D1F2C9">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022" w:type="dxa"/>
            <w:vAlign w:val="center"/>
          </w:tcPr>
          <w:p w14:paraId="0484A598">
            <w:pPr>
              <w:widowControl/>
              <w:numPr>
                <w:ilvl w:val="0"/>
                <w:numId w:val="12"/>
              </w:numPr>
              <w:autoSpaceDE w:val="0"/>
              <w:autoSpaceDN w:val="0"/>
              <w:snapToGrid w:val="0"/>
              <w:spacing w:line="240" w:lineRule="atLeast"/>
              <w:textAlignment w:val="baseline"/>
              <w:rPr>
                <w:rFonts w:ascii="新宋体" w:hAnsi="新宋体" w:eastAsia="新宋体" w:cs="新宋体"/>
                <w:color w:val="auto"/>
                <w:spacing w:val="-2"/>
                <w:kern w:val="0"/>
                <w:sz w:val="24"/>
                <w:highlight w:val="none"/>
              </w:rPr>
            </w:pPr>
            <w:r>
              <w:rPr>
                <w:rFonts w:hint="eastAsia" w:ascii="新宋体" w:hAnsi="新宋体" w:eastAsia="新宋体" w:cs="新宋体"/>
                <w:color w:val="auto"/>
                <w:kern w:val="0"/>
                <w:sz w:val="24"/>
                <w:highlight w:val="none"/>
              </w:rPr>
              <w:t>项目经理（兼保洁主管）更换至少提前20天、其他人员更换至少提前7天告知采购人。</w:t>
            </w:r>
          </w:p>
        </w:tc>
        <w:tc>
          <w:tcPr>
            <w:tcW w:w="1110" w:type="dxa"/>
            <w:vAlign w:val="center"/>
          </w:tcPr>
          <w:p w14:paraId="20DBF9B8">
            <w:pPr>
              <w:widowControl/>
              <w:autoSpaceDE w:val="0"/>
              <w:autoSpaceDN w:val="0"/>
              <w:snapToGrid w:val="0"/>
              <w:spacing w:line="240" w:lineRule="atLeast"/>
              <w:ind w:left="426"/>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1</w:t>
            </w:r>
          </w:p>
        </w:tc>
        <w:tc>
          <w:tcPr>
            <w:tcW w:w="1665" w:type="dxa"/>
            <w:vAlign w:val="center"/>
          </w:tcPr>
          <w:p w14:paraId="7060CFD8">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continue"/>
            <w:tcBorders>
              <w:right w:val="single" w:color="000000" w:sz="6" w:space="0"/>
            </w:tcBorders>
            <w:vAlign w:val="center"/>
          </w:tcPr>
          <w:p w14:paraId="3788DD5C">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r>
      <w:tr w14:paraId="76743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blHeader/>
        </w:trPr>
        <w:tc>
          <w:tcPr>
            <w:tcW w:w="721" w:type="dxa"/>
            <w:vMerge w:val="restart"/>
            <w:tcBorders>
              <w:left w:val="single" w:color="000000" w:sz="6" w:space="0"/>
            </w:tcBorders>
            <w:vAlign w:val="center"/>
          </w:tcPr>
          <w:p w14:paraId="6BD1F090">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2</w:t>
            </w:r>
          </w:p>
        </w:tc>
        <w:tc>
          <w:tcPr>
            <w:tcW w:w="844" w:type="dxa"/>
            <w:vMerge w:val="restart"/>
            <w:vAlign w:val="center"/>
          </w:tcPr>
          <w:p w14:paraId="7103769B">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制度</w:t>
            </w:r>
          </w:p>
          <w:p w14:paraId="2DE5712B">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履约</w:t>
            </w:r>
          </w:p>
        </w:tc>
        <w:tc>
          <w:tcPr>
            <w:tcW w:w="8022" w:type="dxa"/>
            <w:vAlign w:val="center"/>
          </w:tcPr>
          <w:p w14:paraId="7451A39E">
            <w:pPr>
              <w:widowControl/>
              <w:numPr>
                <w:ilvl w:val="0"/>
                <w:numId w:val="13"/>
              </w:numPr>
              <w:autoSpaceDE w:val="0"/>
              <w:autoSpaceDN w:val="0"/>
              <w:snapToGrid w:val="0"/>
              <w:spacing w:line="240" w:lineRule="atLeast"/>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spacing w:val="-1"/>
                <w:kern w:val="0"/>
                <w:sz w:val="24"/>
                <w:highlight w:val="none"/>
              </w:rPr>
              <w:t>遵守《物业管理服务人员行为</w:t>
            </w:r>
            <w:r>
              <w:rPr>
                <w:rFonts w:hint="eastAsia" w:ascii="新宋体" w:hAnsi="新宋体" w:eastAsia="新宋体" w:cs="新宋体"/>
                <w:color w:val="auto"/>
                <w:kern w:val="0"/>
                <w:sz w:val="24"/>
                <w:highlight w:val="none"/>
              </w:rPr>
              <w:t>规范</w:t>
            </w:r>
            <w:r>
              <w:rPr>
                <w:rFonts w:hint="eastAsia" w:ascii="新宋体" w:hAnsi="新宋体" w:eastAsia="新宋体" w:cs="新宋体"/>
                <w:color w:val="auto"/>
                <w:spacing w:val="-1"/>
                <w:kern w:val="0"/>
                <w:sz w:val="24"/>
                <w:highlight w:val="none"/>
              </w:rPr>
              <w:t>》，</w:t>
            </w:r>
            <w:r>
              <w:rPr>
                <w:rFonts w:hint="eastAsia" w:ascii="新宋体" w:hAnsi="新宋体" w:eastAsia="新宋体" w:cs="新宋体"/>
                <w:color w:val="auto"/>
                <w:spacing w:val="-2"/>
                <w:kern w:val="0"/>
                <w:sz w:val="24"/>
                <w:highlight w:val="none"/>
              </w:rPr>
              <w:t>健全的管理流程、</w:t>
            </w:r>
            <w:r>
              <w:rPr>
                <w:rFonts w:hint="eastAsia" w:ascii="新宋体" w:hAnsi="新宋体" w:eastAsia="新宋体" w:cs="新宋体"/>
                <w:color w:val="auto"/>
                <w:kern w:val="0"/>
                <w:sz w:val="24"/>
                <w:highlight w:val="none"/>
              </w:rPr>
              <w:t>管理机制，运作规范。</w:t>
            </w:r>
          </w:p>
        </w:tc>
        <w:tc>
          <w:tcPr>
            <w:tcW w:w="1110" w:type="dxa"/>
            <w:vAlign w:val="center"/>
          </w:tcPr>
          <w:p w14:paraId="3256C9CC">
            <w:pPr>
              <w:widowControl/>
              <w:autoSpaceDE w:val="0"/>
              <w:autoSpaceDN w:val="0"/>
              <w:snapToGrid w:val="0"/>
              <w:spacing w:line="240" w:lineRule="atLeast"/>
              <w:ind w:left="426"/>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1</w:t>
            </w:r>
          </w:p>
          <w:p w14:paraId="0F7E8455">
            <w:pPr>
              <w:widowControl/>
              <w:autoSpaceDE w:val="0"/>
              <w:autoSpaceDN w:val="0"/>
              <w:snapToGrid w:val="0"/>
              <w:spacing w:line="240" w:lineRule="atLeast"/>
              <w:ind w:left="426"/>
              <w:textAlignment w:val="baseline"/>
              <w:rPr>
                <w:rFonts w:ascii="新宋体" w:hAnsi="新宋体" w:eastAsia="新宋体" w:cs="新宋体"/>
                <w:color w:val="auto"/>
                <w:kern w:val="0"/>
                <w:sz w:val="24"/>
                <w:highlight w:val="none"/>
              </w:rPr>
            </w:pPr>
          </w:p>
        </w:tc>
        <w:tc>
          <w:tcPr>
            <w:tcW w:w="1665" w:type="dxa"/>
            <w:vAlign w:val="center"/>
          </w:tcPr>
          <w:p w14:paraId="164BD3DA">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restart"/>
            <w:tcBorders>
              <w:right w:val="single" w:color="000000" w:sz="6" w:space="0"/>
            </w:tcBorders>
            <w:vAlign w:val="center"/>
          </w:tcPr>
          <w:p w14:paraId="442F9547">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spacing w:val="-1"/>
                <w:kern w:val="0"/>
                <w:sz w:val="24"/>
                <w:highlight w:val="none"/>
              </w:rPr>
              <w:t>完全符合得</w:t>
            </w:r>
            <w:r>
              <w:rPr>
                <w:rFonts w:hint="eastAsia" w:ascii="新宋体" w:hAnsi="新宋体" w:eastAsia="新宋体" w:cs="新宋体"/>
                <w:color w:val="auto"/>
                <w:kern w:val="0"/>
                <w:sz w:val="24"/>
                <w:highlight w:val="none"/>
              </w:rPr>
              <w:t>满分，部分符合相应</w:t>
            </w:r>
            <w:r>
              <w:rPr>
                <w:rFonts w:hint="eastAsia" w:ascii="新宋体" w:hAnsi="新宋体" w:eastAsia="新宋体" w:cs="新宋体"/>
                <w:color w:val="auto"/>
                <w:spacing w:val="-18"/>
                <w:kern w:val="0"/>
                <w:sz w:val="24"/>
                <w:highlight w:val="none"/>
              </w:rPr>
              <w:t>递</w:t>
            </w:r>
            <w:r>
              <w:rPr>
                <w:rFonts w:hint="eastAsia" w:ascii="新宋体" w:hAnsi="新宋体" w:eastAsia="新宋体" w:cs="新宋体"/>
                <w:color w:val="auto"/>
                <w:spacing w:val="-12"/>
                <w:kern w:val="0"/>
                <w:sz w:val="24"/>
                <w:highlight w:val="none"/>
              </w:rPr>
              <w:t>减， 不符合得 0 分</w:t>
            </w:r>
          </w:p>
        </w:tc>
      </w:tr>
      <w:tr w14:paraId="68CA5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trPr>
        <w:tc>
          <w:tcPr>
            <w:tcW w:w="721" w:type="dxa"/>
            <w:vMerge w:val="continue"/>
            <w:tcBorders>
              <w:left w:val="single" w:color="000000" w:sz="6" w:space="0"/>
            </w:tcBorders>
            <w:vAlign w:val="center"/>
          </w:tcPr>
          <w:p w14:paraId="1B4F7AB6">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44" w:type="dxa"/>
            <w:vMerge w:val="continue"/>
            <w:vAlign w:val="center"/>
          </w:tcPr>
          <w:p w14:paraId="05F04690">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022" w:type="dxa"/>
            <w:vAlign w:val="center"/>
          </w:tcPr>
          <w:p w14:paraId="46F9DB4C">
            <w:pPr>
              <w:widowControl/>
              <w:autoSpaceDE w:val="0"/>
              <w:autoSpaceDN w:val="0"/>
              <w:snapToGrid w:val="0"/>
              <w:spacing w:line="240" w:lineRule="atLeast"/>
              <w:ind w:firstLine="400"/>
              <w:textAlignment w:val="baseline"/>
              <w:rPr>
                <w:rFonts w:ascii="新宋体" w:hAnsi="新宋体" w:eastAsia="新宋体" w:cs="新宋体"/>
                <w:color w:val="auto"/>
                <w:kern w:val="0"/>
                <w:sz w:val="24"/>
                <w:highlight w:val="none"/>
              </w:rPr>
            </w:pPr>
            <w:r>
              <w:rPr>
                <w:rFonts w:ascii="新宋体" w:hAnsi="新宋体" w:eastAsia="新宋体" w:cs="新宋体"/>
                <w:color w:val="auto"/>
                <w:kern w:val="0"/>
                <w:sz w:val="24"/>
                <w:highlight w:val="none"/>
              </w:rPr>
              <w:t>2．</w:t>
            </w:r>
            <w:r>
              <w:rPr>
                <w:rFonts w:hint="eastAsia" w:ascii="新宋体" w:hAnsi="新宋体" w:eastAsia="新宋体" w:cs="新宋体"/>
                <w:color w:val="auto"/>
                <w:kern w:val="0"/>
                <w:sz w:val="24"/>
                <w:highlight w:val="none"/>
              </w:rPr>
              <w:t>健全的物业管理制度，遵守并执行。</w:t>
            </w:r>
          </w:p>
        </w:tc>
        <w:tc>
          <w:tcPr>
            <w:tcW w:w="1110" w:type="dxa"/>
            <w:vAlign w:val="center"/>
          </w:tcPr>
          <w:p w14:paraId="3F888D03">
            <w:pPr>
              <w:widowControl/>
              <w:autoSpaceDE w:val="0"/>
              <w:autoSpaceDN w:val="0"/>
              <w:snapToGrid w:val="0"/>
              <w:spacing w:line="240" w:lineRule="atLeast"/>
              <w:ind w:left="426"/>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1</w:t>
            </w:r>
          </w:p>
        </w:tc>
        <w:tc>
          <w:tcPr>
            <w:tcW w:w="1665" w:type="dxa"/>
            <w:vAlign w:val="center"/>
          </w:tcPr>
          <w:p w14:paraId="191EA5AB">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continue"/>
            <w:tcBorders>
              <w:right w:val="single" w:color="000000" w:sz="6" w:space="0"/>
            </w:tcBorders>
            <w:vAlign w:val="center"/>
          </w:tcPr>
          <w:p w14:paraId="09476558">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r>
      <w:tr w14:paraId="5A803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blHeader/>
        </w:trPr>
        <w:tc>
          <w:tcPr>
            <w:tcW w:w="721" w:type="dxa"/>
            <w:vMerge w:val="restart"/>
            <w:vAlign w:val="center"/>
          </w:tcPr>
          <w:p w14:paraId="04AAE322">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p w14:paraId="62A92DFA">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p w14:paraId="12C03E2A">
            <w:pPr>
              <w:widowControl/>
              <w:autoSpaceDE w:val="0"/>
              <w:autoSpaceDN w:val="0"/>
              <w:snapToGrid w:val="0"/>
              <w:spacing w:line="240" w:lineRule="atLeast"/>
              <w:ind w:left="309"/>
              <w:jc w:val="center"/>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3</w:t>
            </w:r>
          </w:p>
        </w:tc>
        <w:tc>
          <w:tcPr>
            <w:tcW w:w="844" w:type="dxa"/>
            <w:vMerge w:val="restart"/>
            <w:vAlign w:val="center"/>
          </w:tcPr>
          <w:p w14:paraId="1812F730">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p w14:paraId="13DEDD6D">
            <w:pPr>
              <w:widowControl/>
              <w:autoSpaceDE w:val="0"/>
              <w:autoSpaceDN w:val="0"/>
              <w:snapToGrid w:val="0"/>
              <w:spacing w:line="240" w:lineRule="atLeast"/>
              <w:ind w:left="210"/>
              <w:jc w:val="center"/>
              <w:textAlignment w:val="baseline"/>
              <w:rPr>
                <w:rFonts w:ascii="新宋体" w:hAnsi="新宋体" w:eastAsia="新宋体" w:cs="新宋体"/>
                <w:color w:val="auto"/>
                <w:spacing w:val="-2"/>
                <w:kern w:val="0"/>
                <w:position w:val="9"/>
                <w:sz w:val="24"/>
                <w:highlight w:val="none"/>
              </w:rPr>
            </w:pPr>
            <w:r>
              <w:rPr>
                <w:rFonts w:hint="eastAsia" w:ascii="新宋体" w:hAnsi="新宋体" w:eastAsia="新宋体" w:cs="新宋体"/>
                <w:color w:val="auto"/>
                <w:spacing w:val="-2"/>
                <w:kern w:val="0"/>
                <w:position w:val="9"/>
                <w:sz w:val="24"/>
                <w:highlight w:val="none"/>
              </w:rPr>
              <w:t>清洁</w:t>
            </w:r>
          </w:p>
          <w:p w14:paraId="600CE7C2">
            <w:pPr>
              <w:widowControl/>
              <w:autoSpaceDE w:val="0"/>
              <w:autoSpaceDN w:val="0"/>
              <w:snapToGrid w:val="0"/>
              <w:spacing w:line="240" w:lineRule="atLeast"/>
              <w:ind w:left="210"/>
              <w:jc w:val="center"/>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spacing w:val="-2"/>
                <w:kern w:val="0"/>
                <w:position w:val="9"/>
                <w:sz w:val="24"/>
                <w:highlight w:val="none"/>
              </w:rPr>
              <w:t>保洁</w:t>
            </w:r>
          </w:p>
        </w:tc>
        <w:tc>
          <w:tcPr>
            <w:tcW w:w="8022" w:type="dxa"/>
            <w:vAlign w:val="center"/>
          </w:tcPr>
          <w:p w14:paraId="082E71A2">
            <w:pPr>
              <w:widowControl/>
              <w:autoSpaceDE w:val="0"/>
              <w:autoSpaceDN w:val="0"/>
              <w:snapToGrid w:val="0"/>
              <w:ind w:right="161" w:firstLine="400"/>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1．</w:t>
            </w:r>
            <w:r>
              <w:rPr>
                <w:rFonts w:hint="eastAsia" w:ascii="新宋体" w:hAnsi="新宋体" w:eastAsia="新宋体" w:cs="新宋体"/>
                <w:color w:val="auto"/>
                <w:spacing w:val="4"/>
                <w:kern w:val="0"/>
                <w:sz w:val="24"/>
                <w:highlight w:val="none"/>
              </w:rPr>
              <w:t>室内公共区域的地面、墙面、楼梯、扶手、大厅、玻</w:t>
            </w:r>
            <w:r>
              <w:rPr>
                <w:rFonts w:hint="eastAsia" w:ascii="新宋体" w:hAnsi="新宋体" w:eastAsia="新宋体" w:cs="新宋体"/>
                <w:color w:val="auto"/>
                <w:spacing w:val="3"/>
                <w:kern w:val="0"/>
                <w:sz w:val="24"/>
                <w:highlight w:val="none"/>
              </w:rPr>
              <w:t xml:space="preserve"> </w:t>
            </w:r>
            <w:r>
              <w:rPr>
                <w:rFonts w:hint="eastAsia" w:ascii="新宋体" w:hAnsi="新宋体" w:eastAsia="新宋体" w:cs="新宋体"/>
                <w:color w:val="auto"/>
                <w:spacing w:val="-7"/>
                <w:kern w:val="0"/>
                <w:sz w:val="24"/>
                <w:highlight w:val="none"/>
              </w:rPr>
              <w:t>璃、门及门窗框、天花板、栏杆、走廊等整洁干净，无垃圾、</w:t>
            </w:r>
            <w:r>
              <w:rPr>
                <w:rFonts w:hint="eastAsia" w:ascii="新宋体" w:hAnsi="新宋体" w:eastAsia="新宋体" w:cs="新宋体"/>
                <w:color w:val="auto"/>
                <w:spacing w:val="-8"/>
                <w:kern w:val="0"/>
                <w:sz w:val="24"/>
                <w:highlight w:val="none"/>
              </w:rPr>
              <w:t>无积灰、无污渍、无手印。</w:t>
            </w:r>
          </w:p>
        </w:tc>
        <w:tc>
          <w:tcPr>
            <w:tcW w:w="1110" w:type="dxa"/>
            <w:vAlign w:val="center"/>
          </w:tcPr>
          <w:p w14:paraId="5E0CDAA2">
            <w:pPr>
              <w:widowControl/>
              <w:autoSpaceDE w:val="0"/>
              <w:autoSpaceDN w:val="0"/>
              <w:snapToGrid w:val="0"/>
              <w:spacing w:line="240" w:lineRule="atLeast"/>
              <w:ind w:left="433"/>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2</w:t>
            </w:r>
          </w:p>
        </w:tc>
        <w:tc>
          <w:tcPr>
            <w:tcW w:w="1665" w:type="dxa"/>
            <w:vAlign w:val="center"/>
          </w:tcPr>
          <w:p w14:paraId="2537479D">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restart"/>
            <w:vAlign w:val="center"/>
          </w:tcPr>
          <w:p w14:paraId="78E17EE6">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p w14:paraId="4C2A6CDD">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spacing w:val="-1"/>
                <w:kern w:val="0"/>
                <w:sz w:val="24"/>
                <w:highlight w:val="none"/>
              </w:rPr>
              <w:t>完全符合得</w:t>
            </w:r>
            <w:r>
              <w:rPr>
                <w:rFonts w:hint="eastAsia" w:ascii="新宋体" w:hAnsi="新宋体" w:eastAsia="新宋体" w:cs="新宋体"/>
                <w:color w:val="auto"/>
                <w:kern w:val="0"/>
                <w:sz w:val="24"/>
                <w:highlight w:val="none"/>
              </w:rPr>
              <w:t>满分，部分符合相应</w:t>
            </w:r>
            <w:r>
              <w:rPr>
                <w:rFonts w:hint="eastAsia" w:ascii="新宋体" w:hAnsi="新宋体" w:eastAsia="新宋体" w:cs="新宋体"/>
                <w:color w:val="auto"/>
                <w:spacing w:val="-18"/>
                <w:kern w:val="0"/>
                <w:sz w:val="24"/>
                <w:highlight w:val="none"/>
              </w:rPr>
              <w:t>递</w:t>
            </w:r>
            <w:r>
              <w:rPr>
                <w:rFonts w:hint="eastAsia" w:ascii="新宋体" w:hAnsi="新宋体" w:eastAsia="新宋体" w:cs="新宋体"/>
                <w:color w:val="auto"/>
                <w:spacing w:val="-12"/>
                <w:kern w:val="0"/>
                <w:sz w:val="24"/>
                <w:highlight w:val="none"/>
              </w:rPr>
              <w:t>减， 不符合得 0 分</w:t>
            </w:r>
          </w:p>
        </w:tc>
      </w:tr>
      <w:tr w14:paraId="6EB11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blHeader/>
        </w:trPr>
        <w:tc>
          <w:tcPr>
            <w:tcW w:w="721" w:type="dxa"/>
            <w:vMerge w:val="continue"/>
            <w:vAlign w:val="center"/>
          </w:tcPr>
          <w:p w14:paraId="15E5C75A">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44" w:type="dxa"/>
            <w:vMerge w:val="continue"/>
            <w:vAlign w:val="center"/>
          </w:tcPr>
          <w:p w14:paraId="5D45E390">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022" w:type="dxa"/>
            <w:vAlign w:val="center"/>
          </w:tcPr>
          <w:p w14:paraId="637E8242">
            <w:pPr>
              <w:widowControl/>
              <w:autoSpaceDE w:val="0"/>
              <w:autoSpaceDN w:val="0"/>
              <w:snapToGrid w:val="0"/>
              <w:ind w:right="50" w:firstLine="400"/>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2．</w:t>
            </w:r>
            <w:r>
              <w:rPr>
                <w:rFonts w:hint="eastAsia" w:ascii="新宋体" w:hAnsi="新宋体" w:eastAsia="新宋体" w:cs="新宋体"/>
                <w:color w:val="auto"/>
                <w:spacing w:val="-4"/>
                <w:kern w:val="0"/>
                <w:sz w:val="24"/>
                <w:highlight w:val="none"/>
              </w:rPr>
              <w:t>室内卫生间、茶水间清洁，无垃圾、无污渍、无积水、</w:t>
            </w:r>
            <w:r>
              <w:rPr>
                <w:rFonts w:hint="eastAsia" w:ascii="新宋体" w:hAnsi="新宋体" w:eastAsia="新宋体" w:cs="新宋体"/>
                <w:color w:val="auto"/>
                <w:spacing w:val="17"/>
                <w:kern w:val="0"/>
                <w:sz w:val="24"/>
                <w:highlight w:val="none"/>
              </w:rPr>
              <w:t xml:space="preserve"> </w:t>
            </w:r>
            <w:r>
              <w:rPr>
                <w:rFonts w:hint="eastAsia" w:ascii="新宋体" w:hAnsi="新宋体" w:eastAsia="新宋体" w:cs="新宋体"/>
                <w:color w:val="auto"/>
                <w:spacing w:val="-7"/>
                <w:kern w:val="0"/>
                <w:sz w:val="24"/>
                <w:highlight w:val="none"/>
              </w:rPr>
              <w:t>无异味、无堆积杂物，洁具、台面、镜面光洁无水迹，电器设施</w:t>
            </w:r>
            <w:r>
              <w:rPr>
                <w:rFonts w:hint="eastAsia" w:ascii="新宋体" w:hAnsi="新宋体" w:eastAsia="新宋体" w:cs="新宋体"/>
                <w:color w:val="auto"/>
                <w:spacing w:val="-5"/>
                <w:kern w:val="0"/>
                <w:sz w:val="24"/>
                <w:highlight w:val="none"/>
              </w:rPr>
              <w:t>外观清洁，物品摆放有序。室内卫生间符合“美丽厕所”标准。</w:t>
            </w:r>
          </w:p>
        </w:tc>
        <w:tc>
          <w:tcPr>
            <w:tcW w:w="1110" w:type="dxa"/>
            <w:vAlign w:val="center"/>
          </w:tcPr>
          <w:p w14:paraId="0A467FF8">
            <w:pPr>
              <w:widowControl/>
              <w:autoSpaceDE w:val="0"/>
              <w:autoSpaceDN w:val="0"/>
              <w:snapToGrid w:val="0"/>
              <w:spacing w:line="240" w:lineRule="atLeast"/>
              <w:ind w:left="433"/>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2</w:t>
            </w:r>
          </w:p>
        </w:tc>
        <w:tc>
          <w:tcPr>
            <w:tcW w:w="1665" w:type="dxa"/>
            <w:vAlign w:val="center"/>
          </w:tcPr>
          <w:p w14:paraId="1709F33D">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continue"/>
            <w:vAlign w:val="center"/>
          </w:tcPr>
          <w:p w14:paraId="1C07204D">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r>
      <w:tr w14:paraId="3AB99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blHeader/>
        </w:trPr>
        <w:tc>
          <w:tcPr>
            <w:tcW w:w="721" w:type="dxa"/>
            <w:vMerge w:val="continue"/>
            <w:vAlign w:val="center"/>
          </w:tcPr>
          <w:p w14:paraId="66265C3D">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44" w:type="dxa"/>
            <w:vMerge w:val="continue"/>
            <w:vAlign w:val="center"/>
          </w:tcPr>
          <w:p w14:paraId="0FA4377B">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022" w:type="dxa"/>
            <w:vAlign w:val="center"/>
          </w:tcPr>
          <w:p w14:paraId="2B1F4FFE">
            <w:pPr>
              <w:widowControl/>
              <w:spacing w:before="144"/>
              <w:ind w:left="11" w:right="6" w:firstLine="480" w:firstLineChars="200"/>
              <w:jc w:val="left"/>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3.室外广场、道路、停车场（库）、屋面、“门前三包”等公共区域的地面干净，无杂物、无积水、无淤泥、无污垢。</w:t>
            </w:r>
            <w:r>
              <w:rPr>
                <w:rFonts w:hint="eastAsia" w:ascii="新宋体" w:hAnsi="新宋体" w:eastAsia="新宋体" w:cs="新宋体"/>
                <w:color w:val="auto"/>
                <w:kern w:val="0"/>
                <w:sz w:val="24"/>
                <w:highlight w:val="none"/>
                <w:lang w:val="zh-CN"/>
              </w:rPr>
              <w:t>外围及绿化带秋冬季节或落叶较多季节增加清洁次数，目视无杂物。</w:t>
            </w:r>
          </w:p>
        </w:tc>
        <w:tc>
          <w:tcPr>
            <w:tcW w:w="1110" w:type="dxa"/>
            <w:vAlign w:val="center"/>
          </w:tcPr>
          <w:p w14:paraId="0836792A">
            <w:pPr>
              <w:widowControl/>
              <w:autoSpaceDE w:val="0"/>
              <w:autoSpaceDN w:val="0"/>
              <w:snapToGrid w:val="0"/>
              <w:ind w:left="400"/>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2</w:t>
            </w:r>
          </w:p>
        </w:tc>
        <w:tc>
          <w:tcPr>
            <w:tcW w:w="1665" w:type="dxa"/>
            <w:vAlign w:val="center"/>
          </w:tcPr>
          <w:p w14:paraId="64B84AEF">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restart"/>
            <w:vAlign w:val="center"/>
          </w:tcPr>
          <w:p w14:paraId="14A8D039">
            <w:pPr>
              <w:rPr>
                <w:color w:val="auto"/>
                <w:kern w:val="0"/>
                <w:sz w:val="20"/>
                <w:highlight w:val="none"/>
              </w:rPr>
            </w:pPr>
            <w:r>
              <w:rPr>
                <w:rFonts w:hint="eastAsia" w:ascii="新宋体" w:hAnsi="新宋体" w:eastAsia="新宋体" w:cs="新宋体"/>
                <w:color w:val="auto"/>
                <w:spacing w:val="-1"/>
                <w:kern w:val="0"/>
                <w:sz w:val="24"/>
                <w:highlight w:val="none"/>
              </w:rPr>
              <w:t>完全符合得</w:t>
            </w:r>
            <w:r>
              <w:rPr>
                <w:rFonts w:hint="eastAsia" w:ascii="新宋体" w:hAnsi="新宋体" w:eastAsia="新宋体" w:cs="新宋体"/>
                <w:color w:val="auto"/>
                <w:kern w:val="0"/>
                <w:sz w:val="24"/>
                <w:highlight w:val="none"/>
              </w:rPr>
              <w:t>满分，部分符合相应</w:t>
            </w:r>
            <w:r>
              <w:rPr>
                <w:rFonts w:hint="eastAsia" w:ascii="新宋体" w:hAnsi="新宋体" w:eastAsia="新宋体" w:cs="新宋体"/>
                <w:color w:val="auto"/>
                <w:spacing w:val="-18"/>
                <w:kern w:val="0"/>
                <w:sz w:val="24"/>
                <w:highlight w:val="none"/>
              </w:rPr>
              <w:t>递</w:t>
            </w:r>
            <w:r>
              <w:rPr>
                <w:rFonts w:hint="eastAsia" w:ascii="新宋体" w:hAnsi="新宋体" w:eastAsia="新宋体" w:cs="新宋体"/>
                <w:color w:val="auto"/>
                <w:spacing w:val="-12"/>
                <w:kern w:val="0"/>
                <w:sz w:val="24"/>
                <w:highlight w:val="none"/>
              </w:rPr>
              <w:t>减， 不符合得 0 分</w:t>
            </w:r>
            <w:r>
              <w:rPr>
                <w:rFonts w:hint="eastAsia"/>
                <w:color w:val="auto"/>
                <w:kern w:val="0"/>
                <w:sz w:val="20"/>
                <w:highlight w:val="none"/>
              </w:rPr>
              <mc:AlternateContent>
                <mc:Choice Requires="wps">
                  <w:drawing>
                    <wp:anchor distT="0" distB="0" distL="114300" distR="114300" simplePos="0" relativeHeight="251661312" behindDoc="0" locked="0" layoutInCell="1" allowOverlap="1">
                      <wp:simplePos x="0" y="0"/>
                      <wp:positionH relativeFrom="page">
                        <wp:posOffset>10095230</wp:posOffset>
                      </wp:positionH>
                      <wp:positionV relativeFrom="page">
                        <wp:posOffset>0</wp:posOffset>
                      </wp:positionV>
                      <wp:extent cx="6350" cy="2947035"/>
                      <wp:effectExtent l="0" t="0" r="12700" b="5715"/>
                      <wp:wrapNone/>
                      <wp:docPr id="3" name="Rectangle 2"/>
                      <wp:cNvGraphicFramePr/>
                      <a:graphic xmlns:a="http://schemas.openxmlformats.org/drawingml/2006/main">
                        <a:graphicData uri="http://schemas.microsoft.com/office/word/2010/wordprocessingShape">
                          <wps:wsp>
                            <wps:cNvSpPr/>
                            <wps:spPr>
                              <a:xfrm>
                                <a:off x="0" y="0"/>
                                <a:ext cx="6350" cy="2947035"/>
                              </a:xfrm>
                              <a:prstGeom prst="rect">
                                <a:avLst/>
                              </a:prstGeom>
                              <a:solidFill>
                                <a:srgbClr val="000000"/>
                              </a:solidFill>
                              <a:ln>
                                <a:noFill/>
                              </a:ln>
                              <a:effectLst/>
                            </wps:spPr>
                            <wps:bodyPr vert="horz" anchor="t" anchorCtr="0" upright="1"/>
                          </wps:wsp>
                        </a:graphicData>
                      </a:graphic>
                    </wp:anchor>
                  </w:drawing>
                </mc:Choice>
                <mc:Fallback>
                  <w:pict>
                    <v:rect id="Rectangle 2" o:spid="_x0000_s1026" o:spt="1" style="position:absolute;left:0pt;margin-left:794.9pt;margin-top:0pt;height:232.05pt;width:0.5pt;mso-position-horizontal-relative:page;mso-position-vertical-relative:page;z-index:251661312;mso-width-relative:page;mso-height-relative:page;" fillcolor="#000000" filled="t" stroked="f" coordsize="21600,21600" o:gfxdata="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0FhvmtcAAAAKAQAADwAAAAAAAAABACAAAAAiAAAAZHJzL2Rvd25yZXYueG1sUEsB&#10;AhQAFAAAAAgAh07iQFxgaha9AQAAkwMAAA4AAAAAAAAAAQAgAAAAJgEAAGRycy9lMm9Eb2MueG1s&#10;UEsFBgAAAAAGAAYAWQEAAFUFAAAAAA==&#10;">
                      <v:fill on="t" focussize="0,0"/>
                      <v:stroke on="f"/>
                      <v:imagedata o:title=""/>
                      <o:lock v:ext="edit" aspectratio="f"/>
                    </v:rect>
                  </w:pict>
                </mc:Fallback>
              </mc:AlternateContent>
            </w:r>
          </w:p>
        </w:tc>
      </w:tr>
      <w:tr w14:paraId="14046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blHeader/>
        </w:trPr>
        <w:tc>
          <w:tcPr>
            <w:tcW w:w="721" w:type="dxa"/>
            <w:vMerge w:val="continue"/>
            <w:vAlign w:val="center"/>
          </w:tcPr>
          <w:p w14:paraId="30EB9140">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44" w:type="dxa"/>
            <w:vMerge w:val="continue"/>
            <w:vAlign w:val="center"/>
          </w:tcPr>
          <w:p w14:paraId="3FC2CADE">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022" w:type="dxa"/>
            <w:vAlign w:val="center"/>
          </w:tcPr>
          <w:p w14:paraId="5F4FCF7F">
            <w:pPr>
              <w:widowControl/>
              <w:autoSpaceDE w:val="0"/>
              <w:autoSpaceDN w:val="0"/>
              <w:snapToGrid w:val="0"/>
              <w:ind w:firstLine="480" w:firstLineChars="200"/>
              <w:jc w:val="left"/>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4．外墙应保持清洁，无明显污迹。</w:t>
            </w:r>
          </w:p>
        </w:tc>
        <w:tc>
          <w:tcPr>
            <w:tcW w:w="1110" w:type="dxa"/>
            <w:vAlign w:val="center"/>
          </w:tcPr>
          <w:p w14:paraId="0F2958B0">
            <w:pPr>
              <w:widowControl/>
              <w:autoSpaceDE w:val="0"/>
              <w:autoSpaceDN w:val="0"/>
              <w:snapToGrid w:val="0"/>
              <w:ind w:left="400"/>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2</w:t>
            </w:r>
          </w:p>
        </w:tc>
        <w:tc>
          <w:tcPr>
            <w:tcW w:w="1665" w:type="dxa"/>
            <w:vAlign w:val="center"/>
          </w:tcPr>
          <w:p w14:paraId="3AFA7C1E">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continue"/>
            <w:vAlign w:val="center"/>
          </w:tcPr>
          <w:p w14:paraId="61289946">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r>
      <w:tr w14:paraId="510BC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 w:hRule="atLeast"/>
          <w:tblHeader/>
        </w:trPr>
        <w:tc>
          <w:tcPr>
            <w:tcW w:w="721" w:type="dxa"/>
            <w:vMerge w:val="continue"/>
            <w:vAlign w:val="center"/>
          </w:tcPr>
          <w:p w14:paraId="2AAFACED">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44" w:type="dxa"/>
            <w:vMerge w:val="continue"/>
            <w:vAlign w:val="center"/>
          </w:tcPr>
          <w:p w14:paraId="2F4B9CDC">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022" w:type="dxa"/>
            <w:vAlign w:val="center"/>
          </w:tcPr>
          <w:p w14:paraId="3C579A57">
            <w:pPr>
              <w:widowControl/>
              <w:autoSpaceDE w:val="0"/>
              <w:autoSpaceDN w:val="0"/>
              <w:snapToGrid w:val="0"/>
              <w:ind w:firstLine="480" w:firstLineChars="200"/>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5．定期对喷泉、景观、照明灯设施设备进行清洁，确保表面干净无污渍。</w:t>
            </w:r>
          </w:p>
        </w:tc>
        <w:tc>
          <w:tcPr>
            <w:tcW w:w="1110" w:type="dxa"/>
            <w:vAlign w:val="center"/>
          </w:tcPr>
          <w:p w14:paraId="5439C4A3">
            <w:pPr>
              <w:widowControl/>
              <w:autoSpaceDE w:val="0"/>
              <w:autoSpaceDN w:val="0"/>
              <w:snapToGrid w:val="0"/>
              <w:ind w:left="400"/>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1</w:t>
            </w:r>
          </w:p>
        </w:tc>
        <w:tc>
          <w:tcPr>
            <w:tcW w:w="1665" w:type="dxa"/>
            <w:vAlign w:val="center"/>
          </w:tcPr>
          <w:p w14:paraId="098E127B">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continue"/>
            <w:vAlign w:val="center"/>
          </w:tcPr>
          <w:p w14:paraId="7F95B951">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r>
      <w:tr w14:paraId="5497C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blHeader/>
        </w:trPr>
        <w:tc>
          <w:tcPr>
            <w:tcW w:w="721" w:type="dxa"/>
            <w:vMerge w:val="continue"/>
            <w:vAlign w:val="center"/>
          </w:tcPr>
          <w:p w14:paraId="14F3732C">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44" w:type="dxa"/>
            <w:vMerge w:val="continue"/>
            <w:vAlign w:val="center"/>
          </w:tcPr>
          <w:p w14:paraId="52BD6234">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022" w:type="dxa"/>
            <w:vAlign w:val="center"/>
          </w:tcPr>
          <w:p w14:paraId="062D81A5">
            <w:pPr>
              <w:widowControl/>
              <w:autoSpaceDE w:val="0"/>
              <w:autoSpaceDN w:val="0"/>
              <w:snapToGrid w:val="0"/>
              <w:ind w:firstLine="480" w:firstLineChars="200"/>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6．垃圾、废弃物按分类要求及时收集、日产日清，化粪 池及时清掏，垃圾箱（房）外侧表面清洁、内侧无残留物、无异味。</w:t>
            </w:r>
          </w:p>
        </w:tc>
        <w:tc>
          <w:tcPr>
            <w:tcW w:w="1110" w:type="dxa"/>
            <w:vAlign w:val="center"/>
          </w:tcPr>
          <w:p w14:paraId="681E2999">
            <w:pPr>
              <w:widowControl/>
              <w:autoSpaceDE w:val="0"/>
              <w:autoSpaceDN w:val="0"/>
              <w:snapToGrid w:val="0"/>
              <w:ind w:left="400"/>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2</w:t>
            </w:r>
          </w:p>
        </w:tc>
        <w:tc>
          <w:tcPr>
            <w:tcW w:w="1665" w:type="dxa"/>
            <w:vAlign w:val="center"/>
          </w:tcPr>
          <w:p w14:paraId="618A9237">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continue"/>
            <w:vAlign w:val="center"/>
          </w:tcPr>
          <w:p w14:paraId="37B55F7B">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r>
      <w:tr w14:paraId="0C39E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blHeader/>
        </w:trPr>
        <w:tc>
          <w:tcPr>
            <w:tcW w:w="721" w:type="dxa"/>
            <w:vMerge w:val="continue"/>
            <w:vAlign w:val="center"/>
          </w:tcPr>
          <w:p w14:paraId="609DCD59">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44" w:type="dxa"/>
            <w:vMerge w:val="continue"/>
            <w:vAlign w:val="center"/>
          </w:tcPr>
          <w:p w14:paraId="3F420B6A">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022" w:type="dxa"/>
            <w:tcBorders>
              <w:bottom w:val="single" w:color="auto" w:sz="4" w:space="0"/>
            </w:tcBorders>
            <w:vAlign w:val="center"/>
          </w:tcPr>
          <w:p w14:paraId="170851B7">
            <w:pPr>
              <w:widowControl/>
              <w:autoSpaceDE w:val="0"/>
              <w:autoSpaceDN w:val="0"/>
              <w:snapToGrid w:val="0"/>
              <w:ind w:firstLine="480" w:firstLineChars="200"/>
              <w:jc w:val="left"/>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7．垃圾应按照可回收物、有害垃圾、易腐垃圾和其他垃圾进行分类，对应垃圾桶颜色分别为蓝色、红色、绿色和灰色。</w:t>
            </w:r>
          </w:p>
        </w:tc>
        <w:tc>
          <w:tcPr>
            <w:tcW w:w="1110" w:type="dxa"/>
            <w:tcBorders>
              <w:bottom w:val="single" w:color="auto" w:sz="4" w:space="0"/>
            </w:tcBorders>
            <w:vAlign w:val="center"/>
          </w:tcPr>
          <w:p w14:paraId="42F1C174">
            <w:pPr>
              <w:widowControl/>
              <w:autoSpaceDE w:val="0"/>
              <w:autoSpaceDN w:val="0"/>
              <w:snapToGrid w:val="0"/>
              <w:ind w:left="400"/>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3</w:t>
            </w:r>
          </w:p>
        </w:tc>
        <w:tc>
          <w:tcPr>
            <w:tcW w:w="1665" w:type="dxa"/>
            <w:vMerge w:val="restart"/>
            <w:vAlign w:val="center"/>
          </w:tcPr>
          <w:p w14:paraId="31A0E1AD">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continue"/>
            <w:vAlign w:val="center"/>
          </w:tcPr>
          <w:p w14:paraId="332C5B0D">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r>
      <w:tr w14:paraId="567B6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blHeader/>
        </w:trPr>
        <w:tc>
          <w:tcPr>
            <w:tcW w:w="721" w:type="dxa"/>
            <w:vMerge w:val="continue"/>
            <w:vAlign w:val="center"/>
          </w:tcPr>
          <w:p w14:paraId="1A3A3B88">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44" w:type="dxa"/>
            <w:vMerge w:val="continue"/>
            <w:vAlign w:val="center"/>
          </w:tcPr>
          <w:p w14:paraId="12830864">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022" w:type="dxa"/>
            <w:tcBorders>
              <w:top w:val="single" w:color="auto" w:sz="4" w:space="0"/>
              <w:bottom w:val="single" w:color="auto" w:sz="4" w:space="0"/>
            </w:tcBorders>
            <w:vAlign w:val="center"/>
          </w:tcPr>
          <w:p w14:paraId="487C7BDD">
            <w:pPr>
              <w:widowControl/>
              <w:autoSpaceDE w:val="0"/>
              <w:autoSpaceDN w:val="0"/>
              <w:snapToGrid w:val="0"/>
              <w:ind w:firstLine="480" w:firstLineChars="200"/>
              <w:jc w:val="left"/>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8.</w:t>
            </w:r>
            <w:r>
              <w:rPr>
                <w:rFonts w:hint="eastAsia" w:ascii="新宋体" w:hAnsi="新宋体" w:eastAsia="新宋体" w:cs="新宋体"/>
                <w:color w:val="auto"/>
                <w:kern w:val="0"/>
                <w:sz w:val="24"/>
                <w:highlight w:val="none"/>
                <w:lang w:val="zh-CN"/>
              </w:rPr>
              <w:t>门窗玻璃、窗帘清洗每年</w:t>
            </w:r>
            <w:r>
              <w:rPr>
                <w:rFonts w:hint="eastAsia" w:ascii="新宋体" w:hAnsi="新宋体" w:eastAsia="新宋体" w:cs="新宋体"/>
                <w:color w:val="auto"/>
                <w:kern w:val="0"/>
                <w:sz w:val="24"/>
                <w:highlight w:val="none"/>
              </w:rPr>
              <w:t>1</w:t>
            </w:r>
            <w:r>
              <w:rPr>
                <w:rFonts w:hint="eastAsia" w:ascii="新宋体" w:hAnsi="新宋体" w:eastAsia="新宋体" w:cs="新宋体"/>
                <w:color w:val="auto"/>
                <w:kern w:val="0"/>
                <w:sz w:val="24"/>
                <w:highlight w:val="none"/>
                <w:lang w:val="zh-CN"/>
              </w:rPr>
              <w:t>次。天台、明沟每一年清洁</w:t>
            </w:r>
            <w:r>
              <w:rPr>
                <w:rFonts w:hint="eastAsia" w:ascii="新宋体" w:hAnsi="新宋体" w:eastAsia="新宋体" w:cs="新宋体"/>
                <w:color w:val="auto"/>
                <w:kern w:val="0"/>
                <w:sz w:val="24"/>
                <w:highlight w:val="none"/>
              </w:rPr>
              <w:t>4</w:t>
            </w:r>
            <w:r>
              <w:rPr>
                <w:rFonts w:hint="eastAsia" w:ascii="新宋体" w:hAnsi="新宋体" w:eastAsia="新宋体" w:cs="新宋体"/>
                <w:color w:val="auto"/>
                <w:kern w:val="0"/>
                <w:sz w:val="24"/>
                <w:highlight w:val="none"/>
                <w:lang w:val="zh-CN"/>
              </w:rPr>
              <w:t>次，无垃圾堆放，排水顺畅。</w:t>
            </w:r>
            <w:r>
              <w:rPr>
                <w:rFonts w:hint="eastAsia" w:ascii="新宋体" w:hAnsi="新宋体" w:eastAsia="新宋体" w:cs="新宋体"/>
                <w:color w:val="auto"/>
                <w:sz w:val="24"/>
                <w:highlight w:val="none"/>
                <w:lang w:val="zh-CN"/>
              </w:rPr>
              <w:t>中央空调、等离子空气消毒器清洗每年2次，包括滤网清洗，并做好清洗、更换记录台账。</w:t>
            </w:r>
          </w:p>
        </w:tc>
        <w:tc>
          <w:tcPr>
            <w:tcW w:w="1110" w:type="dxa"/>
            <w:tcBorders>
              <w:top w:val="single" w:color="auto" w:sz="4" w:space="0"/>
              <w:bottom w:val="single" w:color="auto" w:sz="4" w:space="0"/>
            </w:tcBorders>
            <w:vAlign w:val="center"/>
          </w:tcPr>
          <w:p w14:paraId="430A1942">
            <w:pPr>
              <w:widowControl/>
              <w:autoSpaceDE w:val="0"/>
              <w:autoSpaceDN w:val="0"/>
              <w:snapToGrid w:val="0"/>
              <w:ind w:left="400"/>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2</w:t>
            </w:r>
          </w:p>
        </w:tc>
        <w:tc>
          <w:tcPr>
            <w:tcW w:w="1665" w:type="dxa"/>
            <w:vMerge w:val="continue"/>
            <w:vAlign w:val="center"/>
          </w:tcPr>
          <w:p w14:paraId="794DCEF2">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continue"/>
            <w:vAlign w:val="center"/>
          </w:tcPr>
          <w:p w14:paraId="0AB08713">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r>
      <w:tr w14:paraId="688BB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blHeader/>
        </w:trPr>
        <w:tc>
          <w:tcPr>
            <w:tcW w:w="721" w:type="dxa"/>
            <w:vMerge w:val="continue"/>
            <w:vAlign w:val="center"/>
          </w:tcPr>
          <w:p w14:paraId="5803EE40">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44" w:type="dxa"/>
            <w:vMerge w:val="continue"/>
            <w:vAlign w:val="center"/>
          </w:tcPr>
          <w:p w14:paraId="42095761">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022" w:type="dxa"/>
            <w:tcBorders>
              <w:top w:val="single" w:color="auto" w:sz="4" w:space="0"/>
            </w:tcBorders>
            <w:vAlign w:val="center"/>
          </w:tcPr>
          <w:p w14:paraId="6C4AD044">
            <w:pPr>
              <w:widowControl/>
              <w:autoSpaceDE w:val="0"/>
              <w:autoSpaceDN w:val="0"/>
              <w:snapToGrid w:val="0"/>
              <w:ind w:firstLine="480" w:firstLineChars="200"/>
              <w:jc w:val="left"/>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9.</w:t>
            </w:r>
            <w:r>
              <w:rPr>
                <w:rFonts w:hint="eastAsia" w:ascii="新宋体" w:hAnsi="新宋体" w:eastAsia="新宋体" w:cs="新宋体"/>
                <w:color w:val="auto"/>
                <w:kern w:val="0"/>
                <w:sz w:val="24"/>
                <w:highlight w:val="none"/>
                <w:lang w:val="zh-CN"/>
              </w:rPr>
              <w:t>做好</w:t>
            </w:r>
            <w:r>
              <w:rPr>
                <w:rFonts w:hint="eastAsia" w:ascii="新宋体" w:hAnsi="新宋体" w:eastAsia="新宋体" w:cs="新宋体"/>
                <w:color w:val="auto"/>
                <w:kern w:val="0"/>
                <w:sz w:val="24"/>
                <w:highlight w:val="none"/>
              </w:rPr>
              <w:t>医护服装、床褥清洗工作</w:t>
            </w:r>
            <w:r>
              <w:rPr>
                <w:rFonts w:hint="eastAsia" w:ascii="新宋体" w:hAnsi="新宋体" w:eastAsia="新宋体" w:cs="新宋体"/>
                <w:color w:val="auto"/>
                <w:kern w:val="0"/>
                <w:sz w:val="24"/>
                <w:highlight w:val="none"/>
                <w:lang w:val="zh-CN"/>
              </w:rPr>
              <w:t>要求做到主动、及时；点数认真细致，医护服装、床褥进出洗衣房，要认真核对，保证帐物相符，进行分类熨烫，操作时避免造成二次污染，折叠后送至各科室。清洗后发现衣物有破损的提供缝补服务。</w:t>
            </w:r>
          </w:p>
        </w:tc>
        <w:tc>
          <w:tcPr>
            <w:tcW w:w="1110" w:type="dxa"/>
            <w:tcBorders>
              <w:top w:val="single" w:color="auto" w:sz="4" w:space="0"/>
            </w:tcBorders>
            <w:vAlign w:val="center"/>
          </w:tcPr>
          <w:p w14:paraId="608098AE">
            <w:pPr>
              <w:widowControl/>
              <w:autoSpaceDE w:val="0"/>
              <w:autoSpaceDN w:val="0"/>
              <w:snapToGrid w:val="0"/>
              <w:ind w:left="400"/>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2</w:t>
            </w:r>
          </w:p>
        </w:tc>
        <w:tc>
          <w:tcPr>
            <w:tcW w:w="1665" w:type="dxa"/>
            <w:vMerge w:val="continue"/>
            <w:vAlign w:val="center"/>
          </w:tcPr>
          <w:p w14:paraId="01B6FB1F">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continue"/>
            <w:vAlign w:val="center"/>
          </w:tcPr>
          <w:p w14:paraId="5AE8159D">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r>
      <w:tr w14:paraId="1FD69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3" w:hRule="atLeast"/>
          <w:tblHeader/>
        </w:trPr>
        <w:tc>
          <w:tcPr>
            <w:tcW w:w="721" w:type="dxa"/>
            <w:vMerge w:val="restart"/>
            <w:vAlign w:val="center"/>
          </w:tcPr>
          <w:p w14:paraId="76C1E352">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4</w:t>
            </w:r>
          </w:p>
        </w:tc>
        <w:tc>
          <w:tcPr>
            <w:tcW w:w="844" w:type="dxa"/>
            <w:vMerge w:val="restart"/>
            <w:vAlign w:val="center"/>
          </w:tcPr>
          <w:p w14:paraId="759033D5">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安保</w:t>
            </w:r>
          </w:p>
          <w:p w14:paraId="579E5709">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消控</w:t>
            </w:r>
          </w:p>
          <w:p w14:paraId="25CF1192">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管理</w:t>
            </w:r>
          </w:p>
        </w:tc>
        <w:tc>
          <w:tcPr>
            <w:tcW w:w="8022" w:type="dxa"/>
            <w:vAlign w:val="center"/>
          </w:tcPr>
          <w:p w14:paraId="3543620A">
            <w:pPr>
              <w:widowControl/>
              <w:autoSpaceDE w:val="0"/>
              <w:autoSpaceDN w:val="0"/>
              <w:snapToGrid w:val="0"/>
              <w:spacing w:line="240" w:lineRule="atLeast"/>
              <w:textAlignment w:val="baseline"/>
              <w:rPr>
                <w:rFonts w:ascii="新宋体" w:hAnsi="新宋体" w:eastAsia="新宋体" w:cs="新宋体"/>
                <w:b/>
                <w:bCs/>
                <w:color w:val="auto"/>
                <w:kern w:val="0"/>
                <w:sz w:val="24"/>
                <w:highlight w:val="none"/>
              </w:rPr>
            </w:pPr>
            <w:r>
              <w:rPr>
                <w:rFonts w:hint="eastAsia" w:ascii="新宋体" w:hAnsi="新宋体" w:eastAsia="新宋体" w:cs="新宋体"/>
                <w:b/>
                <w:bCs/>
                <w:color w:val="auto"/>
                <w:kern w:val="0"/>
                <w:sz w:val="24"/>
                <w:highlight w:val="none"/>
              </w:rPr>
              <w:t>公共秩序维护：</w:t>
            </w:r>
          </w:p>
          <w:p w14:paraId="249E20E0">
            <w:pPr>
              <w:widowControl/>
              <w:numPr>
                <w:ilvl w:val="0"/>
                <w:numId w:val="14"/>
              </w:numPr>
              <w:autoSpaceDE w:val="0"/>
              <w:autoSpaceDN w:val="0"/>
              <w:snapToGrid w:val="0"/>
              <w:spacing w:line="240" w:lineRule="atLeast"/>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严格出入登记制度，发现问题及时上报处理，杜绝闲杂人员进入办公楼（区）。</w:t>
            </w:r>
          </w:p>
          <w:p w14:paraId="45BD6C9D">
            <w:pPr>
              <w:widowControl/>
              <w:numPr>
                <w:ilvl w:val="0"/>
                <w:numId w:val="14"/>
              </w:numPr>
              <w:autoSpaceDE w:val="0"/>
              <w:autoSpaceDN w:val="0"/>
              <w:snapToGrid w:val="0"/>
              <w:spacing w:line="240" w:lineRule="atLeast"/>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物品进出实施分类管理，实行物品进出审验制度，杜绝可疑危险品进入。</w:t>
            </w:r>
          </w:p>
          <w:p w14:paraId="40C3CA70">
            <w:pPr>
              <w:widowControl/>
              <w:numPr>
                <w:ilvl w:val="0"/>
                <w:numId w:val="14"/>
              </w:numPr>
              <w:autoSpaceDE w:val="0"/>
              <w:autoSpaceDN w:val="0"/>
              <w:snapToGrid w:val="0"/>
              <w:spacing w:line="240" w:lineRule="atLeast"/>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对进出的各类机动车辆进行有序管理，设置行车指示标 志，规定车辆行驶路线，引导车辆停放区域，车库内配置道闸和 监视系统。非机动车统一停放在室外指定区域，设置集中充电桩。停车区域无易燃、易爆物品存放。</w:t>
            </w:r>
          </w:p>
          <w:p w14:paraId="396C2CD0">
            <w:pPr>
              <w:widowControl/>
              <w:numPr>
                <w:ilvl w:val="0"/>
                <w:numId w:val="14"/>
              </w:numPr>
              <w:autoSpaceDE w:val="0"/>
              <w:autoSpaceDN w:val="0"/>
              <w:snapToGrid w:val="0"/>
              <w:spacing w:line="240" w:lineRule="atLeast"/>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消控、监控设施设备应保持24小时正常运行，保证出入口、内部重点区域的安全监控、录像及协助布警。监控室收到异常情况报警信号后，应及时报警，并派专人赶到现场进行前期处理。监控资料应至少保留90天。做好防盗、防火报警监控设备日常使用管理。</w:t>
            </w:r>
          </w:p>
          <w:p w14:paraId="1BFED524">
            <w:pPr>
              <w:widowControl/>
              <w:numPr>
                <w:ilvl w:val="0"/>
                <w:numId w:val="14"/>
              </w:numPr>
              <w:autoSpaceDE w:val="0"/>
              <w:autoSpaceDN w:val="0"/>
              <w:snapToGrid w:val="0"/>
              <w:spacing w:line="240" w:lineRule="atLeast"/>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明确防火巡查工作职责，对设备机房等重要区域、部位进行重点巡视并做好相关记录，及时发现和处理各种安全和事故隐患。</w:t>
            </w:r>
          </w:p>
        </w:tc>
        <w:tc>
          <w:tcPr>
            <w:tcW w:w="1110" w:type="dxa"/>
            <w:vAlign w:val="center"/>
          </w:tcPr>
          <w:p w14:paraId="64F92EC4">
            <w:pPr>
              <w:widowControl/>
              <w:autoSpaceDE w:val="0"/>
              <w:autoSpaceDN w:val="0"/>
              <w:snapToGrid w:val="0"/>
              <w:spacing w:line="240" w:lineRule="atLeast"/>
              <w:ind w:left="432"/>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15</w:t>
            </w:r>
          </w:p>
        </w:tc>
        <w:tc>
          <w:tcPr>
            <w:tcW w:w="1665" w:type="dxa"/>
            <w:vAlign w:val="center"/>
          </w:tcPr>
          <w:p w14:paraId="5D00B3C0">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restart"/>
            <w:vAlign w:val="center"/>
          </w:tcPr>
          <w:p w14:paraId="26B80732">
            <w:pPr>
              <w:rPr>
                <w:color w:val="auto"/>
                <w:kern w:val="0"/>
                <w:sz w:val="20"/>
                <w:highlight w:val="none"/>
              </w:rPr>
            </w:pPr>
            <w:r>
              <w:rPr>
                <w:rFonts w:hint="eastAsia" w:ascii="新宋体" w:hAnsi="新宋体" w:eastAsia="新宋体" w:cs="新宋体"/>
                <w:color w:val="auto"/>
                <w:spacing w:val="-1"/>
                <w:kern w:val="0"/>
                <w:sz w:val="24"/>
                <w:highlight w:val="none"/>
              </w:rPr>
              <w:t>完全符合得</w:t>
            </w:r>
            <w:r>
              <w:rPr>
                <w:rFonts w:hint="eastAsia" w:ascii="新宋体" w:hAnsi="新宋体" w:eastAsia="新宋体" w:cs="新宋体"/>
                <w:color w:val="auto"/>
                <w:kern w:val="0"/>
                <w:sz w:val="24"/>
                <w:highlight w:val="none"/>
              </w:rPr>
              <w:t>满分，部分符合相应</w:t>
            </w:r>
            <w:r>
              <w:rPr>
                <w:rFonts w:hint="eastAsia" w:ascii="新宋体" w:hAnsi="新宋体" w:eastAsia="新宋体" w:cs="新宋体"/>
                <w:color w:val="auto"/>
                <w:spacing w:val="-18"/>
                <w:kern w:val="0"/>
                <w:sz w:val="24"/>
                <w:highlight w:val="none"/>
              </w:rPr>
              <w:t>递</w:t>
            </w:r>
            <w:r>
              <w:rPr>
                <w:rFonts w:hint="eastAsia" w:ascii="新宋体" w:hAnsi="新宋体" w:eastAsia="新宋体" w:cs="新宋体"/>
                <w:color w:val="auto"/>
                <w:spacing w:val="-12"/>
                <w:kern w:val="0"/>
                <w:sz w:val="24"/>
                <w:highlight w:val="none"/>
              </w:rPr>
              <w:t>减， 不符合得 0 分</w:t>
            </w:r>
            <w:r>
              <w:rPr>
                <w:rFonts w:hint="eastAsia"/>
                <w:color w:val="auto"/>
                <w:kern w:val="0"/>
                <w:sz w:val="20"/>
                <w:highlight w:val="none"/>
              </w:rPr>
              <mc:AlternateContent>
                <mc:Choice Requires="wps">
                  <w:drawing>
                    <wp:anchor distT="0" distB="0" distL="114300" distR="114300" simplePos="0" relativeHeight="251662336" behindDoc="0" locked="0" layoutInCell="1" allowOverlap="1">
                      <wp:simplePos x="0" y="0"/>
                      <wp:positionH relativeFrom="page">
                        <wp:posOffset>10095230</wp:posOffset>
                      </wp:positionH>
                      <wp:positionV relativeFrom="page">
                        <wp:posOffset>3175</wp:posOffset>
                      </wp:positionV>
                      <wp:extent cx="6350" cy="2947035"/>
                      <wp:effectExtent l="0" t="0" r="12700" b="5715"/>
                      <wp:wrapNone/>
                      <wp:docPr id="4" name="Rectangle 2"/>
                      <wp:cNvGraphicFramePr/>
                      <a:graphic xmlns:a="http://schemas.openxmlformats.org/drawingml/2006/main">
                        <a:graphicData uri="http://schemas.microsoft.com/office/word/2010/wordprocessingShape">
                          <wps:wsp>
                            <wps:cNvSpPr/>
                            <wps:spPr>
                              <a:xfrm>
                                <a:off x="0" y="0"/>
                                <a:ext cx="6350" cy="2947035"/>
                              </a:xfrm>
                              <a:prstGeom prst="rect">
                                <a:avLst/>
                              </a:prstGeom>
                              <a:solidFill>
                                <a:srgbClr val="000000"/>
                              </a:solidFill>
                              <a:ln>
                                <a:noFill/>
                              </a:ln>
                              <a:effectLst/>
                            </wps:spPr>
                            <wps:bodyPr vert="horz" anchor="t" anchorCtr="0" upright="1"/>
                          </wps:wsp>
                        </a:graphicData>
                      </a:graphic>
                    </wp:anchor>
                  </w:drawing>
                </mc:Choice>
                <mc:Fallback>
                  <w:pict>
                    <v:rect id="Rectangle 2" o:spid="_x0000_s1026" o:spt="1" style="position:absolute;left:0pt;margin-left:794.9pt;margin-top:0.25pt;height:232.05pt;width:0.5pt;mso-position-horizontal-relative:page;mso-position-vertical-relative:page;z-index:251662336;mso-width-relative:page;mso-height-relative:page;" fillcolor="#000000" filled="t" stroked="f" coordsize="21600,21600" o:gfxdata="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LTaQbYAAAACgEAAA8AAAAAAAAAAQAgAAAAIgAAAGRycy9kb3ducmV2LnhtbFBL&#10;AQIUABQAAAAIAIdO4kCAb8U9vQEAAJMDAAAOAAAAAAAAAAEAIAAAACcBAABkcnMvZTJvRG9jLnht&#10;bFBLBQYAAAAABgAGAFkBAABWBQAAAAA=&#10;">
                      <v:fill on="t" focussize="0,0"/>
                      <v:stroke on="f"/>
                      <v:imagedata o:title=""/>
                      <o:lock v:ext="edit" aspectratio="f"/>
                    </v:rect>
                  </w:pict>
                </mc:Fallback>
              </mc:AlternateContent>
            </w:r>
          </w:p>
        </w:tc>
      </w:tr>
      <w:tr w14:paraId="4CE2F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trPr>
        <w:tc>
          <w:tcPr>
            <w:tcW w:w="721" w:type="dxa"/>
            <w:vMerge w:val="continue"/>
            <w:vAlign w:val="center"/>
          </w:tcPr>
          <w:p w14:paraId="5BF7CBA7">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44" w:type="dxa"/>
            <w:vMerge w:val="continue"/>
            <w:vAlign w:val="center"/>
          </w:tcPr>
          <w:p w14:paraId="440B2DD0">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022" w:type="dxa"/>
            <w:vAlign w:val="center"/>
          </w:tcPr>
          <w:p w14:paraId="6541EFD9">
            <w:pPr>
              <w:widowControl/>
              <w:autoSpaceDE w:val="0"/>
              <w:autoSpaceDN w:val="0"/>
              <w:snapToGrid w:val="0"/>
              <w:spacing w:line="240" w:lineRule="atLeast"/>
              <w:textAlignment w:val="baseline"/>
              <w:rPr>
                <w:rFonts w:ascii="新宋体" w:hAnsi="新宋体" w:eastAsia="新宋体" w:cs="新宋体"/>
                <w:b/>
                <w:bCs/>
                <w:color w:val="auto"/>
                <w:kern w:val="0"/>
                <w:sz w:val="24"/>
                <w:highlight w:val="none"/>
              </w:rPr>
            </w:pPr>
            <w:r>
              <w:rPr>
                <w:rFonts w:hint="eastAsia" w:ascii="新宋体" w:hAnsi="新宋体" w:eastAsia="新宋体" w:cs="新宋体"/>
                <w:b/>
                <w:bCs/>
                <w:color w:val="auto"/>
                <w:kern w:val="0"/>
                <w:sz w:val="24"/>
                <w:highlight w:val="none"/>
              </w:rPr>
              <w:t>消控安全管理：</w:t>
            </w:r>
          </w:p>
          <w:p w14:paraId="5AAA5C3B">
            <w:pPr>
              <w:widowControl/>
              <w:numPr>
                <w:ilvl w:val="0"/>
                <w:numId w:val="15"/>
              </w:numPr>
              <w:autoSpaceDE w:val="0"/>
              <w:autoSpaceDN w:val="0"/>
              <w:snapToGrid w:val="0"/>
              <w:spacing w:line="240" w:lineRule="atLeast"/>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配备完善的消防设施和器材，定期对消防设施进行巡查，确保运行正常。消防设施的维护管理及消防控制室应符合相关国标要求。</w:t>
            </w:r>
          </w:p>
          <w:p w14:paraId="575098D2">
            <w:pPr>
              <w:widowControl/>
              <w:numPr>
                <w:ilvl w:val="0"/>
                <w:numId w:val="15"/>
              </w:numPr>
              <w:autoSpaceDE w:val="0"/>
              <w:autoSpaceDN w:val="0"/>
              <w:snapToGrid w:val="0"/>
              <w:spacing w:line="240" w:lineRule="atLeast"/>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应在各楼层明显位置张贴平面疏散示意图、引路标志及控烟标志。</w:t>
            </w:r>
          </w:p>
          <w:p w14:paraId="3B70AB23">
            <w:pPr>
              <w:widowControl/>
              <w:numPr>
                <w:ilvl w:val="0"/>
                <w:numId w:val="15"/>
              </w:numPr>
              <w:autoSpaceDE w:val="0"/>
              <w:autoSpaceDN w:val="0"/>
              <w:snapToGrid w:val="0"/>
              <w:spacing w:line="240" w:lineRule="atLeast"/>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定期开展防火检查，保证疏散通道、安全出口、消防车道通畅。</w:t>
            </w:r>
          </w:p>
          <w:p w14:paraId="0BD42CAF">
            <w:pPr>
              <w:widowControl/>
              <w:numPr>
                <w:ilvl w:val="0"/>
                <w:numId w:val="15"/>
              </w:numPr>
              <w:autoSpaceDE w:val="0"/>
              <w:autoSpaceDN w:val="0"/>
              <w:snapToGrid w:val="0"/>
              <w:spacing w:line="240" w:lineRule="atLeast"/>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每年至少组织</w:t>
            </w:r>
            <w:r>
              <w:rPr>
                <w:rFonts w:ascii="新宋体" w:hAnsi="新宋体" w:eastAsia="新宋体" w:cs="新宋体"/>
                <w:color w:val="auto"/>
                <w:kern w:val="0"/>
                <w:sz w:val="24"/>
                <w:highlight w:val="none"/>
              </w:rPr>
              <w:t>2</w:t>
            </w:r>
            <w:r>
              <w:rPr>
                <w:rFonts w:hint="eastAsia" w:ascii="新宋体" w:hAnsi="新宋体" w:eastAsia="新宋体" w:cs="新宋体"/>
                <w:color w:val="auto"/>
                <w:kern w:val="0"/>
                <w:sz w:val="24"/>
                <w:highlight w:val="none"/>
              </w:rPr>
              <w:t>次消防安全培训及消防演练。</w:t>
            </w:r>
          </w:p>
        </w:tc>
        <w:tc>
          <w:tcPr>
            <w:tcW w:w="1110" w:type="dxa"/>
            <w:vAlign w:val="center"/>
          </w:tcPr>
          <w:p w14:paraId="6A000A42">
            <w:pPr>
              <w:widowControl/>
              <w:autoSpaceDE w:val="0"/>
              <w:autoSpaceDN w:val="0"/>
              <w:snapToGrid w:val="0"/>
              <w:spacing w:line="240" w:lineRule="atLeast"/>
              <w:ind w:left="432"/>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8</w:t>
            </w:r>
          </w:p>
        </w:tc>
        <w:tc>
          <w:tcPr>
            <w:tcW w:w="1665" w:type="dxa"/>
            <w:vAlign w:val="center"/>
          </w:tcPr>
          <w:p w14:paraId="096C3D4E">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continue"/>
            <w:vAlign w:val="center"/>
          </w:tcPr>
          <w:p w14:paraId="5E280247">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r>
      <w:tr w14:paraId="71DA1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blHeader/>
        </w:trPr>
        <w:tc>
          <w:tcPr>
            <w:tcW w:w="721" w:type="dxa"/>
            <w:vMerge w:val="continue"/>
            <w:vAlign w:val="center"/>
          </w:tcPr>
          <w:p w14:paraId="1CA9A810">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44" w:type="dxa"/>
            <w:vMerge w:val="continue"/>
            <w:vAlign w:val="center"/>
          </w:tcPr>
          <w:p w14:paraId="51398F2B">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022" w:type="dxa"/>
            <w:vAlign w:val="center"/>
          </w:tcPr>
          <w:p w14:paraId="27912098">
            <w:pPr>
              <w:widowControl/>
              <w:autoSpaceDE w:val="0"/>
              <w:autoSpaceDN w:val="0"/>
              <w:snapToGrid w:val="0"/>
              <w:spacing w:line="240" w:lineRule="atLeast"/>
              <w:textAlignment w:val="baseline"/>
              <w:rPr>
                <w:rFonts w:ascii="新宋体" w:hAnsi="新宋体" w:eastAsia="新宋体" w:cs="新宋体"/>
                <w:b/>
                <w:bCs/>
                <w:color w:val="auto"/>
                <w:kern w:val="0"/>
                <w:sz w:val="24"/>
                <w:highlight w:val="none"/>
              </w:rPr>
            </w:pPr>
            <w:r>
              <w:rPr>
                <w:rFonts w:hint="eastAsia" w:ascii="新宋体" w:hAnsi="新宋体" w:eastAsia="新宋体" w:cs="新宋体"/>
                <w:b/>
                <w:bCs/>
                <w:color w:val="auto"/>
                <w:kern w:val="0"/>
                <w:sz w:val="24"/>
                <w:highlight w:val="none"/>
              </w:rPr>
              <w:t>突发事件处理</w:t>
            </w:r>
          </w:p>
          <w:p w14:paraId="71918210">
            <w:pPr>
              <w:widowControl/>
              <w:numPr>
                <w:ilvl w:val="0"/>
                <w:numId w:val="16"/>
              </w:numPr>
              <w:autoSpaceDE w:val="0"/>
              <w:autoSpaceDN w:val="0"/>
              <w:snapToGrid w:val="0"/>
              <w:spacing w:line="240" w:lineRule="atLeast"/>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建立突发事件应急预案体系，包括但不限于电梯困人、紧急会议、火警火灾、突发停电、水管破裂、意外伤害、群体性上访、台风、暴雨及雷电等应急预案。</w:t>
            </w:r>
          </w:p>
          <w:p w14:paraId="15C9EA14">
            <w:pPr>
              <w:widowControl/>
              <w:numPr>
                <w:ilvl w:val="0"/>
                <w:numId w:val="16"/>
              </w:numPr>
              <w:autoSpaceDE w:val="0"/>
              <w:autoSpaceDN w:val="0"/>
              <w:snapToGrid w:val="0"/>
              <w:spacing w:line="240" w:lineRule="atLeast"/>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突发事件发生时应立即启动应急预案，迅速展开指挥协调、信息报告、紧急处置、秩序维护、抢险救援、后勤保障等工作，并在第一时间内向有关部门汇报处理结果。</w:t>
            </w:r>
          </w:p>
          <w:p w14:paraId="6E76160A">
            <w:pPr>
              <w:widowControl/>
              <w:numPr>
                <w:ilvl w:val="0"/>
                <w:numId w:val="16"/>
              </w:numPr>
              <w:autoSpaceDE w:val="0"/>
              <w:autoSpaceDN w:val="0"/>
              <w:snapToGrid w:val="0"/>
              <w:spacing w:line="240" w:lineRule="atLeast"/>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每年至少组织</w:t>
            </w:r>
            <w:r>
              <w:rPr>
                <w:rFonts w:ascii="新宋体" w:hAnsi="新宋体" w:eastAsia="新宋体" w:cs="新宋体"/>
                <w:color w:val="auto"/>
                <w:kern w:val="0"/>
                <w:sz w:val="24"/>
                <w:highlight w:val="none"/>
              </w:rPr>
              <w:t>1</w:t>
            </w:r>
            <w:r>
              <w:rPr>
                <w:rFonts w:hint="eastAsia" w:ascii="新宋体" w:hAnsi="新宋体" w:eastAsia="新宋体" w:cs="新宋体"/>
                <w:color w:val="auto"/>
                <w:kern w:val="0"/>
                <w:sz w:val="24"/>
                <w:highlight w:val="none"/>
              </w:rPr>
              <w:t>次突发事件应急演习。</w:t>
            </w:r>
          </w:p>
        </w:tc>
        <w:tc>
          <w:tcPr>
            <w:tcW w:w="1110" w:type="dxa"/>
            <w:vAlign w:val="center"/>
          </w:tcPr>
          <w:p w14:paraId="1EC30F26">
            <w:pPr>
              <w:widowControl/>
              <w:autoSpaceDE w:val="0"/>
              <w:autoSpaceDN w:val="0"/>
              <w:snapToGrid w:val="0"/>
              <w:spacing w:line="240" w:lineRule="atLeast"/>
              <w:ind w:left="432"/>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3</w:t>
            </w:r>
          </w:p>
        </w:tc>
        <w:tc>
          <w:tcPr>
            <w:tcW w:w="1665" w:type="dxa"/>
            <w:vAlign w:val="center"/>
          </w:tcPr>
          <w:p w14:paraId="54DD75C4">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continue"/>
            <w:vAlign w:val="center"/>
          </w:tcPr>
          <w:p w14:paraId="21731184">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r>
      <w:tr w14:paraId="5B26C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blHeader/>
        </w:trPr>
        <w:tc>
          <w:tcPr>
            <w:tcW w:w="721" w:type="dxa"/>
            <w:vMerge w:val="restart"/>
            <w:tcBorders>
              <w:left w:val="single" w:color="000000" w:sz="6" w:space="0"/>
            </w:tcBorders>
            <w:vAlign w:val="center"/>
          </w:tcPr>
          <w:p w14:paraId="11CC5112">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p w14:paraId="484064F8">
            <w:pPr>
              <w:widowControl/>
              <w:autoSpaceDE w:val="0"/>
              <w:autoSpaceDN w:val="0"/>
              <w:snapToGrid w:val="0"/>
              <w:spacing w:line="240" w:lineRule="atLeast"/>
              <w:ind w:left="297"/>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5</w:t>
            </w:r>
          </w:p>
        </w:tc>
        <w:tc>
          <w:tcPr>
            <w:tcW w:w="844" w:type="dxa"/>
            <w:vMerge w:val="restart"/>
            <w:vAlign w:val="center"/>
          </w:tcPr>
          <w:p w14:paraId="17890574">
            <w:pPr>
              <w:widowControl/>
              <w:autoSpaceDE w:val="0"/>
              <w:autoSpaceDN w:val="0"/>
              <w:snapToGrid w:val="0"/>
              <w:spacing w:line="240" w:lineRule="atLeast"/>
              <w:ind w:left="212"/>
              <w:jc w:val="center"/>
              <w:textAlignment w:val="baseline"/>
              <w:rPr>
                <w:rFonts w:ascii="新宋体" w:hAnsi="新宋体" w:eastAsia="新宋体" w:cs="新宋体"/>
                <w:color w:val="auto"/>
                <w:spacing w:val="-2"/>
                <w:kern w:val="0"/>
                <w:sz w:val="24"/>
                <w:highlight w:val="none"/>
              </w:rPr>
            </w:pPr>
            <w:r>
              <w:rPr>
                <w:rFonts w:hint="eastAsia" w:ascii="新宋体" w:hAnsi="新宋体" w:eastAsia="新宋体" w:cs="新宋体"/>
                <w:color w:val="auto"/>
                <w:spacing w:val="-2"/>
                <w:kern w:val="0"/>
                <w:sz w:val="24"/>
                <w:highlight w:val="none"/>
              </w:rPr>
              <w:t>绿化</w:t>
            </w:r>
          </w:p>
          <w:p w14:paraId="1B8BF5C8">
            <w:pPr>
              <w:widowControl/>
              <w:autoSpaceDE w:val="0"/>
              <w:autoSpaceDN w:val="0"/>
              <w:snapToGrid w:val="0"/>
              <w:spacing w:line="240" w:lineRule="atLeast"/>
              <w:ind w:left="212"/>
              <w:jc w:val="center"/>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spacing w:val="-2"/>
                <w:kern w:val="0"/>
                <w:sz w:val="24"/>
                <w:highlight w:val="none"/>
              </w:rPr>
              <w:t>养护</w:t>
            </w:r>
          </w:p>
        </w:tc>
        <w:tc>
          <w:tcPr>
            <w:tcW w:w="8022" w:type="dxa"/>
            <w:vAlign w:val="center"/>
          </w:tcPr>
          <w:p w14:paraId="2B8A9498">
            <w:pPr>
              <w:widowControl/>
              <w:numPr>
                <w:ilvl w:val="0"/>
                <w:numId w:val="17"/>
              </w:numPr>
              <w:autoSpaceDE w:val="0"/>
              <w:autoSpaceDN w:val="0"/>
              <w:snapToGrid w:val="0"/>
              <w:spacing w:line="240" w:lineRule="atLeast"/>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室内外绿化养护期内各类绿植应100%存活。</w:t>
            </w:r>
            <w:r>
              <w:rPr>
                <w:rFonts w:hint="eastAsia" w:ascii="新宋体" w:hAnsi="新宋体" w:eastAsia="新宋体" w:cs="新宋体"/>
                <w:color w:val="auto"/>
                <w:sz w:val="24"/>
                <w:highlight w:val="none"/>
              </w:rPr>
              <w:t>死后植株，按照市场平均价赔偿或重新种植相应大小的同类植株。</w:t>
            </w:r>
          </w:p>
        </w:tc>
        <w:tc>
          <w:tcPr>
            <w:tcW w:w="1110" w:type="dxa"/>
            <w:vAlign w:val="center"/>
          </w:tcPr>
          <w:p w14:paraId="5360BF70">
            <w:pPr>
              <w:widowControl/>
              <w:autoSpaceDE w:val="0"/>
              <w:autoSpaceDN w:val="0"/>
              <w:snapToGrid w:val="0"/>
              <w:spacing w:line="240" w:lineRule="atLeast"/>
              <w:ind w:left="433"/>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0.5</w:t>
            </w:r>
          </w:p>
        </w:tc>
        <w:tc>
          <w:tcPr>
            <w:tcW w:w="1665" w:type="dxa"/>
            <w:vAlign w:val="center"/>
          </w:tcPr>
          <w:p w14:paraId="2123E268">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restart"/>
            <w:tcBorders>
              <w:right w:val="single" w:color="000000" w:sz="6" w:space="0"/>
            </w:tcBorders>
            <w:vAlign w:val="center"/>
          </w:tcPr>
          <w:p w14:paraId="6AD3DE64">
            <w:pPr>
              <w:widowControl/>
              <w:autoSpaceDE w:val="0"/>
              <w:autoSpaceDN w:val="0"/>
              <w:snapToGrid w:val="0"/>
              <w:spacing w:line="240" w:lineRule="atLeast"/>
              <w:textAlignment w:val="baseline"/>
              <w:rPr>
                <w:rFonts w:ascii="新宋体" w:hAnsi="新宋体" w:eastAsia="新宋体" w:cs="新宋体"/>
                <w:color w:val="auto"/>
                <w:spacing w:val="-1"/>
                <w:kern w:val="0"/>
                <w:sz w:val="24"/>
                <w:highlight w:val="none"/>
              </w:rPr>
            </w:pPr>
          </w:p>
          <w:p w14:paraId="79E7CD3D">
            <w:pPr>
              <w:widowControl/>
              <w:autoSpaceDE w:val="0"/>
              <w:autoSpaceDN w:val="0"/>
              <w:snapToGrid w:val="0"/>
              <w:spacing w:line="240" w:lineRule="atLeast"/>
              <w:textAlignment w:val="baseline"/>
              <w:rPr>
                <w:rFonts w:ascii="新宋体" w:hAnsi="新宋体" w:eastAsia="新宋体" w:cs="新宋体"/>
                <w:color w:val="auto"/>
                <w:spacing w:val="-1"/>
                <w:kern w:val="0"/>
                <w:sz w:val="24"/>
                <w:highlight w:val="none"/>
              </w:rPr>
            </w:pPr>
          </w:p>
          <w:p w14:paraId="2978898C">
            <w:pPr>
              <w:widowControl/>
              <w:autoSpaceDE w:val="0"/>
              <w:autoSpaceDN w:val="0"/>
              <w:snapToGrid w:val="0"/>
              <w:spacing w:line="240" w:lineRule="atLeast"/>
              <w:textAlignment w:val="baseline"/>
              <w:rPr>
                <w:rFonts w:ascii="新宋体" w:hAnsi="新宋体" w:eastAsia="新宋体" w:cs="新宋体"/>
                <w:color w:val="auto"/>
                <w:spacing w:val="-1"/>
                <w:kern w:val="0"/>
                <w:sz w:val="24"/>
                <w:highlight w:val="none"/>
              </w:rPr>
            </w:pPr>
            <w:r>
              <w:rPr>
                <w:rFonts w:hint="eastAsia" w:ascii="新宋体" w:hAnsi="新宋体" w:eastAsia="新宋体" w:cs="新宋体"/>
                <w:color w:val="auto"/>
                <w:spacing w:val="-1"/>
                <w:kern w:val="0"/>
                <w:sz w:val="24"/>
                <w:highlight w:val="none"/>
              </w:rPr>
              <w:t>未按要求发现一处扣0.5分</w:t>
            </w:r>
          </w:p>
        </w:tc>
      </w:tr>
      <w:tr w14:paraId="378DB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blHeader/>
        </w:trPr>
        <w:tc>
          <w:tcPr>
            <w:tcW w:w="721" w:type="dxa"/>
            <w:vMerge w:val="continue"/>
            <w:tcBorders>
              <w:left w:val="single" w:color="000000" w:sz="6" w:space="0"/>
            </w:tcBorders>
            <w:vAlign w:val="center"/>
          </w:tcPr>
          <w:p w14:paraId="73C10B56">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44" w:type="dxa"/>
            <w:vMerge w:val="continue"/>
            <w:vAlign w:val="center"/>
          </w:tcPr>
          <w:p w14:paraId="7EBDBE4D">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022" w:type="dxa"/>
            <w:vAlign w:val="center"/>
          </w:tcPr>
          <w:p w14:paraId="40C38F1E">
            <w:pPr>
              <w:widowControl/>
              <w:numPr>
                <w:ilvl w:val="0"/>
                <w:numId w:val="17"/>
              </w:numPr>
              <w:autoSpaceDE w:val="0"/>
              <w:autoSpaceDN w:val="0"/>
              <w:snapToGrid w:val="0"/>
              <w:spacing w:line="240" w:lineRule="atLeast"/>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根据季节和气候状况，进行浇灌、施肥、修剪和松土等养护。</w:t>
            </w:r>
          </w:p>
        </w:tc>
        <w:tc>
          <w:tcPr>
            <w:tcW w:w="1110" w:type="dxa"/>
            <w:vAlign w:val="center"/>
          </w:tcPr>
          <w:p w14:paraId="4033BC7D">
            <w:pPr>
              <w:widowControl/>
              <w:autoSpaceDE w:val="0"/>
              <w:autoSpaceDN w:val="0"/>
              <w:snapToGrid w:val="0"/>
              <w:spacing w:line="240" w:lineRule="atLeast"/>
              <w:ind w:left="432"/>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0.5</w:t>
            </w:r>
          </w:p>
        </w:tc>
        <w:tc>
          <w:tcPr>
            <w:tcW w:w="1665" w:type="dxa"/>
            <w:vAlign w:val="center"/>
          </w:tcPr>
          <w:p w14:paraId="46E1D270">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continue"/>
            <w:tcBorders>
              <w:right w:val="single" w:color="000000" w:sz="6" w:space="0"/>
            </w:tcBorders>
            <w:vAlign w:val="center"/>
          </w:tcPr>
          <w:p w14:paraId="61F2EC96">
            <w:pPr>
              <w:widowControl/>
              <w:autoSpaceDE w:val="0"/>
              <w:autoSpaceDN w:val="0"/>
              <w:snapToGrid w:val="0"/>
              <w:spacing w:line="240" w:lineRule="atLeast"/>
              <w:textAlignment w:val="baseline"/>
              <w:rPr>
                <w:rFonts w:ascii="新宋体" w:hAnsi="新宋体" w:eastAsia="新宋体" w:cs="新宋体"/>
                <w:color w:val="auto"/>
                <w:spacing w:val="-1"/>
                <w:kern w:val="0"/>
                <w:sz w:val="24"/>
                <w:highlight w:val="none"/>
              </w:rPr>
            </w:pPr>
          </w:p>
        </w:tc>
      </w:tr>
      <w:tr w14:paraId="1BA2C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trPr>
        <w:tc>
          <w:tcPr>
            <w:tcW w:w="721" w:type="dxa"/>
            <w:vMerge w:val="continue"/>
            <w:tcBorders>
              <w:left w:val="single" w:color="000000" w:sz="6" w:space="0"/>
            </w:tcBorders>
            <w:vAlign w:val="center"/>
          </w:tcPr>
          <w:p w14:paraId="00298F09">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44" w:type="dxa"/>
            <w:vMerge w:val="continue"/>
            <w:vAlign w:val="center"/>
          </w:tcPr>
          <w:p w14:paraId="722908EC">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022" w:type="dxa"/>
            <w:vAlign w:val="center"/>
          </w:tcPr>
          <w:p w14:paraId="278FA880">
            <w:pPr>
              <w:widowControl/>
              <w:numPr>
                <w:ilvl w:val="0"/>
                <w:numId w:val="17"/>
              </w:numPr>
              <w:autoSpaceDE w:val="0"/>
              <w:autoSpaceDN w:val="0"/>
              <w:snapToGrid w:val="0"/>
              <w:spacing w:line="240" w:lineRule="atLeast"/>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应选择观赏性强、观赏期长、方便管理的鲜活植物摆 放室内，植株长势良好，无残枝、无黄叶、无积尘，花朵饱满、无萎蔫，托盘内无积水。</w:t>
            </w:r>
          </w:p>
        </w:tc>
        <w:tc>
          <w:tcPr>
            <w:tcW w:w="1110" w:type="dxa"/>
            <w:vAlign w:val="center"/>
          </w:tcPr>
          <w:p w14:paraId="27C8373C">
            <w:pPr>
              <w:widowControl/>
              <w:autoSpaceDE w:val="0"/>
              <w:autoSpaceDN w:val="0"/>
              <w:snapToGrid w:val="0"/>
              <w:spacing w:line="240" w:lineRule="atLeast"/>
              <w:ind w:left="432"/>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0.5</w:t>
            </w:r>
          </w:p>
        </w:tc>
        <w:tc>
          <w:tcPr>
            <w:tcW w:w="1665" w:type="dxa"/>
            <w:vAlign w:val="center"/>
          </w:tcPr>
          <w:p w14:paraId="423D2639">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p w14:paraId="5C12B997">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continue"/>
            <w:tcBorders>
              <w:right w:val="single" w:color="000000" w:sz="6" w:space="0"/>
            </w:tcBorders>
            <w:vAlign w:val="center"/>
          </w:tcPr>
          <w:p w14:paraId="0F18BC70">
            <w:pPr>
              <w:widowControl/>
              <w:autoSpaceDE w:val="0"/>
              <w:autoSpaceDN w:val="0"/>
              <w:snapToGrid w:val="0"/>
              <w:spacing w:line="240" w:lineRule="atLeast"/>
              <w:textAlignment w:val="baseline"/>
              <w:rPr>
                <w:rFonts w:ascii="新宋体" w:hAnsi="新宋体" w:eastAsia="新宋体" w:cs="新宋体"/>
                <w:color w:val="auto"/>
                <w:spacing w:val="-1"/>
                <w:kern w:val="0"/>
                <w:sz w:val="24"/>
                <w:highlight w:val="none"/>
              </w:rPr>
            </w:pPr>
          </w:p>
        </w:tc>
      </w:tr>
      <w:tr w14:paraId="65903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trPr>
        <w:tc>
          <w:tcPr>
            <w:tcW w:w="721" w:type="dxa"/>
            <w:vMerge w:val="continue"/>
            <w:tcBorders>
              <w:left w:val="single" w:color="000000" w:sz="6" w:space="0"/>
            </w:tcBorders>
            <w:vAlign w:val="center"/>
          </w:tcPr>
          <w:p w14:paraId="76C346EA">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44" w:type="dxa"/>
            <w:vMerge w:val="continue"/>
            <w:vAlign w:val="center"/>
          </w:tcPr>
          <w:p w14:paraId="336857C7">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022" w:type="dxa"/>
            <w:vAlign w:val="center"/>
          </w:tcPr>
          <w:p w14:paraId="136C111C">
            <w:pPr>
              <w:widowControl/>
              <w:numPr>
                <w:ilvl w:val="0"/>
                <w:numId w:val="17"/>
              </w:numPr>
              <w:autoSpaceDE w:val="0"/>
              <w:autoSpaceDN w:val="0"/>
              <w:snapToGrid w:val="0"/>
              <w:spacing w:line="240" w:lineRule="atLeast"/>
              <w:textAlignment w:val="baseline"/>
              <w:rPr>
                <w:rFonts w:ascii="新宋体" w:hAnsi="新宋体" w:eastAsia="新宋体" w:cs="新宋体"/>
                <w:color w:val="auto"/>
                <w:spacing w:val="-6"/>
                <w:kern w:val="0"/>
                <w:sz w:val="24"/>
                <w:highlight w:val="none"/>
              </w:rPr>
            </w:pPr>
            <w:r>
              <w:rPr>
                <w:rFonts w:hint="eastAsia" w:ascii="新宋体" w:hAnsi="新宋体" w:eastAsia="新宋体" w:cs="新宋体"/>
                <w:color w:val="auto"/>
                <w:kern w:val="0"/>
                <w:sz w:val="24"/>
                <w:highlight w:val="none"/>
              </w:rPr>
              <w:t>室外乔木丰满健壮、生长良好，灌木枝叶紧密圆整， 无脱节、无枯枝。草坪生长整齐，清洁美观，修剪高度一致，覆盖率高。花卉色彩鲜艳，摆放造型新颖，无杂草、无枯死。</w:t>
            </w:r>
          </w:p>
        </w:tc>
        <w:tc>
          <w:tcPr>
            <w:tcW w:w="1110" w:type="dxa"/>
            <w:vAlign w:val="center"/>
          </w:tcPr>
          <w:p w14:paraId="2BB31F5B">
            <w:pPr>
              <w:widowControl/>
              <w:autoSpaceDE w:val="0"/>
              <w:autoSpaceDN w:val="0"/>
              <w:snapToGrid w:val="0"/>
              <w:spacing w:line="240" w:lineRule="atLeast"/>
              <w:ind w:left="432"/>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0.5</w:t>
            </w:r>
          </w:p>
        </w:tc>
        <w:tc>
          <w:tcPr>
            <w:tcW w:w="1665" w:type="dxa"/>
            <w:vAlign w:val="center"/>
          </w:tcPr>
          <w:p w14:paraId="795A842B">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continue"/>
            <w:tcBorders>
              <w:right w:val="single" w:color="000000" w:sz="6" w:space="0"/>
            </w:tcBorders>
            <w:vAlign w:val="center"/>
          </w:tcPr>
          <w:p w14:paraId="778ADB46">
            <w:pPr>
              <w:widowControl/>
              <w:autoSpaceDE w:val="0"/>
              <w:autoSpaceDN w:val="0"/>
              <w:snapToGrid w:val="0"/>
              <w:spacing w:line="240" w:lineRule="atLeast"/>
              <w:textAlignment w:val="baseline"/>
              <w:rPr>
                <w:rFonts w:ascii="新宋体" w:hAnsi="新宋体" w:eastAsia="新宋体" w:cs="新宋体"/>
                <w:color w:val="auto"/>
                <w:spacing w:val="-1"/>
                <w:kern w:val="0"/>
                <w:sz w:val="24"/>
                <w:highlight w:val="none"/>
              </w:rPr>
            </w:pPr>
          </w:p>
        </w:tc>
      </w:tr>
      <w:tr w14:paraId="51F11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trPr>
        <w:tc>
          <w:tcPr>
            <w:tcW w:w="721" w:type="dxa"/>
            <w:vMerge w:val="continue"/>
            <w:tcBorders>
              <w:left w:val="single" w:color="000000" w:sz="6" w:space="0"/>
            </w:tcBorders>
            <w:vAlign w:val="center"/>
          </w:tcPr>
          <w:p w14:paraId="1AB37800">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44" w:type="dxa"/>
            <w:vMerge w:val="continue"/>
            <w:vAlign w:val="center"/>
          </w:tcPr>
          <w:p w14:paraId="30D2957B">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022" w:type="dxa"/>
            <w:vAlign w:val="center"/>
          </w:tcPr>
          <w:p w14:paraId="44A0E1F9">
            <w:pPr>
              <w:widowControl/>
              <w:numPr>
                <w:ilvl w:val="0"/>
                <w:numId w:val="17"/>
              </w:numPr>
              <w:autoSpaceDE w:val="0"/>
              <w:autoSpaceDN w:val="0"/>
              <w:snapToGrid w:val="0"/>
              <w:spacing w:line="240" w:lineRule="atLeast"/>
              <w:textAlignment w:val="baseline"/>
              <w:rPr>
                <w:rFonts w:ascii="新宋体" w:hAnsi="新宋体" w:eastAsia="新宋体" w:cs="新宋体"/>
                <w:color w:val="auto"/>
                <w:spacing w:val="-6"/>
                <w:kern w:val="0"/>
                <w:sz w:val="24"/>
                <w:highlight w:val="none"/>
              </w:rPr>
            </w:pPr>
            <w:r>
              <w:rPr>
                <w:rFonts w:hint="eastAsia" w:ascii="新宋体" w:hAnsi="新宋体" w:eastAsia="新宋体" w:cs="新宋体"/>
                <w:color w:val="auto"/>
                <w:kern w:val="0"/>
                <w:sz w:val="24"/>
                <w:highlight w:val="none"/>
              </w:rPr>
              <w:t>雨、雪、台风等特殊天气前，应派专人巡查，及时加固、支撑、修剪高大乔木，排除安全隐患。</w:t>
            </w:r>
          </w:p>
        </w:tc>
        <w:tc>
          <w:tcPr>
            <w:tcW w:w="1110" w:type="dxa"/>
            <w:vAlign w:val="center"/>
          </w:tcPr>
          <w:p w14:paraId="1C16A717">
            <w:pPr>
              <w:widowControl/>
              <w:autoSpaceDE w:val="0"/>
              <w:autoSpaceDN w:val="0"/>
              <w:snapToGrid w:val="0"/>
              <w:spacing w:line="240" w:lineRule="atLeast"/>
              <w:ind w:left="432"/>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0.5</w:t>
            </w:r>
          </w:p>
        </w:tc>
        <w:tc>
          <w:tcPr>
            <w:tcW w:w="1665" w:type="dxa"/>
            <w:vAlign w:val="center"/>
          </w:tcPr>
          <w:p w14:paraId="58E2687C">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p w14:paraId="67CB0819">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continue"/>
            <w:tcBorders>
              <w:right w:val="single" w:color="000000" w:sz="6" w:space="0"/>
            </w:tcBorders>
            <w:vAlign w:val="center"/>
          </w:tcPr>
          <w:p w14:paraId="4FDC8DBB">
            <w:pPr>
              <w:widowControl/>
              <w:autoSpaceDE w:val="0"/>
              <w:autoSpaceDN w:val="0"/>
              <w:snapToGrid w:val="0"/>
              <w:spacing w:line="240" w:lineRule="atLeast"/>
              <w:textAlignment w:val="baseline"/>
              <w:rPr>
                <w:rFonts w:ascii="新宋体" w:hAnsi="新宋体" w:eastAsia="新宋体" w:cs="新宋体"/>
                <w:color w:val="auto"/>
                <w:spacing w:val="-1"/>
                <w:kern w:val="0"/>
                <w:sz w:val="24"/>
                <w:highlight w:val="none"/>
              </w:rPr>
            </w:pPr>
          </w:p>
        </w:tc>
      </w:tr>
      <w:tr w14:paraId="5269E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trPr>
        <w:tc>
          <w:tcPr>
            <w:tcW w:w="721" w:type="dxa"/>
            <w:vMerge w:val="continue"/>
            <w:tcBorders>
              <w:left w:val="single" w:color="000000" w:sz="6" w:space="0"/>
            </w:tcBorders>
            <w:vAlign w:val="center"/>
          </w:tcPr>
          <w:p w14:paraId="474464E1">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44" w:type="dxa"/>
            <w:vMerge w:val="continue"/>
            <w:vAlign w:val="center"/>
          </w:tcPr>
          <w:p w14:paraId="222F5195">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022" w:type="dxa"/>
            <w:vAlign w:val="center"/>
          </w:tcPr>
          <w:p w14:paraId="71FE21C9">
            <w:pPr>
              <w:widowControl/>
              <w:numPr>
                <w:ilvl w:val="0"/>
                <w:numId w:val="17"/>
              </w:numPr>
              <w:autoSpaceDE w:val="0"/>
              <w:autoSpaceDN w:val="0"/>
              <w:snapToGrid w:val="0"/>
              <w:spacing w:line="240" w:lineRule="atLeast"/>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定期检查病虫害情况，病虫害防治率100%，危害率低于5%。</w:t>
            </w:r>
          </w:p>
        </w:tc>
        <w:tc>
          <w:tcPr>
            <w:tcW w:w="1110" w:type="dxa"/>
            <w:vAlign w:val="center"/>
          </w:tcPr>
          <w:p w14:paraId="797A0D98">
            <w:pPr>
              <w:widowControl/>
              <w:autoSpaceDE w:val="0"/>
              <w:autoSpaceDN w:val="0"/>
              <w:snapToGrid w:val="0"/>
              <w:spacing w:line="240" w:lineRule="atLeast"/>
              <w:ind w:left="432"/>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0.5</w:t>
            </w:r>
          </w:p>
        </w:tc>
        <w:tc>
          <w:tcPr>
            <w:tcW w:w="1665" w:type="dxa"/>
            <w:vAlign w:val="center"/>
          </w:tcPr>
          <w:p w14:paraId="5A5A09F1">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continue"/>
            <w:tcBorders>
              <w:right w:val="single" w:color="000000" w:sz="6" w:space="0"/>
            </w:tcBorders>
            <w:vAlign w:val="center"/>
          </w:tcPr>
          <w:p w14:paraId="0AFD5FAE">
            <w:pPr>
              <w:widowControl/>
              <w:autoSpaceDE w:val="0"/>
              <w:autoSpaceDN w:val="0"/>
              <w:snapToGrid w:val="0"/>
              <w:spacing w:line="240" w:lineRule="atLeast"/>
              <w:textAlignment w:val="baseline"/>
              <w:rPr>
                <w:rFonts w:ascii="新宋体" w:hAnsi="新宋体" w:eastAsia="新宋体" w:cs="新宋体"/>
                <w:color w:val="auto"/>
                <w:spacing w:val="-1"/>
                <w:kern w:val="0"/>
                <w:sz w:val="24"/>
                <w:highlight w:val="none"/>
              </w:rPr>
            </w:pPr>
          </w:p>
        </w:tc>
      </w:tr>
      <w:tr w14:paraId="7D965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blHeader/>
        </w:trPr>
        <w:tc>
          <w:tcPr>
            <w:tcW w:w="721" w:type="dxa"/>
            <w:vMerge w:val="restart"/>
            <w:tcBorders>
              <w:left w:val="single" w:color="000000" w:sz="6" w:space="0"/>
            </w:tcBorders>
            <w:vAlign w:val="center"/>
          </w:tcPr>
          <w:p w14:paraId="4990111C">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p w14:paraId="33E5113D">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p w14:paraId="03E0BFAE">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6</w:t>
            </w:r>
          </w:p>
          <w:p w14:paraId="28819597">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p w14:paraId="2A2F1B8A">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p w14:paraId="52F4254A">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p w14:paraId="500B8890">
            <w:pPr>
              <w:widowControl/>
              <w:autoSpaceDE w:val="0"/>
              <w:autoSpaceDN w:val="0"/>
              <w:snapToGrid w:val="0"/>
              <w:spacing w:line="240" w:lineRule="atLeast"/>
              <w:ind w:left="302"/>
              <w:jc w:val="center"/>
              <w:textAlignment w:val="baseline"/>
              <w:rPr>
                <w:rFonts w:ascii="新宋体" w:hAnsi="新宋体" w:eastAsia="新宋体" w:cs="新宋体"/>
                <w:color w:val="auto"/>
                <w:kern w:val="0"/>
                <w:sz w:val="24"/>
                <w:highlight w:val="none"/>
              </w:rPr>
            </w:pPr>
          </w:p>
        </w:tc>
        <w:tc>
          <w:tcPr>
            <w:tcW w:w="844" w:type="dxa"/>
            <w:vMerge w:val="restart"/>
            <w:vAlign w:val="center"/>
          </w:tcPr>
          <w:p w14:paraId="68626005">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p w14:paraId="1D574CA6">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p w14:paraId="2054932E">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公共设施工程设备维护</w:t>
            </w:r>
          </w:p>
        </w:tc>
        <w:tc>
          <w:tcPr>
            <w:tcW w:w="8022" w:type="dxa"/>
            <w:vAlign w:val="center"/>
          </w:tcPr>
          <w:p w14:paraId="3E220772">
            <w:pPr>
              <w:widowControl/>
              <w:autoSpaceDE w:val="0"/>
              <w:autoSpaceDN w:val="0"/>
              <w:snapToGrid w:val="0"/>
              <w:spacing w:line="240" w:lineRule="atLeast"/>
              <w:ind w:firstLine="400"/>
              <w:textAlignment w:val="baseline"/>
              <w:rPr>
                <w:rFonts w:ascii="新宋体" w:hAnsi="新宋体" w:eastAsia="新宋体" w:cs="新宋体"/>
                <w:color w:val="auto"/>
                <w:kern w:val="0"/>
                <w:sz w:val="24"/>
                <w:highlight w:val="none"/>
              </w:rPr>
            </w:pPr>
            <w:r>
              <w:rPr>
                <w:rFonts w:ascii="新宋体" w:hAnsi="新宋体" w:eastAsia="新宋体" w:cs="新宋体"/>
                <w:color w:val="auto"/>
                <w:kern w:val="0"/>
                <w:sz w:val="24"/>
                <w:highlight w:val="none"/>
              </w:rPr>
              <w:t>1．</w:t>
            </w:r>
            <w:r>
              <w:rPr>
                <w:rFonts w:hint="eastAsia" w:ascii="新宋体" w:hAnsi="新宋体" w:eastAsia="新宋体" w:cs="新宋体"/>
                <w:color w:val="auto"/>
                <w:kern w:val="0"/>
                <w:sz w:val="24"/>
                <w:highlight w:val="none"/>
              </w:rPr>
              <w:t>房屋地面、墙、台面、吊顶、门窗、楼梯、通风道、卫生洁具、大厅玻璃顶、外墙幕墙等完好，无霉变破损。</w:t>
            </w:r>
          </w:p>
        </w:tc>
        <w:tc>
          <w:tcPr>
            <w:tcW w:w="1110" w:type="dxa"/>
            <w:vAlign w:val="center"/>
          </w:tcPr>
          <w:p w14:paraId="6477CE40">
            <w:pPr>
              <w:widowControl/>
              <w:autoSpaceDE w:val="0"/>
              <w:autoSpaceDN w:val="0"/>
              <w:snapToGrid w:val="0"/>
              <w:spacing w:line="240" w:lineRule="atLeast"/>
              <w:ind w:left="432"/>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2</w:t>
            </w:r>
          </w:p>
        </w:tc>
        <w:tc>
          <w:tcPr>
            <w:tcW w:w="1665" w:type="dxa"/>
            <w:vAlign w:val="center"/>
          </w:tcPr>
          <w:p w14:paraId="498A5AE8">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restart"/>
            <w:tcBorders>
              <w:right w:val="single" w:color="000000" w:sz="6" w:space="0"/>
            </w:tcBorders>
            <w:vAlign w:val="center"/>
          </w:tcPr>
          <w:p w14:paraId="4A2BAA7B">
            <w:pPr>
              <w:widowControl/>
              <w:autoSpaceDE w:val="0"/>
              <w:autoSpaceDN w:val="0"/>
              <w:snapToGrid w:val="0"/>
              <w:spacing w:line="240" w:lineRule="atLeast"/>
              <w:textAlignment w:val="baseline"/>
              <w:rPr>
                <w:rFonts w:ascii="新宋体" w:hAnsi="新宋体" w:eastAsia="新宋体" w:cs="新宋体"/>
                <w:color w:val="auto"/>
                <w:spacing w:val="-1"/>
                <w:kern w:val="0"/>
                <w:sz w:val="24"/>
                <w:highlight w:val="none"/>
              </w:rPr>
            </w:pPr>
          </w:p>
          <w:p w14:paraId="6189ED5A">
            <w:pPr>
              <w:widowControl/>
              <w:autoSpaceDE w:val="0"/>
              <w:autoSpaceDN w:val="0"/>
              <w:snapToGrid w:val="0"/>
              <w:spacing w:line="240" w:lineRule="atLeast"/>
              <w:textAlignment w:val="baseline"/>
              <w:rPr>
                <w:rFonts w:ascii="新宋体" w:hAnsi="新宋体" w:eastAsia="新宋体" w:cs="新宋体"/>
                <w:color w:val="auto"/>
                <w:spacing w:val="-1"/>
                <w:kern w:val="0"/>
                <w:sz w:val="24"/>
                <w:highlight w:val="none"/>
              </w:rPr>
            </w:pPr>
            <w:r>
              <w:rPr>
                <w:rFonts w:hint="eastAsia" w:ascii="新宋体" w:hAnsi="新宋体" w:eastAsia="新宋体" w:cs="新宋体"/>
                <w:color w:val="auto"/>
                <w:spacing w:val="-1"/>
                <w:kern w:val="0"/>
                <w:sz w:val="24"/>
                <w:highlight w:val="none"/>
              </w:rPr>
              <w:t>未按要求发现一处扣2分</w:t>
            </w:r>
          </w:p>
        </w:tc>
      </w:tr>
      <w:tr w14:paraId="39D1C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blHeader/>
        </w:trPr>
        <w:tc>
          <w:tcPr>
            <w:tcW w:w="721" w:type="dxa"/>
            <w:vMerge w:val="continue"/>
            <w:tcBorders>
              <w:left w:val="single" w:color="000000" w:sz="6" w:space="0"/>
            </w:tcBorders>
            <w:vAlign w:val="center"/>
          </w:tcPr>
          <w:p w14:paraId="76A6D295">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44" w:type="dxa"/>
            <w:vMerge w:val="continue"/>
            <w:vAlign w:val="center"/>
          </w:tcPr>
          <w:p w14:paraId="7E561C6E">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022" w:type="dxa"/>
            <w:vAlign w:val="center"/>
          </w:tcPr>
          <w:p w14:paraId="23721939">
            <w:pPr>
              <w:widowControl/>
              <w:autoSpaceDE w:val="0"/>
              <w:autoSpaceDN w:val="0"/>
              <w:snapToGrid w:val="0"/>
              <w:spacing w:line="240" w:lineRule="atLeast"/>
              <w:ind w:firstLine="400"/>
              <w:textAlignment w:val="baseline"/>
              <w:rPr>
                <w:rFonts w:ascii="新宋体" w:hAnsi="新宋体" w:eastAsia="新宋体" w:cs="新宋体"/>
                <w:color w:val="auto"/>
                <w:kern w:val="0"/>
                <w:sz w:val="24"/>
                <w:highlight w:val="none"/>
              </w:rPr>
            </w:pPr>
            <w:r>
              <w:rPr>
                <w:rFonts w:ascii="新宋体" w:hAnsi="新宋体" w:eastAsia="新宋体" w:cs="新宋体"/>
                <w:color w:val="auto"/>
                <w:kern w:val="0"/>
                <w:sz w:val="24"/>
                <w:highlight w:val="none"/>
              </w:rPr>
              <w:t>2．</w:t>
            </w:r>
            <w:r>
              <w:rPr>
                <w:rFonts w:hint="eastAsia" w:ascii="新宋体" w:hAnsi="新宋体" w:eastAsia="新宋体" w:cs="新宋体"/>
                <w:color w:val="auto"/>
                <w:kern w:val="0"/>
                <w:sz w:val="24"/>
                <w:highlight w:val="none"/>
              </w:rPr>
              <w:t>至少每2小时巡视一次高配房设备运行情况，如实记录设备运行参数。定期对各类机房设备设施进行检查、维护、清洁，并做好记录。</w:t>
            </w:r>
          </w:p>
        </w:tc>
        <w:tc>
          <w:tcPr>
            <w:tcW w:w="1110" w:type="dxa"/>
            <w:vAlign w:val="center"/>
          </w:tcPr>
          <w:p w14:paraId="516BEB63">
            <w:pPr>
              <w:widowControl/>
              <w:autoSpaceDE w:val="0"/>
              <w:autoSpaceDN w:val="0"/>
              <w:snapToGrid w:val="0"/>
              <w:spacing w:line="240" w:lineRule="atLeast"/>
              <w:ind w:left="432"/>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2</w:t>
            </w:r>
          </w:p>
        </w:tc>
        <w:tc>
          <w:tcPr>
            <w:tcW w:w="1665" w:type="dxa"/>
            <w:vAlign w:val="center"/>
          </w:tcPr>
          <w:p w14:paraId="240C8159">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continue"/>
            <w:tcBorders>
              <w:right w:val="single" w:color="000000" w:sz="6" w:space="0"/>
            </w:tcBorders>
            <w:vAlign w:val="center"/>
          </w:tcPr>
          <w:p w14:paraId="6CEF69EA">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r>
      <w:tr w14:paraId="0B597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blHeader/>
        </w:trPr>
        <w:tc>
          <w:tcPr>
            <w:tcW w:w="721" w:type="dxa"/>
            <w:vMerge w:val="continue"/>
            <w:tcBorders>
              <w:left w:val="single" w:color="000000" w:sz="6" w:space="0"/>
            </w:tcBorders>
            <w:vAlign w:val="center"/>
          </w:tcPr>
          <w:p w14:paraId="7F362F02">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44" w:type="dxa"/>
            <w:vMerge w:val="continue"/>
            <w:vAlign w:val="center"/>
          </w:tcPr>
          <w:p w14:paraId="6B1CC663">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022" w:type="dxa"/>
            <w:vAlign w:val="center"/>
          </w:tcPr>
          <w:p w14:paraId="7B958F83">
            <w:pPr>
              <w:widowControl/>
              <w:autoSpaceDE w:val="0"/>
              <w:autoSpaceDN w:val="0"/>
              <w:snapToGrid w:val="0"/>
              <w:spacing w:line="240" w:lineRule="atLeast"/>
              <w:ind w:firstLine="400"/>
              <w:textAlignment w:val="baseline"/>
              <w:rPr>
                <w:rFonts w:ascii="新宋体" w:hAnsi="新宋体" w:eastAsia="新宋体" w:cs="新宋体"/>
                <w:color w:val="auto"/>
                <w:kern w:val="0"/>
                <w:sz w:val="24"/>
                <w:highlight w:val="none"/>
              </w:rPr>
            </w:pPr>
            <w:r>
              <w:rPr>
                <w:rFonts w:ascii="新宋体" w:hAnsi="新宋体" w:eastAsia="新宋体" w:cs="新宋体"/>
                <w:color w:val="auto"/>
                <w:kern w:val="0"/>
                <w:sz w:val="24"/>
                <w:highlight w:val="none"/>
              </w:rPr>
              <w:t>3．</w:t>
            </w:r>
            <w:r>
              <w:rPr>
                <w:rFonts w:hint="eastAsia" w:ascii="新宋体" w:hAnsi="新宋体" w:eastAsia="新宋体" w:cs="新宋体"/>
                <w:color w:val="auto"/>
                <w:kern w:val="0"/>
                <w:sz w:val="24"/>
                <w:highlight w:val="none"/>
              </w:rPr>
              <w:t>确保各类照明灯具、应急照明系统、供用电设备设施（包括配电箱、桥架、井道、开关、插座等）运行正常。</w:t>
            </w:r>
            <w:r>
              <w:rPr>
                <w:rFonts w:hint="eastAsia" w:ascii="新宋体" w:hAnsi="新宋体" w:eastAsia="新宋体" w:cs="新宋体"/>
                <w:color w:val="auto"/>
                <w:kern w:val="0"/>
                <w:sz w:val="24"/>
                <w:highlight w:val="none"/>
                <w:lang w:val="zh-CN"/>
              </w:rPr>
              <w:t>及时修复损坏的开关、灯口、灯泡。每季度对强电井内线路进出端查看紧固。</w:t>
            </w:r>
          </w:p>
        </w:tc>
        <w:tc>
          <w:tcPr>
            <w:tcW w:w="1110" w:type="dxa"/>
            <w:vAlign w:val="center"/>
          </w:tcPr>
          <w:p w14:paraId="09C8CEBE">
            <w:pPr>
              <w:widowControl/>
              <w:autoSpaceDE w:val="0"/>
              <w:autoSpaceDN w:val="0"/>
              <w:snapToGrid w:val="0"/>
              <w:spacing w:line="240" w:lineRule="atLeast"/>
              <w:ind w:left="432"/>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3</w:t>
            </w:r>
          </w:p>
        </w:tc>
        <w:tc>
          <w:tcPr>
            <w:tcW w:w="1665" w:type="dxa"/>
            <w:vAlign w:val="center"/>
          </w:tcPr>
          <w:p w14:paraId="7317B6C2">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continue"/>
            <w:tcBorders>
              <w:right w:val="single" w:color="000000" w:sz="6" w:space="0"/>
            </w:tcBorders>
            <w:vAlign w:val="center"/>
          </w:tcPr>
          <w:p w14:paraId="763598E2">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r>
      <w:tr w14:paraId="5A67C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1" w:hRule="atLeast"/>
          <w:tblHeader/>
        </w:trPr>
        <w:tc>
          <w:tcPr>
            <w:tcW w:w="721" w:type="dxa"/>
            <w:vMerge w:val="continue"/>
            <w:tcBorders>
              <w:left w:val="single" w:color="000000" w:sz="6" w:space="0"/>
            </w:tcBorders>
            <w:vAlign w:val="center"/>
          </w:tcPr>
          <w:p w14:paraId="101E93B2">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44" w:type="dxa"/>
            <w:vMerge w:val="continue"/>
            <w:vAlign w:val="center"/>
          </w:tcPr>
          <w:p w14:paraId="16A1F4CC">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022" w:type="dxa"/>
            <w:vAlign w:val="center"/>
          </w:tcPr>
          <w:p w14:paraId="624990A4">
            <w:pPr>
              <w:widowControl/>
              <w:autoSpaceDE w:val="0"/>
              <w:autoSpaceDN w:val="0"/>
              <w:snapToGrid w:val="0"/>
              <w:spacing w:line="240" w:lineRule="atLeast"/>
              <w:ind w:firstLine="400"/>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4</w:t>
            </w:r>
            <w:r>
              <w:rPr>
                <w:rFonts w:ascii="新宋体" w:hAnsi="新宋体" w:eastAsia="新宋体" w:cs="新宋体"/>
                <w:color w:val="auto"/>
                <w:kern w:val="0"/>
                <w:sz w:val="24"/>
                <w:highlight w:val="none"/>
              </w:rPr>
              <w:t>．</w:t>
            </w:r>
            <w:r>
              <w:rPr>
                <w:rFonts w:hint="eastAsia" w:ascii="新宋体" w:hAnsi="新宋体" w:eastAsia="新宋体" w:cs="新宋体"/>
                <w:color w:val="auto"/>
                <w:kern w:val="0"/>
                <w:sz w:val="24"/>
                <w:highlight w:val="none"/>
              </w:rPr>
              <w:t>每日检查污水泵、排水泵、生活水泵、阀门、管道、仪表等，确保给排水系统正常运行，无“跑”“冒”“滴”“漏”现象。1、每月巡查1次，及时修复损坏的水龙头、水阀等，日常医疗污水泵房的管理工作（包括消毒药日常投放，污水含氯浓度日常检测及每月送检）。</w:t>
            </w:r>
          </w:p>
        </w:tc>
        <w:tc>
          <w:tcPr>
            <w:tcW w:w="1110" w:type="dxa"/>
            <w:vAlign w:val="center"/>
          </w:tcPr>
          <w:p w14:paraId="6B460396">
            <w:pPr>
              <w:widowControl/>
              <w:autoSpaceDE w:val="0"/>
              <w:autoSpaceDN w:val="0"/>
              <w:snapToGrid w:val="0"/>
              <w:spacing w:line="240" w:lineRule="atLeast"/>
              <w:ind w:left="432"/>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2</w:t>
            </w:r>
          </w:p>
        </w:tc>
        <w:tc>
          <w:tcPr>
            <w:tcW w:w="1665" w:type="dxa"/>
            <w:vAlign w:val="center"/>
          </w:tcPr>
          <w:p w14:paraId="058DBE23">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continue"/>
            <w:tcBorders>
              <w:right w:val="single" w:color="000000" w:sz="6" w:space="0"/>
            </w:tcBorders>
            <w:vAlign w:val="center"/>
          </w:tcPr>
          <w:p w14:paraId="2DEE0684">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r>
      <w:tr w14:paraId="2312D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8" w:hRule="atLeast"/>
          <w:tblHeader/>
        </w:trPr>
        <w:tc>
          <w:tcPr>
            <w:tcW w:w="721" w:type="dxa"/>
            <w:vMerge w:val="continue"/>
            <w:tcBorders>
              <w:left w:val="single" w:color="000000" w:sz="6" w:space="0"/>
            </w:tcBorders>
            <w:vAlign w:val="center"/>
          </w:tcPr>
          <w:p w14:paraId="4DF7FE3B">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44" w:type="dxa"/>
            <w:vMerge w:val="continue"/>
            <w:vAlign w:val="center"/>
          </w:tcPr>
          <w:p w14:paraId="79935CBE">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022" w:type="dxa"/>
            <w:vAlign w:val="center"/>
          </w:tcPr>
          <w:p w14:paraId="686A141A">
            <w:pPr>
              <w:widowControl/>
              <w:autoSpaceDE w:val="0"/>
              <w:autoSpaceDN w:val="0"/>
              <w:snapToGrid w:val="0"/>
              <w:spacing w:line="240" w:lineRule="atLeast"/>
              <w:ind w:firstLine="400"/>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5.电梯应由专业资质维保单位至少每15日进行一次清洁、润滑、调整和检查，建立每台电梯的台账档案，日常维护和 应急维修应及时记录。每年经有资质的检测机构检验合格，在《安全使用许可证》有效期内安全运行。</w:t>
            </w:r>
            <w:r>
              <w:rPr>
                <w:rFonts w:hint="eastAsia" w:ascii="新宋体" w:hAnsi="新宋体" w:eastAsia="新宋体" w:cs="新宋体"/>
                <w:color w:val="auto"/>
                <w:kern w:val="0"/>
                <w:sz w:val="24"/>
                <w:highlight w:val="none"/>
                <w:lang w:val="zh-CN"/>
              </w:rPr>
              <w:t>发生突发性电梯故障，及时与维保单位沟通，第一时间处理故障</w:t>
            </w:r>
          </w:p>
        </w:tc>
        <w:tc>
          <w:tcPr>
            <w:tcW w:w="1110" w:type="dxa"/>
            <w:vAlign w:val="center"/>
          </w:tcPr>
          <w:p w14:paraId="3E31C294">
            <w:pPr>
              <w:widowControl/>
              <w:autoSpaceDE w:val="0"/>
              <w:autoSpaceDN w:val="0"/>
              <w:snapToGrid w:val="0"/>
              <w:spacing w:line="240" w:lineRule="atLeast"/>
              <w:ind w:left="432"/>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2</w:t>
            </w:r>
          </w:p>
        </w:tc>
        <w:tc>
          <w:tcPr>
            <w:tcW w:w="1665" w:type="dxa"/>
            <w:vAlign w:val="center"/>
          </w:tcPr>
          <w:p w14:paraId="4A1DE050">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continue"/>
            <w:tcBorders>
              <w:right w:val="single" w:color="000000" w:sz="6" w:space="0"/>
            </w:tcBorders>
            <w:vAlign w:val="center"/>
          </w:tcPr>
          <w:p w14:paraId="6574AF43">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r>
      <w:tr w14:paraId="640D4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blHeader/>
        </w:trPr>
        <w:tc>
          <w:tcPr>
            <w:tcW w:w="721" w:type="dxa"/>
            <w:vMerge w:val="continue"/>
            <w:tcBorders>
              <w:left w:val="single" w:color="000000" w:sz="6" w:space="0"/>
            </w:tcBorders>
            <w:vAlign w:val="center"/>
          </w:tcPr>
          <w:p w14:paraId="493B242C">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44" w:type="dxa"/>
            <w:vMerge w:val="continue"/>
            <w:vAlign w:val="center"/>
          </w:tcPr>
          <w:p w14:paraId="64F75FD9">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022" w:type="dxa"/>
            <w:vAlign w:val="center"/>
          </w:tcPr>
          <w:p w14:paraId="612C1F27">
            <w:pPr>
              <w:widowControl/>
              <w:autoSpaceDE w:val="0"/>
              <w:autoSpaceDN w:val="0"/>
              <w:snapToGrid w:val="0"/>
              <w:spacing w:line="240" w:lineRule="atLeast"/>
              <w:ind w:firstLine="400"/>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6</w:t>
            </w:r>
            <w:r>
              <w:rPr>
                <w:rFonts w:ascii="新宋体" w:hAnsi="新宋体" w:eastAsia="新宋体" w:cs="新宋体"/>
                <w:color w:val="auto"/>
                <w:kern w:val="0"/>
                <w:sz w:val="24"/>
                <w:highlight w:val="none"/>
              </w:rPr>
              <w:t>．</w:t>
            </w:r>
            <w:r>
              <w:rPr>
                <w:rFonts w:hint="eastAsia" w:ascii="新宋体" w:hAnsi="新宋体" w:eastAsia="新宋体" w:cs="新宋体"/>
                <w:color w:val="auto"/>
                <w:kern w:val="0"/>
                <w:sz w:val="24"/>
                <w:highlight w:val="none"/>
              </w:rPr>
              <w:t>应配置持有特种设备作业人员证的电梯安全管理人员，对电梯保养、运行进行监督管理。</w:t>
            </w:r>
          </w:p>
        </w:tc>
        <w:tc>
          <w:tcPr>
            <w:tcW w:w="1110" w:type="dxa"/>
            <w:vAlign w:val="center"/>
          </w:tcPr>
          <w:p w14:paraId="4658C691">
            <w:pPr>
              <w:widowControl/>
              <w:autoSpaceDE w:val="0"/>
              <w:autoSpaceDN w:val="0"/>
              <w:snapToGrid w:val="0"/>
              <w:spacing w:line="240" w:lineRule="atLeast"/>
              <w:ind w:left="432"/>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2</w:t>
            </w:r>
          </w:p>
        </w:tc>
        <w:tc>
          <w:tcPr>
            <w:tcW w:w="1665" w:type="dxa"/>
            <w:vAlign w:val="center"/>
          </w:tcPr>
          <w:p w14:paraId="55402BEE">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continue"/>
            <w:tcBorders>
              <w:right w:val="single" w:color="000000" w:sz="6" w:space="0"/>
            </w:tcBorders>
            <w:vAlign w:val="center"/>
          </w:tcPr>
          <w:p w14:paraId="77CBA68B">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r>
      <w:tr w14:paraId="3BE56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blHeader/>
        </w:trPr>
        <w:tc>
          <w:tcPr>
            <w:tcW w:w="721" w:type="dxa"/>
            <w:vMerge w:val="continue"/>
            <w:tcBorders>
              <w:left w:val="single" w:color="000000" w:sz="6" w:space="0"/>
            </w:tcBorders>
            <w:vAlign w:val="center"/>
          </w:tcPr>
          <w:p w14:paraId="65BA698A">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44" w:type="dxa"/>
            <w:vMerge w:val="continue"/>
            <w:vAlign w:val="center"/>
          </w:tcPr>
          <w:p w14:paraId="4BBC41AE">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022" w:type="dxa"/>
            <w:vAlign w:val="center"/>
          </w:tcPr>
          <w:p w14:paraId="095EEA93">
            <w:pPr>
              <w:widowControl/>
              <w:autoSpaceDE w:val="0"/>
              <w:autoSpaceDN w:val="0"/>
              <w:snapToGrid w:val="0"/>
              <w:spacing w:line="240" w:lineRule="atLeast"/>
              <w:ind w:firstLine="400"/>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7.</w:t>
            </w:r>
            <w:r>
              <w:rPr>
                <w:rFonts w:hint="eastAsia" w:ascii="新宋体" w:hAnsi="新宋体" w:eastAsia="新宋体" w:cs="新宋体"/>
                <w:color w:val="auto"/>
                <w:sz w:val="24"/>
                <w:highlight w:val="none"/>
                <w:lang w:val="zh-CN"/>
              </w:rPr>
              <w:t>中央空调、等离子空气消毒器清洗每年2次，包括滤网清洗，并做好清洗、更换记录台账。</w:t>
            </w:r>
          </w:p>
        </w:tc>
        <w:tc>
          <w:tcPr>
            <w:tcW w:w="1110" w:type="dxa"/>
            <w:vAlign w:val="center"/>
          </w:tcPr>
          <w:p w14:paraId="0416E897">
            <w:pPr>
              <w:widowControl/>
              <w:autoSpaceDE w:val="0"/>
              <w:autoSpaceDN w:val="0"/>
              <w:snapToGrid w:val="0"/>
              <w:spacing w:line="240" w:lineRule="atLeast"/>
              <w:ind w:left="432"/>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2</w:t>
            </w:r>
          </w:p>
        </w:tc>
        <w:tc>
          <w:tcPr>
            <w:tcW w:w="1665" w:type="dxa"/>
            <w:vAlign w:val="center"/>
          </w:tcPr>
          <w:p w14:paraId="6AEB9A98">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continue"/>
            <w:tcBorders>
              <w:right w:val="single" w:color="000000" w:sz="6" w:space="0"/>
            </w:tcBorders>
            <w:vAlign w:val="center"/>
          </w:tcPr>
          <w:p w14:paraId="3FE8B3CA">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r>
      <w:tr w14:paraId="29343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blHeader/>
        </w:trPr>
        <w:tc>
          <w:tcPr>
            <w:tcW w:w="721" w:type="dxa"/>
            <w:vMerge w:val="continue"/>
            <w:tcBorders>
              <w:left w:val="single" w:color="000000" w:sz="6" w:space="0"/>
            </w:tcBorders>
            <w:vAlign w:val="center"/>
          </w:tcPr>
          <w:p w14:paraId="09694166">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44" w:type="dxa"/>
            <w:vMerge w:val="continue"/>
            <w:vAlign w:val="center"/>
          </w:tcPr>
          <w:p w14:paraId="25E6829B">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022" w:type="dxa"/>
            <w:vAlign w:val="center"/>
          </w:tcPr>
          <w:p w14:paraId="071BC59F">
            <w:pPr>
              <w:widowControl/>
              <w:autoSpaceDE w:val="0"/>
              <w:autoSpaceDN w:val="0"/>
              <w:snapToGrid w:val="0"/>
              <w:spacing w:line="240" w:lineRule="atLeast"/>
              <w:ind w:firstLine="400"/>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8</w:t>
            </w:r>
            <w:r>
              <w:rPr>
                <w:rFonts w:ascii="新宋体" w:hAnsi="新宋体" w:eastAsia="新宋体" w:cs="新宋体"/>
                <w:color w:val="auto"/>
                <w:kern w:val="0"/>
                <w:sz w:val="24"/>
                <w:highlight w:val="none"/>
              </w:rPr>
              <w:t>．</w:t>
            </w:r>
            <w:r>
              <w:rPr>
                <w:rFonts w:hint="eastAsia" w:ascii="新宋体" w:hAnsi="新宋体" w:eastAsia="新宋体" w:cs="新宋体"/>
                <w:color w:val="auto"/>
                <w:kern w:val="0"/>
                <w:sz w:val="24"/>
                <w:highlight w:val="none"/>
              </w:rPr>
              <w:t>定期对空调通风系统进行检查、维护、清洁，测试运 行控制和安全控制功能，记录运行参数，分析运行记录，确保空调系统正常运行。每年冬夏两次对空调通风系统进行全面的维护保养。</w:t>
            </w:r>
          </w:p>
        </w:tc>
        <w:tc>
          <w:tcPr>
            <w:tcW w:w="1110" w:type="dxa"/>
            <w:vAlign w:val="center"/>
          </w:tcPr>
          <w:p w14:paraId="74B37F78">
            <w:pPr>
              <w:widowControl/>
              <w:autoSpaceDE w:val="0"/>
              <w:autoSpaceDN w:val="0"/>
              <w:snapToGrid w:val="0"/>
              <w:spacing w:line="240" w:lineRule="atLeast"/>
              <w:ind w:left="432"/>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2</w:t>
            </w:r>
          </w:p>
        </w:tc>
        <w:tc>
          <w:tcPr>
            <w:tcW w:w="1665" w:type="dxa"/>
            <w:vAlign w:val="center"/>
          </w:tcPr>
          <w:p w14:paraId="5ED98B6E">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continue"/>
            <w:tcBorders>
              <w:right w:val="single" w:color="000000" w:sz="6" w:space="0"/>
            </w:tcBorders>
            <w:vAlign w:val="center"/>
          </w:tcPr>
          <w:p w14:paraId="7611A3CD">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r>
      <w:tr w14:paraId="5E168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721" w:type="dxa"/>
            <w:vMerge w:val="continue"/>
            <w:tcBorders>
              <w:left w:val="single" w:color="000000" w:sz="6" w:space="0"/>
            </w:tcBorders>
            <w:vAlign w:val="center"/>
          </w:tcPr>
          <w:p w14:paraId="275E2C8E">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44" w:type="dxa"/>
            <w:vMerge w:val="continue"/>
            <w:vAlign w:val="center"/>
          </w:tcPr>
          <w:p w14:paraId="4A0CC299">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022" w:type="dxa"/>
            <w:vAlign w:val="center"/>
          </w:tcPr>
          <w:p w14:paraId="62ED4789">
            <w:pPr>
              <w:widowControl/>
              <w:autoSpaceDE w:val="0"/>
              <w:autoSpaceDN w:val="0"/>
              <w:snapToGrid w:val="0"/>
              <w:spacing w:line="240" w:lineRule="atLeast"/>
              <w:ind w:firstLine="400"/>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9</w:t>
            </w:r>
            <w:r>
              <w:rPr>
                <w:rFonts w:ascii="新宋体" w:hAnsi="新宋体" w:eastAsia="新宋体" w:cs="新宋体"/>
                <w:color w:val="auto"/>
                <w:kern w:val="0"/>
                <w:sz w:val="24"/>
                <w:highlight w:val="none"/>
              </w:rPr>
              <w:t>．</w:t>
            </w:r>
            <w:r>
              <w:rPr>
                <w:rFonts w:hint="eastAsia" w:ascii="新宋体" w:hAnsi="新宋体" w:eastAsia="新宋体" w:cs="新宋体"/>
                <w:color w:val="auto"/>
                <w:kern w:val="0"/>
                <w:sz w:val="24"/>
                <w:highlight w:val="none"/>
              </w:rPr>
              <w:t>确保办公楼（区）零星维修的及时性，一般修理在两小时内处理完毕，小修在半个工作日内处理完毕，其他大修项目自受理之日起3个工作日内处理完毕，确保零星维修合格率达到100%。工程维修人员必须持有效期内相应证件上岗。</w:t>
            </w:r>
          </w:p>
        </w:tc>
        <w:tc>
          <w:tcPr>
            <w:tcW w:w="1110" w:type="dxa"/>
            <w:vAlign w:val="center"/>
          </w:tcPr>
          <w:p w14:paraId="7143B74A">
            <w:pPr>
              <w:widowControl/>
              <w:autoSpaceDE w:val="0"/>
              <w:autoSpaceDN w:val="0"/>
              <w:snapToGrid w:val="0"/>
              <w:spacing w:line="240" w:lineRule="atLeast"/>
              <w:ind w:left="432"/>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2</w:t>
            </w:r>
          </w:p>
        </w:tc>
        <w:tc>
          <w:tcPr>
            <w:tcW w:w="1665" w:type="dxa"/>
            <w:vAlign w:val="center"/>
          </w:tcPr>
          <w:p w14:paraId="443BA8AC">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continue"/>
            <w:tcBorders>
              <w:right w:val="single" w:color="000000" w:sz="6" w:space="0"/>
            </w:tcBorders>
            <w:vAlign w:val="center"/>
          </w:tcPr>
          <w:p w14:paraId="70A5AA53">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r>
      <w:tr w14:paraId="772A5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721" w:type="dxa"/>
            <w:tcBorders>
              <w:left w:val="single" w:color="000000" w:sz="6" w:space="0"/>
            </w:tcBorders>
            <w:vAlign w:val="center"/>
          </w:tcPr>
          <w:p w14:paraId="52764070">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7</w:t>
            </w:r>
          </w:p>
        </w:tc>
        <w:tc>
          <w:tcPr>
            <w:tcW w:w="844" w:type="dxa"/>
            <w:vAlign w:val="center"/>
          </w:tcPr>
          <w:p w14:paraId="4FE25E79">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会务</w:t>
            </w:r>
          </w:p>
          <w:p w14:paraId="20B608EE">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服务</w:t>
            </w:r>
          </w:p>
        </w:tc>
        <w:tc>
          <w:tcPr>
            <w:tcW w:w="8022" w:type="dxa"/>
            <w:vAlign w:val="center"/>
          </w:tcPr>
          <w:p w14:paraId="2521C292">
            <w:pPr>
              <w:widowControl/>
              <w:numPr>
                <w:ilvl w:val="0"/>
                <w:numId w:val="18"/>
              </w:numPr>
              <w:autoSpaceDE w:val="0"/>
              <w:autoSpaceDN w:val="0"/>
              <w:snapToGrid w:val="0"/>
              <w:spacing w:line="360" w:lineRule="auto"/>
              <w:jc w:val="left"/>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根据会议安排及采购人要求，确定台形，做好会议物品摆放、设备调试、会议资料发放等会前服务准备工作。</w:t>
            </w:r>
          </w:p>
          <w:p w14:paraId="03EACA17">
            <w:pPr>
              <w:widowControl/>
              <w:numPr>
                <w:ilvl w:val="0"/>
                <w:numId w:val="18"/>
              </w:numPr>
              <w:autoSpaceDE w:val="0"/>
              <w:autoSpaceDN w:val="0"/>
              <w:snapToGrid w:val="0"/>
              <w:spacing w:line="360" w:lineRule="auto"/>
              <w:jc w:val="left"/>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会议期间定时倒水，根据需要为与会人员提供服务，会议设备如出现问题及时协调处理。</w:t>
            </w:r>
          </w:p>
          <w:p w14:paraId="284C6F0C">
            <w:pPr>
              <w:widowControl/>
              <w:numPr>
                <w:ilvl w:val="0"/>
                <w:numId w:val="18"/>
              </w:numPr>
              <w:autoSpaceDE w:val="0"/>
              <w:autoSpaceDN w:val="0"/>
              <w:snapToGrid w:val="0"/>
              <w:spacing w:line="360" w:lineRule="auto"/>
              <w:jc w:val="left"/>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会议结束后做好会议物品整理，茶具清洗、消毒，会议场地清扫，设施设备清点、检查、记录等会后服务。</w:t>
            </w:r>
          </w:p>
          <w:p w14:paraId="28ABD742">
            <w:pPr>
              <w:widowControl/>
              <w:numPr>
                <w:ilvl w:val="0"/>
                <w:numId w:val="18"/>
              </w:numPr>
              <w:autoSpaceDE w:val="0"/>
              <w:autoSpaceDN w:val="0"/>
              <w:snapToGrid w:val="0"/>
              <w:spacing w:line="240" w:lineRule="atLeast"/>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对会议服务期间接触的会议信息、会议资料应严格保密。</w:t>
            </w:r>
          </w:p>
        </w:tc>
        <w:tc>
          <w:tcPr>
            <w:tcW w:w="1110" w:type="dxa"/>
            <w:vAlign w:val="center"/>
          </w:tcPr>
          <w:p w14:paraId="58B47312">
            <w:pPr>
              <w:widowControl/>
              <w:autoSpaceDE w:val="0"/>
              <w:autoSpaceDN w:val="0"/>
              <w:snapToGrid w:val="0"/>
              <w:spacing w:line="240" w:lineRule="atLeast"/>
              <w:ind w:left="432"/>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4</w:t>
            </w:r>
          </w:p>
        </w:tc>
        <w:tc>
          <w:tcPr>
            <w:tcW w:w="1665" w:type="dxa"/>
            <w:vAlign w:val="center"/>
          </w:tcPr>
          <w:p w14:paraId="79E06CFA">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tcBorders>
              <w:right w:val="single" w:color="000000" w:sz="6" w:space="0"/>
            </w:tcBorders>
            <w:vAlign w:val="center"/>
          </w:tcPr>
          <w:p w14:paraId="37E0254B">
            <w:pPr>
              <w:widowControl/>
              <w:autoSpaceDE w:val="0"/>
              <w:autoSpaceDN w:val="0"/>
              <w:snapToGrid w:val="0"/>
              <w:spacing w:line="240" w:lineRule="atLeast"/>
              <w:textAlignment w:val="baseline"/>
              <w:rPr>
                <w:rFonts w:ascii="新宋体" w:hAnsi="新宋体" w:eastAsia="新宋体" w:cs="新宋体"/>
                <w:color w:val="auto"/>
                <w:spacing w:val="-1"/>
                <w:kern w:val="0"/>
                <w:sz w:val="24"/>
                <w:highlight w:val="none"/>
              </w:rPr>
            </w:pPr>
            <w:r>
              <w:rPr>
                <w:rFonts w:hint="eastAsia" w:ascii="新宋体" w:hAnsi="新宋体" w:eastAsia="新宋体" w:cs="新宋体"/>
                <w:color w:val="auto"/>
                <w:spacing w:val="-1"/>
                <w:kern w:val="0"/>
                <w:sz w:val="24"/>
                <w:highlight w:val="none"/>
              </w:rPr>
              <w:t>未按要求发现一处扣1分</w:t>
            </w:r>
          </w:p>
        </w:tc>
      </w:tr>
      <w:tr w14:paraId="1FF23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721" w:type="dxa"/>
            <w:tcBorders>
              <w:left w:val="single" w:color="000000" w:sz="6" w:space="0"/>
            </w:tcBorders>
            <w:vAlign w:val="center"/>
          </w:tcPr>
          <w:p w14:paraId="25DBF563">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8</w:t>
            </w:r>
          </w:p>
        </w:tc>
        <w:tc>
          <w:tcPr>
            <w:tcW w:w="844" w:type="dxa"/>
            <w:vAlign w:val="center"/>
          </w:tcPr>
          <w:p w14:paraId="5813B5C8">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运送服务</w:t>
            </w:r>
          </w:p>
        </w:tc>
        <w:tc>
          <w:tcPr>
            <w:tcW w:w="8022" w:type="dxa"/>
            <w:vAlign w:val="center"/>
          </w:tcPr>
          <w:p w14:paraId="2B9B435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shd w:val="clear" w:color="auto" w:fill="FFFFFF"/>
              </w:rPr>
              <w:t>（1）</w:t>
            </w:r>
            <w:r>
              <w:rPr>
                <w:rFonts w:hint="eastAsia" w:ascii="宋体" w:hAnsi="宋体" w:cs="宋体"/>
                <w:color w:val="auto"/>
                <w:kern w:val="0"/>
                <w:sz w:val="24"/>
                <w:highlight w:val="none"/>
              </w:rPr>
              <w:t>认真完成中心的派车任务要求，服从调度人员指挥。</w:t>
            </w:r>
          </w:p>
          <w:p w14:paraId="6A3C9DD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）上班期间按要求衣着工作服、礼貌待人、热情服务，团结同事、不得当面议论病者病情。</w:t>
            </w:r>
          </w:p>
          <w:p w14:paraId="38C3F9C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）保持公务车厢内的清洁整洁。</w:t>
            </w:r>
          </w:p>
          <w:p w14:paraId="260865B5">
            <w:pPr>
              <w:spacing w:line="360" w:lineRule="auto"/>
              <w:ind w:firstLine="480" w:firstLineChars="200"/>
              <w:rPr>
                <w:rFonts w:ascii="宋体" w:hAnsi="宋体" w:cs="宋体"/>
                <w:color w:val="auto"/>
                <w:kern w:val="0"/>
                <w:sz w:val="20"/>
                <w:szCs w:val="20"/>
                <w:highlight w:val="none"/>
              </w:rPr>
            </w:pPr>
            <w:r>
              <w:rPr>
                <w:rFonts w:hint="eastAsia" w:ascii="宋体" w:hAnsi="宋体"/>
                <w:color w:val="auto"/>
                <w:kern w:val="0"/>
                <w:sz w:val="24"/>
                <w:highlight w:val="none"/>
              </w:rPr>
              <w:t>（4）运送执行各项任务应爱护医院各项设施设备，严格执行医院院感、交接等制度，确保安全生产。</w:t>
            </w:r>
          </w:p>
        </w:tc>
        <w:tc>
          <w:tcPr>
            <w:tcW w:w="1110" w:type="dxa"/>
            <w:vAlign w:val="center"/>
          </w:tcPr>
          <w:p w14:paraId="0DDB4688">
            <w:pPr>
              <w:widowControl/>
              <w:autoSpaceDE w:val="0"/>
              <w:autoSpaceDN w:val="0"/>
              <w:snapToGrid w:val="0"/>
              <w:spacing w:line="240" w:lineRule="atLeast"/>
              <w:ind w:left="432"/>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3</w:t>
            </w:r>
          </w:p>
        </w:tc>
        <w:tc>
          <w:tcPr>
            <w:tcW w:w="1665" w:type="dxa"/>
            <w:vAlign w:val="center"/>
          </w:tcPr>
          <w:p w14:paraId="0DC69359">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tcBorders>
              <w:right w:val="single" w:color="000000" w:sz="6" w:space="0"/>
            </w:tcBorders>
            <w:vAlign w:val="center"/>
          </w:tcPr>
          <w:p w14:paraId="27FD711B">
            <w:pPr>
              <w:widowControl/>
              <w:autoSpaceDE w:val="0"/>
              <w:autoSpaceDN w:val="0"/>
              <w:snapToGrid w:val="0"/>
              <w:spacing w:line="240" w:lineRule="atLeast"/>
              <w:textAlignment w:val="baseline"/>
              <w:rPr>
                <w:rFonts w:ascii="新宋体" w:hAnsi="新宋体" w:eastAsia="新宋体" w:cs="新宋体"/>
                <w:color w:val="auto"/>
                <w:spacing w:val="-1"/>
                <w:kern w:val="0"/>
                <w:sz w:val="24"/>
                <w:highlight w:val="none"/>
              </w:rPr>
            </w:pPr>
            <w:r>
              <w:rPr>
                <w:rFonts w:hint="eastAsia" w:ascii="新宋体" w:hAnsi="新宋体" w:eastAsia="新宋体" w:cs="新宋体"/>
                <w:color w:val="auto"/>
                <w:spacing w:val="-1"/>
                <w:kern w:val="0"/>
                <w:sz w:val="24"/>
                <w:highlight w:val="none"/>
              </w:rPr>
              <w:t>未按要求发现一处扣1分</w:t>
            </w:r>
          </w:p>
        </w:tc>
      </w:tr>
      <w:tr w14:paraId="622F3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721" w:type="dxa"/>
            <w:vMerge w:val="restart"/>
            <w:tcBorders>
              <w:left w:val="single" w:color="000000" w:sz="6" w:space="0"/>
            </w:tcBorders>
            <w:vAlign w:val="center"/>
          </w:tcPr>
          <w:p w14:paraId="3875ABF0">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9</w:t>
            </w:r>
          </w:p>
        </w:tc>
        <w:tc>
          <w:tcPr>
            <w:tcW w:w="844" w:type="dxa"/>
            <w:vMerge w:val="restart"/>
            <w:vAlign w:val="center"/>
          </w:tcPr>
          <w:p w14:paraId="21EB6D6A">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投入设备、耗材等情况</w:t>
            </w:r>
          </w:p>
        </w:tc>
        <w:tc>
          <w:tcPr>
            <w:tcW w:w="8022" w:type="dxa"/>
            <w:vAlign w:val="center"/>
          </w:tcPr>
          <w:p w14:paraId="53B439E8">
            <w:pPr>
              <w:widowControl/>
              <w:numPr>
                <w:ilvl w:val="0"/>
                <w:numId w:val="19"/>
              </w:numPr>
              <w:autoSpaceDE w:val="0"/>
              <w:autoSpaceDN w:val="0"/>
              <w:snapToGrid w:val="0"/>
              <w:spacing w:line="360" w:lineRule="auto"/>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spacing w:val="-8"/>
                <w:kern w:val="0"/>
                <w:sz w:val="24"/>
                <w:highlight w:val="none"/>
              </w:rPr>
              <w:t>投入本项目的设备情况与招标需求、投标承诺一致。</w:t>
            </w:r>
          </w:p>
        </w:tc>
        <w:tc>
          <w:tcPr>
            <w:tcW w:w="1110" w:type="dxa"/>
            <w:vAlign w:val="center"/>
          </w:tcPr>
          <w:p w14:paraId="2E494F63">
            <w:pPr>
              <w:widowControl/>
              <w:autoSpaceDE w:val="0"/>
              <w:autoSpaceDN w:val="0"/>
              <w:snapToGrid w:val="0"/>
              <w:spacing w:line="240" w:lineRule="atLeast"/>
              <w:ind w:left="432"/>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1</w:t>
            </w:r>
          </w:p>
        </w:tc>
        <w:tc>
          <w:tcPr>
            <w:tcW w:w="1665" w:type="dxa"/>
            <w:vAlign w:val="center"/>
          </w:tcPr>
          <w:p w14:paraId="271D11AC">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restart"/>
            <w:tcBorders>
              <w:right w:val="single" w:color="000000" w:sz="6" w:space="0"/>
            </w:tcBorders>
            <w:vAlign w:val="center"/>
          </w:tcPr>
          <w:p w14:paraId="3C28D0E4">
            <w:pPr>
              <w:widowControl/>
              <w:autoSpaceDE w:val="0"/>
              <w:autoSpaceDN w:val="0"/>
              <w:snapToGrid w:val="0"/>
              <w:spacing w:line="240" w:lineRule="atLeast"/>
              <w:textAlignment w:val="baseline"/>
              <w:rPr>
                <w:rFonts w:ascii="新宋体" w:hAnsi="新宋体" w:eastAsia="新宋体" w:cs="新宋体"/>
                <w:color w:val="auto"/>
                <w:spacing w:val="-1"/>
                <w:kern w:val="0"/>
                <w:sz w:val="24"/>
                <w:highlight w:val="none"/>
              </w:rPr>
            </w:pPr>
            <w:r>
              <w:rPr>
                <w:rFonts w:hint="eastAsia" w:ascii="新宋体" w:hAnsi="新宋体" w:eastAsia="新宋体" w:cs="新宋体"/>
                <w:color w:val="auto"/>
                <w:spacing w:val="-1"/>
                <w:kern w:val="0"/>
                <w:sz w:val="24"/>
                <w:highlight w:val="none"/>
              </w:rPr>
              <w:t>完全符合得满分，部分符合相应 递减， 不符合得 0 分</w:t>
            </w:r>
          </w:p>
          <w:p w14:paraId="380EB5DC">
            <w:pPr>
              <w:widowControl/>
              <w:autoSpaceDE w:val="0"/>
              <w:autoSpaceDN w:val="0"/>
              <w:snapToGrid w:val="0"/>
              <w:spacing w:line="240" w:lineRule="atLeast"/>
              <w:textAlignment w:val="baseline"/>
              <w:rPr>
                <w:rFonts w:ascii="新宋体" w:hAnsi="新宋体" w:eastAsia="新宋体" w:cs="新宋体"/>
                <w:color w:val="auto"/>
                <w:spacing w:val="-1"/>
                <w:kern w:val="0"/>
                <w:sz w:val="24"/>
                <w:highlight w:val="none"/>
              </w:rPr>
            </w:pPr>
          </w:p>
        </w:tc>
      </w:tr>
      <w:tr w14:paraId="63D8B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721" w:type="dxa"/>
            <w:vMerge w:val="continue"/>
            <w:tcBorders>
              <w:left w:val="single" w:color="000000" w:sz="6" w:space="0"/>
            </w:tcBorders>
            <w:vAlign w:val="center"/>
          </w:tcPr>
          <w:p w14:paraId="6F47A45F">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44" w:type="dxa"/>
            <w:vMerge w:val="continue"/>
            <w:vAlign w:val="center"/>
          </w:tcPr>
          <w:p w14:paraId="3F8AAC07">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p>
        </w:tc>
        <w:tc>
          <w:tcPr>
            <w:tcW w:w="8022" w:type="dxa"/>
            <w:vAlign w:val="center"/>
          </w:tcPr>
          <w:p w14:paraId="65A56B02">
            <w:pPr>
              <w:widowControl/>
              <w:numPr>
                <w:ilvl w:val="0"/>
                <w:numId w:val="19"/>
              </w:numPr>
              <w:autoSpaceDE w:val="0"/>
              <w:autoSpaceDN w:val="0"/>
              <w:snapToGrid w:val="0"/>
              <w:spacing w:line="360" w:lineRule="auto"/>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spacing w:val="-8"/>
                <w:kern w:val="0"/>
                <w:sz w:val="24"/>
                <w:highlight w:val="none"/>
              </w:rPr>
              <w:t>投入本项目的保洁日常工具、厕纸、擦手纸、洗手液等耗材与招标需求、投标承诺一致。</w:t>
            </w:r>
          </w:p>
        </w:tc>
        <w:tc>
          <w:tcPr>
            <w:tcW w:w="1110" w:type="dxa"/>
            <w:vAlign w:val="center"/>
          </w:tcPr>
          <w:p w14:paraId="5E71B69A">
            <w:pPr>
              <w:widowControl/>
              <w:autoSpaceDE w:val="0"/>
              <w:autoSpaceDN w:val="0"/>
              <w:snapToGrid w:val="0"/>
              <w:spacing w:line="240" w:lineRule="atLeast"/>
              <w:ind w:left="432"/>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1</w:t>
            </w:r>
          </w:p>
        </w:tc>
        <w:tc>
          <w:tcPr>
            <w:tcW w:w="1665" w:type="dxa"/>
            <w:vAlign w:val="center"/>
          </w:tcPr>
          <w:p w14:paraId="47F6AB37">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vMerge w:val="continue"/>
            <w:tcBorders>
              <w:right w:val="single" w:color="000000" w:sz="6" w:space="0"/>
            </w:tcBorders>
            <w:vAlign w:val="center"/>
          </w:tcPr>
          <w:p w14:paraId="33919676">
            <w:pPr>
              <w:widowControl/>
              <w:autoSpaceDE w:val="0"/>
              <w:autoSpaceDN w:val="0"/>
              <w:snapToGrid w:val="0"/>
              <w:spacing w:line="240" w:lineRule="atLeast"/>
              <w:textAlignment w:val="baseline"/>
              <w:rPr>
                <w:rFonts w:ascii="新宋体" w:hAnsi="新宋体" w:eastAsia="新宋体" w:cs="新宋体"/>
                <w:color w:val="auto"/>
                <w:spacing w:val="-1"/>
                <w:kern w:val="0"/>
                <w:sz w:val="24"/>
                <w:highlight w:val="none"/>
              </w:rPr>
            </w:pPr>
          </w:p>
        </w:tc>
      </w:tr>
      <w:tr w14:paraId="16F8D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2" w:hRule="atLeast"/>
          <w:tblHeader/>
        </w:trPr>
        <w:tc>
          <w:tcPr>
            <w:tcW w:w="721" w:type="dxa"/>
            <w:tcBorders>
              <w:left w:val="single" w:color="000000" w:sz="6" w:space="0"/>
            </w:tcBorders>
            <w:vAlign w:val="center"/>
          </w:tcPr>
          <w:p w14:paraId="53B00C06">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10</w:t>
            </w:r>
          </w:p>
        </w:tc>
        <w:tc>
          <w:tcPr>
            <w:tcW w:w="844" w:type="dxa"/>
            <w:vAlign w:val="center"/>
          </w:tcPr>
          <w:p w14:paraId="310FAA80">
            <w:pPr>
              <w:widowControl/>
              <w:autoSpaceDE w:val="0"/>
              <w:autoSpaceDN w:val="0"/>
              <w:snapToGrid w:val="0"/>
              <w:spacing w:line="240" w:lineRule="atLeast"/>
              <w:jc w:val="center"/>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满意度调查</w:t>
            </w:r>
          </w:p>
        </w:tc>
        <w:tc>
          <w:tcPr>
            <w:tcW w:w="8022" w:type="dxa"/>
          </w:tcPr>
          <w:p w14:paraId="582F24D2">
            <w:pPr>
              <w:adjustRightInd/>
              <w:spacing w:before="144" w:line="292" w:lineRule="auto"/>
              <w:ind w:right="4"/>
              <w:rPr>
                <w:rFonts w:ascii="仿宋" w:hAnsi="仿宋" w:eastAsia="仿宋"/>
                <w:color w:val="auto"/>
                <w:kern w:val="0"/>
                <w:sz w:val="22"/>
                <w:szCs w:val="22"/>
                <w:highlight w:val="none"/>
              </w:rPr>
            </w:pPr>
            <w:r>
              <w:rPr>
                <w:rFonts w:hint="eastAsia" w:ascii="新宋体" w:hAnsi="新宋体" w:eastAsia="新宋体" w:cs="新宋体"/>
                <w:color w:val="auto"/>
                <w:spacing w:val="-8"/>
                <w:kern w:val="0"/>
                <w:sz w:val="24"/>
                <w:highlight w:val="none"/>
              </w:rPr>
              <w:t>采用调查问卷的形式，由职工代表作出对物业服务人员的满意度测评。测评内容：仪容仪表、统一着装、佩戴胸牌、服务态度、道德规范、文明用语、服务效果。</w:t>
            </w:r>
          </w:p>
        </w:tc>
        <w:tc>
          <w:tcPr>
            <w:tcW w:w="1110" w:type="dxa"/>
          </w:tcPr>
          <w:p w14:paraId="6BC0FF1F">
            <w:pPr>
              <w:adjustRightInd/>
              <w:spacing w:before="144" w:line="292" w:lineRule="auto"/>
              <w:ind w:left="13" w:right="4"/>
              <w:jc w:val="center"/>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20</w:t>
            </w:r>
          </w:p>
        </w:tc>
        <w:tc>
          <w:tcPr>
            <w:tcW w:w="1665" w:type="dxa"/>
          </w:tcPr>
          <w:p w14:paraId="7DECE89E">
            <w:pPr>
              <w:adjustRightInd/>
              <w:spacing w:before="144" w:line="292" w:lineRule="auto"/>
              <w:ind w:left="13" w:right="4"/>
              <w:jc w:val="center"/>
              <w:rPr>
                <w:rFonts w:ascii="仿宋" w:hAnsi="仿宋" w:eastAsia="仿宋"/>
                <w:color w:val="auto"/>
                <w:kern w:val="0"/>
                <w:sz w:val="22"/>
                <w:szCs w:val="22"/>
                <w:highlight w:val="none"/>
              </w:rPr>
            </w:pPr>
          </w:p>
        </w:tc>
        <w:tc>
          <w:tcPr>
            <w:tcW w:w="1665" w:type="dxa"/>
            <w:tcBorders>
              <w:right w:val="single" w:color="000000" w:sz="6" w:space="0"/>
            </w:tcBorders>
            <w:vAlign w:val="center"/>
          </w:tcPr>
          <w:p w14:paraId="5748435B">
            <w:pPr>
              <w:widowControl/>
              <w:autoSpaceDE w:val="0"/>
              <w:autoSpaceDN w:val="0"/>
              <w:snapToGrid w:val="0"/>
              <w:spacing w:line="240" w:lineRule="atLeast"/>
              <w:textAlignment w:val="baseline"/>
              <w:rPr>
                <w:rFonts w:ascii="新宋体" w:hAnsi="新宋体" w:eastAsia="新宋体" w:cs="新宋体"/>
                <w:color w:val="auto"/>
                <w:spacing w:val="-1"/>
                <w:kern w:val="0"/>
                <w:sz w:val="24"/>
                <w:highlight w:val="none"/>
              </w:rPr>
            </w:pPr>
            <w:r>
              <w:rPr>
                <w:rFonts w:hint="eastAsia" w:ascii="新宋体" w:hAnsi="新宋体" w:eastAsia="新宋体" w:cs="新宋体"/>
                <w:color w:val="auto"/>
                <w:spacing w:val="-1"/>
                <w:kern w:val="0"/>
                <w:sz w:val="24"/>
                <w:highlight w:val="none"/>
              </w:rPr>
              <w:t>根据满意度调查表统计（百分制）所得平均分*20%</w:t>
            </w:r>
          </w:p>
        </w:tc>
      </w:tr>
      <w:tr w14:paraId="54126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721" w:type="dxa"/>
            <w:tcBorders>
              <w:left w:val="single" w:color="000000" w:sz="6" w:space="0"/>
            </w:tcBorders>
            <w:vAlign w:val="center"/>
          </w:tcPr>
          <w:p w14:paraId="641E1FBE">
            <w:pPr>
              <w:widowControl/>
              <w:autoSpaceDE w:val="0"/>
              <w:autoSpaceDN w:val="0"/>
              <w:snapToGrid w:val="0"/>
              <w:spacing w:line="240" w:lineRule="atLeast"/>
              <w:ind w:left="303"/>
              <w:jc w:val="center"/>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11</w:t>
            </w:r>
          </w:p>
        </w:tc>
        <w:tc>
          <w:tcPr>
            <w:tcW w:w="844" w:type="dxa"/>
            <w:vAlign w:val="center"/>
          </w:tcPr>
          <w:p w14:paraId="7250B900">
            <w:pPr>
              <w:widowControl/>
              <w:autoSpaceDE w:val="0"/>
              <w:autoSpaceDN w:val="0"/>
              <w:snapToGrid w:val="0"/>
              <w:spacing w:line="240" w:lineRule="atLeast"/>
              <w:ind w:left="211"/>
              <w:jc w:val="center"/>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spacing w:val="-2"/>
                <w:kern w:val="0"/>
                <w:position w:val="9"/>
                <w:sz w:val="24"/>
                <w:highlight w:val="none"/>
              </w:rPr>
              <w:t>标准</w:t>
            </w:r>
          </w:p>
          <w:p w14:paraId="3BE356C9">
            <w:pPr>
              <w:widowControl/>
              <w:autoSpaceDE w:val="0"/>
              <w:autoSpaceDN w:val="0"/>
              <w:snapToGrid w:val="0"/>
              <w:spacing w:line="240" w:lineRule="atLeast"/>
              <w:ind w:left="316"/>
              <w:jc w:val="center"/>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分</w:t>
            </w:r>
          </w:p>
        </w:tc>
        <w:tc>
          <w:tcPr>
            <w:tcW w:w="10797" w:type="dxa"/>
            <w:gridSpan w:val="3"/>
            <w:vAlign w:val="center"/>
          </w:tcPr>
          <w:p w14:paraId="4BDC79D1">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p w14:paraId="2F015253">
            <w:pPr>
              <w:tabs>
                <w:tab w:val="left" w:pos="6229"/>
              </w:tabs>
              <w:rPr>
                <w:rFonts w:ascii="新宋体" w:hAnsi="新宋体" w:eastAsia="新宋体" w:cs="新宋体"/>
                <w:snapToGrid w:val="0"/>
                <w:color w:val="auto"/>
                <w:kern w:val="0"/>
                <w:sz w:val="24"/>
                <w:highlight w:val="none"/>
              </w:rPr>
            </w:pPr>
            <w:r>
              <w:rPr>
                <w:rFonts w:hint="eastAsia" w:ascii="新宋体" w:hAnsi="新宋体" w:eastAsia="新宋体" w:cs="新宋体"/>
                <w:snapToGrid w:val="0"/>
                <w:color w:val="auto"/>
                <w:kern w:val="0"/>
                <w:sz w:val="24"/>
                <w:highlight w:val="none"/>
              </w:rPr>
              <w:tab/>
            </w:r>
            <w:r>
              <w:rPr>
                <w:rFonts w:hint="eastAsia" w:ascii="新宋体" w:hAnsi="新宋体" w:eastAsia="新宋体" w:cs="新宋体"/>
                <w:snapToGrid w:val="0"/>
                <w:color w:val="auto"/>
                <w:kern w:val="0"/>
                <w:sz w:val="24"/>
                <w:highlight w:val="none"/>
              </w:rPr>
              <w:t>100分</w:t>
            </w:r>
          </w:p>
        </w:tc>
        <w:tc>
          <w:tcPr>
            <w:tcW w:w="1665" w:type="dxa"/>
            <w:tcBorders>
              <w:right w:val="single" w:color="000000" w:sz="6" w:space="0"/>
            </w:tcBorders>
            <w:vAlign w:val="center"/>
          </w:tcPr>
          <w:p w14:paraId="21CA8FA3">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r>
      <w:tr w14:paraId="1D47E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721" w:type="dxa"/>
            <w:tcBorders>
              <w:left w:val="single" w:color="000000" w:sz="6" w:space="0"/>
            </w:tcBorders>
            <w:vAlign w:val="center"/>
          </w:tcPr>
          <w:p w14:paraId="45FD2CB0">
            <w:pPr>
              <w:widowControl/>
              <w:autoSpaceDE w:val="0"/>
              <w:autoSpaceDN w:val="0"/>
              <w:snapToGrid w:val="0"/>
              <w:spacing w:line="240" w:lineRule="atLeast"/>
              <w:ind w:left="303"/>
              <w:jc w:val="center"/>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11</w:t>
            </w:r>
          </w:p>
        </w:tc>
        <w:tc>
          <w:tcPr>
            <w:tcW w:w="844" w:type="dxa"/>
            <w:vAlign w:val="center"/>
          </w:tcPr>
          <w:p w14:paraId="56409FEA">
            <w:pPr>
              <w:widowControl/>
              <w:autoSpaceDE w:val="0"/>
              <w:autoSpaceDN w:val="0"/>
              <w:snapToGrid w:val="0"/>
              <w:spacing w:line="240" w:lineRule="atLeast"/>
              <w:ind w:left="216"/>
              <w:jc w:val="center"/>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spacing w:val="-3"/>
                <w:kern w:val="0"/>
                <w:position w:val="9"/>
                <w:sz w:val="24"/>
                <w:highlight w:val="none"/>
              </w:rPr>
              <w:t>总得</w:t>
            </w:r>
          </w:p>
          <w:p w14:paraId="6FF45180">
            <w:pPr>
              <w:widowControl/>
              <w:autoSpaceDE w:val="0"/>
              <w:autoSpaceDN w:val="0"/>
              <w:snapToGrid w:val="0"/>
              <w:spacing w:line="240" w:lineRule="atLeast"/>
              <w:ind w:left="316"/>
              <w:jc w:val="center"/>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分</w:t>
            </w:r>
          </w:p>
        </w:tc>
        <w:tc>
          <w:tcPr>
            <w:tcW w:w="10797" w:type="dxa"/>
            <w:gridSpan w:val="3"/>
            <w:vAlign w:val="center"/>
          </w:tcPr>
          <w:p w14:paraId="74EAB0CE">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c>
          <w:tcPr>
            <w:tcW w:w="1665" w:type="dxa"/>
            <w:tcBorders>
              <w:right w:val="single" w:color="000000" w:sz="6" w:space="0"/>
            </w:tcBorders>
            <w:vAlign w:val="center"/>
          </w:tcPr>
          <w:p w14:paraId="06591AB7">
            <w:pPr>
              <w:widowControl/>
              <w:autoSpaceDE w:val="0"/>
              <w:autoSpaceDN w:val="0"/>
              <w:snapToGrid w:val="0"/>
              <w:spacing w:line="240" w:lineRule="atLeast"/>
              <w:textAlignment w:val="baseline"/>
              <w:rPr>
                <w:rFonts w:ascii="新宋体" w:hAnsi="新宋体" w:eastAsia="新宋体" w:cs="新宋体"/>
                <w:color w:val="auto"/>
                <w:kern w:val="0"/>
                <w:sz w:val="24"/>
                <w:highlight w:val="none"/>
              </w:rPr>
            </w:pPr>
          </w:p>
        </w:tc>
      </w:tr>
    </w:tbl>
    <w:p w14:paraId="42ECF9A3">
      <w:pPr>
        <w:spacing w:line="360" w:lineRule="auto"/>
        <w:jc w:val="center"/>
        <w:outlineLvl w:val="0"/>
        <w:rPr>
          <w:rFonts w:hint="eastAsia" w:ascii="宋体" w:hAnsi="宋体" w:cs="宋体"/>
          <w:b/>
          <w:color w:val="auto"/>
          <w:sz w:val="24"/>
          <w:highlight w:val="none"/>
        </w:rPr>
        <w:sectPr>
          <w:headerReference r:id="rId8" w:type="default"/>
          <w:footerReference r:id="rId9" w:type="default"/>
          <w:pgSz w:w="16840" w:h="11907" w:orient="landscape"/>
          <w:pgMar w:top="1814" w:right="1474" w:bottom="1814" w:left="1474" w:header="851" w:footer="851" w:gutter="0"/>
          <w:cols w:space="720" w:num="1"/>
          <w:titlePg/>
          <w:docGrid w:linePitch="312" w:charSpace="0"/>
        </w:sectPr>
      </w:pPr>
    </w:p>
    <w:p w14:paraId="67017775">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4454"/>
      <w:bookmarkEnd w:id="28"/>
      <w:bookmarkStart w:id="29" w:name="_Toc184314457"/>
      <w:bookmarkEnd w:id="29"/>
      <w:bookmarkStart w:id="30" w:name="_Toc184312132"/>
      <w:bookmarkEnd w:id="30"/>
      <w:bookmarkStart w:id="31" w:name="_Toc184310316"/>
      <w:bookmarkEnd w:id="31"/>
      <w:bookmarkStart w:id="32" w:name="_Toc184308085"/>
      <w:bookmarkEnd w:id="32"/>
      <w:bookmarkStart w:id="33" w:name="_Toc184308064"/>
      <w:bookmarkEnd w:id="33"/>
      <w:bookmarkStart w:id="34" w:name="_Toc184314464"/>
      <w:bookmarkEnd w:id="34"/>
      <w:bookmarkStart w:id="35" w:name="_Toc184308106"/>
      <w:bookmarkEnd w:id="35"/>
      <w:bookmarkStart w:id="36" w:name="_Toc184313278"/>
      <w:bookmarkEnd w:id="36"/>
      <w:bookmarkStart w:id="37" w:name="_Toc184312080"/>
      <w:bookmarkEnd w:id="37"/>
      <w:bookmarkStart w:id="38" w:name="_Toc184308047"/>
      <w:bookmarkEnd w:id="38"/>
      <w:bookmarkStart w:id="39" w:name="_Toc184310288"/>
      <w:bookmarkEnd w:id="39"/>
      <w:bookmarkStart w:id="40" w:name="_Toc184308068"/>
      <w:bookmarkEnd w:id="40"/>
      <w:bookmarkStart w:id="41" w:name="_Toc184312131"/>
      <w:bookmarkEnd w:id="41"/>
      <w:bookmarkStart w:id="42" w:name="_Toc184312116"/>
      <w:bookmarkEnd w:id="42"/>
      <w:bookmarkStart w:id="43" w:name="_Toc184314475"/>
      <w:bookmarkEnd w:id="43"/>
      <w:bookmarkStart w:id="44" w:name="_Toc184314456"/>
      <w:bookmarkEnd w:id="44"/>
      <w:bookmarkStart w:id="45" w:name="_Toc184310314"/>
      <w:bookmarkEnd w:id="45"/>
      <w:bookmarkStart w:id="46" w:name="_Toc184314424"/>
      <w:bookmarkEnd w:id="46"/>
      <w:bookmarkStart w:id="47" w:name="_Toc184310297"/>
      <w:bookmarkEnd w:id="47"/>
      <w:bookmarkStart w:id="48" w:name="_Toc184313293"/>
      <w:bookmarkEnd w:id="48"/>
      <w:bookmarkStart w:id="49" w:name="_Toc184312100"/>
      <w:bookmarkEnd w:id="49"/>
      <w:bookmarkStart w:id="50" w:name="_Toc184312106"/>
      <w:bookmarkEnd w:id="50"/>
      <w:bookmarkStart w:id="51" w:name="_Toc184310292"/>
      <w:bookmarkEnd w:id="51"/>
      <w:bookmarkStart w:id="52" w:name="_Toc184314439"/>
      <w:bookmarkEnd w:id="52"/>
      <w:bookmarkStart w:id="53" w:name="_Toc184310308"/>
      <w:bookmarkEnd w:id="53"/>
      <w:bookmarkStart w:id="54" w:name="_Toc184308050"/>
      <w:bookmarkEnd w:id="54"/>
      <w:bookmarkStart w:id="55" w:name="_Toc184313287"/>
      <w:bookmarkEnd w:id="55"/>
      <w:bookmarkStart w:id="56" w:name="_Toc184310324"/>
      <w:bookmarkEnd w:id="56"/>
      <w:bookmarkStart w:id="57" w:name="_Toc184314423"/>
      <w:bookmarkEnd w:id="57"/>
      <w:bookmarkStart w:id="58" w:name="_Toc184313273"/>
      <w:bookmarkEnd w:id="58"/>
      <w:bookmarkStart w:id="59" w:name="_Toc184313270"/>
      <w:bookmarkEnd w:id="59"/>
      <w:bookmarkStart w:id="60" w:name="_Toc184310299"/>
      <w:bookmarkEnd w:id="60"/>
      <w:bookmarkStart w:id="61" w:name="_Toc184314455"/>
      <w:bookmarkEnd w:id="61"/>
      <w:bookmarkStart w:id="62" w:name="_Toc184308096"/>
      <w:bookmarkEnd w:id="62"/>
      <w:bookmarkStart w:id="63" w:name="_Toc184313268"/>
      <w:bookmarkEnd w:id="63"/>
      <w:bookmarkStart w:id="64" w:name="_Toc184310317"/>
      <w:bookmarkEnd w:id="64"/>
      <w:bookmarkStart w:id="65" w:name="_Toc184314480"/>
      <w:bookmarkEnd w:id="65"/>
      <w:bookmarkStart w:id="66" w:name="_Toc184308062"/>
      <w:bookmarkEnd w:id="66"/>
      <w:bookmarkStart w:id="67" w:name="_Toc184314429"/>
      <w:bookmarkEnd w:id="67"/>
      <w:bookmarkStart w:id="68" w:name="_Toc184310289"/>
      <w:bookmarkEnd w:id="68"/>
      <w:bookmarkStart w:id="69" w:name="_Toc184310272"/>
      <w:bookmarkEnd w:id="69"/>
      <w:bookmarkStart w:id="70" w:name="_Toc184313280"/>
      <w:bookmarkEnd w:id="70"/>
      <w:bookmarkStart w:id="71" w:name="_Toc184313289"/>
      <w:bookmarkEnd w:id="71"/>
      <w:bookmarkStart w:id="72" w:name="_Toc184312095"/>
      <w:bookmarkEnd w:id="72"/>
      <w:bookmarkStart w:id="73" w:name="_Toc184310294"/>
      <w:bookmarkEnd w:id="73"/>
      <w:bookmarkStart w:id="74" w:name="_Toc184310342"/>
      <w:bookmarkEnd w:id="74"/>
      <w:bookmarkStart w:id="75" w:name="_Toc184310336"/>
      <w:bookmarkEnd w:id="75"/>
      <w:bookmarkStart w:id="76" w:name="_Toc184310301"/>
      <w:bookmarkEnd w:id="76"/>
      <w:bookmarkStart w:id="77" w:name="_Toc184314441"/>
      <w:bookmarkEnd w:id="77"/>
      <w:bookmarkStart w:id="78" w:name="_Toc184310281"/>
      <w:bookmarkEnd w:id="78"/>
      <w:bookmarkStart w:id="79" w:name="_Toc184313253"/>
      <w:bookmarkEnd w:id="79"/>
      <w:bookmarkStart w:id="80" w:name="_Toc184312081"/>
      <w:bookmarkEnd w:id="80"/>
      <w:bookmarkStart w:id="81" w:name="_Toc184313241"/>
      <w:bookmarkEnd w:id="81"/>
      <w:bookmarkStart w:id="82" w:name="_Toc184312076"/>
      <w:bookmarkEnd w:id="82"/>
      <w:bookmarkStart w:id="83" w:name="_Toc184312139"/>
      <w:bookmarkEnd w:id="83"/>
      <w:bookmarkStart w:id="84" w:name="_Toc184313244"/>
      <w:bookmarkEnd w:id="84"/>
      <w:bookmarkStart w:id="85" w:name="_Toc184308075"/>
      <w:bookmarkEnd w:id="85"/>
      <w:bookmarkStart w:id="86" w:name="_Toc184313274"/>
      <w:bookmarkEnd w:id="86"/>
      <w:bookmarkStart w:id="87" w:name="_Toc184312075"/>
      <w:bookmarkEnd w:id="87"/>
      <w:bookmarkStart w:id="88" w:name="_Toc184313258"/>
      <w:bookmarkEnd w:id="88"/>
      <w:bookmarkStart w:id="89" w:name="_Toc184310315"/>
      <w:bookmarkEnd w:id="89"/>
      <w:bookmarkStart w:id="90" w:name="_Toc184313305"/>
      <w:bookmarkEnd w:id="90"/>
      <w:bookmarkStart w:id="91" w:name="_Toc184313276"/>
      <w:bookmarkEnd w:id="91"/>
      <w:bookmarkStart w:id="92" w:name="_Toc184313300"/>
      <w:bookmarkEnd w:id="92"/>
      <w:bookmarkStart w:id="93" w:name="_Toc184314420"/>
      <w:bookmarkEnd w:id="93"/>
      <w:bookmarkStart w:id="94" w:name="_Toc184308098"/>
      <w:bookmarkEnd w:id="94"/>
      <w:bookmarkStart w:id="95" w:name="_Toc184313267"/>
      <w:bookmarkEnd w:id="95"/>
      <w:bookmarkStart w:id="96" w:name="_Toc184314482"/>
      <w:bookmarkEnd w:id="96"/>
      <w:bookmarkStart w:id="97" w:name="_Toc184310284"/>
      <w:bookmarkEnd w:id="97"/>
      <w:bookmarkStart w:id="98" w:name="_Toc184314422"/>
      <w:bookmarkEnd w:id="98"/>
      <w:bookmarkStart w:id="99" w:name="_Toc184313243"/>
      <w:bookmarkEnd w:id="99"/>
      <w:bookmarkStart w:id="100" w:name="_Toc184308056"/>
      <w:bookmarkEnd w:id="100"/>
      <w:bookmarkStart w:id="101" w:name="_Toc184313259"/>
      <w:bookmarkEnd w:id="101"/>
      <w:bookmarkStart w:id="102" w:name="_Toc184308101"/>
      <w:bookmarkEnd w:id="102"/>
      <w:bookmarkStart w:id="103" w:name="_Toc184314438"/>
      <w:bookmarkEnd w:id="103"/>
      <w:bookmarkStart w:id="104" w:name="_Toc184313246"/>
      <w:bookmarkEnd w:id="104"/>
      <w:bookmarkStart w:id="105" w:name="_Toc184314450"/>
      <w:bookmarkEnd w:id="105"/>
      <w:bookmarkStart w:id="106" w:name="_Toc184312074"/>
      <w:bookmarkEnd w:id="106"/>
      <w:bookmarkStart w:id="107" w:name="_Toc184308066"/>
      <w:bookmarkEnd w:id="107"/>
      <w:bookmarkStart w:id="108" w:name="_Toc184314466"/>
      <w:bookmarkEnd w:id="108"/>
      <w:bookmarkStart w:id="109" w:name="_Toc184308091"/>
      <w:bookmarkEnd w:id="109"/>
      <w:bookmarkStart w:id="110" w:name="_Toc184312101"/>
      <w:bookmarkEnd w:id="110"/>
      <w:bookmarkStart w:id="111" w:name="_Toc184312079"/>
      <w:bookmarkEnd w:id="111"/>
      <w:bookmarkStart w:id="112" w:name="_Toc184310325"/>
      <w:bookmarkEnd w:id="112"/>
      <w:bookmarkStart w:id="113" w:name="_Toc184313262"/>
      <w:bookmarkEnd w:id="113"/>
      <w:bookmarkStart w:id="114" w:name="_Toc184308079"/>
      <w:bookmarkEnd w:id="114"/>
      <w:bookmarkStart w:id="115" w:name="_Toc184310305"/>
      <w:bookmarkEnd w:id="115"/>
      <w:bookmarkStart w:id="116" w:name="_Toc184314473"/>
      <w:bookmarkEnd w:id="116"/>
      <w:bookmarkStart w:id="117" w:name="_Toc184310287"/>
      <w:bookmarkEnd w:id="117"/>
      <w:bookmarkStart w:id="118" w:name="_Toc184314430"/>
      <w:bookmarkEnd w:id="118"/>
      <w:bookmarkStart w:id="119" w:name="_Toc184310338"/>
      <w:bookmarkEnd w:id="119"/>
      <w:bookmarkStart w:id="120" w:name="_Toc184310286"/>
      <w:bookmarkEnd w:id="120"/>
      <w:bookmarkStart w:id="121" w:name="_Toc184314452"/>
      <w:bookmarkEnd w:id="121"/>
      <w:bookmarkStart w:id="122" w:name="_Toc184308048"/>
      <w:bookmarkEnd w:id="122"/>
      <w:bookmarkStart w:id="123" w:name="_Toc184312093"/>
      <w:bookmarkEnd w:id="123"/>
      <w:bookmarkStart w:id="124" w:name="_Toc184313242"/>
      <w:bookmarkEnd w:id="124"/>
      <w:bookmarkStart w:id="125" w:name="_Toc184314418"/>
      <w:bookmarkEnd w:id="125"/>
      <w:bookmarkStart w:id="126" w:name="_Toc184313284"/>
      <w:bookmarkEnd w:id="126"/>
      <w:bookmarkStart w:id="127" w:name="_Toc184308071"/>
      <w:bookmarkEnd w:id="127"/>
      <w:bookmarkStart w:id="128" w:name="_Toc184312103"/>
      <w:bookmarkEnd w:id="128"/>
      <w:bookmarkStart w:id="129" w:name="_Toc184310343"/>
      <w:bookmarkEnd w:id="129"/>
      <w:bookmarkStart w:id="130" w:name="_Toc184314461"/>
      <w:bookmarkEnd w:id="130"/>
      <w:bookmarkStart w:id="131" w:name="_Toc184314445"/>
      <w:bookmarkEnd w:id="131"/>
      <w:bookmarkStart w:id="132" w:name="_Toc184312138"/>
      <w:bookmarkEnd w:id="132"/>
      <w:bookmarkStart w:id="133" w:name="_Toc184313265"/>
      <w:bookmarkEnd w:id="133"/>
      <w:bookmarkStart w:id="134" w:name="_Toc184313266"/>
      <w:bookmarkEnd w:id="134"/>
      <w:bookmarkStart w:id="135" w:name="_Toc184313239"/>
      <w:bookmarkEnd w:id="135"/>
      <w:bookmarkStart w:id="136" w:name="_Toc184310318"/>
      <w:bookmarkEnd w:id="136"/>
      <w:bookmarkStart w:id="137" w:name="_Toc184310298"/>
      <w:bookmarkEnd w:id="137"/>
      <w:bookmarkStart w:id="138" w:name="_Toc184308072"/>
      <w:bookmarkEnd w:id="138"/>
      <w:bookmarkStart w:id="139" w:name="_Toc184308089"/>
      <w:bookmarkEnd w:id="139"/>
      <w:bookmarkStart w:id="140" w:name="_Toc184308093"/>
      <w:bookmarkEnd w:id="140"/>
      <w:bookmarkStart w:id="141" w:name="_Toc184313302"/>
      <w:bookmarkEnd w:id="141"/>
      <w:bookmarkStart w:id="142" w:name="_Toc184310319"/>
      <w:bookmarkEnd w:id="142"/>
      <w:bookmarkStart w:id="143" w:name="_Toc184312110"/>
      <w:bookmarkEnd w:id="143"/>
      <w:bookmarkStart w:id="144" w:name="_Toc184312068"/>
      <w:bookmarkEnd w:id="144"/>
      <w:bookmarkStart w:id="145" w:name="_Toc184308108"/>
      <w:bookmarkEnd w:id="145"/>
      <w:bookmarkStart w:id="146" w:name="_Toc184314447"/>
      <w:bookmarkEnd w:id="146"/>
      <w:bookmarkStart w:id="147" w:name="_Toc184310322"/>
      <w:bookmarkEnd w:id="147"/>
      <w:bookmarkStart w:id="148" w:name="_Toc184308058"/>
      <w:bookmarkEnd w:id="148"/>
      <w:bookmarkStart w:id="149" w:name="_Toc184308100"/>
      <w:bookmarkEnd w:id="149"/>
      <w:bookmarkStart w:id="150" w:name="_Toc184310334"/>
      <w:bookmarkEnd w:id="150"/>
      <w:bookmarkStart w:id="151" w:name="_Toc184314443"/>
      <w:bookmarkEnd w:id="151"/>
      <w:bookmarkStart w:id="152" w:name="_Toc184310303"/>
      <w:bookmarkEnd w:id="152"/>
      <w:bookmarkStart w:id="153" w:name="_Toc184313301"/>
      <w:bookmarkEnd w:id="153"/>
      <w:bookmarkStart w:id="154" w:name="_Toc184308102"/>
      <w:bookmarkEnd w:id="154"/>
      <w:bookmarkStart w:id="155" w:name="_Toc184313240"/>
      <w:bookmarkEnd w:id="155"/>
      <w:bookmarkStart w:id="156" w:name="_Toc184312070"/>
      <w:bookmarkEnd w:id="156"/>
      <w:bookmarkStart w:id="157" w:name="_Toc184313251"/>
      <w:bookmarkEnd w:id="157"/>
      <w:bookmarkStart w:id="158" w:name="_Toc184313252"/>
      <w:bookmarkEnd w:id="158"/>
      <w:bookmarkStart w:id="159" w:name="_Toc184310282"/>
      <w:bookmarkEnd w:id="159"/>
      <w:bookmarkStart w:id="160" w:name="_Toc184310307"/>
      <w:bookmarkEnd w:id="160"/>
      <w:bookmarkStart w:id="161" w:name="_Toc184313296"/>
      <w:bookmarkEnd w:id="161"/>
      <w:bookmarkStart w:id="162" w:name="_Toc184308043"/>
      <w:bookmarkEnd w:id="162"/>
      <w:bookmarkStart w:id="163" w:name="_Toc184312108"/>
      <w:bookmarkEnd w:id="163"/>
      <w:bookmarkStart w:id="164" w:name="_Toc184310332"/>
      <w:bookmarkEnd w:id="164"/>
      <w:bookmarkStart w:id="165" w:name="_Toc184312097"/>
      <w:bookmarkEnd w:id="165"/>
      <w:bookmarkStart w:id="166" w:name="_Toc184314471"/>
      <w:bookmarkEnd w:id="166"/>
      <w:bookmarkStart w:id="167" w:name="_Toc184308049"/>
      <w:bookmarkEnd w:id="167"/>
      <w:bookmarkStart w:id="168" w:name="_Toc184308077"/>
      <w:bookmarkEnd w:id="168"/>
      <w:bookmarkStart w:id="169" w:name="_Toc184312122"/>
      <w:bookmarkEnd w:id="169"/>
      <w:bookmarkStart w:id="170" w:name="_Toc184310313"/>
      <w:bookmarkEnd w:id="170"/>
      <w:bookmarkStart w:id="171" w:name="_Toc184310330"/>
      <w:bookmarkEnd w:id="171"/>
      <w:bookmarkStart w:id="172" w:name="_Toc184312087"/>
      <w:bookmarkEnd w:id="172"/>
      <w:bookmarkStart w:id="173" w:name="_Toc184314416"/>
      <w:bookmarkEnd w:id="173"/>
      <w:bookmarkStart w:id="174" w:name="_Toc184310331"/>
      <w:bookmarkEnd w:id="174"/>
      <w:bookmarkStart w:id="175" w:name="_Toc184314428"/>
      <w:bookmarkEnd w:id="175"/>
      <w:bookmarkStart w:id="176" w:name="_Toc184312098"/>
      <w:bookmarkEnd w:id="176"/>
      <w:bookmarkStart w:id="177" w:name="_Toc184313245"/>
      <w:bookmarkEnd w:id="177"/>
      <w:bookmarkStart w:id="178" w:name="_Toc184313254"/>
      <w:bookmarkEnd w:id="178"/>
      <w:bookmarkStart w:id="179" w:name="_Toc184308036"/>
      <w:bookmarkEnd w:id="179"/>
      <w:bookmarkStart w:id="180" w:name="_Toc184308095"/>
      <w:bookmarkEnd w:id="180"/>
      <w:bookmarkStart w:id="181" w:name="_Toc184308044"/>
      <w:bookmarkEnd w:id="181"/>
      <w:bookmarkStart w:id="182" w:name="_Toc184313303"/>
      <w:bookmarkEnd w:id="182"/>
      <w:bookmarkStart w:id="183" w:name="_Toc184312114"/>
      <w:bookmarkEnd w:id="183"/>
      <w:bookmarkStart w:id="184" w:name="_Toc184308040"/>
      <w:bookmarkEnd w:id="184"/>
      <w:bookmarkStart w:id="185" w:name="_Toc184308039"/>
      <w:bookmarkEnd w:id="185"/>
      <w:bookmarkStart w:id="186" w:name="_Toc184310291"/>
      <w:bookmarkEnd w:id="186"/>
      <w:bookmarkStart w:id="187" w:name="_Toc184312109"/>
      <w:bookmarkEnd w:id="187"/>
      <w:bookmarkStart w:id="188" w:name="_Toc184313291"/>
      <w:bookmarkEnd w:id="188"/>
      <w:bookmarkStart w:id="189" w:name="_Toc184314462"/>
      <w:bookmarkEnd w:id="189"/>
      <w:bookmarkStart w:id="190" w:name="_Toc184313295"/>
      <w:bookmarkEnd w:id="190"/>
      <w:bookmarkStart w:id="191" w:name="_Toc184310300"/>
      <w:bookmarkEnd w:id="191"/>
      <w:bookmarkStart w:id="192" w:name="_Toc184312085"/>
      <w:bookmarkEnd w:id="192"/>
      <w:bookmarkStart w:id="193" w:name="_Toc184312120"/>
      <w:bookmarkEnd w:id="193"/>
      <w:bookmarkStart w:id="194" w:name="_Toc184310309"/>
      <w:bookmarkEnd w:id="194"/>
      <w:bookmarkStart w:id="195" w:name="_Toc184310335"/>
      <w:bookmarkEnd w:id="195"/>
      <w:bookmarkStart w:id="196" w:name="_Toc184313308"/>
      <w:bookmarkEnd w:id="196"/>
      <w:bookmarkStart w:id="197" w:name="_Toc184308052"/>
      <w:bookmarkEnd w:id="197"/>
      <w:bookmarkStart w:id="198" w:name="_Toc184313277"/>
      <w:bookmarkEnd w:id="198"/>
      <w:bookmarkStart w:id="199" w:name="_Toc184313310"/>
      <w:bookmarkEnd w:id="199"/>
      <w:bookmarkStart w:id="200" w:name="_Toc184313249"/>
      <w:bookmarkEnd w:id="200"/>
      <w:bookmarkStart w:id="201" w:name="_Toc184312069"/>
      <w:bookmarkEnd w:id="201"/>
      <w:bookmarkStart w:id="202" w:name="_Toc184313247"/>
      <w:bookmarkEnd w:id="202"/>
      <w:bookmarkStart w:id="203" w:name="_Toc184312083"/>
      <w:bookmarkEnd w:id="203"/>
      <w:bookmarkStart w:id="204" w:name="_Toc184310339"/>
      <w:bookmarkEnd w:id="204"/>
      <w:bookmarkStart w:id="205" w:name="_Toc184312094"/>
      <w:bookmarkEnd w:id="205"/>
      <w:bookmarkStart w:id="206" w:name="_Toc184308081"/>
      <w:bookmarkEnd w:id="206"/>
      <w:bookmarkStart w:id="207" w:name="_Toc184312136"/>
      <w:bookmarkEnd w:id="207"/>
      <w:bookmarkStart w:id="208" w:name="_Toc184314412"/>
      <w:bookmarkEnd w:id="208"/>
      <w:bookmarkStart w:id="209" w:name="_Toc184308083"/>
      <w:bookmarkEnd w:id="209"/>
      <w:bookmarkStart w:id="210" w:name="_Toc184312118"/>
      <w:bookmarkEnd w:id="210"/>
      <w:bookmarkStart w:id="211" w:name="_Toc184308088"/>
      <w:bookmarkEnd w:id="211"/>
      <w:bookmarkStart w:id="212" w:name="_Toc184312084"/>
      <w:bookmarkEnd w:id="212"/>
      <w:bookmarkStart w:id="213" w:name="_Toc184308073"/>
      <w:bookmarkEnd w:id="213"/>
      <w:bookmarkStart w:id="214" w:name="_Toc184312067"/>
      <w:bookmarkEnd w:id="214"/>
      <w:bookmarkStart w:id="215" w:name="_Toc184310323"/>
      <w:bookmarkEnd w:id="215"/>
      <w:bookmarkStart w:id="216" w:name="_Toc184314431"/>
      <w:bookmarkEnd w:id="216"/>
      <w:bookmarkStart w:id="217" w:name="_Toc184312133"/>
      <w:bookmarkEnd w:id="217"/>
      <w:bookmarkStart w:id="218" w:name="_Toc184313261"/>
      <w:bookmarkEnd w:id="218"/>
      <w:bookmarkStart w:id="219" w:name="_Toc184313271"/>
      <w:bookmarkEnd w:id="219"/>
      <w:bookmarkStart w:id="220" w:name="_Toc184312071"/>
      <w:bookmarkEnd w:id="220"/>
      <w:bookmarkStart w:id="221" w:name="_Toc184313309"/>
      <w:bookmarkEnd w:id="221"/>
      <w:bookmarkStart w:id="222" w:name="_Toc184314413"/>
      <w:bookmarkEnd w:id="222"/>
      <w:bookmarkStart w:id="223" w:name="_Toc184313256"/>
      <w:bookmarkEnd w:id="223"/>
      <w:bookmarkStart w:id="224" w:name="_Toc184312077"/>
      <w:bookmarkEnd w:id="224"/>
      <w:bookmarkStart w:id="225" w:name="_Toc184312115"/>
      <w:bookmarkEnd w:id="225"/>
      <w:bookmarkStart w:id="226" w:name="_Toc184314470"/>
      <w:bookmarkEnd w:id="226"/>
      <w:bookmarkStart w:id="227" w:name="_Toc184314463"/>
      <w:bookmarkEnd w:id="227"/>
      <w:bookmarkStart w:id="228" w:name="_Toc184308067"/>
      <w:bookmarkEnd w:id="228"/>
      <w:bookmarkStart w:id="229" w:name="_Toc184313304"/>
      <w:bookmarkEnd w:id="229"/>
      <w:bookmarkStart w:id="230" w:name="_Toc184313299"/>
      <w:bookmarkEnd w:id="230"/>
      <w:bookmarkStart w:id="231" w:name="_Toc184314435"/>
      <w:bookmarkEnd w:id="231"/>
      <w:bookmarkStart w:id="232" w:name="_Toc184314414"/>
      <w:bookmarkEnd w:id="232"/>
      <w:bookmarkStart w:id="233" w:name="_Toc184312072"/>
      <w:bookmarkEnd w:id="233"/>
      <w:bookmarkStart w:id="234" w:name="_Toc184314444"/>
      <w:bookmarkEnd w:id="234"/>
      <w:bookmarkStart w:id="235" w:name="_Toc184314436"/>
      <w:bookmarkEnd w:id="235"/>
      <w:bookmarkStart w:id="236" w:name="_Toc184308041"/>
      <w:bookmarkEnd w:id="236"/>
      <w:bookmarkStart w:id="237" w:name="_Toc184312127"/>
      <w:bookmarkEnd w:id="237"/>
      <w:bookmarkStart w:id="238" w:name="_Toc184313260"/>
      <w:bookmarkEnd w:id="238"/>
      <w:bookmarkStart w:id="239" w:name="_Toc184314451"/>
      <w:bookmarkEnd w:id="239"/>
      <w:bookmarkStart w:id="240" w:name="_Toc184310310"/>
      <w:bookmarkEnd w:id="240"/>
      <w:bookmarkStart w:id="241" w:name="_Toc184312134"/>
      <w:bookmarkEnd w:id="241"/>
      <w:bookmarkStart w:id="242" w:name="_Toc184308061"/>
      <w:bookmarkEnd w:id="242"/>
      <w:bookmarkStart w:id="243" w:name="_Toc184308092"/>
      <w:bookmarkEnd w:id="243"/>
      <w:bookmarkStart w:id="244" w:name="_Toc184312112"/>
      <w:bookmarkEnd w:id="244"/>
      <w:bookmarkStart w:id="245" w:name="_Toc184308042"/>
      <w:bookmarkEnd w:id="245"/>
      <w:bookmarkStart w:id="246" w:name="_Toc184308105"/>
      <w:bookmarkEnd w:id="246"/>
      <w:bookmarkStart w:id="247" w:name="_Toc184310333"/>
      <w:bookmarkEnd w:id="247"/>
      <w:bookmarkStart w:id="248" w:name="_Toc184310337"/>
      <w:bookmarkEnd w:id="248"/>
      <w:bookmarkStart w:id="249" w:name="_Toc184313298"/>
      <w:bookmarkEnd w:id="249"/>
      <w:bookmarkStart w:id="250" w:name="_Toc184308037"/>
      <w:bookmarkEnd w:id="250"/>
      <w:bookmarkStart w:id="251" w:name="_Toc184312088"/>
      <w:bookmarkEnd w:id="251"/>
      <w:bookmarkStart w:id="252" w:name="_Toc184314426"/>
      <w:bookmarkEnd w:id="252"/>
      <w:bookmarkStart w:id="253" w:name="_Toc184312111"/>
      <w:bookmarkEnd w:id="253"/>
      <w:bookmarkStart w:id="254" w:name="_Toc184312135"/>
      <w:bookmarkEnd w:id="254"/>
      <w:bookmarkStart w:id="255" w:name="_Toc184310344"/>
      <w:bookmarkEnd w:id="255"/>
      <w:bookmarkStart w:id="256" w:name="_Toc184314433"/>
      <w:bookmarkEnd w:id="256"/>
      <w:bookmarkStart w:id="257" w:name="_Toc184312137"/>
      <w:bookmarkEnd w:id="257"/>
      <w:bookmarkStart w:id="258" w:name="_Toc184314419"/>
      <w:bookmarkEnd w:id="258"/>
      <w:bookmarkStart w:id="259" w:name="_Toc184312089"/>
      <w:bookmarkEnd w:id="259"/>
      <w:bookmarkStart w:id="260" w:name="_Toc184308104"/>
      <w:bookmarkEnd w:id="260"/>
      <w:bookmarkStart w:id="261" w:name="_Toc184310285"/>
      <w:bookmarkEnd w:id="261"/>
      <w:bookmarkStart w:id="262" w:name="_Toc184313272"/>
      <w:bookmarkEnd w:id="262"/>
      <w:bookmarkStart w:id="263" w:name="_Toc184310321"/>
      <w:bookmarkEnd w:id="263"/>
      <w:bookmarkStart w:id="264" w:name="_Toc184310273"/>
      <w:bookmarkEnd w:id="264"/>
      <w:bookmarkStart w:id="265" w:name="_Toc184312078"/>
      <w:bookmarkEnd w:id="265"/>
      <w:bookmarkStart w:id="266" w:name="_Toc184314459"/>
      <w:bookmarkEnd w:id="266"/>
      <w:bookmarkStart w:id="267" w:name="_Toc184308080"/>
      <w:bookmarkEnd w:id="267"/>
      <w:bookmarkStart w:id="268" w:name="_Toc184308084"/>
      <w:bookmarkEnd w:id="268"/>
      <w:bookmarkStart w:id="269" w:name="_Toc184310295"/>
      <w:bookmarkEnd w:id="269"/>
      <w:bookmarkStart w:id="270" w:name="_Toc184308087"/>
      <w:bookmarkEnd w:id="270"/>
      <w:bookmarkStart w:id="271" w:name="_Toc184312104"/>
      <w:bookmarkEnd w:id="271"/>
      <w:bookmarkStart w:id="272" w:name="_Toc184313288"/>
      <w:bookmarkEnd w:id="272"/>
      <w:bookmarkStart w:id="273" w:name="_Toc184308074"/>
      <w:bookmarkEnd w:id="273"/>
      <w:bookmarkStart w:id="274" w:name="_Toc184314460"/>
      <w:bookmarkEnd w:id="274"/>
      <w:bookmarkStart w:id="275" w:name="_Toc184308090"/>
      <w:bookmarkEnd w:id="275"/>
      <w:bookmarkStart w:id="276" w:name="_Toc184313292"/>
      <w:bookmarkEnd w:id="276"/>
      <w:bookmarkStart w:id="277" w:name="_Toc184313290"/>
      <w:bookmarkEnd w:id="277"/>
      <w:bookmarkStart w:id="278" w:name="_Toc184314421"/>
      <w:bookmarkEnd w:id="278"/>
      <w:bookmarkStart w:id="279" w:name="_Toc184308060"/>
      <w:bookmarkEnd w:id="279"/>
      <w:bookmarkStart w:id="280" w:name="_Toc184310283"/>
      <w:bookmarkEnd w:id="280"/>
      <w:bookmarkStart w:id="281" w:name="_Toc184313294"/>
      <w:bookmarkEnd w:id="281"/>
      <w:bookmarkStart w:id="282" w:name="_Toc184314411"/>
      <w:bookmarkEnd w:id="282"/>
      <w:bookmarkStart w:id="283" w:name="_Toc184314468"/>
      <w:bookmarkEnd w:id="283"/>
      <w:bookmarkStart w:id="284" w:name="_Toc184310311"/>
      <w:bookmarkEnd w:id="284"/>
      <w:bookmarkStart w:id="285" w:name="_Toc184310293"/>
      <w:bookmarkEnd w:id="285"/>
      <w:bookmarkStart w:id="286" w:name="_Toc184314453"/>
      <w:bookmarkEnd w:id="286"/>
      <w:bookmarkStart w:id="287" w:name="_Toc184312123"/>
      <w:bookmarkEnd w:id="287"/>
      <w:bookmarkStart w:id="288" w:name="_Toc184310275"/>
      <w:bookmarkEnd w:id="288"/>
      <w:bookmarkStart w:id="289" w:name="_Toc184308065"/>
      <w:bookmarkEnd w:id="289"/>
      <w:bookmarkStart w:id="290" w:name="_Toc184314469"/>
      <w:bookmarkEnd w:id="290"/>
      <w:bookmarkStart w:id="291" w:name="_Toc184313263"/>
      <w:bookmarkEnd w:id="291"/>
      <w:bookmarkStart w:id="292" w:name="_Toc184310277"/>
      <w:bookmarkEnd w:id="292"/>
      <w:bookmarkStart w:id="293" w:name="_Toc184312107"/>
      <w:bookmarkEnd w:id="293"/>
      <w:bookmarkStart w:id="294" w:name="_Toc184313307"/>
      <w:bookmarkEnd w:id="294"/>
      <w:bookmarkStart w:id="295" w:name="_Toc184314442"/>
      <w:bookmarkEnd w:id="295"/>
      <w:bookmarkStart w:id="296" w:name="_Toc184308053"/>
      <w:bookmarkEnd w:id="296"/>
      <w:bookmarkStart w:id="297" w:name="_Toc184310304"/>
      <w:bookmarkEnd w:id="297"/>
      <w:bookmarkStart w:id="298" w:name="_Toc184314440"/>
      <w:bookmarkEnd w:id="298"/>
      <w:bookmarkStart w:id="299" w:name="_Toc184308055"/>
      <w:bookmarkEnd w:id="299"/>
      <w:bookmarkStart w:id="300" w:name="_Toc184314446"/>
      <w:bookmarkEnd w:id="300"/>
      <w:bookmarkStart w:id="301" w:name="_Toc184312092"/>
      <w:bookmarkEnd w:id="301"/>
      <w:bookmarkStart w:id="302" w:name="_Toc184312130"/>
      <w:bookmarkEnd w:id="302"/>
      <w:bookmarkStart w:id="303" w:name="_Toc184314425"/>
      <w:bookmarkEnd w:id="303"/>
      <w:bookmarkStart w:id="304" w:name="_Toc184312099"/>
      <w:bookmarkEnd w:id="304"/>
      <w:bookmarkStart w:id="305" w:name="_Toc184308063"/>
      <w:bookmarkEnd w:id="305"/>
      <w:bookmarkStart w:id="306" w:name="_Toc184312105"/>
      <w:bookmarkEnd w:id="306"/>
      <w:bookmarkStart w:id="307" w:name="_Toc184312086"/>
      <w:bookmarkEnd w:id="307"/>
      <w:bookmarkStart w:id="308" w:name="_Toc184312121"/>
      <w:bookmarkEnd w:id="308"/>
      <w:bookmarkStart w:id="309" w:name="_Toc184308051"/>
      <w:bookmarkEnd w:id="309"/>
      <w:bookmarkStart w:id="310" w:name="_Toc184308103"/>
      <w:bookmarkEnd w:id="310"/>
      <w:bookmarkStart w:id="311" w:name="_Toc184314458"/>
      <w:bookmarkEnd w:id="311"/>
      <w:bookmarkStart w:id="312" w:name="_Toc184310302"/>
      <w:bookmarkEnd w:id="312"/>
      <w:bookmarkStart w:id="313" w:name="_Toc184308069"/>
      <w:bookmarkEnd w:id="313"/>
      <w:bookmarkStart w:id="314" w:name="_Toc184314474"/>
      <w:bookmarkEnd w:id="314"/>
      <w:bookmarkStart w:id="315" w:name="_Toc184313269"/>
      <w:bookmarkEnd w:id="315"/>
      <w:bookmarkStart w:id="316" w:name="_Toc184312082"/>
      <w:bookmarkEnd w:id="316"/>
      <w:bookmarkStart w:id="317" w:name="_Toc184310306"/>
      <w:bookmarkEnd w:id="317"/>
      <w:bookmarkStart w:id="318" w:name="_Toc184310340"/>
      <w:bookmarkEnd w:id="318"/>
      <w:bookmarkStart w:id="319" w:name="_Toc184314448"/>
      <w:bookmarkEnd w:id="319"/>
      <w:bookmarkStart w:id="320" w:name="_Toc184310312"/>
      <w:bookmarkEnd w:id="320"/>
      <w:bookmarkStart w:id="321" w:name="_Toc184314465"/>
      <w:bookmarkEnd w:id="321"/>
      <w:bookmarkStart w:id="322" w:name="_Toc184313238"/>
      <w:bookmarkEnd w:id="322"/>
      <w:bookmarkStart w:id="323" w:name="_Toc184310279"/>
      <w:bookmarkEnd w:id="323"/>
      <w:bookmarkStart w:id="324" w:name="_Toc184314410"/>
      <w:bookmarkEnd w:id="324"/>
      <w:bookmarkStart w:id="325" w:name="_Toc184313255"/>
      <w:bookmarkEnd w:id="325"/>
      <w:bookmarkStart w:id="326" w:name="_Toc184312129"/>
      <w:bookmarkEnd w:id="326"/>
      <w:bookmarkStart w:id="327" w:name="_Toc184314467"/>
      <w:bookmarkEnd w:id="327"/>
      <w:bookmarkStart w:id="328" w:name="_Toc184308086"/>
      <w:bookmarkEnd w:id="328"/>
      <w:bookmarkStart w:id="329" w:name="_Toc184312102"/>
      <w:bookmarkEnd w:id="329"/>
      <w:bookmarkStart w:id="330" w:name="_Toc184308046"/>
      <w:bookmarkEnd w:id="330"/>
      <w:bookmarkStart w:id="331" w:name="_Toc184313286"/>
      <w:bookmarkEnd w:id="331"/>
      <w:bookmarkStart w:id="332" w:name="_Toc184310341"/>
      <w:bookmarkEnd w:id="332"/>
      <w:bookmarkStart w:id="333" w:name="_Toc184310329"/>
      <w:bookmarkEnd w:id="333"/>
      <w:bookmarkStart w:id="334" w:name="_Toc184312113"/>
      <w:bookmarkEnd w:id="334"/>
      <w:bookmarkStart w:id="335" w:name="_Toc184308094"/>
      <w:bookmarkEnd w:id="335"/>
      <w:bookmarkStart w:id="336" w:name="_Toc184313282"/>
      <w:bookmarkEnd w:id="336"/>
      <w:bookmarkStart w:id="337" w:name="_Toc184314437"/>
      <w:bookmarkEnd w:id="337"/>
      <w:bookmarkStart w:id="338" w:name="_Toc184313281"/>
      <w:bookmarkEnd w:id="338"/>
      <w:bookmarkStart w:id="339" w:name="_Toc184312073"/>
      <w:bookmarkEnd w:id="339"/>
      <w:bookmarkStart w:id="340" w:name="_Toc184313275"/>
      <w:bookmarkEnd w:id="340"/>
      <w:bookmarkStart w:id="341" w:name="_Toc184310276"/>
      <w:bookmarkEnd w:id="341"/>
      <w:bookmarkStart w:id="342" w:name="_Toc184312091"/>
      <w:bookmarkEnd w:id="342"/>
      <w:bookmarkStart w:id="343" w:name="_Toc184313297"/>
      <w:bookmarkEnd w:id="343"/>
      <w:bookmarkStart w:id="344" w:name="_Toc184313250"/>
      <w:bookmarkEnd w:id="344"/>
      <w:bookmarkStart w:id="345" w:name="_Toc184308057"/>
      <w:bookmarkEnd w:id="345"/>
      <w:bookmarkStart w:id="346" w:name="_Toc184314449"/>
      <w:bookmarkEnd w:id="346"/>
      <w:bookmarkStart w:id="347" w:name="_Toc184308107"/>
      <w:bookmarkEnd w:id="347"/>
      <w:bookmarkStart w:id="348" w:name="_Toc184314417"/>
      <w:bookmarkEnd w:id="348"/>
      <w:bookmarkStart w:id="349" w:name="_Toc184310296"/>
      <w:bookmarkEnd w:id="349"/>
      <w:bookmarkStart w:id="350" w:name="_Toc184312096"/>
      <w:bookmarkEnd w:id="350"/>
      <w:bookmarkStart w:id="351" w:name="_Toc184310326"/>
      <w:bookmarkEnd w:id="351"/>
      <w:bookmarkStart w:id="352" w:name="_Toc184308038"/>
      <w:bookmarkEnd w:id="352"/>
      <w:bookmarkStart w:id="353" w:name="_Toc184314415"/>
      <w:bookmarkEnd w:id="353"/>
      <w:bookmarkStart w:id="354" w:name="_Toc184314434"/>
      <w:bookmarkEnd w:id="354"/>
      <w:bookmarkStart w:id="355" w:name="_Toc184313248"/>
      <w:bookmarkEnd w:id="355"/>
      <w:bookmarkStart w:id="356" w:name="_Toc184314481"/>
      <w:bookmarkEnd w:id="356"/>
      <w:bookmarkStart w:id="357" w:name="_Toc184308078"/>
      <w:bookmarkEnd w:id="357"/>
      <w:bookmarkStart w:id="358" w:name="_Toc184313279"/>
      <w:bookmarkEnd w:id="358"/>
      <w:bookmarkStart w:id="359" w:name="_Toc184314479"/>
      <w:bookmarkEnd w:id="359"/>
      <w:bookmarkStart w:id="360" w:name="_Toc184310328"/>
      <w:bookmarkEnd w:id="360"/>
      <w:bookmarkStart w:id="361" w:name="_Toc184312124"/>
      <w:bookmarkEnd w:id="361"/>
      <w:bookmarkStart w:id="362" w:name="_Toc184310290"/>
      <w:bookmarkEnd w:id="362"/>
      <w:bookmarkStart w:id="363" w:name="_Toc184308082"/>
      <w:bookmarkEnd w:id="363"/>
      <w:bookmarkStart w:id="364" w:name="_Toc184310327"/>
      <w:bookmarkEnd w:id="364"/>
      <w:bookmarkStart w:id="365" w:name="_Toc184310278"/>
      <w:bookmarkEnd w:id="365"/>
      <w:bookmarkStart w:id="366" w:name="_Toc184313283"/>
      <w:bookmarkEnd w:id="366"/>
      <w:bookmarkStart w:id="367" w:name="_Toc184312125"/>
      <w:bookmarkEnd w:id="367"/>
      <w:bookmarkStart w:id="368" w:name="_Toc184313306"/>
      <w:bookmarkEnd w:id="368"/>
      <w:bookmarkStart w:id="369" w:name="_Toc184308070"/>
      <w:bookmarkEnd w:id="369"/>
      <w:bookmarkStart w:id="370" w:name="_Toc184313257"/>
      <w:bookmarkEnd w:id="370"/>
      <w:bookmarkStart w:id="371" w:name="_Toc184312126"/>
      <w:bookmarkEnd w:id="371"/>
      <w:bookmarkStart w:id="372" w:name="_Toc184308054"/>
      <w:bookmarkEnd w:id="372"/>
      <w:bookmarkStart w:id="373" w:name="_Toc184314476"/>
      <w:bookmarkEnd w:id="373"/>
      <w:bookmarkStart w:id="374" w:name="_Toc184312117"/>
      <w:bookmarkEnd w:id="374"/>
      <w:bookmarkStart w:id="375" w:name="_Toc184308099"/>
      <w:bookmarkEnd w:id="375"/>
      <w:bookmarkStart w:id="376" w:name="_Toc184312119"/>
      <w:bookmarkEnd w:id="376"/>
      <w:bookmarkStart w:id="377" w:name="_Toc184312128"/>
      <w:bookmarkEnd w:id="377"/>
      <w:bookmarkStart w:id="378" w:name="_Toc184314427"/>
      <w:bookmarkEnd w:id="378"/>
      <w:bookmarkStart w:id="379" w:name="_Toc184312090"/>
      <w:bookmarkEnd w:id="379"/>
      <w:bookmarkStart w:id="380" w:name="_Toc184314472"/>
      <w:bookmarkEnd w:id="380"/>
      <w:bookmarkStart w:id="381" w:name="_Toc184308097"/>
      <w:bookmarkEnd w:id="381"/>
      <w:bookmarkStart w:id="382" w:name="_Toc184314432"/>
      <w:bookmarkEnd w:id="382"/>
      <w:bookmarkStart w:id="383" w:name="_Toc184308045"/>
      <w:bookmarkEnd w:id="383"/>
      <w:bookmarkStart w:id="384" w:name="_Toc184313264"/>
      <w:bookmarkEnd w:id="384"/>
      <w:bookmarkStart w:id="385" w:name="_Toc184308059"/>
      <w:bookmarkEnd w:id="385"/>
      <w:bookmarkStart w:id="386" w:name="_Toc184308076"/>
      <w:bookmarkEnd w:id="386"/>
      <w:bookmarkStart w:id="387" w:name="_Toc184314477"/>
      <w:bookmarkEnd w:id="387"/>
      <w:bookmarkStart w:id="388" w:name="_Toc184314478"/>
      <w:bookmarkEnd w:id="388"/>
      <w:bookmarkStart w:id="389" w:name="_Toc184310320"/>
      <w:bookmarkEnd w:id="389"/>
      <w:bookmarkStart w:id="390" w:name="_Toc184310280"/>
      <w:bookmarkEnd w:id="390"/>
      <w:bookmarkStart w:id="391" w:name="_Toc184310274"/>
      <w:bookmarkEnd w:id="391"/>
      <w:bookmarkStart w:id="392" w:name="_Toc184313285"/>
      <w:bookmarkEnd w:id="392"/>
      <w:r>
        <w:rPr>
          <w:rFonts w:hint="eastAsia" w:ascii="宋体" w:hAnsi="宋体" w:cs="宋体"/>
          <w:b/>
          <w:color w:val="auto"/>
          <w:sz w:val="36"/>
          <w:szCs w:val="36"/>
          <w:highlight w:val="none"/>
        </w:rPr>
        <w:t>评标办法</w:t>
      </w:r>
    </w:p>
    <w:p w14:paraId="4DD806A7">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103"/>
        <w:gridCol w:w="747"/>
        <w:gridCol w:w="812"/>
        <w:gridCol w:w="1299"/>
      </w:tblGrid>
      <w:tr w14:paraId="2A3F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3D83E855">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序号</w:t>
            </w:r>
          </w:p>
        </w:tc>
        <w:tc>
          <w:tcPr>
            <w:tcW w:w="5103" w:type="dxa"/>
            <w:vAlign w:val="center"/>
          </w:tcPr>
          <w:p w14:paraId="76274F08">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评标标准</w:t>
            </w:r>
          </w:p>
        </w:tc>
        <w:tc>
          <w:tcPr>
            <w:tcW w:w="747" w:type="dxa"/>
            <w:vAlign w:val="center"/>
          </w:tcPr>
          <w:p w14:paraId="130F165A">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最高分值</w:t>
            </w:r>
          </w:p>
        </w:tc>
        <w:tc>
          <w:tcPr>
            <w:tcW w:w="812" w:type="dxa"/>
            <w:vAlign w:val="center"/>
          </w:tcPr>
          <w:p w14:paraId="04AEA3C3">
            <w:pPr>
              <w:snapToGrid w:val="0"/>
              <w:spacing w:line="360" w:lineRule="auto"/>
              <w:jc w:val="center"/>
              <w:rPr>
                <w:rFonts w:ascii="新宋体" w:hAnsi="新宋体" w:eastAsia="新宋体" w:cs="新宋体"/>
                <w:bCs/>
                <w:color w:val="auto"/>
                <w:kern w:val="0"/>
                <w:sz w:val="24"/>
                <w:highlight w:val="none"/>
              </w:rPr>
            </w:pPr>
            <w:r>
              <w:rPr>
                <w:rFonts w:hint="eastAsia" w:ascii="新宋体" w:hAnsi="新宋体" w:eastAsia="新宋体" w:cs="新宋体"/>
                <w:bCs/>
                <w:color w:val="auto"/>
                <w:kern w:val="0"/>
                <w:sz w:val="24"/>
                <w:highlight w:val="none"/>
              </w:rPr>
              <w:t>主观分/客观分属性</w:t>
            </w:r>
          </w:p>
        </w:tc>
        <w:tc>
          <w:tcPr>
            <w:tcW w:w="1299" w:type="dxa"/>
          </w:tcPr>
          <w:p w14:paraId="7963ABC1">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bCs/>
                <w:color w:val="auto"/>
                <w:kern w:val="0"/>
                <w:sz w:val="24"/>
                <w:highlight w:val="none"/>
              </w:rPr>
              <w:t>投标文件中评标标准相应的商务技术资料目录*</w:t>
            </w:r>
          </w:p>
        </w:tc>
      </w:tr>
      <w:tr w14:paraId="6A40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735DA694">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1</w:t>
            </w:r>
          </w:p>
        </w:tc>
        <w:tc>
          <w:tcPr>
            <w:tcW w:w="5103" w:type="dxa"/>
            <w:vAlign w:val="center"/>
          </w:tcPr>
          <w:p w14:paraId="431E39C8">
            <w:p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 xml:space="preserve">    根据本项目物业使用特点提出合理的物业管理服务理念、服务定位和服务目标。</w:t>
            </w:r>
          </w:p>
          <w:p w14:paraId="73843BEA">
            <w:pPr>
              <w:snapToGrid w:val="0"/>
              <w:spacing w:line="360" w:lineRule="auto"/>
              <w:rPr>
                <w:rFonts w:ascii="新宋体" w:hAnsi="新宋体" w:eastAsia="新宋体" w:cs="新宋体"/>
                <w:color w:val="auto"/>
                <w:kern w:val="0"/>
                <w:sz w:val="24"/>
                <w:highlight w:val="none"/>
              </w:rPr>
            </w:pPr>
            <w:r>
              <w:rPr>
                <w:rFonts w:hint="eastAsia" w:ascii="黑体" w:hAnsi="黑体" w:eastAsia="黑体" w:cs="黑体"/>
                <w:color w:val="auto"/>
                <w:kern w:val="0"/>
                <w:sz w:val="20"/>
                <w:szCs w:val="21"/>
                <w:highlight w:val="none"/>
              </w:rPr>
              <w:t xml:space="preserve">    全部符合得</w:t>
            </w:r>
            <w:r>
              <w:rPr>
                <w:rFonts w:ascii="黑体" w:hAnsi="黑体" w:eastAsia="黑体" w:cs="黑体"/>
                <w:color w:val="auto"/>
                <w:kern w:val="0"/>
                <w:sz w:val="20"/>
                <w:szCs w:val="21"/>
                <w:highlight w:val="none"/>
              </w:rPr>
              <w:t>1</w:t>
            </w:r>
            <w:r>
              <w:rPr>
                <w:rFonts w:hint="eastAsia" w:ascii="黑体" w:hAnsi="黑体" w:eastAsia="黑体" w:cs="黑体"/>
                <w:color w:val="auto"/>
                <w:kern w:val="0"/>
                <w:sz w:val="20"/>
                <w:szCs w:val="21"/>
                <w:highlight w:val="none"/>
              </w:rPr>
              <w:t>分，部分符合得</w:t>
            </w:r>
            <w:r>
              <w:rPr>
                <w:rFonts w:ascii="黑体" w:hAnsi="黑体" w:eastAsia="黑体" w:cs="黑体"/>
                <w:color w:val="auto"/>
                <w:kern w:val="0"/>
                <w:sz w:val="20"/>
                <w:szCs w:val="21"/>
                <w:highlight w:val="none"/>
              </w:rPr>
              <w:t>0.5</w:t>
            </w:r>
            <w:r>
              <w:rPr>
                <w:rFonts w:hint="eastAsia" w:ascii="黑体" w:hAnsi="黑体" w:eastAsia="黑体" w:cs="黑体"/>
                <w:color w:val="auto"/>
                <w:kern w:val="0"/>
                <w:sz w:val="20"/>
                <w:szCs w:val="21"/>
                <w:highlight w:val="none"/>
              </w:rPr>
              <w:t>分，不符合不得分。内容完整合理、有针对性，视为符合要求，此项最高</w:t>
            </w:r>
            <w:r>
              <w:rPr>
                <w:rFonts w:ascii="黑体" w:hAnsi="黑体" w:eastAsia="黑体" w:cs="黑体"/>
                <w:color w:val="auto"/>
                <w:kern w:val="0"/>
                <w:sz w:val="20"/>
                <w:szCs w:val="21"/>
                <w:highlight w:val="none"/>
              </w:rPr>
              <w:t>1</w:t>
            </w:r>
            <w:r>
              <w:rPr>
                <w:rFonts w:hint="eastAsia" w:ascii="黑体" w:hAnsi="黑体" w:eastAsia="黑体" w:cs="黑体"/>
                <w:color w:val="auto"/>
                <w:kern w:val="0"/>
                <w:sz w:val="20"/>
                <w:szCs w:val="21"/>
                <w:highlight w:val="none"/>
              </w:rPr>
              <w:t>分。</w:t>
            </w:r>
          </w:p>
        </w:tc>
        <w:tc>
          <w:tcPr>
            <w:tcW w:w="747" w:type="dxa"/>
            <w:vAlign w:val="center"/>
          </w:tcPr>
          <w:p w14:paraId="41928D18">
            <w:pPr>
              <w:snapToGrid w:val="0"/>
              <w:spacing w:line="360" w:lineRule="auto"/>
              <w:jc w:val="center"/>
              <w:rPr>
                <w:rFonts w:ascii="新宋体" w:hAnsi="新宋体" w:eastAsia="新宋体" w:cs="新宋体"/>
                <w:color w:val="auto"/>
                <w:kern w:val="0"/>
                <w:sz w:val="24"/>
                <w:highlight w:val="none"/>
              </w:rPr>
            </w:pPr>
            <w:r>
              <w:rPr>
                <w:rFonts w:ascii="新宋体" w:hAnsi="新宋体" w:eastAsia="新宋体" w:cs="新宋体"/>
                <w:color w:val="auto"/>
                <w:kern w:val="0"/>
                <w:sz w:val="24"/>
                <w:highlight w:val="none"/>
              </w:rPr>
              <w:t>1</w:t>
            </w:r>
          </w:p>
        </w:tc>
        <w:tc>
          <w:tcPr>
            <w:tcW w:w="812" w:type="dxa"/>
            <w:vAlign w:val="center"/>
          </w:tcPr>
          <w:p w14:paraId="457A1688">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主观分</w:t>
            </w:r>
          </w:p>
        </w:tc>
        <w:tc>
          <w:tcPr>
            <w:tcW w:w="1299" w:type="dxa"/>
            <w:vAlign w:val="center"/>
          </w:tcPr>
          <w:p w14:paraId="282F3D3F">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服务理念、定位、目标</w:t>
            </w:r>
          </w:p>
        </w:tc>
      </w:tr>
      <w:tr w14:paraId="4B7D5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37131E58">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2</w:t>
            </w:r>
          </w:p>
        </w:tc>
        <w:tc>
          <w:tcPr>
            <w:tcW w:w="5103" w:type="dxa"/>
            <w:vAlign w:val="center"/>
          </w:tcPr>
          <w:p w14:paraId="7FFA840D">
            <w:pPr>
              <w:numPr>
                <w:ilvl w:val="0"/>
                <w:numId w:val="20"/>
              </w:numPr>
              <w:tabs>
                <w:tab w:val="left" w:pos="425"/>
              </w:tabs>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针对本项目有比较完善的组织架构（0-</w:t>
            </w:r>
            <w:r>
              <w:rPr>
                <w:rFonts w:ascii="新宋体" w:hAnsi="新宋体" w:eastAsia="新宋体" w:cs="新宋体"/>
                <w:color w:val="auto"/>
                <w:kern w:val="0"/>
                <w:sz w:val="24"/>
                <w:highlight w:val="none"/>
              </w:rPr>
              <w:t>1</w:t>
            </w:r>
            <w:r>
              <w:rPr>
                <w:rFonts w:hint="eastAsia" w:ascii="新宋体" w:hAnsi="新宋体" w:eastAsia="新宋体" w:cs="新宋体"/>
                <w:color w:val="auto"/>
                <w:kern w:val="0"/>
                <w:sz w:val="24"/>
                <w:highlight w:val="none"/>
              </w:rPr>
              <w:t>分）；</w:t>
            </w:r>
          </w:p>
          <w:p w14:paraId="075195C0">
            <w:pPr>
              <w:numPr>
                <w:ilvl w:val="0"/>
                <w:numId w:val="20"/>
              </w:numPr>
              <w:tabs>
                <w:tab w:val="left" w:pos="425"/>
              </w:tabs>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清晰简练地列出主要管理流程，包括：运作流程图、信息反馈及处理运作流程图、投诉处理运作流程图、紧急情况处理运作流程图（0-</w:t>
            </w:r>
            <w:r>
              <w:rPr>
                <w:rFonts w:ascii="新宋体" w:hAnsi="新宋体" w:eastAsia="新宋体" w:cs="新宋体"/>
                <w:color w:val="auto"/>
                <w:kern w:val="0"/>
                <w:sz w:val="24"/>
                <w:highlight w:val="none"/>
              </w:rPr>
              <w:t>1</w:t>
            </w:r>
            <w:r>
              <w:rPr>
                <w:rFonts w:hint="eastAsia" w:ascii="新宋体" w:hAnsi="新宋体" w:eastAsia="新宋体" w:cs="新宋体"/>
                <w:color w:val="auto"/>
                <w:kern w:val="0"/>
                <w:sz w:val="24"/>
                <w:highlight w:val="none"/>
              </w:rPr>
              <w:t>分）；</w:t>
            </w:r>
          </w:p>
          <w:p w14:paraId="28B585D8">
            <w:pPr>
              <w:numPr>
                <w:ilvl w:val="0"/>
                <w:numId w:val="20"/>
              </w:numPr>
              <w:tabs>
                <w:tab w:val="left" w:pos="425"/>
              </w:tabs>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列出主要管理机制，包括：激励机制、监督机制、自我约束机制（0-</w:t>
            </w:r>
            <w:r>
              <w:rPr>
                <w:rFonts w:ascii="新宋体" w:hAnsi="新宋体" w:eastAsia="新宋体" w:cs="新宋体"/>
                <w:color w:val="auto"/>
                <w:kern w:val="0"/>
                <w:sz w:val="24"/>
                <w:highlight w:val="none"/>
              </w:rPr>
              <w:t>1</w:t>
            </w:r>
            <w:r>
              <w:rPr>
                <w:rFonts w:hint="eastAsia" w:ascii="新宋体" w:hAnsi="新宋体" w:eastAsia="新宋体" w:cs="新宋体"/>
                <w:color w:val="auto"/>
                <w:kern w:val="0"/>
                <w:sz w:val="24"/>
                <w:highlight w:val="none"/>
              </w:rPr>
              <w:t>分）；</w:t>
            </w:r>
          </w:p>
          <w:p w14:paraId="09151E6A">
            <w:pPr>
              <w:snapToGrid w:val="0"/>
              <w:spacing w:line="360" w:lineRule="auto"/>
              <w:rPr>
                <w:rFonts w:ascii="新宋体" w:hAnsi="新宋体" w:eastAsia="新宋体" w:cs="新宋体"/>
                <w:color w:val="auto"/>
                <w:kern w:val="0"/>
                <w:sz w:val="24"/>
                <w:highlight w:val="none"/>
              </w:rPr>
            </w:pPr>
            <w:r>
              <w:rPr>
                <w:rFonts w:hint="eastAsia" w:ascii="黑体" w:hAnsi="黑体" w:eastAsia="黑体" w:cs="黑体"/>
                <w:color w:val="auto"/>
                <w:kern w:val="0"/>
                <w:sz w:val="20"/>
                <w:szCs w:val="21"/>
                <w:highlight w:val="none"/>
              </w:rPr>
              <w:t xml:space="preserve">    每小点内容全部符合得</w:t>
            </w:r>
            <w:r>
              <w:rPr>
                <w:rFonts w:ascii="黑体" w:hAnsi="黑体" w:eastAsia="黑体" w:cs="黑体"/>
                <w:color w:val="auto"/>
                <w:kern w:val="0"/>
                <w:sz w:val="20"/>
                <w:szCs w:val="21"/>
                <w:highlight w:val="none"/>
              </w:rPr>
              <w:t>1</w:t>
            </w:r>
            <w:r>
              <w:rPr>
                <w:rFonts w:hint="eastAsia" w:ascii="黑体" w:hAnsi="黑体" w:eastAsia="黑体" w:cs="黑体"/>
                <w:color w:val="auto"/>
                <w:kern w:val="0"/>
                <w:sz w:val="20"/>
                <w:szCs w:val="21"/>
                <w:highlight w:val="none"/>
              </w:rPr>
              <w:t>分，部分符合得</w:t>
            </w:r>
            <w:r>
              <w:rPr>
                <w:rFonts w:ascii="黑体" w:hAnsi="黑体" w:eastAsia="黑体" w:cs="黑体"/>
                <w:color w:val="auto"/>
                <w:kern w:val="0"/>
                <w:sz w:val="20"/>
                <w:szCs w:val="21"/>
                <w:highlight w:val="none"/>
              </w:rPr>
              <w:t>0.5</w:t>
            </w:r>
            <w:r>
              <w:rPr>
                <w:rFonts w:hint="eastAsia" w:ascii="黑体" w:hAnsi="黑体" w:eastAsia="黑体" w:cs="黑体"/>
                <w:color w:val="auto"/>
                <w:kern w:val="0"/>
                <w:sz w:val="20"/>
                <w:szCs w:val="21"/>
                <w:highlight w:val="none"/>
              </w:rPr>
              <w:t>分，不符合不得分。内容完整合理、有针对性视为符合要求。</w:t>
            </w:r>
          </w:p>
        </w:tc>
        <w:tc>
          <w:tcPr>
            <w:tcW w:w="747" w:type="dxa"/>
            <w:vAlign w:val="center"/>
          </w:tcPr>
          <w:p w14:paraId="67487DE9">
            <w:pPr>
              <w:snapToGrid w:val="0"/>
              <w:spacing w:line="360" w:lineRule="auto"/>
              <w:jc w:val="center"/>
              <w:rPr>
                <w:rFonts w:ascii="新宋体" w:hAnsi="新宋体" w:eastAsia="新宋体" w:cs="新宋体"/>
                <w:color w:val="auto"/>
                <w:kern w:val="0"/>
                <w:sz w:val="24"/>
                <w:highlight w:val="none"/>
              </w:rPr>
            </w:pPr>
            <w:r>
              <w:rPr>
                <w:rFonts w:ascii="新宋体" w:hAnsi="新宋体" w:eastAsia="新宋体" w:cs="新宋体"/>
                <w:color w:val="auto"/>
                <w:kern w:val="0"/>
                <w:sz w:val="24"/>
                <w:highlight w:val="none"/>
              </w:rPr>
              <w:t>3</w:t>
            </w:r>
          </w:p>
        </w:tc>
        <w:tc>
          <w:tcPr>
            <w:tcW w:w="812" w:type="dxa"/>
            <w:vAlign w:val="center"/>
          </w:tcPr>
          <w:p w14:paraId="2BB5400D">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主观分</w:t>
            </w:r>
          </w:p>
        </w:tc>
        <w:tc>
          <w:tcPr>
            <w:tcW w:w="1299" w:type="dxa"/>
            <w:vAlign w:val="center"/>
          </w:tcPr>
          <w:p w14:paraId="4AAF4A23">
            <w:pPr>
              <w:widowControl/>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组织架构、管理流程、管理机制</w:t>
            </w:r>
          </w:p>
        </w:tc>
      </w:tr>
      <w:tr w14:paraId="13EC5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3AB2967C">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3</w:t>
            </w:r>
          </w:p>
        </w:tc>
        <w:tc>
          <w:tcPr>
            <w:tcW w:w="5103" w:type="dxa"/>
            <w:vAlign w:val="center"/>
          </w:tcPr>
          <w:p w14:paraId="6E3F9599">
            <w:p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 xml:space="preserve">    具有健全的物业管理制度，体现标准化服务水平，包括：考勤管理制度、财务管理制度、接待投诉制度、培训学习制度、监督考核制度、档案管理制度、各项工作制度（应包含清洁保洁、安保消控管理、绿化养护、工程设备维护、会务服务、运送服务以及采购单位交办的其他工作）。</w:t>
            </w:r>
          </w:p>
          <w:p w14:paraId="6883458C">
            <w:pPr>
              <w:snapToGrid w:val="0"/>
              <w:spacing w:line="360" w:lineRule="auto"/>
              <w:rPr>
                <w:rFonts w:ascii="新宋体" w:hAnsi="新宋体" w:eastAsia="新宋体" w:cs="新宋体"/>
                <w:color w:val="auto"/>
                <w:kern w:val="0"/>
                <w:sz w:val="24"/>
                <w:highlight w:val="none"/>
              </w:rPr>
            </w:pPr>
            <w:r>
              <w:rPr>
                <w:rFonts w:hint="eastAsia" w:ascii="黑体" w:hAnsi="黑体" w:eastAsia="黑体" w:cs="黑体"/>
                <w:color w:val="auto"/>
                <w:kern w:val="0"/>
                <w:sz w:val="20"/>
                <w:szCs w:val="21"/>
                <w:highlight w:val="none"/>
              </w:rPr>
              <w:t xml:space="preserve">    每提供一条符合要求的制度得1分，部分符合得0.5分，不符合不得分。内容完整合理、有针对性视为符合要求。</w:t>
            </w:r>
          </w:p>
        </w:tc>
        <w:tc>
          <w:tcPr>
            <w:tcW w:w="747" w:type="dxa"/>
            <w:vAlign w:val="center"/>
          </w:tcPr>
          <w:p w14:paraId="748EA3E1">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7</w:t>
            </w:r>
          </w:p>
        </w:tc>
        <w:tc>
          <w:tcPr>
            <w:tcW w:w="812" w:type="dxa"/>
            <w:vAlign w:val="center"/>
          </w:tcPr>
          <w:p w14:paraId="5348C4C2">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主观分</w:t>
            </w:r>
          </w:p>
        </w:tc>
        <w:tc>
          <w:tcPr>
            <w:tcW w:w="1299" w:type="dxa"/>
            <w:vAlign w:val="center"/>
          </w:tcPr>
          <w:p w14:paraId="5E3D8667">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管理制度</w:t>
            </w:r>
          </w:p>
        </w:tc>
      </w:tr>
      <w:tr w14:paraId="5044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03E54AB0">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4</w:t>
            </w:r>
          </w:p>
        </w:tc>
        <w:tc>
          <w:tcPr>
            <w:tcW w:w="5103" w:type="dxa"/>
            <w:vAlign w:val="center"/>
          </w:tcPr>
          <w:p w14:paraId="2D105A43">
            <w:pPr>
              <w:snapToGrid w:val="0"/>
              <w:spacing w:line="360" w:lineRule="auto"/>
              <w:ind w:firstLine="480" w:firstLineChars="200"/>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针对本项目的员工培训方案，包括：培训目的、培训内容、培训时间、培训地点、培训者、培训对象、培训方式等。</w:t>
            </w:r>
          </w:p>
          <w:p w14:paraId="7E226D04">
            <w:pPr>
              <w:snapToGrid w:val="0"/>
              <w:spacing w:line="360" w:lineRule="auto"/>
              <w:ind w:firstLine="400" w:firstLineChars="200"/>
              <w:rPr>
                <w:rFonts w:ascii="新宋体" w:hAnsi="新宋体" w:eastAsia="新宋体" w:cs="新宋体"/>
                <w:color w:val="auto"/>
                <w:kern w:val="0"/>
                <w:sz w:val="24"/>
                <w:highlight w:val="none"/>
              </w:rPr>
            </w:pPr>
            <w:r>
              <w:rPr>
                <w:rFonts w:hint="eastAsia" w:ascii="黑体" w:hAnsi="黑体" w:eastAsia="黑体" w:cs="黑体"/>
                <w:color w:val="auto"/>
                <w:kern w:val="0"/>
                <w:sz w:val="20"/>
                <w:szCs w:val="21"/>
                <w:highlight w:val="none"/>
              </w:rPr>
              <w:t>全部符合得</w:t>
            </w:r>
            <w:r>
              <w:rPr>
                <w:rFonts w:ascii="黑体" w:hAnsi="黑体" w:eastAsia="黑体" w:cs="黑体"/>
                <w:color w:val="auto"/>
                <w:kern w:val="0"/>
                <w:sz w:val="20"/>
                <w:szCs w:val="21"/>
                <w:highlight w:val="none"/>
              </w:rPr>
              <w:t>1</w:t>
            </w:r>
            <w:r>
              <w:rPr>
                <w:rFonts w:hint="eastAsia" w:ascii="黑体" w:hAnsi="黑体" w:eastAsia="黑体" w:cs="黑体"/>
                <w:color w:val="auto"/>
                <w:kern w:val="0"/>
                <w:sz w:val="20"/>
                <w:szCs w:val="21"/>
                <w:highlight w:val="none"/>
              </w:rPr>
              <w:t>分，部分符合得0.5分，不符合不得分。内容完整合理、有针对性视为符合要求。</w:t>
            </w:r>
          </w:p>
        </w:tc>
        <w:tc>
          <w:tcPr>
            <w:tcW w:w="747" w:type="dxa"/>
            <w:vAlign w:val="center"/>
          </w:tcPr>
          <w:p w14:paraId="33D618B0">
            <w:pPr>
              <w:snapToGrid w:val="0"/>
              <w:spacing w:line="360" w:lineRule="auto"/>
              <w:jc w:val="center"/>
              <w:rPr>
                <w:rFonts w:ascii="新宋体" w:hAnsi="新宋体" w:eastAsia="新宋体" w:cs="新宋体"/>
                <w:color w:val="auto"/>
                <w:kern w:val="0"/>
                <w:sz w:val="24"/>
                <w:highlight w:val="none"/>
              </w:rPr>
            </w:pPr>
            <w:r>
              <w:rPr>
                <w:rFonts w:ascii="新宋体" w:hAnsi="新宋体" w:eastAsia="新宋体" w:cs="新宋体"/>
                <w:color w:val="auto"/>
                <w:kern w:val="0"/>
                <w:sz w:val="24"/>
                <w:highlight w:val="none"/>
              </w:rPr>
              <w:t>1</w:t>
            </w:r>
          </w:p>
        </w:tc>
        <w:tc>
          <w:tcPr>
            <w:tcW w:w="812" w:type="dxa"/>
            <w:vAlign w:val="center"/>
          </w:tcPr>
          <w:p w14:paraId="7F7130F6">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主观分</w:t>
            </w:r>
          </w:p>
        </w:tc>
        <w:tc>
          <w:tcPr>
            <w:tcW w:w="1299" w:type="dxa"/>
            <w:vAlign w:val="center"/>
          </w:tcPr>
          <w:p w14:paraId="208E2F96">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培训方案</w:t>
            </w:r>
          </w:p>
        </w:tc>
      </w:tr>
      <w:tr w14:paraId="52E3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49D768A1">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5</w:t>
            </w:r>
          </w:p>
        </w:tc>
        <w:tc>
          <w:tcPr>
            <w:tcW w:w="5103" w:type="dxa"/>
            <w:vAlign w:val="center"/>
          </w:tcPr>
          <w:p w14:paraId="60841E8D">
            <w:pPr>
              <w:snapToGrid w:val="0"/>
              <w:spacing w:line="360" w:lineRule="auto"/>
              <w:ind w:firstLine="480" w:firstLineChars="200"/>
              <w:jc w:val="left"/>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详细说明投入的设备、工具、药剂、耗材的环保性和优越性，提供相关设备、工具、材料的品牌、型号、产地、数量等清单（0-1分）；</w:t>
            </w:r>
          </w:p>
          <w:p w14:paraId="6C16B938">
            <w:pPr>
              <w:snapToGrid w:val="0"/>
              <w:spacing w:line="360" w:lineRule="auto"/>
              <w:rPr>
                <w:rFonts w:ascii="新宋体" w:hAnsi="新宋体" w:eastAsia="新宋体" w:cs="新宋体"/>
                <w:color w:val="auto"/>
                <w:kern w:val="0"/>
                <w:sz w:val="24"/>
                <w:highlight w:val="none"/>
              </w:rPr>
            </w:pPr>
            <w:r>
              <w:rPr>
                <w:rFonts w:hint="eastAsia" w:ascii="黑体" w:hAnsi="黑体" w:eastAsia="黑体" w:cs="黑体"/>
                <w:color w:val="auto"/>
                <w:kern w:val="0"/>
                <w:sz w:val="20"/>
                <w:szCs w:val="21"/>
                <w:highlight w:val="none"/>
              </w:rPr>
              <w:t xml:space="preserve">   全部符合得1分，部分符合得0.5分，不符合不得分。内容完整合理、有针对性视为符合要求。</w:t>
            </w:r>
          </w:p>
        </w:tc>
        <w:tc>
          <w:tcPr>
            <w:tcW w:w="747" w:type="dxa"/>
            <w:vAlign w:val="center"/>
          </w:tcPr>
          <w:p w14:paraId="4979676B">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1</w:t>
            </w:r>
          </w:p>
        </w:tc>
        <w:tc>
          <w:tcPr>
            <w:tcW w:w="812" w:type="dxa"/>
            <w:vAlign w:val="center"/>
          </w:tcPr>
          <w:p w14:paraId="6A51C2C9">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主观分</w:t>
            </w:r>
          </w:p>
        </w:tc>
        <w:tc>
          <w:tcPr>
            <w:tcW w:w="1299" w:type="dxa"/>
            <w:vAlign w:val="center"/>
          </w:tcPr>
          <w:p w14:paraId="456EB0FB">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投入的设备、耗材等情况</w:t>
            </w:r>
          </w:p>
        </w:tc>
      </w:tr>
      <w:tr w14:paraId="7DF5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449AC604">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6</w:t>
            </w:r>
          </w:p>
        </w:tc>
        <w:tc>
          <w:tcPr>
            <w:tcW w:w="5103" w:type="dxa"/>
            <w:vAlign w:val="center"/>
          </w:tcPr>
          <w:p w14:paraId="31265D31">
            <w:pPr>
              <w:numPr>
                <w:ilvl w:val="0"/>
                <w:numId w:val="21"/>
              </w:num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室内保洁；</w:t>
            </w:r>
          </w:p>
          <w:p w14:paraId="5E6A6D9E">
            <w:pPr>
              <w:numPr>
                <w:ilvl w:val="0"/>
                <w:numId w:val="21"/>
              </w:num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室外保洁；</w:t>
            </w:r>
          </w:p>
          <w:p w14:paraId="09805AF2">
            <w:pPr>
              <w:numPr>
                <w:ilvl w:val="0"/>
                <w:numId w:val="21"/>
              </w:num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外墙清洁；</w:t>
            </w:r>
          </w:p>
          <w:p w14:paraId="3A4D08F4">
            <w:pPr>
              <w:numPr>
                <w:ilvl w:val="0"/>
                <w:numId w:val="21"/>
              </w:num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设施设备清洁；</w:t>
            </w:r>
          </w:p>
          <w:p w14:paraId="2BEF2572">
            <w:pPr>
              <w:numPr>
                <w:ilvl w:val="0"/>
                <w:numId w:val="21"/>
              </w:num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垃圾分类、处理；</w:t>
            </w:r>
          </w:p>
          <w:p w14:paraId="68C8F4E9">
            <w:pPr>
              <w:numPr>
                <w:ilvl w:val="0"/>
                <w:numId w:val="21"/>
              </w:num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消毒灭害；</w:t>
            </w:r>
          </w:p>
          <w:p w14:paraId="021A3B46">
            <w:pPr>
              <w:numPr>
                <w:ilvl w:val="0"/>
                <w:numId w:val="21"/>
              </w:num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门窗、窗帘清洗，天沟清理；</w:t>
            </w:r>
          </w:p>
          <w:p w14:paraId="4E635884">
            <w:pPr>
              <w:numPr>
                <w:ilvl w:val="0"/>
                <w:numId w:val="21"/>
              </w:num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收发、清洗衣物。</w:t>
            </w:r>
          </w:p>
          <w:p w14:paraId="7278A4FB">
            <w:pPr>
              <w:snapToGrid w:val="0"/>
              <w:spacing w:line="360" w:lineRule="auto"/>
              <w:rPr>
                <w:rFonts w:ascii="新宋体" w:hAnsi="新宋体" w:eastAsia="新宋体" w:cs="新宋体"/>
                <w:color w:val="auto"/>
                <w:kern w:val="0"/>
                <w:sz w:val="24"/>
                <w:highlight w:val="none"/>
              </w:rPr>
            </w:pPr>
            <w:r>
              <w:rPr>
                <w:rFonts w:hint="eastAsia" w:ascii="黑体" w:hAnsi="黑体" w:eastAsia="黑体" w:cs="黑体"/>
                <w:color w:val="auto"/>
                <w:kern w:val="0"/>
                <w:sz w:val="20"/>
                <w:szCs w:val="21"/>
                <w:highlight w:val="none"/>
              </w:rPr>
              <w:t xml:space="preserve">    每小点内容全部符合得 1 分，部分符合得 0.5 分，不符合不得分。内容完整合理、有针对性视为符合要求。</w:t>
            </w:r>
          </w:p>
        </w:tc>
        <w:tc>
          <w:tcPr>
            <w:tcW w:w="747" w:type="dxa"/>
            <w:vAlign w:val="center"/>
          </w:tcPr>
          <w:p w14:paraId="48C92534">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8</w:t>
            </w:r>
          </w:p>
        </w:tc>
        <w:tc>
          <w:tcPr>
            <w:tcW w:w="812" w:type="dxa"/>
            <w:vAlign w:val="center"/>
          </w:tcPr>
          <w:p w14:paraId="7775414A">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主观分</w:t>
            </w:r>
          </w:p>
        </w:tc>
        <w:tc>
          <w:tcPr>
            <w:tcW w:w="1299" w:type="dxa"/>
            <w:vAlign w:val="center"/>
          </w:tcPr>
          <w:p w14:paraId="66DDDDB3">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清洁保洁服务方案</w:t>
            </w:r>
          </w:p>
        </w:tc>
      </w:tr>
      <w:tr w14:paraId="40F0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B2C6379">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7</w:t>
            </w:r>
          </w:p>
        </w:tc>
        <w:tc>
          <w:tcPr>
            <w:tcW w:w="5103" w:type="dxa"/>
            <w:vAlign w:val="center"/>
          </w:tcPr>
          <w:p w14:paraId="48A209B0">
            <w:pPr>
              <w:numPr>
                <w:ilvl w:val="0"/>
                <w:numId w:val="22"/>
              </w:num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人员进出管理；</w:t>
            </w:r>
          </w:p>
          <w:p w14:paraId="48E83BC9">
            <w:pPr>
              <w:numPr>
                <w:ilvl w:val="0"/>
                <w:numId w:val="22"/>
              </w:num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物品进出管理；</w:t>
            </w:r>
          </w:p>
          <w:p w14:paraId="3BDEB10D">
            <w:pPr>
              <w:numPr>
                <w:ilvl w:val="0"/>
                <w:numId w:val="22"/>
              </w:num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车辆管理；</w:t>
            </w:r>
          </w:p>
          <w:p w14:paraId="0F48F4A5">
            <w:pPr>
              <w:numPr>
                <w:ilvl w:val="0"/>
                <w:numId w:val="22"/>
              </w:num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消控、监控设施设备日常使用管理；</w:t>
            </w:r>
          </w:p>
          <w:p w14:paraId="7E12B8AC">
            <w:pPr>
              <w:numPr>
                <w:ilvl w:val="0"/>
                <w:numId w:val="22"/>
              </w:num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重点巡视。</w:t>
            </w:r>
          </w:p>
          <w:p w14:paraId="59D16705">
            <w:pPr>
              <w:widowControl/>
              <w:spacing w:line="360" w:lineRule="auto"/>
              <w:textAlignment w:val="center"/>
              <w:rPr>
                <w:rFonts w:ascii="新宋体" w:hAnsi="新宋体" w:eastAsia="新宋体" w:cs="新宋体"/>
                <w:color w:val="auto"/>
                <w:kern w:val="0"/>
                <w:sz w:val="24"/>
                <w:highlight w:val="none"/>
              </w:rPr>
            </w:pPr>
            <w:r>
              <w:rPr>
                <w:rFonts w:hint="eastAsia" w:ascii="黑体" w:hAnsi="黑体" w:eastAsia="黑体" w:cs="黑体"/>
                <w:color w:val="auto"/>
                <w:kern w:val="0"/>
                <w:sz w:val="20"/>
                <w:szCs w:val="21"/>
                <w:highlight w:val="none"/>
              </w:rPr>
              <w:t xml:space="preserve">   每小点内容全部符合得 1分，部分符合得0.5 分，不符合不得分。内容完整合理、有针对性视为符合要求。</w:t>
            </w:r>
          </w:p>
        </w:tc>
        <w:tc>
          <w:tcPr>
            <w:tcW w:w="747" w:type="dxa"/>
            <w:vAlign w:val="center"/>
          </w:tcPr>
          <w:p w14:paraId="4E7CE6FB">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 xml:space="preserve"> 5</w:t>
            </w:r>
          </w:p>
        </w:tc>
        <w:tc>
          <w:tcPr>
            <w:tcW w:w="812" w:type="dxa"/>
            <w:vAlign w:val="center"/>
          </w:tcPr>
          <w:p w14:paraId="593D4E4B">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主观分</w:t>
            </w:r>
          </w:p>
        </w:tc>
        <w:tc>
          <w:tcPr>
            <w:tcW w:w="1299" w:type="dxa"/>
            <w:vAlign w:val="center"/>
          </w:tcPr>
          <w:p w14:paraId="0C759D41">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公共秩序维护方案</w:t>
            </w:r>
          </w:p>
        </w:tc>
      </w:tr>
      <w:tr w14:paraId="1CBE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5654C84A">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8</w:t>
            </w:r>
          </w:p>
        </w:tc>
        <w:tc>
          <w:tcPr>
            <w:tcW w:w="5103" w:type="dxa"/>
            <w:vAlign w:val="center"/>
          </w:tcPr>
          <w:p w14:paraId="537D249F">
            <w:pPr>
              <w:numPr>
                <w:ilvl w:val="0"/>
                <w:numId w:val="23"/>
              </w:num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定期巡查；</w:t>
            </w:r>
          </w:p>
          <w:p w14:paraId="44BCAA4B">
            <w:pPr>
              <w:numPr>
                <w:ilvl w:val="0"/>
                <w:numId w:val="23"/>
              </w:num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张贴平面疏散示意图、引路标志及控烟标志；</w:t>
            </w:r>
          </w:p>
          <w:p w14:paraId="4D9919D9">
            <w:pPr>
              <w:numPr>
                <w:ilvl w:val="0"/>
                <w:numId w:val="23"/>
              </w:num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定期防火检查；</w:t>
            </w:r>
          </w:p>
          <w:p w14:paraId="118C2189">
            <w:pPr>
              <w:numPr>
                <w:ilvl w:val="0"/>
                <w:numId w:val="23"/>
              </w:num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每年至少组织</w:t>
            </w:r>
            <w:r>
              <w:rPr>
                <w:rFonts w:ascii="新宋体" w:hAnsi="新宋体" w:eastAsia="新宋体" w:cs="新宋体"/>
                <w:color w:val="auto"/>
                <w:kern w:val="0"/>
                <w:sz w:val="24"/>
                <w:highlight w:val="none"/>
              </w:rPr>
              <w:t>2</w:t>
            </w:r>
            <w:r>
              <w:rPr>
                <w:rFonts w:hint="eastAsia" w:ascii="新宋体" w:hAnsi="新宋体" w:eastAsia="新宋体" w:cs="新宋体"/>
                <w:color w:val="auto"/>
                <w:kern w:val="0"/>
                <w:sz w:val="24"/>
                <w:highlight w:val="none"/>
              </w:rPr>
              <w:t>次消防安全培训及消防演练。</w:t>
            </w:r>
          </w:p>
          <w:p w14:paraId="2D0B8015">
            <w:pPr>
              <w:snapToGrid w:val="0"/>
              <w:spacing w:line="360" w:lineRule="auto"/>
              <w:rPr>
                <w:rFonts w:ascii="新宋体" w:hAnsi="新宋体" w:eastAsia="新宋体" w:cs="新宋体"/>
                <w:color w:val="auto"/>
                <w:kern w:val="0"/>
                <w:sz w:val="24"/>
                <w:highlight w:val="none"/>
              </w:rPr>
            </w:pPr>
            <w:r>
              <w:rPr>
                <w:rFonts w:hint="eastAsia" w:ascii="黑体" w:hAnsi="黑体" w:eastAsia="黑体" w:cs="黑体"/>
                <w:color w:val="auto"/>
                <w:kern w:val="0"/>
                <w:sz w:val="20"/>
                <w:szCs w:val="21"/>
                <w:highlight w:val="none"/>
              </w:rPr>
              <w:t xml:space="preserve">    每小点内容全部符合得 1 分，部分符合得0.5分，不符合不得分。内容完整合理、有针对性视为符合要求。</w:t>
            </w:r>
          </w:p>
        </w:tc>
        <w:tc>
          <w:tcPr>
            <w:tcW w:w="747" w:type="dxa"/>
            <w:vAlign w:val="center"/>
          </w:tcPr>
          <w:p w14:paraId="26EDCCE2">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4</w:t>
            </w:r>
          </w:p>
        </w:tc>
        <w:tc>
          <w:tcPr>
            <w:tcW w:w="812" w:type="dxa"/>
            <w:vAlign w:val="center"/>
          </w:tcPr>
          <w:p w14:paraId="4BC20CD3">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主观分</w:t>
            </w:r>
          </w:p>
        </w:tc>
        <w:tc>
          <w:tcPr>
            <w:tcW w:w="1299" w:type="dxa"/>
            <w:vAlign w:val="center"/>
          </w:tcPr>
          <w:p w14:paraId="5CDB5B74">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消控安全管理方案</w:t>
            </w:r>
          </w:p>
        </w:tc>
      </w:tr>
      <w:tr w14:paraId="38F6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49C404C3">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9</w:t>
            </w:r>
          </w:p>
        </w:tc>
        <w:tc>
          <w:tcPr>
            <w:tcW w:w="5103" w:type="dxa"/>
            <w:vAlign w:val="center"/>
          </w:tcPr>
          <w:p w14:paraId="210B22E2">
            <w:pPr>
              <w:numPr>
                <w:ilvl w:val="0"/>
                <w:numId w:val="24"/>
              </w:num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建立突发事件应急预案体系，包括但不限于电梯困人、紧急会议、火警火灾、突发停电、水管破裂、意外伤害、群体性上访、台风、暴雨及雷电等应急预案；</w:t>
            </w:r>
          </w:p>
          <w:p w14:paraId="747D0257">
            <w:pPr>
              <w:widowControl/>
              <w:autoSpaceDE w:val="0"/>
              <w:autoSpaceDN w:val="0"/>
              <w:snapToGrid w:val="0"/>
              <w:spacing w:line="360" w:lineRule="auto"/>
              <w:ind w:firstLine="400"/>
              <w:jc w:val="left"/>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②　突发事件发生时应立即启动应急预案，迅速展开指挥协调、信息报告、紧急处置、秩序维护、抢险救援、后勤保障等工作，并在第一时间内向有关部门汇报处理结果。</w:t>
            </w:r>
          </w:p>
          <w:p w14:paraId="42E3F556">
            <w:pPr>
              <w:numPr>
                <w:ilvl w:val="255"/>
                <w:numId w:val="0"/>
              </w:numPr>
              <w:snapToGrid w:val="0"/>
              <w:spacing w:line="360" w:lineRule="auto"/>
              <w:ind w:left="400"/>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③每年至少组织1次突发事件应急演习。</w:t>
            </w:r>
          </w:p>
          <w:p w14:paraId="72655E99">
            <w:p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 xml:space="preserve">   </w:t>
            </w:r>
            <w:r>
              <w:rPr>
                <w:rFonts w:hint="eastAsia" w:ascii="黑体" w:hAnsi="黑体" w:eastAsia="黑体" w:cs="黑体"/>
                <w:color w:val="auto"/>
                <w:kern w:val="0"/>
                <w:sz w:val="20"/>
                <w:szCs w:val="21"/>
                <w:highlight w:val="none"/>
              </w:rPr>
              <w:t>每小点内容全部符合得1分，部分符合得0.5分，不符合不得分。内容完整合理、有针对性视为符合要求。</w:t>
            </w:r>
          </w:p>
        </w:tc>
        <w:tc>
          <w:tcPr>
            <w:tcW w:w="747" w:type="dxa"/>
            <w:vAlign w:val="center"/>
          </w:tcPr>
          <w:p w14:paraId="108DD814">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3</w:t>
            </w:r>
          </w:p>
        </w:tc>
        <w:tc>
          <w:tcPr>
            <w:tcW w:w="812" w:type="dxa"/>
            <w:vAlign w:val="center"/>
          </w:tcPr>
          <w:p w14:paraId="5C5E3ABF">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主观分</w:t>
            </w:r>
          </w:p>
        </w:tc>
        <w:tc>
          <w:tcPr>
            <w:tcW w:w="1299" w:type="dxa"/>
            <w:vAlign w:val="center"/>
          </w:tcPr>
          <w:p w14:paraId="67FCF9B0">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突发事件处理</w:t>
            </w:r>
          </w:p>
        </w:tc>
      </w:tr>
      <w:tr w14:paraId="5152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A656769">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10</w:t>
            </w:r>
          </w:p>
        </w:tc>
        <w:tc>
          <w:tcPr>
            <w:tcW w:w="5103" w:type="dxa"/>
            <w:vAlign w:val="center"/>
          </w:tcPr>
          <w:p w14:paraId="7AEC226E">
            <w:pPr>
              <w:snapToGrid w:val="0"/>
              <w:spacing w:line="360" w:lineRule="auto"/>
              <w:ind w:firstLine="400"/>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①　绿化日常养护、管理；</w:t>
            </w:r>
          </w:p>
          <w:p w14:paraId="34C806F0">
            <w:pPr>
              <w:snapToGrid w:val="0"/>
              <w:spacing w:line="360" w:lineRule="auto"/>
              <w:ind w:firstLine="400"/>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②　特殊天气巡查、处理，排除安全隐患；</w:t>
            </w:r>
          </w:p>
          <w:p w14:paraId="380DE926">
            <w:pPr>
              <w:snapToGrid w:val="0"/>
              <w:spacing w:line="360" w:lineRule="auto"/>
              <w:ind w:firstLine="400"/>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③　病虫害防治。</w:t>
            </w:r>
          </w:p>
          <w:p w14:paraId="5FB4E732">
            <w:pPr>
              <w:widowControl/>
              <w:autoSpaceDE w:val="0"/>
              <w:autoSpaceDN w:val="0"/>
              <w:snapToGrid w:val="0"/>
              <w:spacing w:line="360" w:lineRule="auto"/>
              <w:textAlignment w:val="baseline"/>
              <w:rPr>
                <w:rFonts w:ascii="新宋体" w:hAnsi="新宋体" w:eastAsia="新宋体" w:cs="新宋体"/>
                <w:color w:val="auto"/>
                <w:kern w:val="0"/>
                <w:sz w:val="24"/>
                <w:highlight w:val="none"/>
              </w:rPr>
            </w:pPr>
            <w:r>
              <w:rPr>
                <w:rFonts w:hint="eastAsia" w:ascii="黑体" w:hAnsi="黑体" w:eastAsia="黑体" w:cs="黑体"/>
                <w:color w:val="auto"/>
                <w:kern w:val="0"/>
                <w:sz w:val="20"/>
                <w:szCs w:val="21"/>
                <w:highlight w:val="none"/>
              </w:rPr>
              <w:t xml:space="preserve">    每小点内容全部符合得1分，部分符合得0.5分，不符合不得分。内容完整合理、有针对性视为符合要求。</w:t>
            </w:r>
          </w:p>
        </w:tc>
        <w:tc>
          <w:tcPr>
            <w:tcW w:w="747" w:type="dxa"/>
            <w:vAlign w:val="center"/>
          </w:tcPr>
          <w:p w14:paraId="51CAEA9A">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3</w:t>
            </w:r>
          </w:p>
        </w:tc>
        <w:tc>
          <w:tcPr>
            <w:tcW w:w="812" w:type="dxa"/>
            <w:vAlign w:val="center"/>
          </w:tcPr>
          <w:p w14:paraId="4189FE46">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主观分</w:t>
            </w:r>
          </w:p>
        </w:tc>
        <w:tc>
          <w:tcPr>
            <w:tcW w:w="1299" w:type="dxa"/>
            <w:vAlign w:val="center"/>
          </w:tcPr>
          <w:p w14:paraId="30447B76">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绿化养护方案</w:t>
            </w:r>
          </w:p>
        </w:tc>
      </w:tr>
      <w:tr w14:paraId="3319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44793DDF">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11</w:t>
            </w:r>
          </w:p>
        </w:tc>
        <w:tc>
          <w:tcPr>
            <w:tcW w:w="5103" w:type="dxa"/>
            <w:vAlign w:val="center"/>
          </w:tcPr>
          <w:p w14:paraId="058C676C">
            <w:pPr>
              <w:numPr>
                <w:ilvl w:val="0"/>
                <w:numId w:val="25"/>
              </w:num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房屋日常维护；</w:t>
            </w:r>
          </w:p>
          <w:p w14:paraId="6CBA1E7B">
            <w:pPr>
              <w:widowControl/>
              <w:numPr>
                <w:ilvl w:val="0"/>
                <w:numId w:val="25"/>
              </w:numPr>
              <w:autoSpaceDE w:val="0"/>
              <w:autoSpaceDN w:val="0"/>
              <w:snapToGrid w:val="0"/>
              <w:spacing w:line="360" w:lineRule="auto"/>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高配房巡视、各类机房设备设施巡检；</w:t>
            </w:r>
          </w:p>
          <w:p w14:paraId="5FEE36BC">
            <w:pPr>
              <w:widowControl/>
              <w:numPr>
                <w:ilvl w:val="0"/>
                <w:numId w:val="25"/>
              </w:numPr>
              <w:autoSpaceDE w:val="0"/>
              <w:autoSpaceDN w:val="0"/>
              <w:snapToGrid w:val="0"/>
              <w:spacing w:line="360" w:lineRule="auto"/>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照明系统、供用电设备设施维护；</w:t>
            </w:r>
          </w:p>
          <w:p w14:paraId="67FD35FC">
            <w:pPr>
              <w:widowControl/>
              <w:numPr>
                <w:ilvl w:val="0"/>
                <w:numId w:val="25"/>
              </w:numPr>
              <w:autoSpaceDE w:val="0"/>
              <w:autoSpaceDN w:val="0"/>
              <w:snapToGrid w:val="0"/>
              <w:spacing w:line="360" w:lineRule="auto"/>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排水系统维护；</w:t>
            </w:r>
          </w:p>
          <w:p w14:paraId="37CAF726">
            <w:pPr>
              <w:widowControl/>
              <w:numPr>
                <w:ilvl w:val="0"/>
                <w:numId w:val="25"/>
              </w:numPr>
              <w:autoSpaceDE w:val="0"/>
              <w:autoSpaceDN w:val="0"/>
              <w:snapToGrid w:val="0"/>
              <w:spacing w:line="360" w:lineRule="auto"/>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水泵、管道养护，每年至少两次水箱清洗，并提供水质检测报告；</w:t>
            </w:r>
          </w:p>
          <w:p w14:paraId="32EB042B">
            <w:pPr>
              <w:widowControl/>
              <w:numPr>
                <w:ilvl w:val="0"/>
                <w:numId w:val="25"/>
              </w:numPr>
              <w:autoSpaceDE w:val="0"/>
              <w:autoSpaceDN w:val="0"/>
              <w:snapToGrid w:val="0"/>
              <w:spacing w:line="360" w:lineRule="auto"/>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智能弱电设备巡检；</w:t>
            </w:r>
          </w:p>
          <w:p w14:paraId="5FB87D64">
            <w:pPr>
              <w:numPr>
                <w:ilvl w:val="0"/>
                <w:numId w:val="25"/>
              </w:num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零星维修、其他大修；</w:t>
            </w:r>
          </w:p>
          <w:p w14:paraId="44A7E18B">
            <w:pPr>
              <w:numPr>
                <w:ilvl w:val="0"/>
                <w:numId w:val="25"/>
              </w:num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等离子空气消毒器清洗。</w:t>
            </w:r>
          </w:p>
          <w:p w14:paraId="11569F4F">
            <w:pPr>
              <w:snapToGrid w:val="0"/>
              <w:spacing w:line="360" w:lineRule="auto"/>
              <w:rPr>
                <w:rFonts w:ascii="新宋体" w:hAnsi="新宋体" w:eastAsia="新宋体" w:cs="新宋体"/>
                <w:color w:val="auto"/>
                <w:kern w:val="0"/>
                <w:sz w:val="24"/>
                <w:highlight w:val="none"/>
              </w:rPr>
            </w:pPr>
            <w:r>
              <w:rPr>
                <w:rFonts w:hint="eastAsia" w:ascii="黑体" w:hAnsi="黑体" w:eastAsia="黑体" w:cs="黑体"/>
                <w:color w:val="auto"/>
                <w:kern w:val="0"/>
                <w:sz w:val="20"/>
                <w:szCs w:val="21"/>
                <w:highlight w:val="none"/>
              </w:rPr>
              <w:t xml:space="preserve">   每小点内容全部符合得1分，部分符合得0.5分，不符合不得分。内容完整合理、有针对性视为符合要求。</w:t>
            </w:r>
          </w:p>
        </w:tc>
        <w:tc>
          <w:tcPr>
            <w:tcW w:w="747" w:type="dxa"/>
            <w:vAlign w:val="center"/>
          </w:tcPr>
          <w:p w14:paraId="2ABD0E58">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8</w:t>
            </w:r>
          </w:p>
        </w:tc>
        <w:tc>
          <w:tcPr>
            <w:tcW w:w="812" w:type="dxa"/>
            <w:vAlign w:val="center"/>
          </w:tcPr>
          <w:p w14:paraId="222CB614">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主观分</w:t>
            </w:r>
          </w:p>
        </w:tc>
        <w:tc>
          <w:tcPr>
            <w:tcW w:w="1299" w:type="dxa"/>
            <w:vAlign w:val="center"/>
          </w:tcPr>
          <w:p w14:paraId="6F21C21A">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工程设备维护方案</w:t>
            </w:r>
          </w:p>
        </w:tc>
      </w:tr>
      <w:tr w14:paraId="50A1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7FCEECB">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12</w:t>
            </w:r>
          </w:p>
        </w:tc>
        <w:tc>
          <w:tcPr>
            <w:tcW w:w="5103" w:type="dxa"/>
            <w:vAlign w:val="center"/>
          </w:tcPr>
          <w:p w14:paraId="49D2B72B">
            <w:pPr>
              <w:widowControl/>
              <w:autoSpaceDE w:val="0"/>
              <w:autoSpaceDN w:val="0"/>
              <w:snapToGrid w:val="0"/>
              <w:spacing w:line="360" w:lineRule="auto"/>
              <w:textAlignment w:val="baseline"/>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 xml:space="preserve">    电梯定期检查、维护、应急维修等，建立台账并记录。</w:t>
            </w:r>
          </w:p>
          <w:p w14:paraId="5C6BEE55">
            <w:pPr>
              <w:widowControl/>
              <w:autoSpaceDE w:val="0"/>
              <w:autoSpaceDN w:val="0"/>
              <w:snapToGrid w:val="0"/>
              <w:spacing w:line="360" w:lineRule="auto"/>
              <w:textAlignment w:val="baseline"/>
              <w:rPr>
                <w:rFonts w:ascii="新宋体" w:hAnsi="新宋体" w:eastAsia="新宋体" w:cs="新宋体"/>
                <w:color w:val="auto"/>
                <w:kern w:val="0"/>
                <w:sz w:val="24"/>
                <w:highlight w:val="none"/>
              </w:rPr>
            </w:pPr>
            <w:r>
              <w:rPr>
                <w:rFonts w:hint="eastAsia" w:ascii="黑体" w:hAnsi="黑体" w:eastAsia="黑体" w:cs="黑体"/>
                <w:color w:val="auto"/>
                <w:kern w:val="0"/>
                <w:sz w:val="20"/>
                <w:szCs w:val="21"/>
                <w:highlight w:val="none"/>
              </w:rPr>
              <w:t xml:space="preserve">    全部符合得 3分，部分符合得1.5分，不符合不得分。内容完整合理、有针对性视为符合要求。</w:t>
            </w:r>
          </w:p>
        </w:tc>
        <w:tc>
          <w:tcPr>
            <w:tcW w:w="747" w:type="dxa"/>
            <w:vAlign w:val="center"/>
          </w:tcPr>
          <w:p w14:paraId="39BCBE73">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3</w:t>
            </w:r>
          </w:p>
        </w:tc>
        <w:tc>
          <w:tcPr>
            <w:tcW w:w="812" w:type="dxa"/>
            <w:vAlign w:val="center"/>
          </w:tcPr>
          <w:p w14:paraId="3CF3BD1C">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主观分</w:t>
            </w:r>
          </w:p>
        </w:tc>
        <w:tc>
          <w:tcPr>
            <w:tcW w:w="1299" w:type="dxa"/>
            <w:vAlign w:val="center"/>
          </w:tcPr>
          <w:p w14:paraId="3595FFE1">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电梯维护方案</w:t>
            </w:r>
          </w:p>
        </w:tc>
      </w:tr>
      <w:tr w14:paraId="0C47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13235A3B">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13</w:t>
            </w:r>
          </w:p>
        </w:tc>
        <w:tc>
          <w:tcPr>
            <w:tcW w:w="5103" w:type="dxa"/>
            <w:vAlign w:val="center"/>
          </w:tcPr>
          <w:p w14:paraId="3E926B56">
            <w:pPr>
              <w:widowControl/>
              <w:autoSpaceDE w:val="0"/>
              <w:autoSpaceDN w:val="0"/>
              <w:snapToGrid w:val="0"/>
              <w:spacing w:line="360" w:lineRule="auto"/>
              <w:textAlignment w:val="baseline"/>
              <w:rPr>
                <w:rFonts w:ascii="新宋体" w:hAnsi="新宋体" w:cs="新宋体"/>
                <w:color w:val="auto"/>
                <w:kern w:val="0"/>
                <w:sz w:val="24"/>
                <w:highlight w:val="none"/>
              </w:rPr>
            </w:pPr>
            <w:r>
              <w:rPr>
                <w:rFonts w:hint="eastAsia" w:ascii="新宋体" w:hAnsi="新宋体" w:eastAsia="新宋体" w:cs="新宋体"/>
                <w:color w:val="auto"/>
                <w:kern w:val="0"/>
                <w:sz w:val="24"/>
                <w:highlight w:val="none"/>
              </w:rPr>
              <w:t xml:space="preserve">    定期对空调通风系统进行检查、维护、清洁，测试运行控制和安全控制功能，记录运行参数，分析运行记录，确保空调系统正常运行。每年冬夏两次对空调通风系统进行全面的维护保养。</w:t>
            </w:r>
          </w:p>
          <w:p w14:paraId="7E15A789">
            <w:pPr>
              <w:snapToGrid w:val="0"/>
              <w:spacing w:line="360" w:lineRule="auto"/>
              <w:rPr>
                <w:rFonts w:ascii="新宋体" w:hAnsi="新宋体" w:eastAsia="新宋体" w:cs="新宋体"/>
                <w:color w:val="auto"/>
                <w:kern w:val="0"/>
                <w:sz w:val="24"/>
                <w:highlight w:val="none"/>
              </w:rPr>
            </w:pPr>
            <w:r>
              <w:rPr>
                <w:rFonts w:hint="eastAsia" w:ascii="黑体" w:hAnsi="黑体" w:eastAsia="黑体" w:cs="黑体"/>
                <w:color w:val="auto"/>
                <w:kern w:val="0"/>
                <w:sz w:val="20"/>
                <w:szCs w:val="21"/>
                <w:highlight w:val="none"/>
              </w:rPr>
              <w:t xml:space="preserve">    全部符合得3分，部分符合得1.5分，不符合不得分。内容完整合理、有针对性视为符合要求。</w:t>
            </w:r>
          </w:p>
        </w:tc>
        <w:tc>
          <w:tcPr>
            <w:tcW w:w="747" w:type="dxa"/>
            <w:vAlign w:val="center"/>
          </w:tcPr>
          <w:p w14:paraId="6ADBAB10">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3</w:t>
            </w:r>
          </w:p>
        </w:tc>
        <w:tc>
          <w:tcPr>
            <w:tcW w:w="812" w:type="dxa"/>
            <w:vAlign w:val="center"/>
          </w:tcPr>
          <w:p w14:paraId="454FA0CC">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主观分</w:t>
            </w:r>
          </w:p>
        </w:tc>
        <w:tc>
          <w:tcPr>
            <w:tcW w:w="1299" w:type="dxa"/>
            <w:vAlign w:val="center"/>
          </w:tcPr>
          <w:p w14:paraId="035C0F5B">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空调通风系统维护方案</w:t>
            </w:r>
          </w:p>
        </w:tc>
      </w:tr>
      <w:tr w14:paraId="0C89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3A98EE98">
            <w:pPr>
              <w:snapToGrid w:val="0"/>
              <w:spacing w:line="360" w:lineRule="auto"/>
              <w:jc w:val="center"/>
              <w:rPr>
                <w:rFonts w:hint="eastAsia" w:ascii="新宋体" w:hAnsi="新宋体" w:eastAsia="新宋体" w:cs="新宋体"/>
                <w:color w:val="auto"/>
                <w:kern w:val="0"/>
                <w:sz w:val="24"/>
                <w:highlight w:val="none"/>
                <w:lang w:eastAsia="zh-CN"/>
              </w:rPr>
            </w:pPr>
            <w:r>
              <w:rPr>
                <w:rFonts w:hint="eastAsia" w:ascii="新宋体" w:hAnsi="新宋体" w:eastAsia="新宋体" w:cs="新宋体"/>
                <w:color w:val="auto"/>
                <w:kern w:val="0"/>
                <w:sz w:val="24"/>
                <w:highlight w:val="none"/>
              </w:rPr>
              <w:t>1</w:t>
            </w:r>
            <w:r>
              <w:rPr>
                <w:rFonts w:hint="eastAsia" w:ascii="新宋体" w:hAnsi="新宋体" w:eastAsia="新宋体" w:cs="新宋体"/>
                <w:color w:val="auto"/>
                <w:kern w:val="0"/>
                <w:sz w:val="24"/>
                <w:highlight w:val="none"/>
                <w:lang w:val="en-US" w:eastAsia="zh-CN"/>
              </w:rPr>
              <w:t>4</w:t>
            </w:r>
          </w:p>
        </w:tc>
        <w:tc>
          <w:tcPr>
            <w:tcW w:w="5103" w:type="dxa"/>
            <w:vAlign w:val="center"/>
          </w:tcPr>
          <w:p w14:paraId="6DC6FBA0">
            <w:pPr>
              <w:numPr>
                <w:ilvl w:val="0"/>
                <w:numId w:val="26"/>
              </w:num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会前准备方案；</w:t>
            </w:r>
          </w:p>
          <w:p w14:paraId="69EBBB86">
            <w:pPr>
              <w:numPr>
                <w:ilvl w:val="0"/>
                <w:numId w:val="26"/>
              </w:num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会中服务方案；</w:t>
            </w:r>
          </w:p>
          <w:p w14:paraId="0FC10A1A">
            <w:pPr>
              <w:numPr>
                <w:ilvl w:val="0"/>
                <w:numId w:val="26"/>
              </w:num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会后整理方案；</w:t>
            </w:r>
          </w:p>
          <w:p w14:paraId="57406677">
            <w:pPr>
              <w:numPr>
                <w:ilvl w:val="0"/>
                <w:numId w:val="26"/>
              </w:num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严格保密。</w:t>
            </w:r>
          </w:p>
          <w:p w14:paraId="7F89E819">
            <w:pPr>
              <w:snapToGrid w:val="0"/>
              <w:spacing w:line="360" w:lineRule="auto"/>
              <w:rPr>
                <w:rFonts w:ascii="新宋体" w:hAnsi="新宋体" w:eastAsia="新宋体" w:cs="新宋体"/>
                <w:color w:val="auto"/>
                <w:kern w:val="0"/>
                <w:sz w:val="24"/>
                <w:highlight w:val="none"/>
              </w:rPr>
            </w:pPr>
            <w:r>
              <w:rPr>
                <w:rFonts w:hint="eastAsia" w:ascii="黑体" w:hAnsi="黑体" w:eastAsia="黑体" w:cs="黑体"/>
                <w:color w:val="auto"/>
                <w:kern w:val="0"/>
                <w:sz w:val="20"/>
                <w:szCs w:val="21"/>
                <w:highlight w:val="none"/>
              </w:rPr>
              <w:t xml:space="preserve">    每小点内容全部符合得1分，部分符合得 0.5分不符合不得分。内容完整合理、有针对性视为符合要求。</w:t>
            </w:r>
          </w:p>
        </w:tc>
        <w:tc>
          <w:tcPr>
            <w:tcW w:w="747" w:type="dxa"/>
            <w:vAlign w:val="center"/>
          </w:tcPr>
          <w:p w14:paraId="3EE0D3CA">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4</w:t>
            </w:r>
          </w:p>
        </w:tc>
        <w:tc>
          <w:tcPr>
            <w:tcW w:w="812" w:type="dxa"/>
            <w:vAlign w:val="center"/>
          </w:tcPr>
          <w:p w14:paraId="3913E4C6">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主观分</w:t>
            </w:r>
          </w:p>
        </w:tc>
        <w:tc>
          <w:tcPr>
            <w:tcW w:w="1299" w:type="dxa"/>
            <w:vAlign w:val="center"/>
          </w:tcPr>
          <w:p w14:paraId="1F4A9A31">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会务服务</w:t>
            </w:r>
          </w:p>
        </w:tc>
      </w:tr>
      <w:tr w14:paraId="0B66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E474816">
            <w:pPr>
              <w:snapToGrid w:val="0"/>
              <w:spacing w:line="360" w:lineRule="auto"/>
              <w:jc w:val="center"/>
              <w:rPr>
                <w:rFonts w:hint="eastAsia" w:ascii="新宋体" w:hAnsi="新宋体" w:eastAsia="新宋体" w:cs="新宋体"/>
                <w:color w:val="auto"/>
                <w:kern w:val="0"/>
                <w:sz w:val="24"/>
                <w:highlight w:val="none"/>
                <w:lang w:val="en-US" w:eastAsia="zh-CN"/>
              </w:rPr>
            </w:pPr>
            <w:r>
              <w:rPr>
                <w:rFonts w:hint="eastAsia" w:ascii="新宋体" w:hAnsi="新宋体" w:eastAsia="新宋体" w:cs="新宋体"/>
                <w:color w:val="auto"/>
                <w:kern w:val="0"/>
                <w:sz w:val="24"/>
                <w:highlight w:val="none"/>
              </w:rPr>
              <w:t>1</w:t>
            </w:r>
            <w:r>
              <w:rPr>
                <w:rFonts w:hint="eastAsia" w:ascii="新宋体" w:hAnsi="新宋体" w:eastAsia="新宋体" w:cs="新宋体"/>
                <w:color w:val="auto"/>
                <w:kern w:val="0"/>
                <w:sz w:val="24"/>
                <w:highlight w:val="none"/>
                <w:lang w:val="en-US" w:eastAsia="zh-CN"/>
              </w:rPr>
              <w:t>5</w:t>
            </w:r>
          </w:p>
        </w:tc>
        <w:tc>
          <w:tcPr>
            <w:tcW w:w="5103" w:type="dxa"/>
            <w:vAlign w:val="center"/>
          </w:tcPr>
          <w:p w14:paraId="67682D9A">
            <w:pPr>
              <w:numPr>
                <w:ilvl w:val="0"/>
                <w:numId w:val="27"/>
              </w:numPr>
              <w:snapToGrid w:val="0"/>
              <w:spacing w:line="360" w:lineRule="auto"/>
              <w:ind w:left="0" w:leftChars="0"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认真完成中心的派车任务要求，服从调度人员指挥。</w:t>
            </w:r>
          </w:p>
          <w:p w14:paraId="3C8FA887">
            <w:pPr>
              <w:numPr>
                <w:ilvl w:val="0"/>
                <w:numId w:val="27"/>
              </w:numPr>
              <w:snapToGrid w:val="0"/>
              <w:spacing w:line="360" w:lineRule="auto"/>
              <w:ind w:left="0" w:leftChars="0"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上班期间按要求衣着工作服、礼貌待人、热情服务，团结同事、不得当面议论病者病情。</w:t>
            </w:r>
          </w:p>
          <w:p w14:paraId="109DB8B8">
            <w:pPr>
              <w:numPr>
                <w:ilvl w:val="0"/>
                <w:numId w:val="27"/>
              </w:numPr>
              <w:snapToGrid w:val="0"/>
              <w:spacing w:line="360" w:lineRule="auto"/>
              <w:ind w:left="0" w:leftChars="0"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保持公务车厢内的清洁整洁</w:t>
            </w:r>
          </w:p>
          <w:p w14:paraId="68349645">
            <w:pPr>
              <w:numPr>
                <w:ilvl w:val="0"/>
                <w:numId w:val="27"/>
              </w:numPr>
              <w:snapToGrid w:val="0"/>
              <w:spacing w:line="360" w:lineRule="auto"/>
              <w:ind w:left="0" w:leftChars="0" w:firstLine="480" w:firstLineChars="200"/>
              <w:rPr>
                <w:rFonts w:hint="eastAsia" w:ascii="黑体" w:hAnsi="黑体" w:eastAsia="黑体" w:cs="黑体"/>
                <w:color w:val="auto"/>
                <w:kern w:val="0"/>
                <w:sz w:val="20"/>
                <w:szCs w:val="21"/>
                <w:highlight w:val="none"/>
              </w:rPr>
            </w:pPr>
            <w:r>
              <w:rPr>
                <w:rFonts w:hint="eastAsia" w:ascii="新宋体" w:hAnsi="新宋体" w:eastAsia="新宋体" w:cs="新宋体"/>
                <w:color w:val="auto"/>
                <w:sz w:val="24"/>
                <w:highlight w:val="none"/>
              </w:rPr>
              <w:t>运送执行各项任务应爱护医院各项设施设备，严格执行医院院感交接等制度，确保安全生产。</w:t>
            </w:r>
            <w:r>
              <w:rPr>
                <w:rFonts w:hint="eastAsia" w:ascii="黑体" w:hAnsi="黑体" w:eastAsia="黑体" w:cs="黑体"/>
                <w:color w:val="auto"/>
                <w:kern w:val="0"/>
                <w:sz w:val="20"/>
                <w:szCs w:val="21"/>
                <w:highlight w:val="none"/>
              </w:rPr>
              <w:t xml:space="preserve"> </w:t>
            </w:r>
          </w:p>
          <w:p w14:paraId="2C7BA798">
            <w:pPr>
              <w:snapToGrid w:val="0"/>
              <w:spacing w:line="360" w:lineRule="auto"/>
              <w:ind w:firstLine="400" w:firstLineChars="200"/>
              <w:rPr>
                <w:rFonts w:hint="eastAsia" w:ascii="黑体" w:hAnsi="黑体" w:eastAsia="黑体" w:cs="黑体"/>
                <w:color w:val="auto"/>
                <w:kern w:val="0"/>
                <w:sz w:val="20"/>
                <w:szCs w:val="21"/>
                <w:highlight w:val="none"/>
              </w:rPr>
            </w:pPr>
            <w:r>
              <w:rPr>
                <w:rFonts w:hint="eastAsia" w:ascii="黑体" w:hAnsi="黑体" w:eastAsia="黑体" w:cs="黑体"/>
                <w:color w:val="auto"/>
                <w:kern w:val="0"/>
                <w:sz w:val="20"/>
                <w:szCs w:val="21"/>
                <w:highlight w:val="none"/>
              </w:rPr>
              <w:t>全部符合得</w:t>
            </w:r>
            <w:r>
              <w:rPr>
                <w:rFonts w:hint="eastAsia" w:ascii="黑体" w:hAnsi="黑体" w:eastAsia="黑体" w:cs="黑体"/>
                <w:color w:val="auto"/>
                <w:kern w:val="0"/>
                <w:sz w:val="20"/>
                <w:szCs w:val="21"/>
                <w:highlight w:val="none"/>
                <w:lang w:val="en-US" w:eastAsia="zh-CN"/>
              </w:rPr>
              <w:t>1</w:t>
            </w:r>
            <w:r>
              <w:rPr>
                <w:rFonts w:hint="eastAsia" w:ascii="黑体" w:hAnsi="黑体" w:eastAsia="黑体" w:cs="黑体"/>
                <w:color w:val="auto"/>
                <w:kern w:val="0"/>
                <w:sz w:val="20"/>
                <w:szCs w:val="21"/>
                <w:highlight w:val="none"/>
              </w:rPr>
              <w:t>分，部分符合得</w:t>
            </w:r>
            <w:r>
              <w:rPr>
                <w:rFonts w:hint="eastAsia" w:ascii="黑体" w:hAnsi="黑体" w:eastAsia="黑体" w:cs="黑体"/>
                <w:color w:val="auto"/>
                <w:kern w:val="0"/>
                <w:sz w:val="20"/>
                <w:szCs w:val="21"/>
                <w:highlight w:val="none"/>
                <w:lang w:val="en-US" w:eastAsia="zh-CN"/>
              </w:rPr>
              <w:t>0.5</w:t>
            </w:r>
            <w:r>
              <w:rPr>
                <w:rFonts w:hint="eastAsia" w:ascii="黑体" w:hAnsi="黑体" w:eastAsia="黑体" w:cs="黑体"/>
                <w:color w:val="auto"/>
                <w:kern w:val="0"/>
                <w:sz w:val="20"/>
                <w:szCs w:val="21"/>
                <w:highlight w:val="none"/>
              </w:rPr>
              <w:t>分，不符合不得分。内容完整合理、有针对性视为符合要求。</w:t>
            </w:r>
          </w:p>
        </w:tc>
        <w:tc>
          <w:tcPr>
            <w:tcW w:w="747" w:type="dxa"/>
            <w:vAlign w:val="center"/>
          </w:tcPr>
          <w:p w14:paraId="5EA0543A">
            <w:pPr>
              <w:snapToGrid w:val="0"/>
              <w:spacing w:line="360" w:lineRule="auto"/>
              <w:jc w:val="center"/>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1</w:t>
            </w:r>
          </w:p>
        </w:tc>
        <w:tc>
          <w:tcPr>
            <w:tcW w:w="812" w:type="dxa"/>
            <w:vAlign w:val="center"/>
          </w:tcPr>
          <w:p w14:paraId="78F6354F">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eastAsia="zh-CN"/>
              </w:rPr>
              <w:t>主</w:t>
            </w:r>
            <w:r>
              <w:rPr>
                <w:rFonts w:hint="eastAsia" w:ascii="新宋体" w:hAnsi="新宋体" w:eastAsia="新宋体" w:cs="新宋体"/>
                <w:color w:val="auto"/>
                <w:kern w:val="0"/>
                <w:sz w:val="24"/>
                <w:highlight w:val="none"/>
              </w:rPr>
              <w:t>观分</w:t>
            </w:r>
          </w:p>
          <w:p w14:paraId="70F0F839">
            <w:pPr>
              <w:rPr>
                <w:rFonts w:hint="eastAsia" w:ascii="新宋体" w:hAnsi="新宋体" w:eastAsia="新宋体" w:cs="新宋体"/>
                <w:color w:val="auto"/>
                <w:kern w:val="0"/>
                <w:sz w:val="24"/>
                <w:highlight w:val="none"/>
              </w:rPr>
            </w:pPr>
          </w:p>
        </w:tc>
        <w:tc>
          <w:tcPr>
            <w:tcW w:w="1299" w:type="dxa"/>
            <w:vAlign w:val="center"/>
          </w:tcPr>
          <w:p w14:paraId="5F7E2C71">
            <w:pPr>
              <w:widowControl/>
              <w:jc w:val="center"/>
              <w:textAlignment w:val="center"/>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eastAsia="zh-CN"/>
              </w:rPr>
              <w:t>运送方案</w:t>
            </w:r>
          </w:p>
        </w:tc>
      </w:tr>
      <w:tr w14:paraId="56E9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5CB816E">
            <w:pPr>
              <w:snapToGrid w:val="0"/>
              <w:spacing w:line="360" w:lineRule="auto"/>
              <w:jc w:val="center"/>
              <w:rPr>
                <w:rFonts w:hint="eastAsia" w:ascii="新宋体" w:hAnsi="新宋体" w:eastAsia="新宋体" w:cs="新宋体"/>
                <w:color w:val="auto"/>
                <w:kern w:val="0"/>
                <w:sz w:val="24"/>
                <w:highlight w:val="none"/>
                <w:lang w:eastAsia="zh-CN"/>
              </w:rPr>
            </w:pPr>
            <w:r>
              <w:rPr>
                <w:rFonts w:hint="eastAsia" w:ascii="新宋体" w:hAnsi="新宋体" w:eastAsia="新宋体" w:cs="新宋体"/>
                <w:color w:val="auto"/>
                <w:kern w:val="0"/>
                <w:sz w:val="24"/>
                <w:highlight w:val="none"/>
              </w:rPr>
              <w:t>1</w:t>
            </w:r>
            <w:r>
              <w:rPr>
                <w:rFonts w:hint="eastAsia" w:ascii="新宋体" w:hAnsi="新宋体" w:eastAsia="新宋体" w:cs="新宋体"/>
                <w:color w:val="auto"/>
                <w:kern w:val="0"/>
                <w:sz w:val="24"/>
                <w:highlight w:val="none"/>
                <w:lang w:val="en-US" w:eastAsia="zh-CN"/>
              </w:rPr>
              <w:t>6</w:t>
            </w:r>
          </w:p>
        </w:tc>
        <w:tc>
          <w:tcPr>
            <w:tcW w:w="5103" w:type="dxa"/>
            <w:vAlign w:val="center"/>
          </w:tcPr>
          <w:p w14:paraId="440CE593">
            <w:p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 xml:space="preserve">    投标人拥有自主开发的或购买的软件或者APP等智能物业服务平台，包含智慧报修、设备管理、巡更管理，满足业主方服务需求。</w:t>
            </w:r>
          </w:p>
          <w:p w14:paraId="3B60E669">
            <w:pPr>
              <w:snapToGrid w:val="0"/>
              <w:spacing w:line="360" w:lineRule="auto"/>
              <w:rPr>
                <w:rFonts w:ascii="新宋体" w:hAnsi="新宋体" w:eastAsia="新宋体" w:cs="新宋体"/>
                <w:color w:val="auto"/>
                <w:kern w:val="0"/>
                <w:sz w:val="24"/>
                <w:highlight w:val="none"/>
              </w:rPr>
            </w:pPr>
            <w:r>
              <w:rPr>
                <w:rFonts w:hint="eastAsia" w:ascii="黑体" w:hAnsi="黑体" w:eastAsia="黑体" w:cs="黑体"/>
                <w:color w:val="auto"/>
                <w:kern w:val="0"/>
                <w:sz w:val="20"/>
                <w:szCs w:val="21"/>
                <w:highlight w:val="none"/>
              </w:rPr>
              <w:t xml:space="preserve">    提供相关著作权证书扫描件或购买并应用于本项目的承诺函。每项功能得1分，最高得3分。</w:t>
            </w:r>
          </w:p>
        </w:tc>
        <w:tc>
          <w:tcPr>
            <w:tcW w:w="747" w:type="dxa"/>
            <w:vAlign w:val="center"/>
          </w:tcPr>
          <w:p w14:paraId="44F54D80">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 xml:space="preserve">3 </w:t>
            </w:r>
          </w:p>
        </w:tc>
        <w:tc>
          <w:tcPr>
            <w:tcW w:w="812" w:type="dxa"/>
            <w:vAlign w:val="center"/>
          </w:tcPr>
          <w:p w14:paraId="5C67DE94">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客观分</w:t>
            </w:r>
          </w:p>
        </w:tc>
        <w:tc>
          <w:tcPr>
            <w:tcW w:w="1299" w:type="dxa"/>
            <w:vAlign w:val="center"/>
          </w:tcPr>
          <w:p w14:paraId="2F4AC249">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智能化系统</w:t>
            </w:r>
          </w:p>
        </w:tc>
      </w:tr>
      <w:tr w14:paraId="2F5F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Merge w:val="restart"/>
            <w:vAlign w:val="center"/>
          </w:tcPr>
          <w:p w14:paraId="241CA112">
            <w:pPr>
              <w:snapToGrid w:val="0"/>
              <w:spacing w:line="360" w:lineRule="auto"/>
              <w:jc w:val="center"/>
              <w:rPr>
                <w:rFonts w:hint="eastAsia" w:ascii="新宋体" w:hAnsi="新宋体" w:eastAsia="新宋体" w:cs="新宋体"/>
                <w:color w:val="auto"/>
                <w:kern w:val="0"/>
                <w:sz w:val="24"/>
                <w:highlight w:val="none"/>
                <w:lang w:eastAsia="zh-CN"/>
              </w:rPr>
            </w:pPr>
            <w:r>
              <w:rPr>
                <w:rFonts w:hint="eastAsia" w:ascii="新宋体" w:hAnsi="新宋体" w:eastAsia="新宋体" w:cs="新宋体"/>
                <w:color w:val="auto"/>
                <w:kern w:val="0"/>
                <w:sz w:val="24"/>
                <w:highlight w:val="none"/>
              </w:rPr>
              <w:t>1</w:t>
            </w:r>
            <w:r>
              <w:rPr>
                <w:rFonts w:hint="eastAsia" w:ascii="新宋体" w:hAnsi="新宋体" w:eastAsia="新宋体" w:cs="新宋体"/>
                <w:color w:val="auto"/>
                <w:kern w:val="0"/>
                <w:sz w:val="24"/>
                <w:highlight w:val="none"/>
                <w:lang w:val="en-US" w:eastAsia="zh-CN"/>
              </w:rPr>
              <w:t>7</w:t>
            </w:r>
          </w:p>
        </w:tc>
        <w:tc>
          <w:tcPr>
            <w:tcW w:w="5103" w:type="dxa"/>
            <w:vAlign w:val="center"/>
          </w:tcPr>
          <w:p w14:paraId="5D257D3B">
            <w:pPr>
              <w:snapToGrid w:val="0"/>
              <w:spacing w:line="360" w:lineRule="auto"/>
              <w:rPr>
                <w:color w:val="auto"/>
                <w:kern w:val="0"/>
                <w:sz w:val="20"/>
                <w:highlight w:val="none"/>
              </w:rPr>
            </w:pPr>
            <w:r>
              <w:rPr>
                <w:rFonts w:hint="eastAsia" w:ascii="新宋体" w:hAnsi="新宋体" w:eastAsia="新宋体" w:cs="新宋体"/>
                <w:b/>
                <w:bCs/>
                <w:color w:val="auto"/>
                <w:kern w:val="0"/>
                <w:sz w:val="24"/>
                <w:highlight w:val="none"/>
              </w:rPr>
              <w:t>1、拟派本项目的项目经理（</w:t>
            </w:r>
            <w:r>
              <w:rPr>
                <w:rFonts w:ascii="新宋体" w:hAnsi="新宋体" w:eastAsia="新宋体" w:cs="新宋体"/>
                <w:b/>
                <w:bCs/>
                <w:color w:val="auto"/>
                <w:kern w:val="0"/>
                <w:sz w:val="24"/>
                <w:highlight w:val="none"/>
              </w:rPr>
              <w:t>2</w:t>
            </w:r>
            <w:r>
              <w:rPr>
                <w:rFonts w:hint="eastAsia" w:ascii="新宋体" w:hAnsi="新宋体" w:eastAsia="新宋体" w:cs="新宋体"/>
                <w:b/>
                <w:bCs/>
                <w:color w:val="auto"/>
                <w:kern w:val="0"/>
                <w:sz w:val="24"/>
                <w:highlight w:val="none"/>
              </w:rPr>
              <w:t>分）</w:t>
            </w:r>
            <w:r>
              <w:rPr>
                <w:rFonts w:hint="eastAsia" w:ascii="新宋体" w:hAnsi="新宋体" w:eastAsia="新宋体" w:cs="新宋体"/>
                <w:color w:val="auto"/>
                <w:kern w:val="0"/>
                <w:sz w:val="24"/>
                <w:highlight w:val="none"/>
              </w:rPr>
              <w:t>：年龄</w:t>
            </w:r>
            <w:r>
              <w:rPr>
                <w:rFonts w:ascii="新宋体" w:hAnsi="新宋体" w:eastAsia="新宋体" w:cs="新宋体"/>
                <w:color w:val="auto"/>
                <w:kern w:val="0"/>
                <w:sz w:val="24"/>
                <w:highlight w:val="none"/>
              </w:rPr>
              <w:t>4</w:t>
            </w:r>
            <w:r>
              <w:rPr>
                <w:rFonts w:hint="eastAsia" w:ascii="新宋体" w:hAnsi="新宋体" w:eastAsia="新宋体" w:cs="新宋体"/>
                <w:color w:val="auto"/>
                <w:kern w:val="0"/>
                <w:sz w:val="24"/>
                <w:highlight w:val="none"/>
              </w:rPr>
              <w:t xml:space="preserve">5周岁以下（ </w:t>
            </w:r>
            <w:r>
              <w:rPr>
                <w:rFonts w:ascii="新宋体" w:hAnsi="新宋体" w:eastAsia="新宋体" w:cs="新宋体"/>
                <w:color w:val="auto"/>
                <w:kern w:val="0"/>
                <w:sz w:val="24"/>
                <w:highlight w:val="none"/>
              </w:rPr>
              <w:t>1</w:t>
            </w:r>
            <w:r>
              <w:rPr>
                <w:rFonts w:hint="eastAsia" w:ascii="新宋体" w:hAnsi="新宋体" w:eastAsia="新宋体" w:cs="新宋体"/>
                <w:color w:val="auto"/>
                <w:kern w:val="0"/>
                <w:sz w:val="24"/>
                <w:highlight w:val="none"/>
              </w:rPr>
              <w:t xml:space="preserve">分），具有2年以上医疗机构物业项目经理工作经验（ </w:t>
            </w:r>
            <w:r>
              <w:rPr>
                <w:rFonts w:ascii="新宋体" w:hAnsi="新宋体" w:eastAsia="新宋体" w:cs="新宋体"/>
                <w:color w:val="auto"/>
                <w:kern w:val="0"/>
                <w:sz w:val="24"/>
                <w:highlight w:val="none"/>
              </w:rPr>
              <w:t>1</w:t>
            </w:r>
            <w:r>
              <w:rPr>
                <w:rFonts w:hint="eastAsia" w:ascii="新宋体" w:hAnsi="新宋体" w:eastAsia="新宋体" w:cs="新宋体"/>
                <w:color w:val="auto"/>
                <w:kern w:val="0"/>
                <w:sz w:val="24"/>
                <w:highlight w:val="none"/>
              </w:rPr>
              <w:t>分）。</w:t>
            </w:r>
          </w:p>
          <w:p w14:paraId="7D9495BE">
            <w:p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b/>
                <w:bCs/>
                <w:color w:val="auto"/>
                <w:kern w:val="0"/>
                <w:sz w:val="24"/>
                <w:highlight w:val="none"/>
              </w:rPr>
              <w:t>2、拟派本项目的保安主管（</w:t>
            </w:r>
            <w:r>
              <w:rPr>
                <w:rFonts w:ascii="新宋体" w:hAnsi="新宋体" w:eastAsia="新宋体" w:cs="新宋体"/>
                <w:b/>
                <w:bCs/>
                <w:color w:val="auto"/>
                <w:kern w:val="0"/>
                <w:sz w:val="24"/>
                <w:highlight w:val="none"/>
              </w:rPr>
              <w:t>2</w:t>
            </w:r>
            <w:r>
              <w:rPr>
                <w:rFonts w:hint="eastAsia" w:ascii="新宋体" w:hAnsi="新宋体" w:eastAsia="新宋体" w:cs="新宋体"/>
                <w:b/>
                <w:bCs/>
                <w:color w:val="auto"/>
                <w:kern w:val="0"/>
                <w:sz w:val="24"/>
                <w:highlight w:val="none"/>
              </w:rPr>
              <w:t>分）：</w:t>
            </w:r>
            <w:r>
              <w:rPr>
                <w:rFonts w:hint="eastAsia" w:ascii="新宋体" w:hAnsi="新宋体" w:eastAsia="新宋体" w:cs="新宋体"/>
                <w:color w:val="auto"/>
                <w:kern w:val="0"/>
                <w:sz w:val="24"/>
                <w:highlight w:val="none"/>
              </w:rPr>
              <w:t>年龄</w:t>
            </w:r>
            <w:r>
              <w:rPr>
                <w:rFonts w:ascii="新宋体" w:hAnsi="新宋体" w:eastAsia="新宋体" w:cs="新宋体"/>
                <w:color w:val="auto"/>
                <w:kern w:val="0"/>
                <w:sz w:val="24"/>
                <w:highlight w:val="none"/>
              </w:rPr>
              <w:t>4</w:t>
            </w:r>
            <w:r>
              <w:rPr>
                <w:rFonts w:hint="eastAsia" w:ascii="新宋体" w:hAnsi="新宋体" w:eastAsia="新宋体" w:cs="新宋体"/>
                <w:color w:val="auto"/>
                <w:kern w:val="0"/>
                <w:sz w:val="24"/>
                <w:highlight w:val="none"/>
              </w:rPr>
              <w:t xml:space="preserve">5周岁以下（ </w:t>
            </w:r>
            <w:r>
              <w:rPr>
                <w:rFonts w:ascii="新宋体" w:hAnsi="新宋体" w:eastAsia="新宋体" w:cs="新宋体"/>
                <w:color w:val="auto"/>
                <w:kern w:val="0"/>
                <w:sz w:val="24"/>
                <w:highlight w:val="none"/>
              </w:rPr>
              <w:t>1</w:t>
            </w:r>
            <w:r>
              <w:rPr>
                <w:rFonts w:hint="eastAsia" w:ascii="新宋体" w:hAnsi="新宋体" w:eastAsia="新宋体" w:cs="新宋体"/>
                <w:color w:val="auto"/>
                <w:kern w:val="0"/>
                <w:sz w:val="24"/>
                <w:highlight w:val="none"/>
              </w:rPr>
              <w:t>分），具有</w:t>
            </w:r>
            <w:r>
              <w:rPr>
                <w:rFonts w:ascii="新宋体" w:hAnsi="新宋体" w:eastAsia="新宋体" w:cs="新宋体"/>
                <w:color w:val="auto"/>
                <w:kern w:val="0"/>
                <w:sz w:val="24"/>
                <w:highlight w:val="none"/>
              </w:rPr>
              <w:t>2</w:t>
            </w:r>
            <w:r>
              <w:rPr>
                <w:rFonts w:hint="eastAsia" w:ascii="新宋体" w:hAnsi="新宋体" w:eastAsia="新宋体" w:cs="新宋体"/>
                <w:color w:val="auto"/>
                <w:kern w:val="0"/>
                <w:sz w:val="24"/>
                <w:highlight w:val="none"/>
              </w:rPr>
              <w:t xml:space="preserve">年以上物业保安主管工作经验（ </w:t>
            </w:r>
            <w:r>
              <w:rPr>
                <w:rFonts w:ascii="新宋体" w:hAnsi="新宋体" w:eastAsia="新宋体" w:cs="新宋体"/>
                <w:color w:val="auto"/>
                <w:kern w:val="0"/>
                <w:sz w:val="24"/>
                <w:highlight w:val="none"/>
              </w:rPr>
              <w:t>1</w:t>
            </w:r>
            <w:r>
              <w:rPr>
                <w:rFonts w:hint="eastAsia" w:ascii="新宋体" w:hAnsi="新宋体" w:eastAsia="新宋体" w:cs="新宋体"/>
                <w:color w:val="auto"/>
                <w:kern w:val="0"/>
                <w:sz w:val="24"/>
                <w:highlight w:val="none"/>
              </w:rPr>
              <w:t>分）。</w:t>
            </w:r>
          </w:p>
          <w:p w14:paraId="2E31CE6D">
            <w:p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3、</w:t>
            </w:r>
            <w:r>
              <w:rPr>
                <w:rFonts w:hint="eastAsia" w:ascii="新宋体" w:hAnsi="新宋体" w:eastAsia="新宋体" w:cs="新宋体"/>
                <w:b/>
                <w:bCs/>
                <w:color w:val="auto"/>
                <w:kern w:val="0"/>
                <w:sz w:val="24"/>
                <w:highlight w:val="none"/>
              </w:rPr>
              <w:t>拟派本项目的保洁主管（</w:t>
            </w:r>
            <w:r>
              <w:rPr>
                <w:rFonts w:ascii="新宋体" w:hAnsi="新宋体" w:eastAsia="新宋体" w:cs="新宋体"/>
                <w:b/>
                <w:bCs/>
                <w:color w:val="auto"/>
                <w:kern w:val="0"/>
                <w:sz w:val="24"/>
                <w:highlight w:val="none"/>
              </w:rPr>
              <w:t>2</w:t>
            </w:r>
            <w:r>
              <w:rPr>
                <w:rFonts w:hint="eastAsia" w:ascii="新宋体" w:hAnsi="新宋体" w:eastAsia="新宋体" w:cs="新宋体"/>
                <w:b/>
                <w:bCs/>
                <w:color w:val="auto"/>
                <w:kern w:val="0"/>
                <w:sz w:val="24"/>
                <w:highlight w:val="none"/>
              </w:rPr>
              <w:t>分）：</w:t>
            </w:r>
            <w:r>
              <w:rPr>
                <w:rFonts w:hint="eastAsia" w:ascii="新宋体" w:hAnsi="新宋体" w:eastAsia="新宋体" w:cs="新宋体"/>
                <w:color w:val="auto"/>
                <w:kern w:val="0"/>
                <w:sz w:val="24"/>
                <w:highlight w:val="none"/>
              </w:rPr>
              <w:t>年龄</w:t>
            </w:r>
            <w:r>
              <w:rPr>
                <w:rFonts w:ascii="新宋体" w:hAnsi="新宋体" w:eastAsia="新宋体" w:cs="新宋体"/>
                <w:color w:val="auto"/>
                <w:kern w:val="0"/>
                <w:sz w:val="24"/>
                <w:highlight w:val="none"/>
              </w:rPr>
              <w:t>60</w:t>
            </w:r>
            <w:r>
              <w:rPr>
                <w:rFonts w:hint="eastAsia" w:ascii="新宋体" w:hAnsi="新宋体" w:eastAsia="新宋体" w:cs="新宋体"/>
                <w:color w:val="auto"/>
                <w:kern w:val="0"/>
                <w:sz w:val="24"/>
                <w:highlight w:val="none"/>
              </w:rPr>
              <w:t xml:space="preserve">周岁以下（ </w:t>
            </w:r>
            <w:r>
              <w:rPr>
                <w:rFonts w:ascii="新宋体" w:hAnsi="新宋体" w:eastAsia="新宋体" w:cs="新宋体"/>
                <w:color w:val="auto"/>
                <w:kern w:val="0"/>
                <w:sz w:val="24"/>
                <w:highlight w:val="none"/>
              </w:rPr>
              <w:t>1</w:t>
            </w:r>
            <w:r>
              <w:rPr>
                <w:rFonts w:hint="eastAsia" w:ascii="新宋体" w:hAnsi="新宋体" w:eastAsia="新宋体" w:cs="新宋体"/>
                <w:color w:val="auto"/>
                <w:kern w:val="0"/>
                <w:sz w:val="24"/>
                <w:highlight w:val="none"/>
              </w:rPr>
              <w:t>分），具有</w:t>
            </w:r>
            <w:r>
              <w:rPr>
                <w:rFonts w:ascii="新宋体" w:hAnsi="新宋体" w:eastAsia="新宋体" w:cs="新宋体"/>
                <w:color w:val="auto"/>
                <w:kern w:val="0"/>
                <w:sz w:val="24"/>
                <w:highlight w:val="none"/>
              </w:rPr>
              <w:t>2</w:t>
            </w:r>
            <w:r>
              <w:rPr>
                <w:rFonts w:hint="eastAsia" w:ascii="新宋体" w:hAnsi="新宋体" w:eastAsia="新宋体" w:cs="新宋体"/>
                <w:color w:val="auto"/>
                <w:kern w:val="0"/>
                <w:sz w:val="24"/>
                <w:highlight w:val="none"/>
              </w:rPr>
              <w:t xml:space="preserve">年以上物业保洁主管工作经验（ </w:t>
            </w:r>
            <w:r>
              <w:rPr>
                <w:rFonts w:ascii="新宋体" w:hAnsi="新宋体" w:eastAsia="新宋体" w:cs="新宋体"/>
                <w:color w:val="auto"/>
                <w:kern w:val="0"/>
                <w:sz w:val="24"/>
                <w:highlight w:val="none"/>
              </w:rPr>
              <w:t>1</w:t>
            </w:r>
            <w:r>
              <w:rPr>
                <w:rFonts w:hint="eastAsia" w:ascii="新宋体" w:hAnsi="新宋体" w:eastAsia="新宋体" w:cs="新宋体"/>
                <w:color w:val="auto"/>
                <w:kern w:val="0"/>
                <w:sz w:val="24"/>
                <w:highlight w:val="none"/>
              </w:rPr>
              <w:t>分）</w:t>
            </w:r>
          </w:p>
          <w:p w14:paraId="32FCDC8C">
            <w:pPr>
              <w:pStyle w:val="19"/>
              <w:rPr>
                <w:rFonts w:ascii="新宋体" w:hAnsi="新宋体" w:eastAsia="新宋体" w:cs="新宋体"/>
                <w:color w:val="auto"/>
                <w:kern w:val="0"/>
                <w:sz w:val="24"/>
                <w:highlight w:val="none"/>
              </w:rPr>
            </w:pPr>
            <w:r>
              <w:rPr>
                <w:rFonts w:hint="eastAsia" w:ascii="黑体" w:hAnsi="黑体" w:eastAsia="黑体" w:cs="黑体"/>
                <w:color w:val="auto"/>
                <w:kern w:val="0"/>
                <w:sz w:val="20"/>
                <w:szCs w:val="21"/>
                <w:highlight w:val="none"/>
              </w:rPr>
              <w:t>年龄、工作经验计算截至投标截止时间。以上人员需提供身份证扫描件、在投标人单位的社保缴纳证明(</w:t>
            </w:r>
            <w:r>
              <w:rPr>
                <w:rFonts w:ascii="Calibri" w:hAnsi="Calibri" w:eastAsia="黑体" w:cs="Calibri"/>
                <w:color w:val="auto"/>
                <w:kern w:val="0"/>
                <w:sz w:val="20"/>
                <w:szCs w:val="21"/>
                <w:highlight w:val="none"/>
              </w:rPr>
              <w:t> </w:t>
            </w:r>
            <w:r>
              <w:rPr>
                <w:rFonts w:hint="eastAsia" w:ascii="黑体" w:hAnsi="黑体" w:eastAsia="黑体" w:cs="黑体"/>
                <w:color w:val="auto"/>
                <w:kern w:val="0"/>
                <w:sz w:val="20"/>
                <w:szCs w:val="21"/>
                <w:highlight w:val="none"/>
              </w:rPr>
              <w:t>超过法定退休年龄的人员提供与投标人签订的劳务合同)，学历要求需提供相应证书，工作经验需提供显示职务的劳动合同或原服务业主出具的盖章证明，能清楚体现工作岗位及年限，否则不得分。</w:t>
            </w:r>
          </w:p>
        </w:tc>
        <w:tc>
          <w:tcPr>
            <w:tcW w:w="747" w:type="dxa"/>
            <w:vAlign w:val="center"/>
          </w:tcPr>
          <w:p w14:paraId="187968C7">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6</w:t>
            </w:r>
          </w:p>
        </w:tc>
        <w:tc>
          <w:tcPr>
            <w:tcW w:w="812" w:type="dxa"/>
            <w:vMerge w:val="restart"/>
            <w:vAlign w:val="center"/>
          </w:tcPr>
          <w:p w14:paraId="1A9A15E3">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客观分</w:t>
            </w:r>
          </w:p>
        </w:tc>
        <w:tc>
          <w:tcPr>
            <w:tcW w:w="1299" w:type="dxa"/>
            <w:vMerge w:val="restart"/>
            <w:vAlign w:val="center"/>
          </w:tcPr>
          <w:p w14:paraId="284175CB">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项目实施的拟派人员安排情况</w:t>
            </w:r>
          </w:p>
        </w:tc>
      </w:tr>
      <w:tr w14:paraId="3861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34" w:type="dxa"/>
            <w:vMerge w:val="continue"/>
            <w:vAlign w:val="center"/>
          </w:tcPr>
          <w:p w14:paraId="44C72D2F">
            <w:pPr>
              <w:snapToGrid w:val="0"/>
              <w:spacing w:line="360" w:lineRule="auto"/>
              <w:jc w:val="center"/>
              <w:rPr>
                <w:rFonts w:ascii="新宋体" w:hAnsi="新宋体" w:eastAsia="新宋体" w:cs="新宋体"/>
                <w:color w:val="auto"/>
                <w:kern w:val="0"/>
                <w:sz w:val="24"/>
                <w:highlight w:val="none"/>
              </w:rPr>
            </w:pPr>
          </w:p>
        </w:tc>
        <w:tc>
          <w:tcPr>
            <w:tcW w:w="5103" w:type="dxa"/>
            <w:vAlign w:val="center"/>
          </w:tcPr>
          <w:p w14:paraId="4704D9D5">
            <w:pPr>
              <w:numPr>
                <w:ilvl w:val="0"/>
                <w:numId w:val="28"/>
              </w:numPr>
              <w:spacing w:line="360" w:lineRule="auto"/>
              <w:jc w:val="left"/>
              <w:rPr>
                <w:rFonts w:ascii="新宋体" w:hAnsi="新宋体" w:eastAsia="新宋体" w:cs="新宋体"/>
                <w:b/>
                <w:bCs/>
                <w:color w:val="auto"/>
                <w:kern w:val="0"/>
                <w:sz w:val="24"/>
                <w:highlight w:val="none"/>
              </w:rPr>
            </w:pPr>
            <w:r>
              <w:rPr>
                <w:rFonts w:hint="eastAsia" w:ascii="新宋体" w:hAnsi="新宋体" w:eastAsia="新宋体" w:cs="新宋体"/>
                <w:b/>
                <w:bCs/>
                <w:color w:val="auto"/>
                <w:kern w:val="0"/>
                <w:sz w:val="24"/>
                <w:highlight w:val="none"/>
              </w:rPr>
              <w:t>拟派本项目保洁员：</w:t>
            </w:r>
          </w:p>
          <w:p w14:paraId="414B3540">
            <w:p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bidi="zh-CN"/>
              </w:rPr>
              <w:t>（</w:t>
            </w:r>
            <w:r>
              <w:rPr>
                <w:rFonts w:hint="eastAsia" w:ascii="新宋体" w:hAnsi="新宋体" w:eastAsia="新宋体" w:cs="新宋体"/>
                <w:color w:val="auto"/>
                <w:kern w:val="0"/>
                <w:sz w:val="24"/>
                <w:highlight w:val="none"/>
              </w:rPr>
              <w:t>1）普通保洁岗：年龄60周岁以下，具有保洁工作经验；</w:t>
            </w:r>
          </w:p>
          <w:p w14:paraId="78BC2F59">
            <w:p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（2）医疗垃圾收集岗：年龄60周岁以下，具有</w:t>
            </w:r>
            <w:r>
              <w:rPr>
                <w:rFonts w:ascii="新宋体" w:hAnsi="新宋体" w:eastAsia="新宋体" w:cs="新宋体"/>
                <w:color w:val="auto"/>
                <w:kern w:val="0"/>
                <w:sz w:val="24"/>
                <w:highlight w:val="none"/>
              </w:rPr>
              <w:t>医疗</w:t>
            </w:r>
            <w:r>
              <w:rPr>
                <w:rFonts w:hint="eastAsia" w:ascii="新宋体" w:hAnsi="新宋体" w:eastAsia="新宋体" w:cs="新宋体"/>
                <w:color w:val="auto"/>
                <w:kern w:val="0"/>
                <w:sz w:val="24"/>
                <w:highlight w:val="none"/>
              </w:rPr>
              <w:t>垃圾</w:t>
            </w:r>
            <w:r>
              <w:rPr>
                <w:rFonts w:ascii="新宋体" w:hAnsi="新宋体" w:eastAsia="新宋体" w:cs="新宋体"/>
                <w:color w:val="auto"/>
                <w:kern w:val="0"/>
                <w:sz w:val="24"/>
                <w:highlight w:val="none"/>
              </w:rPr>
              <w:t>收集</w:t>
            </w:r>
            <w:r>
              <w:rPr>
                <w:rFonts w:hint="eastAsia" w:ascii="新宋体" w:hAnsi="新宋体" w:eastAsia="新宋体" w:cs="新宋体"/>
                <w:color w:val="auto"/>
                <w:kern w:val="0"/>
                <w:sz w:val="24"/>
                <w:highlight w:val="none"/>
              </w:rPr>
              <w:t>相关工作经验；</w:t>
            </w:r>
          </w:p>
          <w:p w14:paraId="0D96E7E7">
            <w:p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（3）外围保洁岗：年龄60周岁以下，具有保洁工作经验</w:t>
            </w:r>
          </w:p>
          <w:p w14:paraId="069D69AF">
            <w:p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（4）洗衣工：年龄60周岁以下，具有</w:t>
            </w:r>
            <w:r>
              <w:rPr>
                <w:rFonts w:ascii="新宋体" w:hAnsi="新宋体" w:eastAsia="新宋体" w:cs="新宋体"/>
                <w:color w:val="auto"/>
                <w:kern w:val="0"/>
                <w:sz w:val="24"/>
                <w:highlight w:val="none"/>
              </w:rPr>
              <w:t>洗衣</w:t>
            </w:r>
            <w:r>
              <w:rPr>
                <w:rFonts w:hint="eastAsia" w:ascii="新宋体" w:hAnsi="新宋体" w:eastAsia="新宋体" w:cs="新宋体"/>
                <w:color w:val="auto"/>
                <w:kern w:val="0"/>
                <w:sz w:val="24"/>
                <w:highlight w:val="none"/>
              </w:rPr>
              <w:t>缝补相关工作经验；</w:t>
            </w:r>
          </w:p>
          <w:p w14:paraId="01A7A58E">
            <w:p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b/>
                <w:bCs/>
                <w:color w:val="auto"/>
                <w:kern w:val="0"/>
                <w:sz w:val="24"/>
                <w:highlight w:val="none"/>
              </w:rPr>
              <w:t>2、拟派本项目保安员：</w:t>
            </w:r>
            <w:r>
              <w:rPr>
                <w:rFonts w:hint="eastAsia" w:ascii="新宋体" w:hAnsi="新宋体" w:eastAsia="新宋体" w:cs="新宋体"/>
                <w:color w:val="auto"/>
                <w:kern w:val="0"/>
                <w:sz w:val="24"/>
                <w:highlight w:val="none"/>
              </w:rPr>
              <w:t>年龄5</w:t>
            </w:r>
            <w:r>
              <w:rPr>
                <w:rFonts w:ascii="新宋体" w:hAnsi="新宋体" w:eastAsia="新宋体" w:cs="新宋体"/>
                <w:color w:val="auto"/>
                <w:kern w:val="0"/>
                <w:sz w:val="24"/>
                <w:highlight w:val="none"/>
              </w:rPr>
              <w:t>5</w:t>
            </w:r>
            <w:r>
              <w:rPr>
                <w:rFonts w:hint="eastAsia" w:ascii="新宋体" w:hAnsi="新宋体" w:eastAsia="新宋体" w:cs="新宋体"/>
                <w:color w:val="auto"/>
                <w:kern w:val="0"/>
                <w:sz w:val="24"/>
                <w:highlight w:val="none"/>
              </w:rPr>
              <w:t xml:space="preserve">周岁以下，具有1年以上保安工作经验； </w:t>
            </w:r>
          </w:p>
          <w:p w14:paraId="3ECCEA04">
            <w:p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b/>
                <w:bCs/>
                <w:color w:val="auto"/>
                <w:kern w:val="0"/>
                <w:sz w:val="24"/>
                <w:highlight w:val="none"/>
              </w:rPr>
              <w:t>3、拟派本项目消控员：</w:t>
            </w:r>
            <w:r>
              <w:rPr>
                <w:rFonts w:hint="eastAsia" w:ascii="新宋体" w:hAnsi="新宋体" w:eastAsia="新宋体" w:cs="新宋体"/>
                <w:color w:val="auto"/>
                <w:kern w:val="0"/>
                <w:sz w:val="24"/>
                <w:highlight w:val="none"/>
              </w:rPr>
              <w:t>年龄5</w:t>
            </w:r>
            <w:r>
              <w:rPr>
                <w:rFonts w:ascii="新宋体" w:hAnsi="新宋体" w:eastAsia="新宋体" w:cs="新宋体"/>
                <w:color w:val="auto"/>
                <w:kern w:val="0"/>
                <w:sz w:val="24"/>
                <w:highlight w:val="none"/>
              </w:rPr>
              <w:t>0</w:t>
            </w:r>
            <w:r>
              <w:rPr>
                <w:rFonts w:hint="eastAsia" w:ascii="新宋体" w:hAnsi="新宋体" w:eastAsia="新宋体" w:cs="新宋体"/>
                <w:color w:val="auto"/>
                <w:kern w:val="0"/>
                <w:sz w:val="24"/>
                <w:highlight w:val="none"/>
              </w:rPr>
              <w:t>周岁以下，具有1年以上消控工作经验；</w:t>
            </w:r>
          </w:p>
          <w:p w14:paraId="4AF171CF">
            <w:p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b/>
                <w:bCs/>
                <w:color w:val="auto"/>
                <w:kern w:val="0"/>
                <w:sz w:val="24"/>
                <w:highlight w:val="none"/>
              </w:rPr>
              <w:t>4、拟派本项目绿化工：</w:t>
            </w:r>
            <w:r>
              <w:rPr>
                <w:rFonts w:hint="eastAsia" w:ascii="新宋体" w:hAnsi="新宋体" w:eastAsia="新宋体" w:cs="新宋体"/>
                <w:color w:val="auto"/>
                <w:kern w:val="0"/>
                <w:sz w:val="24"/>
                <w:highlight w:val="none"/>
              </w:rPr>
              <w:t>年龄60周岁以下，具有1年以上绿化养护工作经验；</w:t>
            </w:r>
          </w:p>
          <w:p w14:paraId="05695F88">
            <w:p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b/>
                <w:bCs/>
                <w:color w:val="auto"/>
                <w:kern w:val="0"/>
                <w:sz w:val="24"/>
                <w:highlight w:val="none"/>
              </w:rPr>
              <w:t>5、拟派本项目的工程维修人员：</w:t>
            </w:r>
            <w:r>
              <w:rPr>
                <w:rFonts w:hint="eastAsia" w:ascii="新宋体" w:hAnsi="新宋体" w:eastAsia="新宋体" w:cs="新宋体"/>
                <w:color w:val="auto"/>
                <w:kern w:val="0"/>
                <w:sz w:val="24"/>
                <w:highlight w:val="none"/>
              </w:rPr>
              <w:t>年龄5</w:t>
            </w:r>
            <w:r>
              <w:rPr>
                <w:rFonts w:ascii="新宋体" w:hAnsi="新宋体" w:eastAsia="新宋体" w:cs="新宋体"/>
                <w:color w:val="auto"/>
                <w:kern w:val="0"/>
                <w:sz w:val="24"/>
                <w:highlight w:val="none"/>
              </w:rPr>
              <w:t>0</w:t>
            </w:r>
            <w:r>
              <w:rPr>
                <w:rFonts w:hint="eastAsia" w:ascii="新宋体" w:hAnsi="新宋体" w:eastAsia="新宋体" w:cs="新宋体"/>
                <w:color w:val="auto"/>
                <w:kern w:val="0"/>
                <w:sz w:val="24"/>
                <w:highlight w:val="none"/>
              </w:rPr>
              <w:t>周岁以下，高中以上学历，具有1年以上工程维修工作经验；</w:t>
            </w:r>
          </w:p>
          <w:p w14:paraId="22D9790F">
            <w:p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b/>
                <w:bCs/>
                <w:color w:val="auto"/>
                <w:kern w:val="0"/>
                <w:sz w:val="24"/>
                <w:highlight w:val="none"/>
              </w:rPr>
              <w:t>6、拟派本项目会务人员：</w:t>
            </w:r>
            <w:r>
              <w:rPr>
                <w:rFonts w:hint="eastAsia" w:ascii="新宋体" w:hAnsi="新宋体" w:eastAsia="新宋体" w:cs="新宋体"/>
                <w:color w:val="auto"/>
                <w:kern w:val="0"/>
                <w:sz w:val="24"/>
                <w:highlight w:val="none"/>
              </w:rPr>
              <w:t>年龄40周岁以下，具有1年以上会务工作经验，熟悉信息化办公；</w:t>
            </w:r>
          </w:p>
          <w:p w14:paraId="217D6AD4">
            <w:p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b/>
                <w:bCs/>
                <w:color w:val="auto"/>
                <w:kern w:val="0"/>
                <w:sz w:val="24"/>
                <w:highlight w:val="none"/>
              </w:rPr>
              <w:t>7、拟派本项目货物运送车驾驶员：</w:t>
            </w:r>
            <w:r>
              <w:rPr>
                <w:rFonts w:hint="eastAsia" w:ascii="新宋体" w:hAnsi="新宋体" w:eastAsia="新宋体" w:cs="新宋体"/>
                <w:color w:val="auto"/>
                <w:kern w:val="0"/>
                <w:sz w:val="24"/>
                <w:highlight w:val="none"/>
              </w:rPr>
              <w:t>年龄</w:t>
            </w:r>
            <w:r>
              <w:rPr>
                <w:rFonts w:ascii="新宋体" w:hAnsi="新宋体" w:eastAsia="新宋体" w:cs="新宋体"/>
                <w:color w:val="auto"/>
                <w:kern w:val="0"/>
                <w:sz w:val="24"/>
                <w:highlight w:val="none"/>
              </w:rPr>
              <w:t>45</w:t>
            </w:r>
            <w:r>
              <w:rPr>
                <w:rFonts w:hint="eastAsia" w:ascii="新宋体" w:hAnsi="新宋体" w:eastAsia="新宋体" w:cs="新宋体"/>
                <w:color w:val="auto"/>
                <w:kern w:val="0"/>
                <w:sz w:val="24"/>
                <w:highlight w:val="none"/>
              </w:rPr>
              <w:t>周岁以下，具有</w:t>
            </w:r>
            <w:r>
              <w:rPr>
                <w:rFonts w:ascii="新宋体" w:hAnsi="新宋体" w:eastAsia="新宋体" w:cs="新宋体"/>
                <w:color w:val="auto"/>
                <w:kern w:val="0"/>
                <w:sz w:val="24"/>
                <w:highlight w:val="none"/>
              </w:rPr>
              <w:t>5</w:t>
            </w:r>
            <w:r>
              <w:rPr>
                <w:rFonts w:hint="eastAsia" w:ascii="新宋体" w:hAnsi="新宋体" w:eastAsia="新宋体" w:cs="新宋体"/>
                <w:color w:val="auto"/>
                <w:kern w:val="0"/>
                <w:sz w:val="24"/>
                <w:highlight w:val="none"/>
              </w:rPr>
              <w:t>年以上驾车工作经验。</w:t>
            </w:r>
          </w:p>
          <w:p w14:paraId="41693509">
            <w:pPr>
              <w:snapToGrid w:val="0"/>
              <w:spacing w:line="360" w:lineRule="auto"/>
              <w:rPr>
                <w:rFonts w:ascii="黑体" w:hAnsi="黑体" w:eastAsia="黑体" w:cs="黑体"/>
                <w:color w:val="auto"/>
                <w:kern w:val="0"/>
                <w:sz w:val="20"/>
                <w:szCs w:val="21"/>
                <w:highlight w:val="none"/>
              </w:rPr>
            </w:pPr>
            <w:r>
              <w:rPr>
                <w:rFonts w:hint="eastAsia" w:ascii="黑体" w:hAnsi="黑体" w:eastAsia="黑体" w:cs="黑体"/>
                <w:color w:val="auto"/>
                <w:kern w:val="0"/>
                <w:sz w:val="20"/>
                <w:szCs w:val="21"/>
                <w:highlight w:val="none"/>
              </w:rPr>
              <w:t>承诺以上人员全部符合的得</w:t>
            </w:r>
            <w:r>
              <w:rPr>
                <w:rFonts w:ascii="黑体" w:hAnsi="黑体" w:eastAsia="黑体" w:cs="黑体"/>
                <w:color w:val="auto"/>
                <w:kern w:val="0"/>
                <w:sz w:val="20"/>
                <w:szCs w:val="21"/>
                <w:highlight w:val="none"/>
              </w:rPr>
              <w:t>5</w:t>
            </w:r>
            <w:r>
              <w:rPr>
                <w:rFonts w:hint="eastAsia" w:ascii="黑体" w:hAnsi="黑体" w:eastAsia="黑体" w:cs="黑体"/>
                <w:color w:val="auto"/>
                <w:kern w:val="0"/>
                <w:sz w:val="20"/>
                <w:szCs w:val="21"/>
                <w:highlight w:val="none"/>
              </w:rPr>
              <w:t>分，不承诺或者承诺无法满足采购需求不得分。</w:t>
            </w:r>
          </w:p>
        </w:tc>
        <w:tc>
          <w:tcPr>
            <w:tcW w:w="747" w:type="dxa"/>
            <w:vAlign w:val="center"/>
          </w:tcPr>
          <w:p w14:paraId="44D64768">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5</w:t>
            </w:r>
          </w:p>
        </w:tc>
        <w:tc>
          <w:tcPr>
            <w:tcW w:w="812" w:type="dxa"/>
            <w:vMerge w:val="continue"/>
            <w:vAlign w:val="center"/>
          </w:tcPr>
          <w:p w14:paraId="6B9C4DA1">
            <w:pPr>
              <w:snapToGrid w:val="0"/>
              <w:spacing w:line="360" w:lineRule="auto"/>
              <w:jc w:val="center"/>
              <w:rPr>
                <w:rFonts w:ascii="新宋体" w:hAnsi="新宋体" w:eastAsia="新宋体" w:cs="新宋体"/>
                <w:color w:val="auto"/>
                <w:kern w:val="0"/>
                <w:sz w:val="24"/>
                <w:highlight w:val="none"/>
              </w:rPr>
            </w:pPr>
          </w:p>
        </w:tc>
        <w:tc>
          <w:tcPr>
            <w:tcW w:w="1299" w:type="dxa"/>
            <w:vMerge w:val="continue"/>
            <w:vAlign w:val="center"/>
          </w:tcPr>
          <w:p w14:paraId="655F79EC">
            <w:pPr>
              <w:widowControl/>
              <w:jc w:val="center"/>
              <w:textAlignment w:val="center"/>
              <w:rPr>
                <w:rFonts w:ascii="新宋体" w:hAnsi="新宋体" w:eastAsia="新宋体" w:cs="新宋体"/>
                <w:color w:val="auto"/>
                <w:kern w:val="0"/>
                <w:sz w:val="24"/>
                <w:highlight w:val="none"/>
              </w:rPr>
            </w:pPr>
          </w:p>
        </w:tc>
      </w:tr>
      <w:tr w14:paraId="7B565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3EFA7DF6">
            <w:pPr>
              <w:snapToGrid w:val="0"/>
              <w:spacing w:line="360" w:lineRule="auto"/>
              <w:jc w:val="center"/>
              <w:rPr>
                <w:rFonts w:hint="default" w:ascii="新宋体" w:hAnsi="新宋体" w:eastAsia="新宋体" w:cs="新宋体"/>
                <w:color w:val="auto"/>
                <w:kern w:val="0"/>
                <w:sz w:val="24"/>
                <w:highlight w:val="none"/>
                <w:lang w:val="en-US" w:eastAsia="zh-CN"/>
              </w:rPr>
            </w:pPr>
            <w:r>
              <w:rPr>
                <w:rFonts w:hint="eastAsia" w:ascii="新宋体" w:hAnsi="新宋体" w:eastAsia="新宋体" w:cs="新宋体"/>
                <w:color w:val="auto"/>
                <w:kern w:val="0"/>
                <w:sz w:val="24"/>
                <w:highlight w:val="none"/>
                <w:lang w:val="en-US" w:eastAsia="zh-CN"/>
              </w:rPr>
              <w:t>18</w:t>
            </w:r>
          </w:p>
        </w:tc>
        <w:tc>
          <w:tcPr>
            <w:tcW w:w="5103" w:type="dxa"/>
            <w:vAlign w:val="center"/>
          </w:tcPr>
          <w:p w14:paraId="45115605">
            <w:p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 xml:space="preserve">    投标人具有职业健康安全管理体系认证证书（1分）、质量管理体系认证证书（1分）、环境管理体系认证（1分）。</w:t>
            </w:r>
          </w:p>
          <w:p w14:paraId="17919F14">
            <w:pPr>
              <w:snapToGrid w:val="0"/>
              <w:spacing w:line="360" w:lineRule="auto"/>
              <w:rPr>
                <w:rFonts w:ascii="新宋体" w:hAnsi="新宋体" w:eastAsia="新宋体" w:cs="新宋体"/>
                <w:color w:val="auto"/>
                <w:kern w:val="0"/>
                <w:sz w:val="24"/>
                <w:highlight w:val="none"/>
              </w:rPr>
            </w:pPr>
            <w:r>
              <w:rPr>
                <w:rFonts w:hint="eastAsia" w:ascii="黑体" w:hAnsi="黑体" w:eastAsia="黑体" w:cs="黑体"/>
                <w:color w:val="auto"/>
                <w:kern w:val="0"/>
                <w:sz w:val="20"/>
                <w:szCs w:val="21"/>
                <w:highlight w:val="none"/>
              </w:rPr>
              <w:t xml:space="preserve">    提供有效期内的证书扫描件及全国认证认可信息公共服务平台网站http://www.cnca.gov.cn/查询页面截图，否则不得分。</w:t>
            </w:r>
          </w:p>
        </w:tc>
        <w:tc>
          <w:tcPr>
            <w:tcW w:w="747" w:type="dxa"/>
            <w:vAlign w:val="center"/>
          </w:tcPr>
          <w:p w14:paraId="77068C2E">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3</w:t>
            </w:r>
          </w:p>
        </w:tc>
        <w:tc>
          <w:tcPr>
            <w:tcW w:w="812" w:type="dxa"/>
            <w:vAlign w:val="center"/>
          </w:tcPr>
          <w:p w14:paraId="587E2A19">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客观分</w:t>
            </w:r>
          </w:p>
        </w:tc>
        <w:tc>
          <w:tcPr>
            <w:tcW w:w="1299" w:type="dxa"/>
            <w:vAlign w:val="center"/>
          </w:tcPr>
          <w:p w14:paraId="090DBD44">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体系认证证书情况</w:t>
            </w:r>
          </w:p>
        </w:tc>
      </w:tr>
      <w:tr w14:paraId="6E55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3D0B0EC2">
            <w:pPr>
              <w:snapToGrid w:val="0"/>
              <w:spacing w:line="360" w:lineRule="auto"/>
              <w:jc w:val="center"/>
              <w:rPr>
                <w:rFonts w:hint="default" w:ascii="新宋体" w:hAnsi="新宋体" w:eastAsia="新宋体" w:cs="新宋体"/>
                <w:color w:val="auto"/>
                <w:kern w:val="0"/>
                <w:sz w:val="24"/>
                <w:highlight w:val="none"/>
                <w:lang w:val="en-US" w:eastAsia="zh-CN"/>
              </w:rPr>
            </w:pPr>
            <w:r>
              <w:rPr>
                <w:rFonts w:hint="eastAsia" w:ascii="新宋体" w:hAnsi="新宋体" w:eastAsia="新宋体" w:cs="新宋体"/>
                <w:color w:val="auto"/>
                <w:kern w:val="0"/>
                <w:sz w:val="24"/>
                <w:highlight w:val="none"/>
                <w:lang w:val="en-US" w:eastAsia="zh-CN"/>
              </w:rPr>
              <w:t>19</w:t>
            </w:r>
          </w:p>
        </w:tc>
        <w:tc>
          <w:tcPr>
            <w:tcW w:w="5103" w:type="dxa"/>
            <w:vAlign w:val="center"/>
          </w:tcPr>
          <w:p w14:paraId="23662533">
            <w:pPr>
              <w:snapToGrid w:val="0"/>
              <w:spacing w:line="360" w:lineRule="auto"/>
              <w:ind w:firstLine="480" w:firstLineChars="200"/>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投标人自202</w:t>
            </w:r>
            <w:r>
              <w:rPr>
                <w:rFonts w:ascii="新宋体" w:hAnsi="新宋体" w:eastAsia="新宋体" w:cs="新宋体"/>
                <w:color w:val="auto"/>
                <w:kern w:val="0"/>
                <w:sz w:val="24"/>
                <w:highlight w:val="none"/>
              </w:rPr>
              <w:t>2</w:t>
            </w:r>
            <w:r>
              <w:rPr>
                <w:rFonts w:hint="eastAsia" w:ascii="新宋体" w:hAnsi="新宋体" w:eastAsia="新宋体" w:cs="新宋体"/>
                <w:color w:val="auto"/>
                <w:kern w:val="0"/>
                <w:sz w:val="24"/>
                <w:highlight w:val="none"/>
              </w:rPr>
              <w:t>年1月1日以来的同类型医疗机构物业管理服务的成功案例（含在管项目），以签订时间为准。</w:t>
            </w:r>
          </w:p>
          <w:p w14:paraId="21F663AD">
            <w:pPr>
              <w:snapToGrid w:val="0"/>
              <w:spacing w:line="360" w:lineRule="auto"/>
              <w:ind w:firstLine="400" w:firstLineChars="200"/>
              <w:rPr>
                <w:rFonts w:ascii="新宋体" w:hAnsi="新宋体" w:eastAsia="新宋体" w:cs="新宋体"/>
                <w:color w:val="auto"/>
                <w:kern w:val="0"/>
                <w:sz w:val="24"/>
                <w:highlight w:val="none"/>
              </w:rPr>
            </w:pPr>
            <w:r>
              <w:rPr>
                <w:rFonts w:hint="eastAsia" w:ascii="黑体" w:hAnsi="黑体" w:eastAsia="黑体" w:cs="黑体"/>
                <w:color w:val="auto"/>
                <w:kern w:val="0"/>
                <w:sz w:val="20"/>
                <w:szCs w:val="21"/>
                <w:highlight w:val="none"/>
              </w:rPr>
              <w:t>提供合同扫描件。每提供1份得</w:t>
            </w:r>
            <w:r>
              <w:rPr>
                <w:rFonts w:ascii="黑体" w:hAnsi="黑体" w:eastAsia="黑体" w:cs="黑体"/>
                <w:color w:val="auto"/>
                <w:kern w:val="0"/>
                <w:sz w:val="20"/>
                <w:szCs w:val="21"/>
                <w:highlight w:val="none"/>
              </w:rPr>
              <w:t>1</w:t>
            </w:r>
            <w:r>
              <w:rPr>
                <w:rFonts w:hint="eastAsia" w:ascii="黑体" w:hAnsi="黑体" w:eastAsia="黑体" w:cs="黑体"/>
                <w:color w:val="auto"/>
                <w:kern w:val="0"/>
                <w:sz w:val="20"/>
                <w:szCs w:val="21"/>
                <w:highlight w:val="none"/>
              </w:rPr>
              <w:t>分，最多得2分。</w:t>
            </w:r>
          </w:p>
        </w:tc>
        <w:tc>
          <w:tcPr>
            <w:tcW w:w="747" w:type="dxa"/>
            <w:vAlign w:val="center"/>
          </w:tcPr>
          <w:p w14:paraId="211E83C5">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2</w:t>
            </w:r>
          </w:p>
        </w:tc>
        <w:tc>
          <w:tcPr>
            <w:tcW w:w="812" w:type="dxa"/>
            <w:vAlign w:val="center"/>
          </w:tcPr>
          <w:p w14:paraId="6E850E3D">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客观分</w:t>
            </w:r>
          </w:p>
        </w:tc>
        <w:tc>
          <w:tcPr>
            <w:tcW w:w="1299" w:type="dxa"/>
          </w:tcPr>
          <w:p w14:paraId="4CF71DDE">
            <w:pPr>
              <w:snapToGrid w:val="0"/>
              <w:spacing w:line="360" w:lineRule="auto"/>
              <w:jc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投标人类似项目业绩</w:t>
            </w:r>
          </w:p>
        </w:tc>
      </w:tr>
      <w:tr w14:paraId="0A2A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40F52598">
            <w:pPr>
              <w:snapToGrid w:val="0"/>
              <w:spacing w:line="360" w:lineRule="auto"/>
              <w:jc w:val="center"/>
              <w:rPr>
                <w:rFonts w:hint="eastAsia" w:ascii="新宋体" w:hAnsi="新宋体" w:eastAsia="新宋体" w:cs="新宋体"/>
                <w:color w:val="auto"/>
                <w:kern w:val="0"/>
                <w:sz w:val="24"/>
                <w:highlight w:val="none"/>
                <w:lang w:eastAsia="zh-CN"/>
              </w:rPr>
            </w:pPr>
            <w:r>
              <w:rPr>
                <w:rFonts w:hint="eastAsia" w:ascii="新宋体" w:hAnsi="新宋体" w:eastAsia="新宋体" w:cs="新宋体"/>
                <w:color w:val="auto"/>
                <w:kern w:val="0"/>
                <w:sz w:val="24"/>
                <w:highlight w:val="none"/>
              </w:rPr>
              <w:t>2</w:t>
            </w:r>
            <w:r>
              <w:rPr>
                <w:rFonts w:hint="eastAsia" w:ascii="新宋体" w:hAnsi="新宋体" w:eastAsia="新宋体" w:cs="新宋体"/>
                <w:color w:val="auto"/>
                <w:kern w:val="0"/>
                <w:sz w:val="24"/>
                <w:highlight w:val="none"/>
                <w:lang w:val="en-US" w:eastAsia="zh-CN"/>
              </w:rPr>
              <w:t>0</w:t>
            </w:r>
            <w:bookmarkStart w:id="466" w:name="_GoBack"/>
            <w:bookmarkEnd w:id="466"/>
          </w:p>
        </w:tc>
        <w:tc>
          <w:tcPr>
            <w:tcW w:w="5103" w:type="dxa"/>
            <w:vAlign w:val="center"/>
          </w:tcPr>
          <w:p w14:paraId="60323C41">
            <w:pPr>
              <w:spacing w:line="360" w:lineRule="auto"/>
              <w:outlineLvl w:val="0"/>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 xml:space="preserve">    有效投标报价的最低价作为评标基准价，其最低报价为满分；按［投标报价得分=（评标基准价/投标报价）*26］的计算公式计算。</w:t>
            </w:r>
          </w:p>
          <w:p w14:paraId="1A6DB5A1">
            <w:pPr>
              <w:widowControl/>
              <w:shd w:val="clear" w:color="auto" w:fill="FFFFFF"/>
              <w:adjustRightInd/>
              <w:spacing w:after="225" w:line="315" w:lineRule="atLeast"/>
              <w:ind w:firstLine="420"/>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评标过程中，不得去掉报价中的最高报价和最低报价。</w:t>
            </w:r>
          </w:p>
        </w:tc>
        <w:tc>
          <w:tcPr>
            <w:tcW w:w="747" w:type="dxa"/>
            <w:vAlign w:val="center"/>
          </w:tcPr>
          <w:p w14:paraId="06739F36">
            <w:pPr>
              <w:spacing w:line="360" w:lineRule="auto"/>
              <w:jc w:val="center"/>
              <w:outlineLvl w:val="0"/>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26</w:t>
            </w:r>
          </w:p>
        </w:tc>
        <w:tc>
          <w:tcPr>
            <w:tcW w:w="812" w:type="dxa"/>
            <w:vAlign w:val="center"/>
          </w:tcPr>
          <w:p w14:paraId="0B066D62">
            <w:pPr>
              <w:spacing w:line="360" w:lineRule="auto"/>
              <w:jc w:val="center"/>
              <w:outlineLvl w:val="0"/>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w:t>
            </w:r>
          </w:p>
        </w:tc>
        <w:tc>
          <w:tcPr>
            <w:tcW w:w="1299" w:type="dxa"/>
            <w:vAlign w:val="center"/>
          </w:tcPr>
          <w:p w14:paraId="47F7EFA3">
            <w:pPr>
              <w:spacing w:line="360" w:lineRule="auto"/>
              <w:jc w:val="center"/>
              <w:outlineLvl w:val="0"/>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w:t>
            </w:r>
          </w:p>
        </w:tc>
      </w:tr>
    </w:tbl>
    <w:p w14:paraId="1B392207">
      <w:pPr>
        <w:rPr>
          <w:color w:val="auto"/>
          <w:highlight w:val="none"/>
        </w:rPr>
      </w:pPr>
    </w:p>
    <w:p w14:paraId="3E125F73">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ED177A2">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B3AB67B">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BF2E3F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9621F75">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6909968">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26FBFA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994FCE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277C1D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9C33947">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36E8796">
      <w:pPr>
        <w:pStyle w:val="8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D3E323E">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62B29183">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67CD010B">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3CB283E4">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r>
        <w:rPr>
          <w:rFonts w:hint="eastAsia" w:ascii="宋体" w:hAnsi="宋体" w:cs="宋体"/>
          <w:color w:val="auto"/>
          <w:kern w:val="0"/>
          <w:szCs w:val="24"/>
          <w:highlight w:val="none"/>
          <w:lang w:eastAsia="zh-CN"/>
        </w:rPr>
        <w:t>；</w:t>
      </w:r>
    </w:p>
    <w:p w14:paraId="780E9E7F">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575894C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E20BA1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FBA5147">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5C2A8675">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22314828">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C45E4D8">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9511DB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2FE2194">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F7FC81">
      <w:pPr>
        <w:pStyle w:val="8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A0EFF51">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B62987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144967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3D1566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8F75A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49FDF2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BD4C326">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3E568CF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 投标报价低于项目预算50%，未在报价文件中详细阐述不影响产品质量或者诚信履约的具体原因的；</w:t>
      </w:r>
    </w:p>
    <w:p w14:paraId="4AC39A6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4B2E1EA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E50577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A463565">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087A39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E24396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61E71107">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0556FBA1">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0"/>
          <w:sz w:val="24"/>
          <w:highlight w:val="none"/>
          <w:lang w:val="en-US" w:eastAsia="zh-CN"/>
        </w:rPr>
        <w:t>4.2.</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b/>
          <w:bCs/>
          <w:color w:val="auto"/>
          <w:sz w:val="24"/>
          <w:szCs w:val="24"/>
          <w:highlight w:val="none"/>
          <w:lang w:val="en-US" w:eastAsia="zh-CN"/>
        </w:rPr>
        <w:t>串通投标认定。</w:t>
      </w:r>
      <w:r>
        <w:rPr>
          <w:rFonts w:hint="eastAsia" w:ascii="宋体" w:hAnsi="宋体" w:eastAsia="宋体" w:cs="宋体"/>
          <w:b w:val="0"/>
          <w:bCs w:val="0"/>
          <w:color w:val="auto"/>
          <w:sz w:val="24"/>
          <w:szCs w:val="24"/>
          <w:highlight w:val="none"/>
          <w:lang w:val="en-US" w:eastAsia="zh-CN"/>
        </w:rPr>
        <w:t>有下列情形之一的，视为投标人串通投标，其投标无效：</w:t>
      </w:r>
    </w:p>
    <w:p w14:paraId="3DD57D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4.2.</w:t>
      </w:r>
      <w:r>
        <w:rPr>
          <w:rFonts w:hint="eastAsia" w:ascii="宋体" w:hAnsi="宋体" w:eastAsia="宋体" w:cs="宋体"/>
          <w:color w:val="auto"/>
          <w:kern w:val="0"/>
          <w:sz w:val="24"/>
          <w:szCs w:val="24"/>
          <w:highlight w:val="none"/>
          <w:lang w:val="en-US" w:eastAsia="zh-CN" w:bidi="ar-SA"/>
        </w:rPr>
        <w:t>15</w:t>
      </w:r>
      <w:r>
        <w:rPr>
          <w:rFonts w:hint="eastAsia" w:ascii="宋体" w:hAnsi="宋体" w:eastAsia="宋体" w:cs="宋体"/>
          <w:b w:val="0"/>
          <w:bCs w:val="0"/>
          <w:color w:val="auto"/>
          <w:kern w:val="2"/>
          <w:sz w:val="24"/>
          <w:szCs w:val="24"/>
          <w:highlight w:val="none"/>
          <w:lang w:val="en-US" w:eastAsia="zh-CN" w:bidi="ar-SA"/>
        </w:rPr>
        <w:t>.1不同投标人的投标文件由同一单位或者个人编制或同一IP地址上传；</w:t>
      </w:r>
    </w:p>
    <w:p w14:paraId="2DE1FF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4.2.</w:t>
      </w:r>
      <w:r>
        <w:rPr>
          <w:rFonts w:hint="eastAsia" w:ascii="宋体" w:hAnsi="宋体" w:eastAsia="宋体" w:cs="宋体"/>
          <w:color w:val="auto"/>
          <w:kern w:val="0"/>
          <w:sz w:val="24"/>
          <w:szCs w:val="24"/>
          <w:highlight w:val="none"/>
          <w:lang w:val="en-US" w:eastAsia="zh-CN" w:bidi="ar-SA"/>
        </w:rPr>
        <w:t>15</w:t>
      </w:r>
      <w:r>
        <w:rPr>
          <w:rFonts w:hint="eastAsia" w:ascii="宋体" w:hAnsi="宋体" w:eastAsia="宋体" w:cs="宋体"/>
          <w:b w:val="0"/>
          <w:bCs w:val="0"/>
          <w:color w:val="auto"/>
          <w:kern w:val="2"/>
          <w:sz w:val="24"/>
          <w:szCs w:val="24"/>
          <w:highlight w:val="none"/>
          <w:lang w:val="en-US" w:eastAsia="zh-CN" w:bidi="ar-SA"/>
        </w:rPr>
        <w:t>.2不同投标人委托同一单位或者个人办理投标事宜；</w:t>
      </w:r>
    </w:p>
    <w:p w14:paraId="4B20B4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4.2.</w:t>
      </w:r>
      <w:r>
        <w:rPr>
          <w:rFonts w:hint="eastAsia" w:ascii="宋体" w:hAnsi="宋体" w:eastAsia="宋体" w:cs="宋体"/>
          <w:color w:val="auto"/>
          <w:kern w:val="0"/>
          <w:sz w:val="24"/>
          <w:szCs w:val="24"/>
          <w:highlight w:val="none"/>
          <w:lang w:val="en-US" w:eastAsia="zh-CN" w:bidi="ar-SA"/>
        </w:rPr>
        <w:t>15</w:t>
      </w:r>
      <w:r>
        <w:rPr>
          <w:rFonts w:hint="eastAsia" w:ascii="宋体" w:hAnsi="宋体" w:eastAsia="宋体" w:cs="宋体"/>
          <w:b w:val="0"/>
          <w:bCs w:val="0"/>
          <w:color w:val="auto"/>
          <w:kern w:val="2"/>
          <w:sz w:val="24"/>
          <w:szCs w:val="24"/>
          <w:highlight w:val="none"/>
          <w:lang w:val="en-US" w:eastAsia="zh-CN" w:bidi="ar-SA"/>
        </w:rPr>
        <w:t>.3不同投标人的投标文件载明的项目管理成员或者联系人员为同一人；</w:t>
      </w:r>
    </w:p>
    <w:p w14:paraId="675EFB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4.2.</w:t>
      </w:r>
      <w:r>
        <w:rPr>
          <w:rFonts w:hint="eastAsia" w:ascii="宋体" w:hAnsi="宋体" w:eastAsia="宋体" w:cs="宋体"/>
          <w:color w:val="auto"/>
          <w:kern w:val="0"/>
          <w:sz w:val="24"/>
          <w:szCs w:val="24"/>
          <w:highlight w:val="none"/>
          <w:lang w:val="en-US" w:eastAsia="zh-CN" w:bidi="ar-SA"/>
        </w:rPr>
        <w:t>15</w:t>
      </w:r>
      <w:r>
        <w:rPr>
          <w:rFonts w:hint="eastAsia" w:ascii="宋体" w:hAnsi="宋体" w:eastAsia="宋体" w:cs="宋体"/>
          <w:b w:val="0"/>
          <w:bCs w:val="0"/>
          <w:color w:val="auto"/>
          <w:kern w:val="2"/>
          <w:sz w:val="24"/>
          <w:szCs w:val="24"/>
          <w:highlight w:val="none"/>
          <w:lang w:val="en-US" w:eastAsia="zh-CN" w:bidi="ar-SA"/>
        </w:rPr>
        <w:t>.4不同投标人的投标文件异常一致或者投标报价呈规律性差异；</w:t>
      </w:r>
    </w:p>
    <w:p w14:paraId="0DE38338">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2"/>
          <w:sz w:val="24"/>
          <w:szCs w:val="24"/>
          <w:highlight w:val="none"/>
          <w:lang w:val="en-US" w:eastAsia="zh-CN" w:bidi="ar-SA"/>
        </w:rPr>
        <w:t>4.2.</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rPr>
        <w:t>不同投标人的投标文件相互混装。</w:t>
      </w:r>
    </w:p>
    <w:p w14:paraId="55C36F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4.2.16法律法规、规章（适用本市的）及省级以上规范性文件（适用本市的）规定的其他无效情形。</w:t>
      </w:r>
    </w:p>
    <w:p w14:paraId="64BB8BD1">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7598E06">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EEC68E0">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680287D">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F0D5B01">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D328490">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5201CD58">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3B9C334B">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8A12B57">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7A81477">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AB0792F">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24E4C2B">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581C847">
      <w:pPr>
        <w:pStyle w:val="24"/>
        <w:snapToGrid w:val="0"/>
        <w:spacing w:line="360" w:lineRule="auto"/>
        <w:ind w:firstLine="480" w:firstLineChars="200"/>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C8057CF">
      <w:pPr>
        <w:pStyle w:val="24"/>
        <w:snapToGrid w:val="0"/>
        <w:spacing w:line="360" w:lineRule="auto"/>
        <w:ind w:firstLine="0" w:firstLineChars="0"/>
        <w:rPr>
          <w:rFonts w:hint="eastAsia" w:cs="宋体"/>
          <w:b/>
          <w:bCs/>
          <w:color w:val="auto"/>
          <w:highlight w:val="none"/>
          <w:lang w:val="en-US" w:eastAsia="zh-CN"/>
        </w:rPr>
      </w:pPr>
    </w:p>
    <w:bookmarkEnd w:id="27"/>
    <w:p w14:paraId="49B84097">
      <w:pPr>
        <w:rPr>
          <w:rFonts w:ascii="宋体" w:hAnsi="宋体" w:cs="宋体"/>
          <w:b/>
          <w:color w:val="auto"/>
          <w:sz w:val="36"/>
          <w:szCs w:val="36"/>
          <w:highlight w:val="none"/>
        </w:rPr>
      </w:pPr>
      <w:bookmarkStart w:id="393" w:name="第五部分"/>
      <w:bookmarkStart w:id="394" w:name="_Toc86217003"/>
      <w:r>
        <w:rPr>
          <w:rFonts w:ascii="宋体" w:hAnsi="宋体" w:cs="宋体"/>
          <w:b/>
          <w:color w:val="auto"/>
          <w:sz w:val="36"/>
          <w:szCs w:val="36"/>
          <w:highlight w:val="none"/>
        </w:rPr>
        <w:br w:type="page"/>
      </w:r>
    </w:p>
    <w:p w14:paraId="3853E97C">
      <w:pPr>
        <w:spacing w:line="360" w:lineRule="auto"/>
        <w:ind w:left="720" w:leftChars="343" w:firstLine="1084" w:firstLineChars="300"/>
        <w:outlineLvl w:val="0"/>
        <w:rPr>
          <w:rFonts w:ascii="宋体" w:hAnsi="宋体" w:cs="宋体"/>
          <w:b/>
          <w:color w:val="auto"/>
          <w:sz w:val="36"/>
          <w:szCs w:val="36"/>
          <w:highlight w:val="none"/>
        </w:rPr>
      </w:pPr>
    </w:p>
    <w:p w14:paraId="27923255">
      <w:pPr>
        <w:widowControl/>
        <w:adjustRightInd/>
        <w:spacing w:line="240" w:lineRule="auto"/>
        <w:ind w:left="0" w:leftChars="0" w:firstLine="0" w:firstLineChars="0"/>
        <w:jc w:val="center"/>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29ED10F">
      <w:pPr>
        <w:widowControl/>
        <w:adjustRightInd/>
        <w:spacing w:line="240" w:lineRule="auto"/>
        <w:ind w:left="0" w:leftChars="0" w:firstLine="0" w:firstLineChars="0"/>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377361B">
      <w:pPr>
        <w:rPr>
          <w:rFonts w:ascii="宋体" w:hAnsi="宋体" w:cs="宋体"/>
          <w:b/>
          <w:color w:val="auto"/>
          <w:sz w:val="24"/>
          <w:highlight w:val="none"/>
        </w:rPr>
      </w:pPr>
    </w:p>
    <w:p w14:paraId="6A72871C">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E0E189A">
      <w:pPr>
        <w:spacing w:line="480" w:lineRule="auto"/>
        <w:jc w:val="center"/>
        <w:rPr>
          <w:rFonts w:ascii="宋体" w:hAnsi="宋体" w:cs="宋体"/>
          <w:b/>
          <w:color w:val="auto"/>
          <w:sz w:val="28"/>
          <w:szCs w:val="28"/>
          <w:highlight w:val="none"/>
        </w:rPr>
      </w:pPr>
    </w:p>
    <w:p w14:paraId="5FA42BD7">
      <w:pPr>
        <w:spacing w:line="480" w:lineRule="auto"/>
        <w:jc w:val="center"/>
        <w:rPr>
          <w:rFonts w:ascii="宋体" w:hAnsi="宋体" w:cs="宋体"/>
          <w:b/>
          <w:color w:val="auto"/>
          <w:sz w:val="24"/>
          <w:highlight w:val="none"/>
        </w:rPr>
      </w:pPr>
    </w:p>
    <w:p w14:paraId="449D7979">
      <w:pPr>
        <w:spacing w:line="480" w:lineRule="auto"/>
        <w:jc w:val="center"/>
        <w:rPr>
          <w:rFonts w:ascii="宋体" w:hAnsi="宋体" w:cs="宋体"/>
          <w:b/>
          <w:color w:val="auto"/>
          <w:sz w:val="24"/>
          <w:highlight w:val="none"/>
        </w:rPr>
      </w:pPr>
    </w:p>
    <w:p w14:paraId="36A13059">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040CCE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74DAD3C1">
      <w:pPr>
        <w:pStyle w:val="384"/>
        <w:tabs>
          <w:tab w:val="left" w:pos="3213"/>
        </w:tabs>
        <w:ind w:firstLine="482"/>
        <w:jc w:val="center"/>
        <w:outlineLvl w:val="0"/>
        <w:rPr>
          <w:rFonts w:ascii="宋体" w:hAnsi="宋体" w:cs="宋体"/>
          <w:b/>
          <w:color w:val="auto"/>
          <w:szCs w:val="24"/>
          <w:highlight w:val="none"/>
        </w:rPr>
      </w:pPr>
      <w:r>
        <w:rPr>
          <w:rFonts w:hint="eastAsia" w:ascii="宋体" w:hAnsi="宋体" w:cs="宋体"/>
          <w:b/>
          <w:color w:val="auto"/>
          <w:szCs w:val="24"/>
          <w:highlight w:val="none"/>
        </w:rPr>
        <w:t>第一部</w:t>
      </w:r>
      <w:r>
        <w:rPr>
          <w:rFonts w:hint="eastAsia" w:ascii="宋体" w:hAnsi="宋体" w:cs="宋体"/>
          <w:b/>
          <w:color w:val="auto"/>
          <w:szCs w:val="24"/>
          <w:highlight w:val="none"/>
          <w:lang w:eastAsia="zh-CN"/>
        </w:rPr>
        <w:t>分</w:t>
      </w:r>
      <w:r>
        <w:rPr>
          <w:rFonts w:hint="eastAsia" w:ascii="宋体" w:hAnsi="宋体" w:cs="宋体"/>
          <w:b/>
          <w:color w:val="auto"/>
          <w:szCs w:val="24"/>
          <w:highlight w:val="none"/>
        </w:rPr>
        <w:t xml:space="preserve"> 合同书</w:t>
      </w:r>
    </w:p>
    <w:p w14:paraId="58F28E78">
      <w:pPr>
        <w:spacing w:before="120" w:line="22" w:lineRule="atLeast"/>
        <w:rPr>
          <w:rFonts w:ascii="宋体" w:hAnsi="宋体" w:cs="宋体"/>
          <w:color w:val="auto"/>
          <w:sz w:val="24"/>
          <w:highlight w:val="none"/>
        </w:rPr>
      </w:pPr>
    </w:p>
    <w:p w14:paraId="1CE075BC">
      <w:pPr>
        <w:keepNext/>
        <w:keepLines/>
        <w:tabs>
          <w:tab w:val="left" w:pos="432"/>
        </w:tabs>
        <w:adjustRightInd/>
        <w:ind w:left="431" w:hanging="431"/>
        <w:rPr>
          <w:rFonts w:ascii="宋体" w:hAnsi="宋体" w:cs="宋体"/>
          <w:color w:val="auto"/>
          <w:highlight w:val="none"/>
        </w:rPr>
      </w:pPr>
    </w:p>
    <w:p w14:paraId="11E37130">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8DDFDBF">
      <w:pPr>
        <w:pStyle w:val="281"/>
        <w:spacing w:before="120" w:line="22" w:lineRule="atLeast"/>
        <w:rPr>
          <w:rFonts w:ascii="宋体" w:hAnsi="宋体" w:eastAsia="宋体" w:cs="宋体"/>
          <w:color w:val="auto"/>
          <w:szCs w:val="24"/>
          <w:highlight w:val="none"/>
        </w:rPr>
      </w:pPr>
    </w:p>
    <w:p w14:paraId="23C5071F">
      <w:pPr>
        <w:pStyle w:val="281"/>
        <w:spacing w:before="120" w:line="22" w:lineRule="atLeast"/>
        <w:rPr>
          <w:rFonts w:ascii="宋体" w:hAnsi="宋体" w:eastAsia="宋体" w:cs="宋体"/>
          <w:color w:val="auto"/>
          <w:szCs w:val="24"/>
          <w:highlight w:val="none"/>
        </w:rPr>
      </w:pPr>
    </w:p>
    <w:p w14:paraId="617EBB9D">
      <w:pPr>
        <w:rPr>
          <w:rFonts w:ascii="宋体" w:hAnsi="宋体" w:cs="宋体"/>
          <w:color w:val="auto"/>
          <w:sz w:val="24"/>
          <w:highlight w:val="none"/>
        </w:rPr>
      </w:pPr>
    </w:p>
    <w:p w14:paraId="0F88421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CC5412F">
      <w:pPr>
        <w:spacing w:before="120" w:line="22" w:lineRule="atLeast"/>
        <w:rPr>
          <w:rFonts w:ascii="宋体" w:hAnsi="宋体" w:cs="宋体"/>
          <w:color w:val="auto"/>
          <w:sz w:val="24"/>
          <w:highlight w:val="none"/>
        </w:rPr>
      </w:pPr>
    </w:p>
    <w:p w14:paraId="6E37DD5B">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C017312">
      <w:pPr>
        <w:spacing w:before="120" w:line="22" w:lineRule="atLeast"/>
        <w:rPr>
          <w:rFonts w:ascii="宋体" w:hAnsi="宋体" w:cs="宋体"/>
          <w:color w:val="auto"/>
          <w:sz w:val="24"/>
          <w:highlight w:val="none"/>
        </w:rPr>
      </w:pPr>
    </w:p>
    <w:p w14:paraId="148938B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3CE562F">
      <w:pPr>
        <w:spacing w:before="120" w:line="22" w:lineRule="atLeast"/>
        <w:rPr>
          <w:rFonts w:ascii="宋体" w:hAnsi="宋体" w:cs="宋体"/>
          <w:color w:val="auto"/>
          <w:sz w:val="24"/>
          <w:highlight w:val="none"/>
        </w:rPr>
      </w:pPr>
    </w:p>
    <w:p w14:paraId="14E87312">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D8C4674">
      <w:pPr>
        <w:widowControl/>
        <w:jc w:val="left"/>
        <w:rPr>
          <w:rFonts w:ascii="宋体" w:hAnsi="宋体" w:cs="宋体"/>
          <w:color w:val="auto"/>
          <w:kern w:val="0"/>
          <w:sz w:val="24"/>
          <w:highlight w:val="none"/>
        </w:rPr>
        <w:sectPr>
          <w:pgSz w:w="11907" w:h="16840"/>
          <w:pgMar w:top="1474" w:right="1814" w:bottom="1474" w:left="1814" w:header="851" w:footer="851" w:gutter="0"/>
          <w:cols w:space="720" w:num="1"/>
          <w:titlePg/>
          <w:docGrid w:linePitch="312" w:charSpace="0"/>
        </w:sectPr>
      </w:pPr>
    </w:p>
    <w:p w14:paraId="0294D65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杭州市余杭区余杭街道社区卫生服务中心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olor w:val="auto"/>
          <w:sz w:val="24"/>
          <w:highlight w:val="none"/>
          <w:u w:val="single"/>
          <w:lang w:eastAsia="zh-CN"/>
        </w:rPr>
        <w:t>公开招标方式</w:t>
      </w:r>
      <w:r>
        <w:rPr>
          <w:rFonts w:hint="eastAsia" w:ascii="宋体" w:hAnsi="宋体" w:cs="宋体"/>
          <w:color w:val="auto"/>
          <w:sz w:val="24"/>
          <w:highlight w:val="none"/>
        </w:rPr>
        <w:t>对</w:t>
      </w:r>
      <w:r>
        <w:rPr>
          <w:rFonts w:hint="eastAsia" w:ascii="宋体" w:hAnsi="宋体" w:cs="宋体"/>
          <w:color w:val="auto"/>
          <w:sz w:val="24"/>
          <w:highlight w:val="none"/>
          <w:u w:val="single"/>
          <w:lang w:eastAsia="zh-CN"/>
        </w:rPr>
        <w:t>杭州市余杭区余杭街道社区卫生服务中心物业服务采购项目   （HZYHZFCG-2025-008）</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rPr>
        <w:t>为该项目中标供应商。现于中标通知书发出之日起10个工作日内，按照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确定的事项签订本合同。</w:t>
      </w:r>
    </w:p>
    <w:p w14:paraId="2B423FF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杭州市余杭区余杭街道社区卫生服务中心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13C33A70">
      <w:pPr>
        <w:spacing w:line="560" w:lineRule="exact"/>
        <w:ind w:firstLine="482" w:firstLineChars="200"/>
        <w:outlineLvl w:val="0"/>
        <w:rPr>
          <w:rFonts w:ascii="新宋体" w:hAnsi="新宋体" w:eastAsia="新宋体" w:cs="新宋体"/>
          <w:color w:val="auto"/>
          <w:sz w:val="24"/>
          <w:highlight w:val="none"/>
        </w:rPr>
      </w:pPr>
      <w:r>
        <w:rPr>
          <w:rFonts w:hint="eastAsia" w:ascii="新宋体" w:hAnsi="新宋体" w:eastAsia="新宋体" w:cs="新宋体"/>
          <w:b/>
          <w:color w:val="auto"/>
          <w:sz w:val="24"/>
          <w:highlight w:val="none"/>
        </w:rPr>
        <w:t>1.1 合同组成部分</w:t>
      </w:r>
    </w:p>
    <w:p w14:paraId="7BDD8476">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2336B15">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1.1.1 本合同及其补充合同、变更协议；</w:t>
      </w:r>
    </w:p>
    <w:p w14:paraId="22124913">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1.1.2 中标通知书；</w:t>
      </w:r>
    </w:p>
    <w:p w14:paraId="4B4FC28E">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1.1.3 投标文件（含澄清或者说明文件）；</w:t>
      </w:r>
    </w:p>
    <w:p w14:paraId="0B63590D">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1.1.4 招标文件（含澄清或者修改文件）；</w:t>
      </w:r>
    </w:p>
    <w:p w14:paraId="7AA3BDE4">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1.1.5 其他相关采购文件。</w:t>
      </w:r>
    </w:p>
    <w:p w14:paraId="6412F29E">
      <w:pPr>
        <w:spacing w:line="560" w:lineRule="exact"/>
        <w:ind w:firstLine="482" w:firstLineChars="2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1.2 标的</w:t>
      </w:r>
    </w:p>
    <w:p w14:paraId="3E97024F">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1.2.1 服务内容：</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w:t>
      </w:r>
    </w:p>
    <w:p w14:paraId="07F22838">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1.2.2 服务标准：</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w:t>
      </w:r>
    </w:p>
    <w:p w14:paraId="57D068A9">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1.2.3 技术保障：</w:t>
      </w:r>
      <w:r>
        <w:rPr>
          <w:rFonts w:hint="eastAsia" w:ascii="新宋体" w:hAnsi="新宋体" w:eastAsia="新宋体" w:cs="新宋体"/>
          <w:color w:val="auto"/>
          <w:sz w:val="24"/>
          <w:highlight w:val="none"/>
          <w:u w:val="single"/>
        </w:rPr>
        <w:t>　　　　　　　　　                      　      ；</w:t>
      </w:r>
    </w:p>
    <w:p w14:paraId="2F71A94D">
      <w:pPr>
        <w:spacing w:line="560" w:lineRule="exact"/>
        <w:ind w:firstLine="480" w:firstLineChars="200"/>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1.2.4 服务人员组成：</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w:t>
      </w:r>
    </w:p>
    <w:p w14:paraId="4B9870CA">
      <w:pPr>
        <w:pStyle w:val="616"/>
        <w:spacing w:before="0" w:beforeAutospacing="0" w:after="0" w:afterAutospacing="0" w:line="360" w:lineRule="auto"/>
        <w:ind w:firstLine="480"/>
        <w:rPr>
          <w:rFonts w:ascii="新宋体" w:hAnsi="新宋体" w:eastAsia="新宋体" w:cs="新宋体"/>
          <w:color w:val="auto"/>
          <w:highlight w:val="none"/>
        </w:rPr>
      </w:pPr>
      <w:r>
        <w:rPr>
          <w:rFonts w:hint="eastAsia" w:ascii="新宋体" w:hAnsi="新宋体" w:eastAsia="新宋体" w:cs="新宋体"/>
          <w:color w:val="auto"/>
          <w:highlight w:val="none"/>
        </w:rPr>
        <w:t>1.2.5合同</w:t>
      </w:r>
      <w:r>
        <w:rPr>
          <w:rFonts w:hint="eastAsia" w:ascii="新宋体" w:hAnsi="新宋体" w:eastAsia="新宋体" w:cs="新宋体"/>
          <w:color w:val="auto"/>
          <w:highlight w:val="none"/>
          <w:u w:val="single"/>
        </w:rPr>
        <w:t xml:space="preserve">     </w:t>
      </w:r>
      <w:r>
        <w:rPr>
          <w:rFonts w:hint="eastAsia" w:ascii="新宋体" w:hAnsi="新宋体" w:eastAsia="新宋体" w:cs="新宋体"/>
          <w:color w:val="auto"/>
          <w:highlight w:val="none"/>
        </w:rPr>
        <w:t>（是/否）涉及货物。若涉及货物的，则：</w:t>
      </w:r>
    </w:p>
    <w:p w14:paraId="18840D13">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1.2.5.1 货物名称、品牌、规格型号、花色：</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w:t>
      </w:r>
    </w:p>
    <w:p w14:paraId="6857ACE3">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1.2.5.2 货物数量：</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w:t>
      </w:r>
    </w:p>
    <w:p w14:paraId="6773ADE3">
      <w:pPr>
        <w:spacing w:line="560" w:lineRule="exact"/>
        <w:ind w:firstLine="480" w:firstLineChars="200"/>
        <w:outlineLvl w:val="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1.2.5.3 货物质量：</w:t>
      </w:r>
      <w:r>
        <w:rPr>
          <w:rFonts w:hint="eastAsia" w:ascii="新宋体" w:hAnsi="新宋体" w:eastAsia="新宋体" w:cs="新宋体"/>
          <w:color w:val="auto"/>
          <w:sz w:val="24"/>
          <w:highlight w:val="none"/>
          <w:u w:val="single"/>
        </w:rPr>
        <w:t xml:space="preserve">　　　　　　　　　                      　 </w:t>
      </w:r>
    </w:p>
    <w:p w14:paraId="07D97E5C">
      <w:pPr>
        <w:spacing w:line="560" w:lineRule="exact"/>
        <w:ind w:firstLine="482" w:firstLineChars="2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1.3 价款</w:t>
      </w:r>
    </w:p>
    <w:p w14:paraId="25639788">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本合同总价为：￥</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元（大写：</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元人民币）。</w:t>
      </w:r>
    </w:p>
    <w:p w14:paraId="2398C131">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49D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C915CF8">
            <w:pPr>
              <w:pStyle w:val="105"/>
              <w:spacing w:line="560" w:lineRule="exact"/>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7EB2A14">
            <w:pPr>
              <w:pStyle w:val="105"/>
              <w:spacing w:line="560" w:lineRule="exact"/>
              <w:ind w:firstLine="200"/>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0DD122B">
            <w:pPr>
              <w:pStyle w:val="105"/>
              <w:spacing w:line="560" w:lineRule="exact"/>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分项价格</w:t>
            </w:r>
          </w:p>
        </w:tc>
      </w:tr>
      <w:tr w14:paraId="6FE7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6A5030A">
            <w:pPr>
              <w:pStyle w:val="105"/>
              <w:spacing w:line="560" w:lineRule="exact"/>
              <w:ind w:firstLine="200"/>
              <w:jc w:val="center"/>
              <w:rPr>
                <w:rFonts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71504E6">
            <w:pPr>
              <w:pStyle w:val="105"/>
              <w:spacing w:line="560" w:lineRule="exact"/>
              <w:ind w:firstLine="200"/>
              <w:jc w:val="center"/>
              <w:rPr>
                <w:rFonts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34B9070">
            <w:pPr>
              <w:pStyle w:val="105"/>
              <w:spacing w:line="560" w:lineRule="exact"/>
              <w:ind w:firstLine="200"/>
              <w:jc w:val="center"/>
              <w:rPr>
                <w:rFonts w:ascii="新宋体" w:hAnsi="新宋体" w:eastAsia="新宋体" w:cs="新宋体"/>
                <w:color w:val="auto"/>
                <w:sz w:val="24"/>
                <w:szCs w:val="24"/>
                <w:highlight w:val="none"/>
              </w:rPr>
            </w:pPr>
          </w:p>
        </w:tc>
      </w:tr>
      <w:tr w14:paraId="4411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9A923B9">
            <w:pPr>
              <w:pStyle w:val="105"/>
              <w:spacing w:line="560" w:lineRule="exact"/>
              <w:ind w:firstLine="200"/>
              <w:jc w:val="center"/>
              <w:rPr>
                <w:rFonts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A949247">
            <w:pPr>
              <w:pStyle w:val="105"/>
              <w:spacing w:line="560" w:lineRule="exact"/>
              <w:ind w:firstLine="200"/>
              <w:jc w:val="center"/>
              <w:rPr>
                <w:rFonts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8A17AE0">
            <w:pPr>
              <w:pStyle w:val="105"/>
              <w:spacing w:line="560" w:lineRule="exact"/>
              <w:ind w:firstLine="200"/>
              <w:jc w:val="center"/>
              <w:rPr>
                <w:rFonts w:ascii="新宋体" w:hAnsi="新宋体" w:eastAsia="新宋体" w:cs="新宋体"/>
                <w:color w:val="auto"/>
                <w:sz w:val="24"/>
                <w:szCs w:val="24"/>
                <w:highlight w:val="none"/>
              </w:rPr>
            </w:pPr>
          </w:p>
        </w:tc>
      </w:tr>
      <w:tr w14:paraId="5828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36A6ED7">
            <w:pPr>
              <w:pStyle w:val="105"/>
              <w:spacing w:line="560" w:lineRule="exact"/>
              <w:ind w:firstLine="200"/>
              <w:jc w:val="center"/>
              <w:rPr>
                <w:rFonts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D592985">
            <w:pPr>
              <w:pStyle w:val="105"/>
              <w:spacing w:line="560" w:lineRule="exact"/>
              <w:ind w:firstLine="200"/>
              <w:jc w:val="center"/>
              <w:rPr>
                <w:rFonts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7566EC5">
            <w:pPr>
              <w:pStyle w:val="105"/>
              <w:spacing w:line="560" w:lineRule="exact"/>
              <w:ind w:firstLine="200"/>
              <w:jc w:val="center"/>
              <w:rPr>
                <w:rFonts w:ascii="新宋体" w:hAnsi="新宋体" w:eastAsia="新宋体" w:cs="新宋体"/>
                <w:color w:val="auto"/>
                <w:sz w:val="24"/>
                <w:szCs w:val="24"/>
                <w:highlight w:val="none"/>
              </w:rPr>
            </w:pPr>
          </w:p>
        </w:tc>
      </w:tr>
      <w:tr w14:paraId="7C37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369ECE5">
            <w:pPr>
              <w:pStyle w:val="105"/>
              <w:spacing w:line="560" w:lineRule="exact"/>
              <w:ind w:firstLine="200"/>
              <w:jc w:val="center"/>
              <w:rPr>
                <w:rFonts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36E693E">
            <w:pPr>
              <w:pStyle w:val="105"/>
              <w:spacing w:line="560" w:lineRule="exact"/>
              <w:ind w:firstLine="200"/>
              <w:jc w:val="center"/>
              <w:rPr>
                <w:rFonts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E259351">
            <w:pPr>
              <w:pStyle w:val="105"/>
              <w:spacing w:line="560" w:lineRule="exact"/>
              <w:ind w:firstLine="200"/>
              <w:jc w:val="center"/>
              <w:rPr>
                <w:rFonts w:ascii="新宋体" w:hAnsi="新宋体" w:eastAsia="新宋体" w:cs="新宋体"/>
                <w:color w:val="auto"/>
                <w:sz w:val="24"/>
                <w:szCs w:val="24"/>
                <w:highlight w:val="none"/>
              </w:rPr>
            </w:pPr>
          </w:p>
        </w:tc>
      </w:tr>
      <w:tr w14:paraId="16A8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8C67BAB">
            <w:pPr>
              <w:pStyle w:val="105"/>
              <w:spacing w:line="560" w:lineRule="exact"/>
              <w:ind w:firstLine="200"/>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EB798D3">
            <w:pPr>
              <w:pStyle w:val="105"/>
              <w:spacing w:line="560" w:lineRule="exact"/>
              <w:ind w:firstLine="200"/>
              <w:jc w:val="center"/>
              <w:rPr>
                <w:rFonts w:ascii="新宋体" w:hAnsi="新宋体" w:eastAsia="新宋体" w:cs="新宋体"/>
                <w:color w:val="auto"/>
                <w:sz w:val="24"/>
                <w:szCs w:val="24"/>
                <w:highlight w:val="none"/>
              </w:rPr>
            </w:pPr>
          </w:p>
        </w:tc>
      </w:tr>
    </w:tbl>
    <w:p w14:paraId="63A40FAF">
      <w:pPr>
        <w:spacing w:line="560" w:lineRule="exact"/>
        <w:ind w:firstLine="482" w:firstLineChars="2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1.4 付款方式和发票开具方式</w:t>
      </w:r>
    </w:p>
    <w:p w14:paraId="76C8468B">
      <w:pPr>
        <w:pStyle w:val="616"/>
        <w:spacing w:before="0" w:beforeAutospacing="0" w:after="0" w:afterAutospacing="0" w:line="360" w:lineRule="auto"/>
        <w:ind w:firstLine="480"/>
        <w:rPr>
          <w:rFonts w:ascii="新宋体" w:hAnsi="新宋体" w:eastAsia="新宋体" w:cs="新宋体"/>
          <w:color w:val="auto"/>
          <w:highlight w:val="none"/>
        </w:rPr>
      </w:pPr>
      <w:r>
        <w:rPr>
          <w:rFonts w:hint="eastAsia" w:ascii="新宋体" w:hAnsi="新宋体" w:eastAsia="新宋体" w:cs="新宋体"/>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358F88D">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1.4.2 合同预付款比例为合同金额的50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7A25B3E7">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40BB8904">
      <w:pPr>
        <w:spacing w:line="560" w:lineRule="exact"/>
        <w:ind w:firstLine="480" w:firstLineChars="200"/>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1.4.4资金支付的方式、时间和条件详见</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w:t>
      </w:r>
    </w:p>
    <w:p w14:paraId="23C31609">
      <w:pPr>
        <w:spacing w:line="560" w:lineRule="exact"/>
        <w:ind w:firstLine="480" w:firstLineChars="200"/>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2F3DF5D9">
      <w:pPr>
        <w:spacing w:line="560" w:lineRule="exact"/>
        <w:ind w:firstLine="482" w:firstLineChars="2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1.5 履行期限、地点和方式</w:t>
      </w:r>
    </w:p>
    <w:p w14:paraId="53207FF0">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1.5.1 履行期限：</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w:t>
      </w:r>
    </w:p>
    <w:p w14:paraId="55766F2A">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1.5.2 履行地点：</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w:t>
      </w:r>
    </w:p>
    <w:p w14:paraId="2E86E9F8">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1.5.3 履行方式：</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w:t>
      </w:r>
    </w:p>
    <w:p w14:paraId="63A5C636">
      <w:pPr>
        <w:spacing w:line="560" w:lineRule="exact"/>
        <w:ind w:firstLine="482" w:firstLineChars="200"/>
        <w:outlineLvl w:val="0"/>
        <w:rPr>
          <w:rFonts w:ascii="新宋体" w:hAnsi="新宋体" w:eastAsia="新宋体" w:cs="新宋体"/>
          <w:color w:val="auto"/>
          <w:sz w:val="24"/>
          <w:highlight w:val="none"/>
          <w:u w:val="single"/>
        </w:rPr>
      </w:pPr>
      <w:r>
        <w:rPr>
          <w:rFonts w:hint="eastAsia" w:ascii="新宋体" w:hAnsi="新宋体" w:eastAsia="新宋体" w:cs="新宋体"/>
          <w:b/>
          <w:color w:val="auto"/>
          <w:sz w:val="24"/>
          <w:highlight w:val="none"/>
        </w:rPr>
        <w:t>1.6 违约责任</w:t>
      </w:r>
    </w:p>
    <w:p w14:paraId="2F2E80B0">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新宋体" w:hAnsi="新宋体" w:eastAsia="新宋体" w:cs="新宋体"/>
          <w:color w:val="auto"/>
          <w:sz w:val="24"/>
          <w:highlight w:val="none"/>
          <w:u w:val="single"/>
        </w:rPr>
        <w:t xml:space="preserve"> 0.05   </w:t>
      </w:r>
      <w:r>
        <w:rPr>
          <w:rFonts w:hint="eastAsia" w:ascii="新宋体" w:hAnsi="新宋体" w:eastAsia="新宋体" w:cs="新宋体"/>
          <w:color w:val="auto"/>
          <w:sz w:val="24"/>
          <w:highlight w:val="none"/>
        </w:rPr>
        <w:t>%计算，最高限额为本合同总价的</w:t>
      </w:r>
      <w:r>
        <w:rPr>
          <w:rFonts w:hint="eastAsia" w:ascii="新宋体" w:hAnsi="新宋体" w:eastAsia="新宋体" w:cs="新宋体"/>
          <w:color w:val="auto"/>
          <w:sz w:val="24"/>
          <w:highlight w:val="none"/>
          <w:u w:val="single"/>
        </w:rPr>
        <w:t xml:space="preserve">  20   </w:t>
      </w:r>
      <w:r>
        <w:rPr>
          <w:rFonts w:hint="eastAsia" w:ascii="新宋体" w:hAnsi="新宋体" w:eastAsia="新宋体" w:cs="新宋体"/>
          <w:color w:val="auto"/>
          <w:sz w:val="24"/>
          <w:highlight w:val="none"/>
        </w:rPr>
        <w:t>%；迟延履行的违约金计算数额达到前述最高限额之日起，甲方有权在要求乙方支付违约金的同时，书面通知乙方解除本合同；</w:t>
      </w:r>
    </w:p>
    <w:p w14:paraId="0BF9DE00">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新宋体" w:hAnsi="新宋体" w:eastAsia="新宋体" w:cs="新宋体"/>
          <w:color w:val="auto"/>
          <w:sz w:val="24"/>
          <w:highlight w:val="none"/>
          <w:u w:val="single"/>
        </w:rPr>
        <w:t xml:space="preserve"> 0.05   </w:t>
      </w:r>
      <w:r>
        <w:rPr>
          <w:rFonts w:hint="eastAsia" w:ascii="新宋体" w:hAnsi="新宋体" w:eastAsia="新宋体" w:cs="新宋体"/>
          <w:color w:val="auto"/>
          <w:sz w:val="24"/>
          <w:highlight w:val="none"/>
        </w:rPr>
        <w:t>%计算，最高限额为本合同总价的</w:t>
      </w:r>
      <w:r>
        <w:rPr>
          <w:rFonts w:hint="eastAsia" w:ascii="新宋体" w:hAnsi="新宋体" w:eastAsia="新宋体" w:cs="新宋体"/>
          <w:color w:val="auto"/>
          <w:sz w:val="24"/>
          <w:highlight w:val="none"/>
          <w:u w:val="single"/>
        </w:rPr>
        <w:t xml:space="preserve">  20   </w:t>
      </w:r>
      <w:r>
        <w:rPr>
          <w:rFonts w:hint="eastAsia" w:ascii="新宋体" w:hAnsi="新宋体" w:eastAsia="新宋体" w:cs="新宋体"/>
          <w:color w:val="auto"/>
          <w:sz w:val="24"/>
          <w:highlight w:val="none"/>
        </w:rPr>
        <w:t>%；迟延付款的违约金计算数额达到前述最高限额之日起，乙方有权在要求甲方支付违约金的同时，书面通知甲方解除本合同；</w:t>
      </w:r>
    </w:p>
    <w:p w14:paraId="07AA2310">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1F7CC1A">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7680287">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D595BE1">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6F23AC8F">
      <w:pPr>
        <w:spacing w:line="560" w:lineRule="exact"/>
        <w:ind w:left="-420" w:leftChars="-200" w:right="-420" w:rightChars="-200" w:firstLine="720" w:firstLineChars="3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1.6.7违约责任</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另有约定的，从其约定。</w:t>
      </w:r>
    </w:p>
    <w:p w14:paraId="37EC2D70">
      <w:pPr>
        <w:spacing w:line="560" w:lineRule="exact"/>
        <w:ind w:firstLine="482" w:firstLineChars="2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1.7 合同争议的解决</w:t>
      </w:r>
    </w:p>
    <w:p w14:paraId="5866C15F">
      <w:pPr>
        <w:spacing w:line="560" w:lineRule="exact"/>
        <w:ind w:left="-61" w:leftChars="-29" w:right="-420" w:rightChars="-200" w:firstLine="240" w:firstLineChars="1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本合同履行过程中发生的任何争议，双方当事人均可通过和解或者调解解决；不愿和解、调解或者和解、调解不成的，可以选择以下第</w:t>
      </w:r>
      <w:r>
        <w:rPr>
          <w:rFonts w:hint="eastAsia" w:ascii="新宋体" w:hAnsi="新宋体" w:eastAsia="新宋体" w:cs="新宋体"/>
          <w:b/>
          <w:i/>
          <w:color w:val="auto"/>
          <w:sz w:val="24"/>
          <w:highlight w:val="none"/>
          <w:u w:val="single"/>
        </w:rPr>
        <w:t xml:space="preserve"> 合同专用条款  </w:t>
      </w:r>
      <w:r>
        <w:rPr>
          <w:rFonts w:hint="eastAsia" w:ascii="新宋体" w:hAnsi="新宋体" w:eastAsia="新宋体" w:cs="新宋体"/>
          <w:color w:val="auto"/>
          <w:sz w:val="24"/>
          <w:highlight w:val="none"/>
        </w:rPr>
        <w:t>条款规定的方式解决：</w:t>
      </w:r>
    </w:p>
    <w:p w14:paraId="3E807C1B">
      <w:pPr>
        <w:spacing w:line="560" w:lineRule="exact"/>
        <w:ind w:left="-420" w:leftChars="-200" w:right="-420" w:rightChars="-200" w:firstLine="600" w:firstLineChars="25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1.7.1 将争议提交</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仲裁委员会依申请仲裁时其现行有效的仲裁规则裁决；</w:t>
      </w:r>
    </w:p>
    <w:p w14:paraId="5147A0D9">
      <w:pPr>
        <w:spacing w:line="560" w:lineRule="exact"/>
        <w:ind w:left="-420" w:leftChars="-200" w:right="-420" w:rightChars="-200" w:firstLine="600" w:firstLineChars="25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1.7.2 向</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人民法院起诉。</w:t>
      </w:r>
    </w:p>
    <w:p w14:paraId="75826ED6">
      <w:pPr>
        <w:spacing w:line="560" w:lineRule="exact"/>
        <w:ind w:firstLine="241" w:firstLineChars="1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1.8 合同生效</w:t>
      </w:r>
    </w:p>
    <w:p w14:paraId="320C3004">
      <w:pPr>
        <w:spacing w:line="560" w:lineRule="exact"/>
        <w:ind w:firstLine="480" w:firstLineChars="200"/>
        <w:rPr>
          <w:rFonts w:ascii="新宋体" w:hAnsi="新宋体" w:eastAsia="新宋体" w:cs="新宋体"/>
          <w:b/>
          <w:color w:val="auto"/>
          <w:sz w:val="24"/>
          <w:highlight w:val="none"/>
        </w:rPr>
      </w:pPr>
      <w:r>
        <w:rPr>
          <w:rFonts w:hint="eastAsia" w:ascii="新宋体" w:hAnsi="新宋体" w:eastAsia="新宋体" w:cs="新宋体"/>
          <w:color w:val="auto"/>
          <w:sz w:val="24"/>
          <w:highlight w:val="none"/>
        </w:rPr>
        <w:t>本合同自双方当事人盖章或者签字时生效。</w:t>
      </w:r>
    </w:p>
    <w:p w14:paraId="7CE5B17B">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w:t>
      </w:r>
    </w:p>
    <w:p w14:paraId="4253E790">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b/>
          <w:color w:val="auto"/>
          <w:sz w:val="24"/>
          <w:highlight w:val="none"/>
        </w:rPr>
        <w:t>甲方</w:t>
      </w:r>
      <w:r>
        <w:rPr>
          <w:rFonts w:hint="eastAsia" w:ascii="新宋体" w:hAnsi="新宋体" w:eastAsia="新宋体" w:cs="新宋体"/>
          <w:color w:val="auto"/>
          <w:sz w:val="24"/>
          <w:highlight w:val="none"/>
        </w:rPr>
        <w:t xml:space="preserve">：                             </w:t>
      </w:r>
      <w:r>
        <w:rPr>
          <w:rFonts w:hint="eastAsia" w:ascii="新宋体" w:hAnsi="新宋体" w:eastAsia="新宋体" w:cs="新宋体"/>
          <w:b/>
          <w:color w:val="auto"/>
          <w:sz w:val="24"/>
          <w:highlight w:val="none"/>
        </w:rPr>
        <w:t xml:space="preserve">      乙方</w:t>
      </w:r>
      <w:r>
        <w:rPr>
          <w:rFonts w:hint="eastAsia" w:ascii="新宋体" w:hAnsi="新宋体" w:eastAsia="新宋体" w:cs="新宋体"/>
          <w:color w:val="auto"/>
          <w:sz w:val="24"/>
          <w:highlight w:val="none"/>
        </w:rPr>
        <w:t>：</w:t>
      </w:r>
    </w:p>
    <w:p w14:paraId="71ACAC5D">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统一社会信用代码：                        统一社会信用代码或身份证号码：</w:t>
      </w:r>
    </w:p>
    <w:p w14:paraId="1CE88FC5">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w:t>
      </w:r>
    </w:p>
    <w:p w14:paraId="656E9D1A">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住所：                                   住所：</w:t>
      </w:r>
    </w:p>
    <w:p w14:paraId="0FD0A123">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法定代表人或                             法定代表人或</w:t>
      </w:r>
    </w:p>
    <w:p w14:paraId="441F7ECE">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授权代表（签字）：                       授权代表（签字）: </w:t>
      </w:r>
    </w:p>
    <w:p w14:paraId="66999ED5">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联系人：                                 联系人：</w:t>
      </w:r>
    </w:p>
    <w:p w14:paraId="2031DFD1">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约定送达地址：                           约定送达地址：</w:t>
      </w:r>
    </w:p>
    <w:p w14:paraId="5958CFA6">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邮政编码：                               邮政编码：</w:t>
      </w:r>
    </w:p>
    <w:p w14:paraId="4798D7E5">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电话:                                    电话: </w:t>
      </w:r>
    </w:p>
    <w:p w14:paraId="3289833F">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传真:                                    传真:</w:t>
      </w:r>
    </w:p>
    <w:p w14:paraId="54B865E9">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电子邮箱：                               电子邮箱：</w:t>
      </w:r>
    </w:p>
    <w:p w14:paraId="3EA7B5F5">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开户银行：                               开户银行： </w:t>
      </w:r>
    </w:p>
    <w:p w14:paraId="128FEA67">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开户名称：                               开户名称： </w:t>
      </w:r>
    </w:p>
    <w:p w14:paraId="1F3355BC">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开户账号：                               开户账号：</w:t>
      </w:r>
    </w:p>
    <w:p w14:paraId="538746F8">
      <w:pPr>
        <w:widowControl/>
        <w:spacing w:line="560" w:lineRule="exact"/>
        <w:jc w:val="left"/>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 xml:space="preserve"> </w:t>
      </w:r>
    </w:p>
    <w:p w14:paraId="42343A95">
      <w:pPr>
        <w:widowControl/>
        <w:jc w:val="left"/>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p>
    <w:p w14:paraId="536B1595">
      <w:pPr>
        <w:pStyle w:val="384"/>
        <w:spacing w:line="560" w:lineRule="exact"/>
        <w:ind w:firstLine="482"/>
        <w:jc w:val="center"/>
        <w:rPr>
          <w:rFonts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第二部分 合同一般条款</w:t>
      </w:r>
    </w:p>
    <w:p w14:paraId="135B0C91">
      <w:pPr>
        <w:spacing w:line="560" w:lineRule="exact"/>
        <w:ind w:firstLine="482" w:firstLineChars="200"/>
        <w:outlineLvl w:val="0"/>
        <w:rPr>
          <w:rFonts w:ascii="新宋体" w:hAnsi="新宋体" w:eastAsia="新宋体" w:cs="新宋体"/>
          <w:b/>
          <w:color w:val="auto"/>
          <w:sz w:val="24"/>
          <w:highlight w:val="none"/>
        </w:rPr>
      </w:pPr>
      <w:bookmarkStart w:id="395" w:name="_Toc31297"/>
      <w:bookmarkStart w:id="396" w:name="_Toc19680"/>
      <w:bookmarkStart w:id="397" w:name="_Toc5228"/>
      <w:bookmarkStart w:id="398" w:name="_Toc14021"/>
      <w:bookmarkStart w:id="399" w:name="_Toc25079"/>
      <w:r>
        <w:rPr>
          <w:rFonts w:hint="eastAsia" w:ascii="新宋体" w:hAnsi="新宋体" w:eastAsia="新宋体" w:cs="新宋体"/>
          <w:b/>
          <w:color w:val="auto"/>
          <w:sz w:val="24"/>
          <w:highlight w:val="none"/>
        </w:rPr>
        <w:t>2.1 定义</w:t>
      </w:r>
      <w:bookmarkEnd w:id="395"/>
      <w:bookmarkEnd w:id="396"/>
      <w:bookmarkEnd w:id="397"/>
      <w:bookmarkEnd w:id="398"/>
      <w:bookmarkEnd w:id="399"/>
    </w:p>
    <w:p w14:paraId="5DDAB0F7">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本合同中的下列词语应按以下内容进行解释：</w:t>
      </w:r>
    </w:p>
    <w:p w14:paraId="367B264D">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2.1.1 “合同”系指采购人和中标供应商签订的载明双方当事人所达成的协议，并包括所有的附件、附录和构成合同的其他文件。</w:t>
      </w:r>
    </w:p>
    <w:p w14:paraId="12E495E6">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2.1.2 “合同价”系指根据合同约定，中标供应商在完全履行合同义务后，采购人应支付给中标供应商的价格。</w:t>
      </w:r>
    </w:p>
    <w:p w14:paraId="1B25A8DE">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2.1.3 “服务”系指中标供应商根据合同约定应向采购人履行的除货物和工程以外的其他政府采购对象，包括采购人自身需要的服务和向社会公众提供的公共服务。</w:t>
      </w:r>
    </w:p>
    <w:p w14:paraId="25FB3DEB">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 “甲方”系指与中标供应商签署合同的采购人；采购人委托采购代理机构代表其与乙方签订合同的，采购人的授权委托书作为合同附件。</w:t>
      </w:r>
    </w:p>
    <w:p w14:paraId="59DB6EDD">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487629E">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2.1.6 “现场”系指合同约定提供服务的地点。</w:t>
      </w:r>
    </w:p>
    <w:p w14:paraId="3CE6EF04">
      <w:pPr>
        <w:spacing w:line="560" w:lineRule="exact"/>
        <w:ind w:firstLine="482" w:firstLineChars="200"/>
        <w:outlineLvl w:val="0"/>
        <w:rPr>
          <w:rFonts w:ascii="新宋体" w:hAnsi="新宋体" w:eastAsia="新宋体" w:cs="新宋体"/>
          <w:b/>
          <w:color w:val="auto"/>
          <w:sz w:val="24"/>
          <w:highlight w:val="none"/>
        </w:rPr>
      </w:pPr>
      <w:bookmarkStart w:id="400" w:name="_Toc19539"/>
      <w:bookmarkStart w:id="401" w:name="_Toc31402"/>
      <w:bookmarkStart w:id="402" w:name="_Toc23289"/>
      <w:bookmarkStart w:id="403" w:name="_Toc16752"/>
      <w:bookmarkStart w:id="404" w:name="_Toc3769"/>
      <w:r>
        <w:rPr>
          <w:rFonts w:hint="eastAsia" w:ascii="新宋体" w:hAnsi="新宋体" w:eastAsia="新宋体" w:cs="新宋体"/>
          <w:b/>
          <w:color w:val="auto"/>
          <w:sz w:val="24"/>
          <w:highlight w:val="none"/>
        </w:rPr>
        <w:t>2.2 技术规范</w:t>
      </w:r>
      <w:bookmarkEnd w:id="400"/>
      <w:bookmarkEnd w:id="401"/>
      <w:bookmarkEnd w:id="402"/>
      <w:bookmarkEnd w:id="403"/>
      <w:bookmarkEnd w:id="404"/>
    </w:p>
    <w:p w14:paraId="636E225B">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647C48A2">
      <w:pPr>
        <w:spacing w:line="560" w:lineRule="exact"/>
        <w:ind w:firstLine="482" w:firstLineChars="200"/>
        <w:outlineLvl w:val="0"/>
        <w:rPr>
          <w:rFonts w:ascii="新宋体" w:hAnsi="新宋体" w:eastAsia="新宋体" w:cs="新宋体"/>
          <w:b/>
          <w:color w:val="auto"/>
          <w:sz w:val="24"/>
          <w:highlight w:val="none"/>
        </w:rPr>
      </w:pPr>
      <w:bookmarkStart w:id="405" w:name="_Toc13673"/>
      <w:bookmarkStart w:id="406" w:name="_Toc12412"/>
      <w:bookmarkStart w:id="407" w:name="_Toc4133"/>
      <w:bookmarkStart w:id="408" w:name="_Toc27945"/>
      <w:bookmarkStart w:id="409" w:name="_Toc9161"/>
      <w:r>
        <w:rPr>
          <w:rFonts w:hint="eastAsia" w:ascii="新宋体" w:hAnsi="新宋体" w:eastAsia="新宋体" w:cs="新宋体"/>
          <w:b/>
          <w:color w:val="auto"/>
          <w:sz w:val="24"/>
          <w:highlight w:val="none"/>
        </w:rPr>
        <w:t>2.3 知识产权</w:t>
      </w:r>
      <w:bookmarkEnd w:id="405"/>
      <w:bookmarkEnd w:id="406"/>
      <w:bookmarkEnd w:id="407"/>
      <w:bookmarkEnd w:id="408"/>
      <w:bookmarkEnd w:id="409"/>
    </w:p>
    <w:p w14:paraId="35B252AB">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64716C3E">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2.3.2 合同涉及技术成果的归属和收益的分成办法的，详见</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w:t>
      </w:r>
    </w:p>
    <w:p w14:paraId="11C7F1D3">
      <w:pPr>
        <w:spacing w:line="560" w:lineRule="exact"/>
        <w:ind w:firstLine="482" w:firstLineChars="20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2.4 履约检查和问题反馈</w:t>
      </w:r>
    </w:p>
    <w:p w14:paraId="35D0589E">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1715236">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2.4.2 合同履行期间，甲方有权将履行过程中出现的问题反馈给乙方，双方当事人应以书面形式约定需要完善和改进的内容。</w:t>
      </w:r>
    </w:p>
    <w:p w14:paraId="1540645D">
      <w:pPr>
        <w:spacing w:line="560" w:lineRule="exact"/>
        <w:ind w:firstLine="482" w:firstLineChars="200"/>
        <w:outlineLvl w:val="0"/>
        <w:rPr>
          <w:rFonts w:ascii="新宋体" w:hAnsi="新宋体" w:eastAsia="新宋体" w:cs="新宋体"/>
          <w:b/>
          <w:color w:val="auto"/>
          <w:sz w:val="24"/>
          <w:highlight w:val="none"/>
        </w:rPr>
      </w:pPr>
      <w:bookmarkStart w:id="410" w:name="_Toc16163"/>
      <w:bookmarkStart w:id="411" w:name="_Toc18990"/>
      <w:bookmarkStart w:id="412" w:name="_Toc30507"/>
      <w:bookmarkStart w:id="413" w:name="_Toc13467"/>
      <w:bookmarkStart w:id="414" w:name="_Toc13154"/>
      <w:r>
        <w:rPr>
          <w:rFonts w:hint="eastAsia" w:ascii="新宋体" w:hAnsi="新宋体" w:eastAsia="新宋体" w:cs="新宋体"/>
          <w:b/>
          <w:color w:val="auto"/>
          <w:sz w:val="24"/>
          <w:highlight w:val="none"/>
        </w:rPr>
        <w:t>2.5 技术资料和保密义务</w:t>
      </w:r>
      <w:bookmarkEnd w:id="410"/>
      <w:bookmarkEnd w:id="411"/>
      <w:bookmarkEnd w:id="412"/>
      <w:bookmarkEnd w:id="413"/>
      <w:bookmarkEnd w:id="414"/>
    </w:p>
    <w:p w14:paraId="3C8A7654">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2.5.1 乙方有权依据合同约定和项目需要，向甲方了解有关情况，调阅有关资料等，甲方应予积极配合；</w:t>
      </w:r>
    </w:p>
    <w:p w14:paraId="56CEC861">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2.5.2 乙方有义务妥善保管和保护由甲方提供的前款信息和资料等；</w:t>
      </w:r>
    </w:p>
    <w:p w14:paraId="7AA14A2D">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A5DDC0B">
      <w:pPr>
        <w:spacing w:line="560" w:lineRule="exact"/>
        <w:ind w:firstLine="482" w:firstLineChars="200"/>
        <w:outlineLvl w:val="0"/>
        <w:rPr>
          <w:rFonts w:ascii="新宋体" w:hAnsi="新宋体" w:eastAsia="新宋体" w:cs="新宋体"/>
          <w:b/>
          <w:color w:val="auto"/>
          <w:sz w:val="24"/>
          <w:highlight w:val="none"/>
        </w:rPr>
      </w:pPr>
      <w:bookmarkStart w:id="415" w:name="_Toc19069"/>
      <w:r>
        <w:rPr>
          <w:rFonts w:hint="eastAsia" w:ascii="新宋体" w:hAnsi="新宋体" w:eastAsia="新宋体" w:cs="新宋体"/>
          <w:b/>
          <w:color w:val="auto"/>
          <w:sz w:val="24"/>
          <w:highlight w:val="none"/>
        </w:rPr>
        <w:t>2.6 质量保证</w:t>
      </w:r>
      <w:bookmarkEnd w:id="415"/>
    </w:p>
    <w:p w14:paraId="24524005">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2.6.1 乙方应建立和完善履行合同的内部质量保证体系，并提供相关内部规章制度给甲方，以便甲方进行监督检查；</w:t>
      </w:r>
    </w:p>
    <w:p w14:paraId="322E6F13">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2.6.2 乙方应保证履行合同的人员数量和素质、软件和硬件设备的配置、场地、环境和设施等满足全面履行合同的要求，并应接受甲方的监督检查。</w:t>
      </w:r>
    </w:p>
    <w:p w14:paraId="1A5C09B7">
      <w:pPr>
        <w:spacing w:line="560" w:lineRule="exact"/>
        <w:ind w:firstLine="482" w:firstLineChars="200"/>
        <w:outlineLvl w:val="0"/>
        <w:rPr>
          <w:rFonts w:ascii="新宋体" w:hAnsi="新宋体" w:eastAsia="新宋体" w:cs="新宋体"/>
          <w:b/>
          <w:color w:val="auto"/>
          <w:sz w:val="24"/>
          <w:highlight w:val="none"/>
        </w:rPr>
      </w:pPr>
      <w:bookmarkStart w:id="416" w:name="_Toc22267"/>
      <w:r>
        <w:rPr>
          <w:rFonts w:hint="eastAsia" w:ascii="新宋体" w:hAnsi="新宋体" w:eastAsia="新宋体" w:cs="新宋体"/>
          <w:b/>
          <w:color w:val="auto"/>
          <w:sz w:val="24"/>
          <w:highlight w:val="none"/>
        </w:rPr>
        <w:t>2.7 延迟履行</w:t>
      </w:r>
      <w:bookmarkEnd w:id="416"/>
    </w:p>
    <w:p w14:paraId="6337A496">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B6EE606">
      <w:pPr>
        <w:spacing w:line="560" w:lineRule="exact"/>
        <w:ind w:firstLine="482" w:firstLineChars="200"/>
        <w:outlineLvl w:val="0"/>
        <w:rPr>
          <w:rFonts w:ascii="新宋体" w:hAnsi="新宋体" w:eastAsia="新宋体" w:cs="新宋体"/>
          <w:b/>
          <w:color w:val="auto"/>
          <w:sz w:val="24"/>
          <w:highlight w:val="none"/>
        </w:rPr>
      </w:pPr>
      <w:bookmarkStart w:id="417" w:name="_Toc10611"/>
      <w:r>
        <w:rPr>
          <w:rFonts w:hint="eastAsia" w:ascii="新宋体" w:hAnsi="新宋体" w:eastAsia="新宋体" w:cs="新宋体"/>
          <w:b/>
          <w:color w:val="auto"/>
          <w:sz w:val="24"/>
          <w:highlight w:val="none"/>
        </w:rPr>
        <w:t>2.8 合同变更</w:t>
      </w:r>
      <w:bookmarkEnd w:id="417"/>
    </w:p>
    <w:p w14:paraId="4F3DE0AD">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CD2824">
      <w:pPr>
        <w:spacing w:line="560" w:lineRule="exact"/>
        <w:ind w:firstLine="482" w:firstLineChars="200"/>
        <w:outlineLvl w:val="0"/>
        <w:rPr>
          <w:rFonts w:ascii="新宋体" w:hAnsi="新宋体" w:eastAsia="新宋体" w:cs="新宋体"/>
          <w:b/>
          <w:color w:val="auto"/>
          <w:sz w:val="24"/>
          <w:highlight w:val="none"/>
        </w:rPr>
      </w:pPr>
      <w:bookmarkStart w:id="418" w:name="_Toc42"/>
      <w:bookmarkStart w:id="419" w:name="_Toc23368"/>
      <w:bookmarkStart w:id="420" w:name="_Toc21830"/>
      <w:bookmarkStart w:id="421" w:name="_Toc26689"/>
      <w:bookmarkStart w:id="422" w:name="_Toc10663"/>
      <w:r>
        <w:rPr>
          <w:rFonts w:hint="eastAsia" w:ascii="新宋体" w:hAnsi="新宋体" w:eastAsia="新宋体" w:cs="新宋体"/>
          <w:b/>
          <w:color w:val="auto"/>
          <w:sz w:val="24"/>
          <w:highlight w:val="none"/>
        </w:rPr>
        <w:t>2.9 合同转让和分包</w:t>
      </w:r>
      <w:bookmarkEnd w:id="418"/>
      <w:bookmarkEnd w:id="419"/>
      <w:bookmarkEnd w:id="420"/>
      <w:bookmarkEnd w:id="421"/>
      <w:bookmarkEnd w:id="422"/>
    </w:p>
    <w:p w14:paraId="32252831">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B08144C">
      <w:pPr>
        <w:spacing w:line="560" w:lineRule="exact"/>
        <w:ind w:firstLine="482" w:firstLineChars="200"/>
        <w:outlineLvl w:val="0"/>
        <w:rPr>
          <w:rFonts w:ascii="新宋体" w:hAnsi="新宋体" w:eastAsia="新宋体" w:cs="新宋体"/>
          <w:b/>
          <w:color w:val="auto"/>
          <w:sz w:val="24"/>
          <w:highlight w:val="none"/>
        </w:rPr>
      </w:pPr>
      <w:bookmarkStart w:id="423" w:name="_Toc26633"/>
      <w:bookmarkStart w:id="424" w:name="_Toc14371"/>
      <w:bookmarkStart w:id="425" w:name="_Toc25571"/>
      <w:bookmarkStart w:id="426" w:name="_Toc4720"/>
      <w:bookmarkStart w:id="427" w:name="_Toc32494"/>
      <w:r>
        <w:rPr>
          <w:rFonts w:hint="eastAsia" w:ascii="新宋体" w:hAnsi="新宋体" w:eastAsia="新宋体" w:cs="新宋体"/>
          <w:b/>
          <w:color w:val="auto"/>
          <w:sz w:val="24"/>
          <w:highlight w:val="none"/>
        </w:rPr>
        <w:t>2.10 不可抗力</w:t>
      </w:r>
      <w:bookmarkEnd w:id="423"/>
      <w:bookmarkEnd w:id="424"/>
      <w:bookmarkEnd w:id="425"/>
      <w:bookmarkEnd w:id="426"/>
      <w:bookmarkEnd w:id="427"/>
    </w:p>
    <w:p w14:paraId="6BE7CF32">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2.10.1如果任何一方遭遇法律规定的不可抗力，致使合同履行受阻时，履行合同的期限应予延长，延长的期限应相当于不可抗力所影响的时间；</w:t>
      </w:r>
    </w:p>
    <w:p w14:paraId="7D2C8CFF">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2.10.2 因不可抗力致使不能实现合同目的的，当事人可以解除合同；</w:t>
      </w:r>
    </w:p>
    <w:p w14:paraId="737ED6D9">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2.10.3 因不可抗力致使合同有变更必要的，双方当事人应在</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约定时间内以书面形式变更合同；</w:t>
      </w:r>
    </w:p>
    <w:p w14:paraId="09FCDDE0">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2.10.4受不可抗力影响的一方在不可抗力发生后，应在</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约定时间内以书面形式通知对方当事人，并在</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约定时间内，将有关部门出具的证明文件送达对方当事人。</w:t>
      </w:r>
    </w:p>
    <w:p w14:paraId="796262FD">
      <w:pPr>
        <w:spacing w:line="560" w:lineRule="exact"/>
        <w:ind w:firstLine="482" w:firstLineChars="200"/>
        <w:outlineLvl w:val="0"/>
        <w:rPr>
          <w:rFonts w:ascii="新宋体" w:hAnsi="新宋体" w:eastAsia="新宋体" w:cs="新宋体"/>
          <w:b/>
          <w:color w:val="auto"/>
          <w:sz w:val="24"/>
          <w:highlight w:val="none"/>
        </w:rPr>
      </w:pPr>
      <w:bookmarkStart w:id="428" w:name="_Toc3638"/>
      <w:bookmarkStart w:id="429" w:name="_Toc25783"/>
      <w:bookmarkStart w:id="430" w:name="_Toc14115"/>
      <w:bookmarkStart w:id="431" w:name="_Toc23854"/>
      <w:bookmarkStart w:id="432" w:name="_Toc24465"/>
      <w:r>
        <w:rPr>
          <w:rFonts w:hint="eastAsia" w:ascii="新宋体" w:hAnsi="新宋体" w:eastAsia="新宋体" w:cs="新宋体"/>
          <w:b/>
          <w:color w:val="auto"/>
          <w:sz w:val="24"/>
          <w:highlight w:val="none"/>
        </w:rPr>
        <w:t>2.11 税费</w:t>
      </w:r>
      <w:bookmarkEnd w:id="428"/>
      <w:bookmarkEnd w:id="429"/>
      <w:bookmarkEnd w:id="430"/>
      <w:bookmarkEnd w:id="431"/>
      <w:bookmarkEnd w:id="432"/>
    </w:p>
    <w:p w14:paraId="6E138F46">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与合同有关的一切税费，均按照中华人民共和国法律的相关规定缴纳。</w:t>
      </w:r>
    </w:p>
    <w:p w14:paraId="73B29B8B">
      <w:pPr>
        <w:spacing w:line="560" w:lineRule="exact"/>
        <w:ind w:firstLine="482" w:firstLineChars="200"/>
        <w:outlineLvl w:val="0"/>
        <w:rPr>
          <w:rFonts w:ascii="新宋体" w:hAnsi="新宋体" w:eastAsia="新宋体" w:cs="新宋体"/>
          <w:b/>
          <w:color w:val="auto"/>
          <w:sz w:val="24"/>
          <w:highlight w:val="none"/>
        </w:rPr>
      </w:pPr>
      <w:bookmarkStart w:id="433" w:name="_Toc26883"/>
      <w:bookmarkStart w:id="434" w:name="_Toc7315"/>
      <w:bookmarkStart w:id="435" w:name="_Toc14814"/>
      <w:bookmarkStart w:id="436" w:name="_Toc25525"/>
      <w:bookmarkStart w:id="437" w:name="_Toc30105"/>
      <w:r>
        <w:rPr>
          <w:rFonts w:hint="eastAsia" w:ascii="新宋体" w:hAnsi="新宋体" w:eastAsia="新宋体" w:cs="新宋体"/>
          <w:b/>
          <w:color w:val="auto"/>
          <w:sz w:val="24"/>
          <w:highlight w:val="none"/>
        </w:rPr>
        <w:t>2.12 乙方破产</w:t>
      </w:r>
      <w:bookmarkEnd w:id="433"/>
      <w:bookmarkEnd w:id="434"/>
      <w:bookmarkEnd w:id="435"/>
      <w:bookmarkEnd w:id="436"/>
      <w:bookmarkEnd w:id="437"/>
    </w:p>
    <w:p w14:paraId="5358DF72">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9B768DA">
      <w:pPr>
        <w:spacing w:line="560" w:lineRule="exact"/>
        <w:ind w:firstLine="482" w:firstLineChars="200"/>
        <w:outlineLvl w:val="0"/>
        <w:rPr>
          <w:rFonts w:ascii="新宋体" w:hAnsi="新宋体" w:eastAsia="新宋体" w:cs="新宋体"/>
          <w:b/>
          <w:color w:val="auto"/>
          <w:sz w:val="24"/>
          <w:highlight w:val="none"/>
        </w:rPr>
      </w:pPr>
      <w:bookmarkStart w:id="438" w:name="_Toc2016"/>
      <w:bookmarkStart w:id="439" w:name="_Toc23323"/>
      <w:bookmarkStart w:id="440" w:name="_Toc1123"/>
      <w:r>
        <w:rPr>
          <w:rFonts w:hint="eastAsia" w:ascii="新宋体" w:hAnsi="新宋体" w:eastAsia="新宋体" w:cs="新宋体"/>
          <w:b/>
          <w:color w:val="auto"/>
          <w:sz w:val="24"/>
          <w:highlight w:val="none"/>
        </w:rPr>
        <w:t>2.13 合同中止、终止</w:t>
      </w:r>
      <w:bookmarkEnd w:id="438"/>
      <w:bookmarkEnd w:id="439"/>
      <w:bookmarkEnd w:id="440"/>
    </w:p>
    <w:p w14:paraId="3BF6343D">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2.13.1 双方当事人不得擅自中止或者终止合同；</w:t>
      </w:r>
    </w:p>
    <w:p w14:paraId="1055E82E">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2.13.2合同继续履行将损害国家利益和社会公共利益的，双方当事人应当中止或者终止合同。有过错的一方应当承担赔偿责任，双方当事人都有过错的，各自承担相应的责任。</w:t>
      </w:r>
    </w:p>
    <w:p w14:paraId="5A6556C3">
      <w:pPr>
        <w:spacing w:line="560" w:lineRule="exact"/>
        <w:ind w:firstLine="482" w:firstLineChars="200"/>
        <w:outlineLvl w:val="0"/>
        <w:rPr>
          <w:rFonts w:ascii="新宋体" w:hAnsi="新宋体" w:eastAsia="新宋体" w:cs="新宋体"/>
          <w:b/>
          <w:color w:val="auto"/>
          <w:sz w:val="24"/>
          <w:highlight w:val="none"/>
        </w:rPr>
      </w:pPr>
      <w:bookmarkStart w:id="441" w:name="_Toc17363"/>
      <w:bookmarkStart w:id="442" w:name="_Toc1969"/>
      <w:bookmarkStart w:id="443" w:name="_Toc14525"/>
      <w:r>
        <w:rPr>
          <w:rFonts w:hint="eastAsia" w:ascii="新宋体" w:hAnsi="新宋体" w:eastAsia="新宋体" w:cs="新宋体"/>
          <w:b/>
          <w:color w:val="auto"/>
          <w:sz w:val="24"/>
          <w:highlight w:val="none"/>
        </w:rPr>
        <w:t>2.14 检验和验收</w:t>
      </w:r>
      <w:bookmarkEnd w:id="441"/>
      <w:bookmarkEnd w:id="442"/>
      <w:bookmarkEnd w:id="443"/>
    </w:p>
    <w:p w14:paraId="3C8D7191">
      <w:pPr>
        <w:tabs>
          <w:tab w:val="left" w:pos="360"/>
          <w:tab w:val="left" w:pos="540"/>
          <w:tab w:val="left" w:pos="1080"/>
        </w:tabs>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2.14.1 乙方按照</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的约定，定期提交服务报告，甲方按照</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的约定进行定期验收；</w:t>
      </w:r>
    </w:p>
    <w:p w14:paraId="51F36D83">
      <w:pPr>
        <w:tabs>
          <w:tab w:val="left" w:pos="360"/>
          <w:tab w:val="left" w:pos="540"/>
          <w:tab w:val="left" w:pos="1080"/>
        </w:tabs>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2554D5C">
      <w:pPr>
        <w:tabs>
          <w:tab w:val="left" w:pos="360"/>
          <w:tab w:val="left" w:pos="540"/>
          <w:tab w:val="left" w:pos="1080"/>
        </w:tabs>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2.14.3 检验和验收标准、程序等具体内容以及前述验收书的效力详见</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i/>
          <w:color w:val="auto"/>
          <w:sz w:val="24"/>
          <w:highlight w:val="none"/>
        </w:rPr>
        <w:t>。</w:t>
      </w:r>
    </w:p>
    <w:p w14:paraId="1652046A">
      <w:pPr>
        <w:spacing w:line="560" w:lineRule="exact"/>
        <w:ind w:firstLine="482" w:firstLineChars="200"/>
        <w:outlineLvl w:val="0"/>
        <w:rPr>
          <w:rFonts w:ascii="新宋体" w:hAnsi="新宋体" w:eastAsia="新宋体" w:cs="新宋体"/>
          <w:b/>
          <w:color w:val="auto"/>
          <w:sz w:val="24"/>
          <w:highlight w:val="none"/>
        </w:rPr>
      </w:pPr>
      <w:bookmarkStart w:id="444" w:name="_Toc12666"/>
      <w:bookmarkStart w:id="445" w:name="_Toc2308"/>
      <w:bookmarkStart w:id="446" w:name="_Toc25198"/>
      <w:bookmarkStart w:id="447" w:name="_Toc9808"/>
      <w:bookmarkStart w:id="448" w:name="_Toc31892"/>
      <w:r>
        <w:rPr>
          <w:rFonts w:hint="eastAsia" w:ascii="新宋体" w:hAnsi="新宋体" w:eastAsia="新宋体" w:cs="新宋体"/>
          <w:b/>
          <w:color w:val="auto"/>
          <w:sz w:val="24"/>
          <w:highlight w:val="none"/>
        </w:rPr>
        <w:t>2.15 通知和送达</w:t>
      </w:r>
      <w:bookmarkEnd w:id="444"/>
      <w:bookmarkEnd w:id="445"/>
      <w:bookmarkEnd w:id="446"/>
      <w:bookmarkEnd w:id="447"/>
      <w:bookmarkEnd w:id="448"/>
    </w:p>
    <w:p w14:paraId="102C687F">
      <w:pPr>
        <w:spacing w:line="560" w:lineRule="exact"/>
        <w:ind w:firstLine="480" w:firstLineChars="200"/>
        <w:rPr>
          <w:rFonts w:ascii="新宋体" w:hAnsi="新宋体" w:eastAsia="新宋体" w:cs="新宋体"/>
          <w:color w:val="auto"/>
          <w:sz w:val="24"/>
          <w:highlight w:val="none"/>
        </w:rPr>
      </w:pPr>
      <w:bookmarkStart w:id="449" w:name="_Toc18401"/>
      <w:bookmarkStart w:id="450" w:name="_Toc27674"/>
      <w:r>
        <w:rPr>
          <w:rFonts w:hint="eastAsia" w:ascii="新宋体" w:hAnsi="新宋体" w:eastAsia="新宋体" w:cs="新宋体"/>
          <w:color w:val="auto"/>
          <w:sz w:val="24"/>
          <w:highlight w:val="none"/>
        </w:rPr>
        <w:t xml:space="preserve">2.15.1任何一方因履行合同而以合同第一部分尾部所列明的传真或电子邮件 </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发出的所有通知、文件、材料，均视为已向对方当事人送达；任何一方变更上述送达方式或者地址的，应于</w:t>
      </w:r>
      <w:r>
        <w:rPr>
          <w:rFonts w:hint="eastAsia" w:ascii="新宋体" w:hAnsi="新宋体" w:eastAsia="新宋体" w:cs="新宋体"/>
          <w:color w:val="auto"/>
          <w:sz w:val="24"/>
          <w:highlight w:val="none"/>
          <w:u w:val="single"/>
        </w:rPr>
        <w:t>3</w:t>
      </w:r>
      <w:r>
        <w:rPr>
          <w:rFonts w:hint="eastAsia" w:ascii="新宋体" w:hAnsi="新宋体" w:eastAsia="新宋体" w:cs="新宋体"/>
          <w:color w:val="auto"/>
          <w:sz w:val="24"/>
          <w:highlight w:val="none"/>
        </w:rPr>
        <w:t>个工作日内书面通知对方当事人，在对方当事人收到有关变更通知之前，变更前的约定送达方式或者地址仍视为有效。</w:t>
      </w:r>
    </w:p>
    <w:p w14:paraId="547A51EC">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449"/>
      <w:bookmarkEnd w:id="450"/>
    </w:p>
    <w:p w14:paraId="319873F8">
      <w:pPr>
        <w:spacing w:line="560" w:lineRule="exact"/>
        <w:ind w:firstLine="482" w:firstLineChars="200"/>
        <w:outlineLvl w:val="0"/>
        <w:rPr>
          <w:rFonts w:ascii="新宋体" w:hAnsi="新宋体" w:eastAsia="新宋体" w:cs="新宋体"/>
          <w:b/>
          <w:color w:val="auto"/>
          <w:sz w:val="24"/>
          <w:highlight w:val="none"/>
        </w:rPr>
      </w:pPr>
      <w:bookmarkStart w:id="451" w:name="_Toc5063"/>
      <w:bookmarkStart w:id="452" w:name="_Toc12254"/>
      <w:bookmarkStart w:id="453" w:name="_Toc27644"/>
      <w:bookmarkStart w:id="454" w:name="_Toc28906"/>
      <w:bookmarkStart w:id="455" w:name="_Toc20808"/>
      <w:r>
        <w:rPr>
          <w:rFonts w:hint="eastAsia" w:ascii="新宋体" w:hAnsi="新宋体" w:eastAsia="新宋体" w:cs="新宋体"/>
          <w:b/>
          <w:color w:val="auto"/>
          <w:sz w:val="24"/>
          <w:highlight w:val="none"/>
        </w:rPr>
        <w:t>2.16 合同使用的文字和适用的法律</w:t>
      </w:r>
      <w:bookmarkEnd w:id="451"/>
      <w:bookmarkEnd w:id="452"/>
      <w:bookmarkEnd w:id="453"/>
      <w:bookmarkEnd w:id="454"/>
      <w:bookmarkEnd w:id="455"/>
    </w:p>
    <w:p w14:paraId="0F5A6512">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2.16.1 合同使用汉语书就、变更和解释；</w:t>
      </w:r>
    </w:p>
    <w:p w14:paraId="524A676B">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2.16.2 合同适用中华人民共和国法律。</w:t>
      </w:r>
    </w:p>
    <w:p w14:paraId="72E2F6AF">
      <w:pPr>
        <w:spacing w:line="560" w:lineRule="exact"/>
        <w:ind w:firstLine="482" w:firstLineChars="200"/>
        <w:rPr>
          <w:rFonts w:ascii="新宋体" w:hAnsi="新宋体" w:eastAsia="新宋体" w:cs="新宋体"/>
          <w:color w:val="auto"/>
          <w:sz w:val="24"/>
          <w:highlight w:val="none"/>
        </w:rPr>
      </w:pPr>
      <w:r>
        <w:rPr>
          <w:rFonts w:hint="eastAsia" w:ascii="新宋体" w:hAnsi="新宋体" w:eastAsia="新宋体" w:cs="新宋体"/>
          <w:b/>
          <w:bCs/>
          <w:color w:val="auto"/>
          <w:sz w:val="24"/>
          <w:highlight w:val="none"/>
        </w:rPr>
        <w:t>2.17</w:t>
      </w:r>
      <w:r>
        <w:rPr>
          <w:rFonts w:hint="eastAsia" w:ascii="新宋体" w:hAnsi="新宋体" w:eastAsia="新宋体" w:cs="新宋体"/>
          <w:color w:val="auto"/>
          <w:sz w:val="24"/>
          <w:highlight w:val="none"/>
        </w:rPr>
        <w:t>对于因甲方原因导致变更、中止或者终止政府采购合同的，甲方应当依照合同约定对供应商受到的损失予以赔偿或者补偿。</w:t>
      </w:r>
    </w:p>
    <w:p w14:paraId="67FE7DCC">
      <w:pPr>
        <w:spacing w:line="560" w:lineRule="exact"/>
        <w:ind w:firstLine="482" w:firstLineChars="20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2.18合同份数</w:t>
      </w:r>
    </w:p>
    <w:p w14:paraId="5D979B9A">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合同份数按</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规定，每份均具有同等法律效力。</w:t>
      </w:r>
    </w:p>
    <w:p w14:paraId="05DD864A">
      <w:pPr>
        <w:spacing w:line="360" w:lineRule="auto"/>
        <w:jc w:val="center"/>
        <w:outlineLvl w:val="0"/>
        <w:rPr>
          <w:rFonts w:ascii="新宋体" w:hAnsi="新宋体" w:eastAsia="新宋体" w:cs="新宋体"/>
          <w:b/>
          <w:color w:val="auto"/>
          <w:sz w:val="24"/>
          <w:highlight w:val="none"/>
        </w:rPr>
      </w:pPr>
      <w:r>
        <w:rPr>
          <w:rFonts w:hint="eastAsia" w:ascii="新宋体" w:hAnsi="新宋体" w:eastAsia="新宋体" w:cs="新宋体"/>
          <w:color w:val="auto"/>
          <w:kern w:val="0"/>
          <w:sz w:val="24"/>
          <w:highlight w:val="none"/>
        </w:rPr>
        <w:br w:type="page"/>
      </w:r>
      <w:r>
        <w:rPr>
          <w:rFonts w:hint="eastAsia" w:ascii="新宋体" w:hAnsi="新宋体" w:eastAsia="新宋体" w:cs="新宋体"/>
          <w:b/>
          <w:color w:val="auto"/>
          <w:sz w:val="24"/>
          <w:highlight w:val="none"/>
        </w:rPr>
        <w:t xml:space="preserve"> 第六部分  合同专用条款</w:t>
      </w:r>
    </w:p>
    <w:p w14:paraId="2B4AA9AD">
      <w:pPr>
        <w:spacing w:line="560" w:lineRule="exact"/>
        <w:ind w:left="-420" w:leftChars="-200" w:right="-420" w:rightChars="-200"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0" w:type="auto"/>
        <w:tblInd w:w="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77"/>
        <w:gridCol w:w="8269"/>
      </w:tblGrid>
      <w:tr w14:paraId="300AB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0" w:type="auto"/>
            <w:tcBorders>
              <w:top w:val="single" w:color="auto" w:sz="6" w:space="0"/>
              <w:left w:val="single" w:color="auto" w:sz="4" w:space="0"/>
              <w:bottom w:val="single" w:color="auto" w:sz="6" w:space="0"/>
              <w:right w:val="single" w:color="auto" w:sz="6" w:space="0"/>
            </w:tcBorders>
            <w:vAlign w:val="center"/>
          </w:tcPr>
          <w:p w14:paraId="2651DAAF">
            <w:pPr>
              <w:spacing w:line="360" w:lineRule="auto"/>
              <w:jc w:val="center"/>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条款号</w:t>
            </w:r>
          </w:p>
        </w:tc>
        <w:tc>
          <w:tcPr>
            <w:tcW w:w="0" w:type="auto"/>
            <w:tcBorders>
              <w:top w:val="single" w:color="auto" w:sz="6" w:space="0"/>
              <w:left w:val="single" w:color="auto" w:sz="6" w:space="0"/>
              <w:bottom w:val="single" w:color="auto" w:sz="6" w:space="0"/>
              <w:right w:val="single" w:color="auto" w:sz="6" w:space="0"/>
            </w:tcBorders>
            <w:vAlign w:val="center"/>
          </w:tcPr>
          <w:p w14:paraId="4233BA13">
            <w:pPr>
              <w:spacing w:line="360" w:lineRule="auto"/>
              <w:jc w:val="center"/>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约定内容</w:t>
            </w:r>
          </w:p>
        </w:tc>
      </w:tr>
      <w:tr w14:paraId="4B833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0" w:type="auto"/>
            <w:tcBorders>
              <w:top w:val="single" w:color="auto" w:sz="6" w:space="0"/>
              <w:left w:val="single" w:color="auto" w:sz="4" w:space="0"/>
              <w:bottom w:val="single" w:color="auto" w:sz="6" w:space="0"/>
              <w:right w:val="single" w:color="auto" w:sz="6" w:space="0"/>
            </w:tcBorders>
            <w:vAlign w:val="center"/>
          </w:tcPr>
          <w:p w14:paraId="6CA5D765">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1.4.4</w:t>
            </w:r>
          </w:p>
        </w:tc>
        <w:tc>
          <w:tcPr>
            <w:tcW w:w="0" w:type="auto"/>
            <w:tcBorders>
              <w:top w:val="single" w:color="auto" w:sz="6" w:space="0"/>
              <w:left w:val="single" w:color="auto" w:sz="6" w:space="0"/>
              <w:bottom w:val="single" w:color="auto" w:sz="6" w:space="0"/>
              <w:right w:val="single" w:color="auto" w:sz="6" w:space="0"/>
            </w:tcBorders>
            <w:vAlign w:val="center"/>
          </w:tcPr>
          <w:p w14:paraId="3C737D55">
            <w:pPr>
              <w:spacing w:line="400" w:lineRule="exact"/>
              <w:rPr>
                <w:rFonts w:ascii="宋体" w:hAnsi="宋体"/>
                <w:bCs/>
                <w:color w:val="auto"/>
                <w:sz w:val="24"/>
                <w:highlight w:val="none"/>
              </w:rPr>
            </w:pPr>
            <w:r>
              <w:rPr>
                <w:rFonts w:hint="eastAsia" w:ascii="宋体" w:hAnsi="宋体"/>
                <w:bCs/>
                <w:color w:val="auto"/>
                <w:sz w:val="24"/>
                <w:highlight w:val="none"/>
              </w:rPr>
              <w:t xml:space="preserve">采购人根据物业服务质量考核结果按每月支付物业管理服务费。乙方因工作失误造成的扣款在付款时予以扣除。物业管理服务费用以签订的合同价为准。 </w:t>
            </w:r>
          </w:p>
        </w:tc>
      </w:tr>
      <w:tr w14:paraId="549A8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0" w:type="auto"/>
            <w:tcBorders>
              <w:top w:val="single" w:color="auto" w:sz="6" w:space="0"/>
              <w:left w:val="single" w:color="auto" w:sz="4" w:space="0"/>
              <w:bottom w:val="single" w:color="auto" w:sz="6" w:space="0"/>
              <w:right w:val="single" w:color="auto" w:sz="6" w:space="0"/>
            </w:tcBorders>
            <w:vAlign w:val="center"/>
          </w:tcPr>
          <w:p w14:paraId="355B501A">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1.5.1 </w:t>
            </w:r>
          </w:p>
        </w:tc>
        <w:tc>
          <w:tcPr>
            <w:tcW w:w="0" w:type="auto"/>
            <w:tcBorders>
              <w:top w:val="single" w:color="auto" w:sz="6" w:space="0"/>
              <w:left w:val="single" w:color="auto" w:sz="6" w:space="0"/>
              <w:bottom w:val="single" w:color="auto" w:sz="6" w:space="0"/>
              <w:right w:val="single" w:color="auto" w:sz="6" w:space="0"/>
            </w:tcBorders>
            <w:vAlign w:val="center"/>
          </w:tcPr>
          <w:p w14:paraId="469BCE19">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自合同签订生效之日起 </w:t>
            </w:r>
            <w:r>
              <w:rPr>
                <w:rFonts w:ascii="新宋体" w:hAnsi="新宋体" w:eastAsia="新宋体" w:cs="新宋体"/>
                <w:color w:val="auto"/>
                <w:sz w:val="24"/>
                <w:highlight w:val="none"/>
              </w:rPr>
              <w:t>24个月</w:t>
            </w:r>
          </w:p>
        </w:tc>
      </w:tr>
      <w:tr w14:paraId="3409D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0" w:type="auto"/>
            <w:tcBorders>
              <w:top w:val="single" w:color="auto" w:sz="6" w:space="0"/>
              <w:left w:val="single" w:color="auto" w:sz="4" w:space="0"/>
              <w:bottom w:val="single" w:color="auto" w:sz="6" w:space="0"/>
              <w:right w:val="single" w:color="auto" w:sz="6" w:space="0"/>
            </w:tcBorders>
            <w:vAlign w:val="center"/>
          </w:tcPr>
          <w:p w14:paraId="15584210">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1.5.2</w:t>
            </w:r>
          </w:p>
        </w:tc>
        <w:tc>
          <w:tcPr>
            <w:tcW w:w="0" w:type="auto"/>
            <w:tcBorders>
              <w:top w:val="single" w:color="auto" w:sz="6" w:space="0"/>
              <w:left w:val="single" w:color="auto" w:sz="6" w:space="0"/>
              <w:bottom w:val="single" w:color="auto" w:sz="6" w:space="0"/>
              <w:right w:val="single" w:color="auto" w:sz="6" w:space="0"/>
            </w:tcBorders>
            <w:vAlign w:val="center"/>
          </w:tcPr>
          <w:p w14:paraId="1C9FC2B5">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杭州市余杭区</w:t>
            </w:r>
          </w:p>
        </w:tc>
      </w:tr>
      <w:tr w14:paraId="01060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0" w:type="auto"/>
            <w:tcBorders>
              <w:top w:val="single" w:color="auto" w:sz="6" w:space="0"/>
              <w:left w:val="single" w:color="auto" w:sz="4" w:space="0"/>
              <w:bottom w:val="single" w:color="auto" w:sz="6" w:space="0"/>
              <w:right w:val="single" w:color="auto" w:sz="6" w:space="0"/>
            </w:tcBorders>
            <w:vAlign w:val="center"/>
          </w:tcPr>
          <w:p w14:paraId="1462B018">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1.5.3 </w:t>
            </w:r>
          </w:p>
        </w:tc>
        <w:tc>
          <w:tcPr>
            <w:tcW w:w="0" w:type="auto"/>
            <w:tcBorders>
              <w:top w:val="single" w:color="auto" w:sz="6" w:space="0"/>
              <w:left w:val="single" w:color="auto" w:sz="6" w:space="0"/>
              <w:bottom w:val="single" w:color="auto" w:sz="6" w:space="0"/>
              <w:right w:val="single" w:color="auto" w:sz="6" w:space="0"/>
            </w:tcBorders>
            <w:vAlign w:val="center"/>
          </w:tcPr>
          <w:p w14:paraId="2D589DAE">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物业服务</w:t>
            </w:r>
          </w:p>
        </w:tc>
      </w:tr>
      <w:tr w14:paraId="1F02E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0" w:type="auto"/>
            <w:tcBorders>
              <w:top w:val="single" w:color="auto" w:sz="6" w:space="0"/>
              <w:left w:val="single" w:color="auto" w:sz="4" w:space="0"/>
              <w:bottom w:val="single" w:color="auto" w:sz="6" w:space="0"/>
              <w:right w:val="single" w:color="auto" w:sz="6" w:space="0"/>
            </w:tcBorders>
            <w:vAlign w:val="center"/>
          </w:tcPr>
          <w:p w14:paraId="04C20451">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1.6.7</w:t>
            </w:r>
          </w:p>
        </w:tc>
        <w:tc>
          <w:tcPr>
            <w:tcW w:w="0" w:type="auto"/>
            <w:tcBorders>
              <w:top w:val="single" w:color="auto" w:sz="6" w:space="0"/>
              <w:left w:val="single" w:color="auto" w:sz="6" w:space="0"/>
              <w:bottom w:val="single" w:color="auto" w:sz="6" w:space="0"/>
              <w:right w:val="single" w:color="auto" w:sz="6" w:space="0"/>
            </w:tcBorders>
            <w:vAlign w:val="center"/>
          </w:tcPr>
          <w:p w14:paraId="1EDDF28B">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w:t>
            </w:r>
          </w:p>
        </w:tc>
      </w:tr>
      <w:tr w14:paraId="2B90F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0" w:type="auto"/>
            <w:tcBorders>
              <w:top w:val="single" w:color="auto" w:sz="6" w:space="0"/>
              <w:left w:val="single" w:color="auto" w:sz="4" w:space="0"/>
              <w:bottom w:val="single" w:color="auto" w:sz="6" w:space="0"/>
              <w:right w:val="single" w:color="auto" w:sz="6" w:space="0"/>
            </w:tcBorders>
            <w:vAlign w:val="center"/>
          </w:tcPr>
          <w:p w14:paraId="05404603">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w:t>
            </w:r>
          </w:p>
        </w:tc>
        <w:tc>
          <w:tcPr>
            <w:tcW w:w="0" w:type="auto"/>
            <w:tcBorders>
              <w:top w:val="single" w:color="auto" w:sz="6" w:space="0"/>
              <w:left w:val="single" w:color="auto" w:sz="6" w:space="0"/>
              <w:bottom w:val="single" w:color="auto" w:sz="6" w:space="0"/>
              <w:right w:val="single" w:color="auto" w:sz="6" w:space="0"/>
            </w:tcBorders>
            <w:vAlign w:val="center"/>
          </w:tcPr>
          <w:p w14:paraId="20A699A6">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1.7.2</w:t>
            </w:r>
          </w:p>
        </w:tc>
      </w:tr>
      <w:tr w14:paraId="6F4A2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0" w:type="auto"/>
            <w:tcBorders>
              <w:top w:val="single" w:color="auto" w:sz="6" w:space="0"/>
              <w:left w:val="single" w:color="auto" w:sz="4" w:space="0"/>
              <w:bottom w:val="single" w:color="auto" w:sz="6" w:space="0"/>
              <w:right w:val="single" w:color="auto" w:sz="6" w:space="0"/>
            </w:tcBorders>
            <w:vAlign w:val="center"/>
          </w:tcPr>
          <w:p w14:paraId="2974EBC8">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1.7.1</w:t>
            </w:r>
          </w:p>
        </w:tc>
        <w:tc>
          <w:tcPr>
            <w:tcW w:w="0" w:type="auto"/>
            <w:tcBorders>
              <w:top w:val="single" w:color="auto" w:sz="6" w:space="0"/>
              <w:left w:val="single" w:color="auto" w:sz="6" w:space="0"/>
              <w:bottom w:val="single" w:color="auto" w:sz="6" w:space="0"/>
              <w:right w:val="single" w:color="auto" w:sz="6" w:space="0"/>
            </w:tcBorders>
            <w:vAlign w:val="center"/>
          </w:tcPr>
          <w:p w14:paraId="1EAC2463">
            <w:pPr>
              <w:spacing w:line="360" w:lineRule="auto"/>
              <w:rPr>
                <w:rFonts w:ascii="新宋体" w:hAnsi="新宋体" w:eastAsia="新宋体" w:cs="新宋体"/>
                <w:color w:val="auto"/>
                <w:sz w:val="24"/>
                <w:highlight w:val="none"/>
              </w:rPr>
            </w:pPr>
          </w:p>
        </w:tc>
      </w:tr>
      <w:tr w14:paraId="35161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0" w:type="auto"/>
            <w:tcBorders>
              <w:top w:val="single" w:color="auto" w:sz="6" w:space="0"/>
              <w:left w:val="single" w:color="auto" w:sz="4" w:space="0"/>
              <w:bottom w:val="single" w:color="auto" w:sz="6" w:space="0"/>
              <w:right w:val="single" w:color="auto" w:sz="6" w:space="0"/>
            </w:tcBorders>
            <w:vAlign w:val="center"/>
          </w:tcPr>
          <w:p w14:paraId="05E2BAD7">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1.7.2</w:t>
            </w:r>
          </w:p>
        </w:tc>
        <w:tc>
          <w:tcPr>
            <w:tcW w:w="0" w:type="auto"/>
            <w:tcBorders>
              <w:top w:val="single" w:color="auto" w:sz="6" w:space="0"/>
              <w:left w:val="single" w:color="auto" w:sz="6" w:space="0"/>
              <w:bottom w:val="single" w:color="auto" w:sz="6" w:space="0"/>
              <w:right w:val="single" w:color="auto" w:sz="6" w:space="0"/>
            </w:tcBorders>
            <w:vAlign w:val="center"/>
          </w:tcPr>
          <w:p w14:paraId="392087A6">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杭州市余杭区</w:t>
            </w:r>
          </w:p>
        </w:tc>
      </w:tr>
      <w:tr w14:paraId="68D23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0" w:type="auto"/>
            <w:tcBorders>
              <w:top w:val="single" w:color="auto" w:sz="6" w:space="0"/>
              <w:left w:val="single" w:color="auto" w:sz="4" w:space="0"/>
              <w:bottom w:val="single" w:color="auto" w:sz="6" w:space="0"/>
              <w:right w:val="single" w:color="auto" w:sz="6" w:space="0"/>
            </w:tcBorders>
            <w:vAlign w:val="center"/>
          </w:tcPr>
          <w:p w14:paraId="6692073F">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2.3.2</w:t>
            </w:r>
          </w:p>
        </w:tc>
        <w:tc>
          <w:tcPr>
            <w:tcW w:w="0" w:type="auto"/>
            <w:tcBorders>
              <w:top w:val="single" w:color="auto" w:sz="6" w:space="0"/>
              <w:left w:val="single" w:color="auto" w:sz="6" w:space="0"/>
              <w:bottom w:val="single" w:color="auto" w:sz="6" w:space="0"/>
              <w:right w:val="single" w:color="auto" w:sz="6" w:space="0"/>
            </w:tcBorders>
            <w:vAlign w:val="center"/>
          </w:tcPr>
          <w:p w14:paraId="2C2E798B">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w:t>
            </w:r>
          </w:p>
        </w:tc>
      </w:tr>
      <w:tr w14:paraId="5F8BE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0" w:type="auto"/>
            <w:tcBorders>
              <w:top w:val="single" w:color="auto" w:sz="6" w:space="0"/>
              <w:left w:val="single" w:color="auto" w:sz="4" w:space="0"/>
              <w:bottom w:val="single" w:color="auto" w:sz="6" w:space="0"/>
              <w:right w:val="single" w:color="auto" w:sz="6" w:space="0"/>
            </w:tcBorders>
            <w:vAlign w:val="center"/>
          </w:tcPr>
          <w:p w14:paraId="62431709">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2.10.3</w:t>
            </w:r>
          </w:p>
        </w:tc>
        <w:tc>
          <w:tcPr>
            <w:tcW w:w="0" w:type="auto"/>
            <w:tcBorders>
              <w:top w:val="single" w:color="auto" w:sz="6" w:space="0"/>
              <w:left w:val="single" w:color="auto" w:sz="6" w:space="0"/>
              <w:bottom w:val="single" w:color="auto" w:sz="6" w:space="0"/>
              <w:right w:val="single" w:color="auto" w:sz="6" w:space="0"/>
            </w:tcBorders>
            <w:vAlign w:val="center"/>
          </w:tcPr>
          <w:p w14:paraId="1B15796F">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30天</w:t>
            </w:r>
          </w:p>
        </w:tc>
      </w:tr>
      <w:tr w14:paraId="3BBEE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0" w:type="auto"/>
            <w:tcBorders>
              <w:top w:val="single" w:color="auto" w:sz="6" w:space="0"/>
              <w:left w:val="single" w:color="auto" w:sz="4" w:space="0"/>
              <w:bottom w:val="single" w:color="auto" w:sz="6" w:space="0"/>
              <w:right w:val="single" w:color="auto" w:sz="6" w:space="0"/>
            </w:tcBorders>
            <w:vAlign w:val="center"/>
          </w:tcPr>
          <w:p w14:paraId="02FA852A">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2.10.4</w:t>
            </w:r>
          </w:p>
        </w:tc>
        <w:tc>
          <w:tcPr>
            <w:tcW w:w="0" w:type="auto"/>
            <w:tcBorders>
              <w:top w:val="single" w:color="auto" w:sz="6" w:space="0"/>
              <w:left w:val="single" w:color="auto" w:sz="6" w:space="0"/>
              <w:bottom w:val="single" w:color="auto" w:sz="6" w:space="0"/>
              <w:right w:val="single" w:color="auto" w:sz="6" w:space="0"/>
            </w:tcBorders>
            <w:vAlign w:val="center"/>
          </w:tcPr>
          <w:p w14:paraId="180699EA">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30天，30天</w:t>
            </w:r>
          </w:p>
        </w:tc>
      </w:tr>
      <w:tr w14:paraId="1AC6A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0" w:type="auto"/>
            <w:tcBorders>
              <w:top w:val="single" w:color="auto" w:sz="6" w:space="0"/>
              <w:left w:val="single" w:color="auto" w:sz="4" w:space="0"/>
              <w:bottom w:val="single" w:color="auto" w:sz="6" w:space="0"/>
              <w:right w:val="single" w:color="auto" w:sz="6" w:space="0"/>
            </w:tcBorders>
            <w:vAlign w:val="center"/>
          </w:tcPr>
          <w:p w14:paraId="7EC505AD">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2.14.1</w:t>
            </w:r>
          </w:p>
        </w:tc>
        <w:tc>
          <w:tcPr>
            <w:tcW w:w="0" w:type="auto"/>
            <w:tcBorders>
              <w:top w:val="single" w:color="auto" w:sz="6" w:space="0"/>
              <w:left w:val="single" w:color="auto" w:sz="6" w:space="0"/>
              <w:bottom w:val="single" w:color="auto" w:sz="6" w:space="0"/>
              <w:right w:val="single" w:color="auto" w:sz="6" w:space="0"/>
            </w:tcBorders>
            <w:vAlign w:val="center"/>
          </w:tcPr>
          <w:p w14:paraId="0DD1F774">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物业服务质量考核标准</w:t>
            </w:r>
          </w:p>
        </w:tc>
      </w:tr>
      <w:tr w14:paraId="76A7E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0" w:type="auto"/>
            <w:tcBorders>
              <w:top w:val="single" w:color="auto" w:sz="6" w:space="0"/>
              <w:left w:val="single" w:color="auto" w:sz="4" w:space="0"/>
              <w:bottom w:val="single" w:color="auto" w:sz="6" w:space="0"/>
              <w:right w:val="single" w:color="auto" w:sz="6" w:space="0"/>
            </w:tcBorders>
            <w:vAlign w:val="center"/>
          </w:tcPr>
          <w:p w14:paraId="0C613CE1">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2.14.3</w:t>
            </w:r>
          </w:p>
        </w:tc>
        <w:tc>
          <w:tcPr>
            <w:tcW w:w="0" w:type="auto"/>
            <w:tcBorders>
              <w:top w:val="single" w:color="auto" w:sz="6" w:space="0"/>
              <w:left w:val="single" w:color="auto" w:sz="6" w:space="0"/>
              <w:bottom w:val="single" w:color="auto" w:sz="6" w:space="0"/>
              <w:right w:val="single" w:color="auto" w:sz="6" w:space="0"/>
            </w:tcBorders>
            <w:vAlign w:val="center"/>
          </w:tcPr>
          <w:p w14:paraId="7D9F7C54">
            <w:pPr>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物业服务质量考核标准</w:t>
            </w:r>
          </w:p>
        </w:tc>
      </w:tr>
      <w:tr w14:paraId="30F6B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0" w:type="auto"/>
            <w:tcBorders>
              <w:top w:val="single" w:color="auto" w:sz="6" w:space="0"/>
              <w:left w:val="single" w:color="auto" w:sz="4" w:space="0"/>
              <w:bottom w:val="single" w:color="auto" w:sz="6" w:space="0"/>
              <w:right w:val="single" w:color="auto" w:sz="6" w:space="0"/>
            </w:tcBorders>
            <w:vAlign w:val="center"/>
          </w:tcPr>
          <w:p w14:paraId="2B5B676D">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2.17</w:t>
            </w:r>
          </w:p>
        </w:tc>
        <w:tc>
          <w:tcPr>
            <w:tcW w:w="0" w:type="auto"/>
            <w:tcBorders>
              <w:top w:val="single" w:color="auto" w:sz="6" w:space="0"/>
              <w:left w:val="single" w:color="auto" w:sz="6" w:space="0"/>
              <w:bottom w:val="single" w:color="auto" w:sz="6" w:space="0"/>
              <w:right w:val="single" w:color="auto" w:sz="6" w:space="0"/>
            </w:tcBorders>
            <w:vAlign w:val="center"/>
          </w:tcPr>
          <w:p w14:paraId="60A65F11">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w:t>
            </w:r>
          </w:p>
        </w:tc>
      </w:tr>
      <w:tr w14:paraId="5A2C9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0" w:type="auto"/>
            <w:tcBorders>
              <w:top w:val="single" w:color="auto" w:sz="6" w:space="0"/>
              <w:left w:val="single" w:color="auto" w:sz="4" w:space="0"/>
              <w:bottom w:val="single" w:color="auto" w:sz="6" w:space="0"/>
              <w:right w:val="single" w:color="auto" w:sz="6" w:space="0"/>
            </w:tcBorders>
            <w:vAlign w:val="center"/>
          </w:tcPr>
          <w:p w14:paraId="489631BF">
            <w:pPr>
              <w:spacing w:line="360" w:lineRule="auto"/>
              <w:rPr>
                <w:rFonts w:ascii="新宋体" w:hAnsi="新宋体" w:eastAsia="新宋体" w:cs="新宋体"/>
                <w:color w:val="auto"/>
                <w:sz w:val="24"/>
                <w:highlight w:val="none"/>
              </w:rPr>
            </w:pPr>
            <w:r>
              <w:rPr>
                <w:rFonts w:hint="eastAsia" w:ascii="新宋体" w:hAnsi="新宋体" w:eastAsia="新宋体" w:cs="新宋体"/>
                <w:bCs/>
                <w:color w:val="auto"/>
                <w:sz w:val="24"/>
                <w:highlight w:val="none"/>
              </w:rPr>
              <w:t>2.18</w:t>
            </w:r>
          </w:p>
        </w:tc>
        <w:tc>
          <w:tcPr>
            <w:tcW w:w="0" w:type="auto"/>
            <w:tcBorders>
              <w:top w:val="single" w:color="auto" w:sz="6" w:space="0"/>
              <w:left w:val="single" w:color="auto" w:sz="6" w:space="0"/>
              <w:bottom w:val="single" w:color="auto" w:sz="6" w:space="0"/>
              <w:right w:val="single" w:color="auto" w:sz="6" w:space="0"/>
            </w:tcBorders>
            <w:vAlign w:val="center"/>
          </w:tcPr>
          <w:p w14:paraId="049BA895">
            <w:pPr>
              <w:spacing w:line="360" w:lineRule="auto"/>
              <w:ind w:left="-420" w:leftChars="-200" w:right="-420" w:rightChars="-200"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合同一式 4  份，甲乙双方各  2 份</w:t>
            </w:r>
          </w:p>
        </w:tc>
      </w:tr>
    </w:tbl>
    <w:p w14:paraId="70380A91">
      <w:pPr>
        <w:spacing w:line="360" w:lineRule="auto"/>
        <w:ind w:left="-420" w:leftChars="-200" w:right="-420" w:rightChars="-200" w:firstLine="480" w:firstLineChars="200"/>
        <w:jc w:val="center"/>
        <w:outlineLvl w:val="0"/>
        <w:rPr>
          <w:rFonts w:ascii="宋体" w:hAnsi="宋体" w:cs="宋体"/>
          <w:color w:val="auto"/>
          <w:sz w:val="24"/>
          <w:highlight w:val="none"/>
        </w:rPr>
      </w:pPr>
    </w:p>
    <w:p w14:paraId="74A363F8">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1BF192BE">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610CF9A7">
      <w:pPr>
        <w:spacing w:line="360" w:lineRule="auto"/>
        <w:jc w:val="center"/>
        <w:outlineLvl w:val="0"/>
        <w:rPr>
          <w:rFonts w:ascii="宋体" w:hAnsi="宋体" w:cs="宋体"/>
          <w:b/>
          <w:color w:val="auto"/>
          <w:kern w:val="0"/>
          <w:sz w:val="36"/>
          <w:szCs w:val="36"/>
          <w:highlight w:val="none"/>
        </w:rPr>
      </w:pPr>
    </w:p>
    <w:p w14:paraId="6356B90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2448F5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904116A">
      <w:pPr>
        <w:spacing w:line="360" w:lineRule="auto"/>
        <w:jc w:val="center"/>
        <w:outlineLvl w:val="0"/>
        <w:rPr>
          <w:rFonts w:ascii="宋体" w:hAnsi="宋体" w:cs="宋体"/>
          <w:b/>
          <w:color w:val="auto"/>
          <w:kern w:val="0"/>
          <w:sz w:val="36"/>
          <w:szCs w:val="36"/>
          <w:highlight w:val="none"/>
        </w:rPr>
      </w:pPr>
    </w:p>
    <w:p w14:paraId="48E89AF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B37DC5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E9261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0B49EA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17BA939">
      <w:pPr>
        <w:snapToGrid w:val="0"/>
        <w:spacing w:line="360" w:lineRule="auto"/>
        <w:ind w:firstLine="480" w:firstLineChars="200"/>
        <w:rPr>
          <w:rFonts w:ascii="宋体" w:hAnsi="宋体" w:cs="宋体"/>
          <w:color w:val="auto"/>
          <w:sz w:val="24"/>
          <w:highlight w:val="none"/>
        </w:rPr>
      </w:pPr>
    </w:p>
    <w:p w14:paraId="20E740C7">
      <w:pPr>
        <w:spacing w:line="360" w:lineRule="auto"/>
        <w:ind w:firstLine="480" w:firstLineChars="200"/>
        <w:rPr>
          <w:rFonts w:ascii="宋体" w:hAnsi="宋体" w:cs="宋体"/>
          <w:color w:val="auto"/>
          <w:sz w:val="24"/>
          <w:highlight w:val="none"/>
        </w:rPr>
      </w:pPr>
    </w:p>
    <w:p w14:paraId="509FDC9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C2E098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杭州市余杭区余杭街道社区卫生服务中心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14:paraId="6205E0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杭州市余杭区余杭街道社区卫生服务中心物业服务采购项目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HZYHZFCG-2025-008</w:t>
      </w:r>
      <w:r>
        <w:rPr>
          <w:rFonts w:hint="eastAsia" w:ascii="宋体" w:hAnsi="宋体" w:cs="宋体"/>
          <w:color w:val="auto"/>
          <w:sz w:val="24"/>
          <w:highlight w:val="none"/>
        </w:rPr>
        <w:t>】政府采购活动，郑重承诺：</w:t>
      </w:r>
    </w:p>
    <w:p w14:paraId="19856412">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57056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C3295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2686C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0DDE3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BEFA9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C185D8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16CB3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、中国政府采购网（www.ccgp.gov.cn）列入失信被执行人、重大税收违法案件当事人名单、政府采购严重违法失信行为记录名单。</w:t>
      </w:r>
    </w:p>
    <w:p w14:paraId="67E5D2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06348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140FE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B841FCE">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C0494C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5DB4601">
      <w:pPr>
        <w:snapToGrid w:val="0"/>
        <w:spacing w:line="360" w:lineRule="auto"/>
        <w:ind w:right="480"/>
        <w:jc w:val="center"/>
        <w:rPr>
          <w:rFonts w:ascii="宋体" w:hAnsi="宋体" w:cs="宋体"/>
          <w:b/>
          <w:color w:val="auto"/>
          <w:kern w:val="0"/>
          <w:sz w:val="32"/>
          <w:szCs w:val="32"/>
          <w:highlight w:val="none"/>
        </w:rPr>
      </w:pPr>
    </w:p>
    <w:p w14:paraId="6F9F145B">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2E8F0F3">
      <w:pPr>
        <w:widowControl/>
        <w:adjustRightInd/>
        <w:spacing w:line="24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0459A4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37B065A">
      <w:pPr>
        <w:snapToGrid w:val="0"/>
        <w:spacing w:line="360" w:lineRule="auto"/>
        <w:ind w:right="480"/>
        <w:jc w:val="center"/>
        <w:rPr>
          <w:rFonts w:ascii="宋体" w:hAnsi="宋体" w:cs="宋体"/>
          <w:b/>
          <w:color w:val="auto"/>
          <w:kern w:val="0"/>
          <w:sz w:val="32"/>
          <w:szCs w:val="32"/>
          <w:highlight w:val="none"/>
        </w:rPr>
      </w:pPr>
    </w:p>
    <w:p w14:paraId="3B04EC22">
      <w:pPr>
        <w:snapToGrid w:val="0"/>
        <w:spacing w:line="360" w:lineRule="auto"/>
        <w:ind w:right="480"/>
        <w:jc w:val="center"/>
        <w:rPr>
          <w:rFonts w:ascii="宋体" w:hAnsi="宋体" w:cs="宋体"/>
          <w:b/>
          <w:color w:val="auto"/>
          <w:kern w:val="0"/>
          <w:sz w:val="32"/>
          <w:szCs w:val="32"/>
          <w:highlight w:val="none"/>
        </w:rPr>
      </w:pPr>
    </w:p>
    <w:p w14:paraId="3CFD57B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5AEA963D">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EC9ECBB">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6B2FF55">
      <w:pPr>
        <w:widowControl/>
        <w:spacing w:line="360" w:lineRule="auto"/>
        <w:ind w:firstLine="480"/>
        <w:jc w:val="left"/>
        <w:rPr>
          <w:rFonts w:ascii="宋体" w:hAnsi="宋体" w:cs="宋体"/>
          <w:color w:val="auto"/>
          <w:sz w:val="24"/>
          <w:highlight w:val="none"/>
        </w:rPr>
      </w:pPr>
    </w:p>
    <w:p w14:paraId="110DB81C">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B84D981">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C7D769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20981A7">
      <w:pPr>
        <w:widowControl/>
        <w:spacing w:line="360" w:lineRule="auto"/>
        <w:ind w:left="150"/>
        <w:jc w:val="center"/>
        <w:rPr>
          <w:rFonts w:ascii="宋体" w:hAnsi="宋体" w:cs="宋体"/>
          <w:b/>
          <w:color w:val="auto"/>
          <w:kern w:val="0"/>
          <w:sz w:val="32"/>
          <w:szCs w:val="32"/>
          <w:highlight w:val="none"/>
        </w:rPr>
      </w:pPr>
    </w:p>
    <w:p w14:paraId="4FBF8D7E">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712EF7F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4DFC89B">
      <w:pPr>
        <w:rPr>
          <w:rFonts w:ascii="宋体" w:hAnsi="宋体" w:cs="宋体"/>
          <w:color w:val="auto"/>
          <w:highlight w:val="none"/>
        </w:rPr>
      </w:pPr>
    </w:p>
    <w:p w14:paraId="3FEC89E1">
      <w:pPr>
        <w:snapToGrid w:val="0"/>
        <w:spacing w:line="360" w:lineRule="auto"/>
        <w:ind w:right="480"/>
        <w:jc w:val="center"/>
        <w:rPr>
          <w:rFonts w:ascii="宋体" w:hAnsi="宋体" w:cs="宋体"/>
          <w:b/>
          <w:color w:val="auto"/>
          <w:kern w:val="0"/>
          <w:sz w:val="32"/>
          <w:szCs w:val="32"/>
          <w:highlight w:val="none"/>
        </w:rPr>
      </w:pPr>
    </w:p>
    <w:p w14:paraId="07D544F0">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5DA39751">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D0127AE">
      <w:pPr>
        <w:spacing w:line="360" w:lineRule="auto"/>
        <w:jc w:val="center"/>
        <w:outlineLvl w:val="0"/>
        <w:rPr>
          <w:rFonts w:ascii="宋体" w:hAnsi="宋体" w:cs="宋体"/>
          <w:b/>
          <w:color w:val="auto"/>
          <w:kern w:val="0"/>
          <w:sz w:val="24"/>
          <w:highlight w:val="none"/>
        </w:rPr>
      </w:pPr>
    </w:p>
    <w:p w14:paraId="657BD80D">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86A286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6357C6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40B510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941B21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7FFC79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80F3F8F">
      <w:pPr>
        <w:snapToGrid w:val="0"/>
        <w:spacing w:line="360" w:lineRule="auto"/>
        <w:jc w:val="center"/>
        <w:rPr>
          <w:rFonts w:ascii="宋体" w:hAnsi="宋体" w:cs="宋体"/>
          <w:b/>
          <w:color w:val="auto"/>
          <w:kern w:val="0"/>
          <w:sz w:val="32"/>
          <w:szCs w:val="32"/>
          <w:highlight w:val="none"/>
          <w:lang w:val="zh-CN"/>
        </w:rPr>
      </w:pPr>
    </w:p>
    <w:p w14:paraId="36B904F1">
      <w:pPr>
        <w:snapToGrid w:val="0"/>
        <w:spacing w:line="360" w:lineRule="auto"/>
        <w:jc w:val="center"/>
        <w:rPr>
          <w:rFonts w:ascii="宋体" w:hAnsi="宋体" w:cs="宋体"/>
          <w:b/>
          <w:color w:val="auto"/>
          <w:kern w:val="0"/>
          <w:sz w:val="32"/>
          <w:szCs w:val="32"/>
          <w:highlight w:val="none"/>
          <w:lang w:val="zh-CN"/>
        </w:rPr>
      </w:pPr>
    </w:p>
    <w:p w14:paraId="6E001EE9">
      <w:pPr>
        <w:snapToGrid w:val="0"/>
        <w:spacing w:line="360" w:lineRule="auto"/>
        <w:jc w:val="center"/>
        <w:rPr>
          <w:rFonts w:ascii="宋体" w:hAnsi="宋体" w:cs="宋体"/>
          <w:b/>
          <w:color w:val="auto"/>
          <w:kern w:val="0"/>
          <w:sz w:val="32"/>
          <w:szCs w:val="32"/>
          <w:highlight w:val="none"/>
          <w:lang w:val="zh-CN"/>
        </w:rPr>
      </w:pPr>
    </w:p>
    <w:p w14:paraId="293280D8">
      <w:pPr>
        <w:snapToGrid w:val="0"/>
        <w:spacing w:line="360" w:lineRule="auto"/>
        <w:jc w:val="center"/>
        <w:rPr>
          <w:rFonts w:ascii="宋体" w:hAnsi="宋体" w:cs="宋体"/>
          <w:b/>
          <w:color w:val="auto"/>
          <w:kern w:val="0"/>
          <w:sz w:val="32"/>
          <w:szCs w:val="32"/>
          <w:highlight w:val="none"/>
          <w:lang w:val="zh-CN"/>
        </w:rPr>
      </w:pPr>
    </w:p>
    <w:p w14:paraId="38C305DE">
      <w:pPr>
        <w:snapToGrid w:val="0"/>
        <w:spacing w:line="360" w:lineRule="auto"/>
        <w:jc w:val="center"/>
        <w:rPr>
          <w:rFonts w:ascii="宋体" w:hAnsi="宋体" w:cs="宋体"/>
          <w:b/>
          <w:color w:val="auto"/>
          <w:kern w:val="0"/>
          <w:sz w:val="32"/>
          <w:szCs w:val="32"/>
          <w:highlight w:val="none"/>
          <w:lang w:val="zh-CN"/>
        </w:rPr>
      </w:pPr>
    </w:p>
    <w:p w14:paraId="2D24CD23">
      <w:pPr>
        <w:snapToGrid w:val="0"/>
        <w:spacing w:line="360" w:lineRule="auto"/>
        <w:jc w:val="center"/>
        <w:rPr>
          <w:rFonts w:ascii="宋体" w:hAnsi="宋体" w:cs="宋体"/>
          <w:b/>
          <w:color w:val="auto"/>
          <w:kern w:val="0"/>
          <w:sz w:val="32"/>
          <w:szCs w:val="32"/>
          <w:highlight w:val="none"/>
          <w:lang w:val="zh-CN"/>
        </w:rPr>
      </w:pPr>
    </w:p>
    <w:p w14:paraId="5FF4A3C7">
      <w:pPr>
        <w:snapToGrid w:val="0"/>
        <w:spacing w:line="360" w:lineRule="auto"/>
        <w:jc w:val="center"/>
        <w:rPr>
          <w:rFonts w:ascii="宋体" w:hAnsi="宋体" w:cs="宋体"/>
          <w:b/>
          <w:color w:val="auto"/>
          <w:kern w:val="0"/>
          <w:sz w:val="32"/>
          <w:szCs w:val="32"/>
          <w:highlight w:val="none"/>
          <w:lang w:val="zh-CN"/>
        </w:rPr>
      </w:pPr>
    </w:p>
    <w:p w14:paraId="26C13CE1">
      <w:pPr>
        <w:snapToGrid w:val="0"/>
        <w:spacing w:line="360" w:lineRule="auto"/>
        <w:jc w:val="center"/>
        <w:rPr>
          <w:rFonts w:ascii="宋体" w:hAnsi="宋体" w:cs="宋体"/>
          <w:b/>
          <w:color w:val="auto"/>
          <w:kern w:val="0"/>
          <w:sz w:val="32"/>
          <w:szCs w:val="32"/>
          <w:highlight w:val="none"/>
          <w:lang w:val="zh-CN"/>
        </w:rPr>
      </w:pPr>
    </w:p>
    <w:p w14:paraId="03FEEFC8">
      <w:pPr>
        <w:snapToGrid w:val="0"/>
        <w:spacing w:line="360" w:lineRule="auto"/>
        <w:jc w:val="center"/>
        <w:rPr>
          <w:rFonts w:ascii="宋体" w:hAnsi="宋体" w:cs="宋体"/>
          <w:b/>
          <w:color w:val="auto"/>
          <w:kern w:val="0"/>
          <w:sz w:val="32"/>
          <w:szCs w:val="32"/>
          <w:highlight w:val="none"/>
          <w:lang w:val="zh-CN"/>
        </w:rPr>
      </w:pPr>
    </w:p>
    <w:p w14:paraId="314BFFB2">
      <w:pPr>
        <w:snapToGrid w:val="0"/>
        <w:spacing w:line="360" w:lineRule="auto"/>
        <w:jc w:val="center"/>
        <w:rPr>
          <w:rFonts w:ascii="宋体" w:hAnsi="宋体" w:cs="宋体"/>
          <w:b/>
          <w:color w:val="auto"/>
          <w:kern w:val="0"/>
          <w:sz w:val="32"/>
          <w:szCs w:val="32"/>
          <w:highlight w:val="none"/>
          <w:lang w:val="zh-CN"/>
        </w:rPr>
      </w:pPr>
    </w:p>
    <w:p w14:paraId="38FEF4B6">
      <w:pPr>
        <w:snapToGrid w:val="0"/>
        <w:spacing w:line="360" w:lineRule="auto"/>
        <w:jc w:val="center"/>
        <w:rPr>
          <w:rFonts w:ascii="宋体" w:hAnsi="宋体" w:cs="宋体"/>
          <w:b/>
          <w:color w:val="auto"/>
          <w:kern w:val="0"/>
          <w:sz w:val="32"/>
          <w:szCs w:val="32"/>
          <w:highlight w:val="none"/>
          <w:lang w:val="zh-CN"/>
        </w:rPr>
      </w:pPr>
    </w:p>
    <w:p w14:paraId="350E1578">
      <w:pPr>
        <w:snapToGrid w:val="0"/>
        <w:spacing w:line="360" w:lineRule="auto"/>
        <w:jc w:val="center"/>
        <w:rPr>
          <w:rFonts w:ascii="宋体" w:hAnsi="宋体" w:cs="宋体"/>
          <w:b/>
          <w:color w:val="auto"/>
          <w:kern w:val="0"/>
          <w:sz w:val="32"/>
          <w:szCs w:val="32"/>
          <w:highlight w:val="none"/>
          <w:lang w:val="zh-CN"/>
        </w:rPr>
      </w:pPr>
    </w:p>
    <w:p w14:paraId="78106CD9">
      <w:pPr>
        <w:rPr>
          <w:rFonts w:ascii="宋体" w:hAnsi="宋体" w:cs="宋体"/>
          <w:b/>
          <w:color w:val="auto"/>
          <w:kern w:val="0"/>
          <w:sz w:val="32"/>
          <w:szCs w:val="32"/>
          <w:highlight w:val="none"/>
          <w:lang w:val="zh-CN"/>
        </w:rPr>
      </w:pPr>
    </w:p>
    <w:p w14:paraId="46D83BA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72EA41B">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2C5B776">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杭州市余杭区余杭街道社区卫生服务中心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14:paraId="4F7B82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杭州市余杭区余杭街道社区卫生服务中心物业服务采购项目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HZYHZFCG-2025-008</w:t>
      </w:r>
      <w:r>
        <w:rPr>
          <w:rFonts w:hint="eastAsia" w:ascii="宋体" w:hAnsi="宋体" w:cs="宋体"/>
          <w:color w:val="auto"/>
          <w:sz w:val="24"/>
          <w:highlight w:val="none"/>
        </w:rPr>
        <w:t>】招标的有关活动，并对此项目进行投标。为此：</w:t>
      </w:r>
    </w:p>
    <w:p w14:paraId="02216C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A4687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0F9428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CBFB98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2994B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56" w:name="_Hlk101257010"/>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bookmarkEnd w:id="456"/>
      <w:r>
        <w:rPr>
          <w:rFonts w:hint="eastAsia" w:ascii="宋体" w:hAnsi="宋体" w:cs="宋体"/>
          <w:snapToGrid w:val="0"/>
          <w:color w:val="auto"/>
          <w:kern w:val="28"/>
          <w:sz w:val="24"/>
          <w:szCs w:val="20"/>
          <w:highlight w:val="none"/>
        </w:rPr>
        <w:t>；</w:t>
      </w:r>
    </w:p>
    <w:p w14:paraId="716AC5B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F7E2E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078CFE3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7DF2E1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AFDC32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08EFA7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41F18F8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171D1C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1D00E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5A2EEF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2C20F92">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71FB9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806078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A744F42">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2.3.2 报价情况说明（如果有）；</w:t>
      </w:r>
    </w:p>
    <w:p w14:paraId="62569B4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FCCFF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rPr>
        <w:t>对投标文件中材料的真实性、合法性负责。</w:t>
      </w:r>
    </w:p>
    <w:p w14:paraId="72BFAA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CC260A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691207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600C9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3D910E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B33A70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A2A579F">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A673E9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AC5D67F">
      <w:pPr>
        <w:snapToGrid w:val="0"/>
        <w:spacing w:line="360" w:lineRule="auto"/>
        <w:ind w:left="420" w:leftChars="200" w:firstLine="4200" w:firstLineChars="1750"/>
        <w:rPr>
          <w:rFonts w:ascii="宋体" w:hAnsi="宋体" w:cs="宋体"/>
          <w:color w:val="auto"/>
          <w:kern w:val="0"/>
          <w:sz w:val="24"/>
          <w:highlight w:val="none"/>
          <w:u w:val="single"/>
        </w:rPr>
      </w:pPr>
    </w:p>
    <w:p w14:paraId="21C76B9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EEFC831">
      <w:pPr>
        <w:snapToGrid w:val="0"/>
        <w:spacing w:line="360" w:lineRule="auto"/>
        <w:jc w:val="center"/>
        <w:rPr>
          <w:rFonts w:ascii="宋体" w:hAnsi="宋体" w:cs="宋体"/>
          <w:b/>
          <w:color w:val="auto"/>
          <w:kern w:val="0"/>
          <w:sz w:val="32"/>
          <w:szCs w:val="32"/>
          <w:highlight w:val="none"/>
        </w:rPr>
      </w:pPr>
    </w:p>
    <w:p w14:paraId="0C2EA1DF">
      <w:pPr>
        <w:snapToGrid w:val="0"/>
        <w:spacing w:line="360" w:lineRule="auto"/>
        <w:rPr>
          <w:rFonts w:ascii="宋体" w:hAnsi="宋体" w:cs="宋体"/>
          <w:color w:val="auto"/>
          <w:sz w:val="24"/>
          <w:highlight w:val="none"/>
        </w:rPr>
      </w:pPr>
    </w:p>
    <w:p w14:paraId="494A11F4">
      <w:pPr>
        <w:jc w:val="center"/>
        <w:rPr>
          <w:rFonts w:ascii="宋体" w:hAnsi="宋体" w:cs="宋体"/>
          <w:b/>
          <w:color w:val="auto"/>
          <w:kern w:val="0"/>
          <w:sz w:val="32"/>
          <w:szCs w:val="32"/>
          <w:highlight w:val="none"/>
        </w:rPr>
      </w:pPr>
    </w:p>
    <w:p w14:paraId="4B098B65">
      <w:pPr>
        <w:jc w:val="center"/>
        <w:rPr>
          <w:rFonts w:ascii="宋体" w:hAnsi="宋体" w:cs="宋体"/>
          <w:b/>
          <w:color w:val="auto"/>
          <w:kern w:val="0"/>
          <w:sz w:val="32"/>
          <w:szCs w:val="32"/>
          <w:highlight w:val="none"/>
        </w:rPr>
      </w:pPr>
    </w:p>
    <w:p w14:paraId="4DF1FC08">
      <w:pPr>
        <w:jc w:val="center"/>
        <w:rPr>
          <w:rFonts w:ascii="宋体" w:hAnsi="宋体" w:cs="宋体"/>
          <w:b/>
          <w:color w:val="auto"/>
          <w:kern w:val="0"/>
          <w:sz w:val="32"/>
          <w:szCs w:val="32"/>
          <w:highlight w:val="none"/>
        </w:rPr>
      </w:pPr>
    </w:p>
    <w:p w14:paraId="35D38C3D">
      <w:pPr>
        <w:jc w:val="center"/>
        <w:rPr>
          <w:rFonts w:ascii="宋体" w:hAnsi="宋体" w:cs="宋体"/>
          <w:b/>
          <w:color w:val="auto"/>
          <w:kern w:val="0"/>
          <w:sz w:val="32"/>
          <w:szCs w:val="32"/>
          <w:highlight w:val="none"/>
        </w:rPr>
      </w:pPr>
    </w:p>
    <w:p w14:paraId="15C72266">
      <w:pPr>
        <w:jc w:val="center"/>
        <w:rPr>
          <w:rFonts w:ascii="宋体" w:hAnsi="宋体" w:cs="宋体"/>
          <w:b/>
          <w:color w:val="auto"/>
          <w:kern w:val="0"/>
          <w:sz w:val="32"/>
          <w:szCs w:val="32"/>
          <w:highlight w:val="none"/>
        </w:rPr>
      </w:pPr>
    </w:p>
    <w:p w14:paraId="1E899F9B">
      <w:pPr>
        <w:jc w:val="center"/>
        <w:rPr>
          <w:rFonts w:ascii="宋体" w:hAnsi="宋体" w:cs="宋体"/>
          <w:b/>
          <w:color w:val="auto"/>
          <w:kern w:val="0"/>
          <w:sz w:val="32"/>
          <w:szCs w:val="32"/>
          <w:highlight w:val="none"/>
        </w:rPr>
      </w:pPr>
    </w:p>
    <w:p w14:paraId="572CF030">
      <w:pPr>
        <w:jc w:val="center"/>
        <w:rPr>
          <w:rFonts w:ascii="宋体" w:hAnsi="宋体" w:cs="宋体"/>
          <w:b/>
          <w:color w:val="auto"/>
          <w:kern w:val="0"/>
          <w:sz w:val="32"/>
          <w:szCs w:val="32"/>
          <w:highlight w:val="none"/>
        </w:rPr>
      </w:pPr>
    </w:p>
    <w:p w14:paraId="6DEE717F">
      <w:pPr>
        <w:jc w:val="center"/>
        <w:rPr>
          <w:rFonts w:ascii="宋体" w:hAnsi="宋体" w:cs="宋体"/>
          <w:b/>
          <w:color w:val="auto"/>
          <w:kern w:val="0"/>
          <w:sz w:val="32"/>
          <w:szCs w:val="32"/>
          <w:highlight w:val="none"/>
        </w:rPr>
      </w:pPr>
    </w:p>
    <w:p w14:paraId="7DED5B7A">
      <w:pPr>
        <w:jc w:val="center"/>
        <w:rPr>
          <w:rFonts w:ascii="宋体" w:hAnsi="宋体" w:cs="宋体"/>
          <w:b/>
          <w:color w:val="auto"/>
          <w:kern w:val="0"/>
          <w:sz w:val="32"/>
          <w:szCs w:val="32"/>
          <w:highlight w:val="none"/>
        </w:rPr>
      </w:pPr>
    </w:p>
    <w:p w14:paraId="7E48888A">
      <w:pPr>
        <w:jc w:val="center"/>
        <w:rPr>
          <w:rFonts w:ascii="宋体" w:hAnsi="宋体" w:cs="宋体"/>
          <w:b/>
          <w:color w:val="auto"/>
          <w:kern w:val="0"/>
          <w:sz w:val="32"/>
          <w:szCs w:val="32"/>
          <w:highlight w:val="none"/>
        </w:rPr>
      </w:pPr>
    </w:p>
    <w:p w14:paraId="5863DB14">
      <w:pPr>
        <w:jc w:val="center"/>
        <w:rPr>
          <w:rFonts w:ascii="宋体" w:hAnsi="宋体" w:cs="宋体"/>
          <w:b/>
          <w:color w:val="auto"/>
          <w:kern w:val="0"/>
          <w:sz w:val="32"/>
          <w:szCs w:val="32"/>
          <w:highlight w:val="none"/>
        </w:rPr>
      </w:pPr>
    </w:p>
    <w:p w14:paraId="14B114FD">
      <w:pPr>
        <w:jc w:val="center"/>
        <w:rPr>
          <w:rFonts w:ascii="宋体" w:hAnsi="宋体" w:cs="宋体"/>
          <w:b/>
          <w:color w:val="auto"/>
          <w:kern w:val="0"/>
          <w:sz w:val="32"/>
          <w:szCs w:val="32"/>
          <w:highlight w:val="none"/>
        </w:rPr>
      </w:pPr>
    </w:p>
    <w:p w14:paraId="4F6B9DCB">
      <w:pPr>
        <w:jc w:val="center"/>
        <w:rPr>
          <w:rFonts w:ascii="宋体" w:hAnsi="宋体" w:cs="宋体"/>
          <w:b/>
          <w:color w:val="auto"/>
          <w:kern w:val="0"/>
          <w:sz w:val="32"/>
          <w:szCs w:val="32"/>
          <w:highlight w:val="none"/>
        </w:rPr>
      </w:pPr>
    </w:p>
    <w:p w14:paraId="4BE6704D">
      <w:pPr>
        <w:jc w:val="center"/>
        <w:rPr>
          <w:rFonts w:ascii="宋体" w:hAnsi="宋体" w:cs="宋体"/>
          <w:b/>
          <w:color w:val="auto"/>
          <w:kern w:val="0"/>
          <w:sz w:val="32"/>
          <w:szCs w:val="32"/>
          <w:highlight w:val="none"/>
        </w:rPr>
      </w:pPr>
    </w:p>
    <w:p w14:paraId="43D750CA">
      <w:pPr>
        <w:jc w:val="center"/>
        <w:rPr>
          <w:rFonts w:ascii="宋体" w:hAnsi="宋体" w:cs="宋体"/>
          <w:b/>
          <w:color w:val="auto"/>
          <w:kern w:val="0"/>
          <w:sz w:val="32"/>
          <w:szCs w:val="32"/>
          <w:highlight w:val="none"/>
        </w:rPr>
      </w:pPr>
    </w:p>
    <w:p w14:paraId="1AD11ADB">
      <w:pPr>
        <w:jc w:val="center"/>
        <w:rPr>
          <w:rFonts w:ascii="宋体" w:hAnsi="宋体" w:cs="宋体"/>
          <w:b/>
          <w:color w:val="auto"/>
          <w:kern w:val="0"/>
          <w:sz w:val="32"/>
          <w:szCs w:val="32"/>
          <w:highlight w:val="none"/>
        </w:rPr>
      </w:pPr>
    </w:p>
    <w:p w14:paraId="29BA8E3C">
      <w:pPr>
        <w:jc w:val="center"/>
        <w:rPr>
          <w:rFonts w:ascii="宋体" w:hAnsi="宋体" w:cs="宋体"/>
          <w:b/>
          <w:color w:val="auto"/>
          <w:kern w:val="0"/>
          <w:sz w:val="32"/>
          <w:szCs w:val="32"/>
          <w:highlight w:val="none"/>
        </w:rPr>
      </w:pPr>
    </w:p>
    <w:p w14:paraId="7A3A516E">
      <w:pPr>
        <w:jc w:val="center"/>
        <w:rPr>
          <w:rFonts w:ascii="宋体" w:hAnsi="宋体" w:cs="宋体"/>
          <w:b/>
          <w:color w:val="auto"/>
          <w:kern w:val="0"/>
          <w:sz w:val="32"/>
          <w:szCs w:val="32"/>
          <w:highlight w:val="none"/>
        </w:rPr>
      </w:pPr>
    </w:p>
    <w:p w14:paraId="7EDAAD4D">
      <w:pPr>
        <w:jc w:val="center"/>
        <w:rPr>
          <w:rFonts w:ascii="宋体" w:hAnsi="宋体" w:cs="宋体"/>
          <w:b/>
          <w:color w:val="auto"/>
          <w:kern w:val="0"/>
          <w:sz w:val="32"/>
          <w:szCs w:val="32"/>
          <w:highlight w:val="none"/>
        </w:rPr>
      </w:pPr>
    </w:p>
    <w:p w14:paraId="18F05C4F">
      <w:pPr>
        <w:jc w:val="center"/>
        <w:rPr>
          <w:rFonts w:ascii="宋体" w:hAnsi="宋体" w:cs="宋体"/>
          <w:b/>
          <w:color w:val="auto"/>
          <w:kern w:val="0"/>
          <w:sz w:val="32"/>
          <w:szCs w:val="32"/>
          <w:highlight w:val="none"/>
        </w:rPr>
      </w:pPr>
    </w:p>
    <w:p w14:paraId="432C6596">
      <w:pPr>
        <w:pStyle w:val="2"/>
        <w:rPr>
          <w:color w:val="auto"/>
          <w:highlight w:val="none"/>
          <w:lang w:val="en-US"/>
        </w:rPr>
      </w:pPr>
    </w:p>
    <w:p w14:paraId="439673F2">
      <w:pPr>
        <w:jc w:val="center"/>
        <w:rPr>
          <w:rFonts w:ascii="宋体" w:hAnsi="宋体" w:cs="宋体"/>
          <w:b/>
          <w:color w:val="auto"/>
          <w:kern w:val="0"/>
          <w:sz w:val="32"/>
          <w:szCs w:val="32"/>
          <w:highlight w:val="none"/>
        </w:rPr>
      </w:pPr>
    </w:p>
    <w:p w14:paraId="2602A370">
      <w:pPr>
        <w:jc w:val="center"/>
        <w:rPr>
          <w:rFonts w:ascii="宋体" w:hAnsi="宋体" w:cs="宋体"/>
          <w:b/>
          <w:color w:val="auto"/>
          <w:kern w:val="0"/>
          <w:sz w:val="32"/>
          <w:szCs w:val="32"/>
          <w:highlight w:val="none"/>
        </w:rPr>
      </w:pPr>
    </w:p>
    <w:p w14:paraId="4AD995C6">
      <w:pPr>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383CA346">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22F3C8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316A59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BD2D68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杭州市余杭区余杭街道社区卫生服务中心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1ABF46E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杭州市余杭区余杭街道社区卫生服务中心物业服务采购项目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HZYHZFCG-2025-008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20AB96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ED01DD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F98004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58C122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DB441CD">
      <w:pPr>
        <w:snapToGrid w:val="0"/>
        <w:spacing w:line="360" w:lineRule="auto"/>
        <w:rPr>
          <w:rFonts w:ascii="宋体" w:hAnsi="宋体" w:cs="宋体"/>
          <w:color w:val="auto"/>
          <w:sz w:val="24"/>
          <w:highlight w:val="none"/>
        </w:rPr>
      </w:pPr>
    </w:p>
    <w:p w14:paraId="5A4AF57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642598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杭州市余杭区余杭街道社区卫生服务中心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7885344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杭州市余杭区余杭街道社区卫生服务中心物业服务采购项目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HZYHZFCG-2025-008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879D36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24716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E2FB3AC">
      <w:pPr>
        <w:jc w:val="center"/>
        <w:rPr>
          <w:rFonts w:ascii="宋体" w:hAnsi="宋体" w:cs="宋体"/>
          <w:b/>
          <w:color w:val="auto"/>
          <w:kern w:val="0"/>
          <w:sz w:val="32"/>
          <w:szCs w:val="32"/>
          <w:highlight w:val="none"/>
        </w:rPr>
      </w:pPr>
    </w:p>
    <w:p w14:paraId="5F24DEAF">
      <w:pPr>
        <w:rPr>
          <w:rFonts w:ascii="宋体" w:hAnsi="宋体" w:cs="宋体"/>
          <w:color w:val="auto"/>
          <w:highlight w:val="none"/>
        </w:rPr>
      </w:pPr>
    </w:p>
    <w:p w14:paraId="6A2DC8D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B12735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DC8273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D9C786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DA0CE44">
      <w:pPr>
        <w:autoSpaceDE w:val="0"/>
        <w:autoSpaceDN w:val="0"/>
        <w:spacing w:line="360" w:lineRule="auto"/>
        <w:jc w:val="center"/>
        <w:rPr>
          <w:rFonts w:ascii="宋体" w:hAnsi="宋体" w:cs="宋体"/>
          <w:b/>
          <w:color w:val="auto"/>
          <w:kern w:val="0"/>
          <w:sz w:val="32"/>
          <w:szCs w:val="32"/>
          <w:highlight w:val="none"/>
          <w:lang w:val="zh-CN"/>
        </w:rPr>
      </w:pPr>
    </w:p>
    <w:p w14:paraId="56013205">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7B874ECE">
      <w:pPr>
        <w:autoSpaceDE w:val="0"/>
        <w:autoSpaceDN w:val="0"/>
        <w:spacing w:line="360" w:lineRule="auto"/>
        <w:jc w:val="center"/>
        <w:rPr>
          <w:rFonts w:ascii="宋体" w:hAnsi="宋体" w:cs="宋体"/>
          <w:b/>
          <w:color w:val="auto"/>
          <w:kern w:val="0"/>
          <w:sz w:val="32"/>
          <w:szCs w:val="32"/>
          <w:highlight w:val="none"/>
          <w:lang w:val="zh-CN"/>
        </w:rPr>
      </w:pPr>
    </w:p>
    <w:p w14:paraId="2BD4327F">
      <w:pPr>
        <w:autoSpaceDE w:val="0"/>
        <w:autoSpaceDN w:val="0"/>
        <w:spacing w:line="360" w:lineRule="auto"/>
        <w:jc w:val="center"/>
        <w:rPr>
          <w:rFonts w:ascii="宋体" w:hAnsi="宋体" w:cs="宋体"/>
          <w:b/>
          <w:color w:val="auto"/>
          <w:kern w:val="0"/>
          <w:sz w:val="32"/>
          <w:szCs w:val="32"/>
          <w:highlight w:val="none"/>
          <w:lang w:val="zh-CN"/>
        </w:rPr>
      </w:pPr>
    </w:p>
    <w:p w14:paraId="087C618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DFBF63B">
      <w:pPr>
        <w:pStyle w:val="8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2C5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BFC571C">
            <w:pPr>
              <w:pStyle w:val="8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460B56F">
            <w:pPr>
              <w:pStyle w:val="87"/>
              <w:adjustRightInd w:val="0"/>
              <w:spacing w:line="360" w:lineRule="auto"/>
              <w:rPr>
                <w:rFonts w:hAnsi="宋体" w:cs="宋体"/>
                <w:bCs/>
                <w:color w:val="auto"/>
                <w:sz w:val="24"/>
                <w:highlight w:val="none"/>
              </w:rPr>
            </w:pPr>
          </w:p>
        </w:tc>
      </w:tr>
    </w:tbl>
    <w:p w14:paraId="66ED7F6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069252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DC74080">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1F9770B">
      <w:pPr>
        <w:jc w:val="center"/>
        <w:rPr>
          <w:rFonts w:ascii="宋体" w:hAnsi="宋体" w:cs="宋体"/>
          <w:b/>
          <w:color w:val="auto"/>
          <w:kern w:val="0"/>
          <w:sz w:val="32"/>
          <w:szCs w:val="32"/>
          <w:highlight w:val="none"/>
        </w:rPr>
      </w:pPr>
    </w:p>
    <w:p w14:paraId="2628D8E7">
      <w:pPr>
        <w:jc w:val="center"/>
        <w:rPr>
          <w:rFonts w:ascii="宋体" w:hAnsi="宋体" w:cs="宋体"/>
          <w:b/>
          <w:color w:val="auto"/>
          <w:kern w:val="0"/>
          <w:sz w:val="32"/>
          <w:szCs w:val="32"/>
          <w:highlight w:val="none"/>
        </w:rPr>
      </w:pPr>
    </w:p>
    <w:p w14:paraId="6B40D03F">
      <w:pPr>
        <w:jc w:val="center"/>
        <w:rPr>
          <w:rFonts w:ascii="宋体" w:hAnsi="宋体" w:cs="宋体"/>
          <w:b/>
          <w:color w:val="auto"/>
          <w:kern w:val="0"/>
          <w:sz w:val="32"/>
          <w:szCs w:val="32"/>
          <w:highlight w:val="none"/>
        </w:rPr>
      </w:pPr>
    </w:p>
    <w:p w14:paraId="52F2AA30">
      <w:pPr>
        <w:jc w:val="center"/>
        <w:rPr>
          <w:rFonts w:ascii="宋体" w:hAnsi="宋体" w:cs="宋体"/>
          <w:b/>
          <w:color w:val="auto"/>
          <w:kern w:val="0"/>
          <w:sz w:val="32"/>
          <w:szCs w:val="32"/>
          <w:highlight w:val="none"/>
        </w:rPr>
      </w:pPr>
    </w:p>
    <w:p w14:paraId="18301251">
      <w:pPr>
        <w:jc w:val="center"/>
        <w:rPr>
          <w:rFonts w:ascii="宋体" w:hAnsi="宋体" w:cs="宋体"/>
          <w:b/>
          <w:color w:val="auto"/>
          <w:kern w:val="0"/>
          <w:sz w:val="32"/>
          <w:szCs w:val="32"/>
          <w:highlight w:val="none"/>
        </w:rPr>
      </w:pPr>
    </w:p>
    <w:p w14:paraId="65276389">
      <w:pPr>
        <w:jc w:val="center"/>
        <w:rPr>
          <w:rFonts w:ascii="宋体" w:hAnsi="宋体" w:cs="宋体"/>
          <w:b/>
          <w:color w:val="auto"/>
          <w:kern w:val="0"/>
          <w:sz w:val="32"/>
          <w:szCs w:val="32"/>
          <w:highlight w:val="none"/>
        </w:rPr>
      </w:pPr>
    </w:p>
    <w:p w14:paraId="271F0D67">
      <w:pPr>
        <w:jc w:val="center"/>
        <w:rPr>
          <w:rFonts w:ascii="宋体" w:hAnsi="宋体" w:cs="宋体"/>
          <w:b/>
          <w:color w:val="auto"/>
          <w:kern w:val="0"/>
          <w:sz w:val="32"/>
          <w:szCs w:val="32"/>
          <w:highlight w:val="none"/>
        </w:rPr>
      </w:pPr>
    </w:p>
    <w:p w14:paraId="4938867C">
      <w:pPr>
        <w:jc w:val="center"/>
        <w:rPr>
          <w:rFonts w:ascii="宋体" w:hAnsi="宋体" w:cs="宋体"/>
          <w:b/>
          <w:color w:val="auto"/>
          <w:kern w:val="0"/>
          <w:sz w:val="32"/>
          <w:szCs w:val="32"/>
          <w:highlight w:val="none"/>
        </w:rPr>
      </w:pPr>
    </w:p>
    <w:p w14:paraId="5C6923FD">
      <w:pPr>
        <w:jc w:val="center"/>
        <w:rPr>
          <w:rFonts w:ascii="宋体" w:hAnsi="宋体" w:cs="宋体"/>
          <w:b/>
          <w:color w:val="auto"/>
          <w:kern w:val="0"/>
          <w:sz w:val="32"/>
          <w:szCs w:val="32"/>
          <w:highlight w:val="none"/>
        </w:rPr>
      </w:pPr>
    </w:p>
    <w:p w14:paraId="64AE482F">
      <w:pPr>
        <w:jc w:val="center"/>
        <w:rPr>
          <w:rFonts w:ascii="宋体" w:hAnsi="宋体" w:cs="宋体"/>
          <w:b/>
          <w:color w:val="auto"/>
          <w:kern w:val="0"/>
          <w:sz w:val="32"/>
          <w:szCs w:val="32"/>
          <w:highlight w:val="none"/>
        </w:rPr>
      </w:pPr>
    </w:p>
    <w:p w14:paraId="163CA2B5">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3206954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888FCDA">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附件6</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4285C34">
      <w:pPr>
        <w:snapToGrid w:val="0"/>
        <w:spacing w:line="360" w:lineRule="auto"/>
        <w:rPr>
          <w:rFonts w:ascii="宋体" w:hAnsi="宋体" w:cs="宋体"/>
          <w:color w:val="auto"/>
          <w:kern w:val="0"/>
          <w:sz w:val="24"/>
          <w:highlight w:val="none"/>
        </w:rPr>
      </w:pPr>
    </w:p>
    <w:p w14:paraId="7D1D2F4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D96A877">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C2D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32544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BF0DEA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5200D6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3C8178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68FD84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D57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793791CD">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1FE9DD2F">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0186A2D">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47C4E2CD">
            <w:pPr>
              <w:rPr>
                <w:rFonts w:ascii="宋体" w:hAnsi="宋体" w:cs="宋体"/>
                <w:color w:val="auto"/>
                <w:sz w:val="24"/>
                <w:highlight w:val="none"/>
              </w:rPr>
            </w:pPr>
          </w:p>
          <w:p w14:paraId="2535B0CD">
            <w:pPr>
              <w:rPr>
                <w:rFonts w:ascii="宋体" w:hAnsi="宋体" w:cs="宋体"/>
                <w:color w:val="auto"/>
                <w:sz w:val="24"/>
                <w:highlight w:val="none"/>
              </w:rPr>
            </w:pPr>
            <w:r>
              <w:rPr>
                <w:rFonts w:hint="eastAsia" w:ascii="宋体" w:hAnsi="宋体" w:cs="宋体"/>
                <w:color w:val="auto"/>
                <w:sz w:val="24"/>
                <w:highlight w:val="none"/>
              </w:rPr>
              <w:t>见投标文件</w:t>
            </w:r>
          </w:p>
          <w:p w14:paraId="2CF567A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A4F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217EBA9A">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26C5FB99">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6899A6B">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5800397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3F0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6E698DC7">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14:paraId="27D56686">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2F713D66">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3F36A735">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4DDEE5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81E1BD3">
      <w:pPr>
        <w:jc w:val="center"/>
        <w:rPr>
          <w:rFonts w:ascii="宋体" w:hAnsi="宋体" w:cs="宋体"/>
          <w:b/>
          <w:color w:val="auto"/>
          <w:kern w:val="0"/>
          <w:sz w:val="32"/>
          <w:szCs w:val="32"/>
          <w:highlight w:val="none"/>
        </w:rPr>
      </w:pPr>
    </w:p>
    <w:p w14:paraId="03300B2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38AD5EA">
      <w:pPr>
        <w:jc w:val="center"/>
        <w:rPr>
          <w:rFonts w:ascii="宋体" w:hAnsi="宋体" w:cs="宋体"/>
          <w:b/>
          <w:color w:val="auto"/>
          <w:kern w:val="0"/>
          <w:sz w:val="32"/>
          <w:szCs w:val="32"/>
          <w:highlight w:val="none"/>
        </w:rPr>
      </w:pPr>
    </w:p>
    <w:p w14:paraId="37AE274D">
      <w:pPr>
        <w:jc w:val="center"/>
        <w:rPr>
          <w:rFonts w:ascii="宋体" w:hAnsi="宋体" w:cs="宋体"/>
          <w:b/>
          <w:color w:val="auto"/>
          <w:kern w:val="0"/>
          <w:sz w:val="32"/>
          <w:szCs w:val="32"/>
          <w:highlight w:val="none"/>
        </w:rPr>
      </w:pPr>
    </w:p>
    <w:p w14:paraId="41E6022D">
      <w:pPr>
        <w:jc w:val="center"/>
        <w:rPr>
          <w:rFonts w:ascii="宋体" w:hAnsi="宋体" w:cs="宋体"/>
          <w:b/>
          <w:color w:val="auto"/>
          <w:kern w:val="0"/>
          <w:sz w:val="32"/>
          <w:szCs w:val="32"/>
          <w:highlight w:val="none"/>
        </w:rPr>
      </w:pPr>
    </w:p>
    <w:p w14:paraId="21DC6B59">
      <w:pPr>
        <w:jc w:val="center"/>
        <w:rPr>
          <w:rFonts w:ascii="宋体" w:hAnsi="宋体" w:cs="宋体"/>
          <w:b/>
          <w:color w:val="auto"/>
          <w:kern w:val="0"/>
          <w:sz w:val="32"/>
          <w:szCs w:val="32"/>
          <w:highlight w:val="none"/>
        </w:rPr>
      </w:pPr>
    </w:p>
    <w:p w14:paraId="08247F23">
      <w:pPr>
        <w:jc w:val="center"/>
        <w:rPr>
          <w:rFonts w:ascii="宋体" w:hAnsi="宋体" w:cs="宋体"/>
          <w:b/>
          <w:color w:val="auto"/>
          <w:kern w:val="0"/>
          <w:sz w:val="32"/>
          <w:szCs w:val="32"/>
          <w:highlight w:val="none"/>
        </w:rPr>
      </w:pPr>
    </w:p>
    <w:p w14:paraId="18B64B40">
      <w:pPr>
        <w:jc w:val="center"/>
        <w:rPr>
          <w:rFonts w:ascii="宋体" w:hAnsi="宋体" w:cs="宋体"/>
          <w:b/>
          <w:color w:val="auto"/>
          <w:kern w:val="0"/>
          <w:sz w:val="32"/>
          <w:szCs w:val="32"/>
          <w:highlight w:val="none"/>
        </w:rPr>
      </w:pPr>
    </w:p>
    <w:p w14:paraId="7CDA9693">
      <w:pPr>
        <w:jc w:val="center"/>
        <w:rPr>
          <w:rFonts w:ascii="宋体" w:hAnsi="宋体" w:cs="宋体"/>
          <w:b/>
          <w:color w:val="auto"/>
          <w:kern w:val="0"/>
          <w:sz w:val="32"/>
          <w:szCs w:val="32"/>
          <w:highlight w:val="none"/>
        </w:rPr>
      </w:pPr>
    </w:p>
    <w:p w14:paraId="73B78267">
      <w:pPr>
        <w:jc w:val="center"/>
        <w:rPr>
          <w:rFonts w:ascii="宋体" w:hAnsi="宋体" w:cs="宋体"/>
          <w:b/>
          <w:color w:val="auto"/>
          <w:kern w:val="0"/>
          <w:sz w:val="32"/>
          <w:szCs w:val="32"/>
          <w:highlight w:val="none"/>
        </w:rPr>
      </w:pPr>
    </w:p>
    <w:p w14:paraId="37B970BF">
      <w:pPr>
        <w:jc w:val="center"/>
        <w:rPr>
          <w:rFonts w:ascii="宋体" w:hAnsi="宋体" w:cs="宋体"/>
          <w:b/>
          <w:color w:val="auto"/>
          <w:kern w:val="0"/>
          <w:sz w:val="32"/>
          <w:szCs w:val="32"/>
          <w:highlight w:val="none"/>
        </w:rPr>
      </w:pPr>
    </w:p>
    <w:p w14:paraId="2847899E">
      <w:pPr>
        <w:jc w:val="center"/>
        <w:rPr>
          <w:rFonts w:ascii="宋体" w:hAnsi="宋体" w:cs="宋体"/>
          <w:b/>
          <w:color w:val="auto"/>
          <w:kern w:val="0"/>
          <w:sz w:val="32"/>
          <w:szCs w:val="32"/>
          <w:highlight w:val="none"/>
        </w:rPr>
      </w:pPr>
    </w:p>
    <w:p w14:paraId="0123123F">
      <w:pPr>
        <w:jc w:val="center"/>
        <w:rPr>
          <w:rFonts w:ascii="宋体" w:hAnsi="宋体" w:cs="宋体"/>
          <w:b/>
          <w:color w:val="auto"/>
          <w:kern w:val="0"/>
          <w:sz w:val="32"/>
          <w:szCs w:val="32"/>
          <w:highlight w:val="none"/>
        </w:rPr>
      </w:pPr>
    </w:p>
    <w:p w14:paraId="4F1D50D9">
      <w:pPr>
        <w:jc w:val="center"/>
        <w:rPr>
          <w:rFonts w:ascii="宋体" w:hAnsi="宋体" w:cs="宋体"/>
          <w:b/>
          <w:color w:val="auto"/>
          <w:kern w:val="0"/>
          <w:sz w:val="32"/>
          <w:szCs w:val="32"/>
          <w:highlight w:val="none"/>
        </w:rPr>
      </w:pPr>
    </w:p>
    <w:p w14:paraId="5A9BD441">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73274B6">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3BB5402">
      <w:pPr>
        <w:jc w:val="center"/>
        <w:rPr>
          <w:rFonts w:ascii="宋体" w:hAnsi="宋体" w:cs="宋体"/>
          <w:b/>
          <w:color w:val="auto"/>
          <w:kern w:val="0"/>
          <w:sz w:val="32"/>
          <w:szCs w:val="32"/>
          <w:highlight w:val="none"/>
        </w:rPr>
      </w:pPr>
    </w:p>
    <w:p w14:paraId="12FCCB4F">
      <w:pPr>
        <w:jc w:val="center"/>
        <w:rPr>
          <w:rFonts w:ascii="宋体" w:hAnsi="宋体" w:cs="宋体"/>
          <w:b/>
          <w:color w:val="auto"/>
          <w:kern w:val="0"/>
          <w:sz w:val="32"/>
          <w:szCs w:val="32"/>
          <w:highlight w:val="none"/>
        </w:rPr>
      </w:pPr>
    </w:p>
    <w:p w14:paraId="5CB0EB04">
      <w:pPr>
        <w:jc w:val="center"/>
        <w:rPr>
          <w:rFonts w:ascii="宋体" w:hAnsi="宋体" w:cs="宋体"/>
          <w:b/>
          <w:color w:val="auto"/>
          <w:kern w:val="0"/>
          <w:sz w:val="32"/>
          <w:szCs w:val="32"/>
          <w:highlight w:val="none"/>
        </w:rPr>
      </w:pPr>
    </w:p>
    <w:p w14:paraId="6892ACEB">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43E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4A0E2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511DEA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3B8A4D98">
            <w:pPr>
              <w:spacing w:line="360" w:lineRule="auto"/>
              <w:jc w:val="center"/>
              <w:rPr>
                <w:rFonts w:ascii="宋体" w:hAnsi="宋体" w:cs="宋体"/>
                <w:b/>
                <w:color w:val="auto"/>
                <w:sz w:val="24"/>
                <w:highlight w:val="none"/>
              </w:rPr>
            </w:pPr>
          </w:p>
          <w:p w14:paraId="473B3DA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8C7B67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CDEE69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5E202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65FDF7A">
            <w:pPr>
              <w:spacing w:line="360" w:lineRule="auto"/>
              <w:jc w:val="center"/>
              <w:rPr>
                <w:rFonts w:ascii="宋体" w:hAnsi="宋体" w:cs="宋体"/>
                <w:b/>
                <w:color w:val="auto"/>
                <w:sz w:val="24"/>
                <w:highlight w:val="none"/>
              </w:rPr>
            </w:pPr>
          </w:p>
          <w:p w14:paraId="6A299B8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982F50A">
            <w:pPr>
              <w:spacing w:line="360" w:lineRule="auto"/>
              <w:jc w:val="center"/>
              <w:rPr>
                <w:rFonts w:ascii="宋体" w:hAnsi="宋体" w:cs="宋体"/>
                <w:b/>
                <w:color w:val="auto"/>
                <w:sz w:val="24"/>
                <w:highlight w:val="none"/>
              </w:rPr>
            </w:pPr>
          </w:p>
        </w:tc>
      </w:tr>
      <w:tr w14:paraId="0693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FFFC9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1D1B9B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38EF67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28C800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F980B77">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216B36D">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35020EB">
            <w:pPr>
              <w:spacing w:line="360" w:lineRule="auto"/>
              <w:jc w:val="center"/>
              <w:rPr>
                <w:rFonts w:ascii="宋体" w:hAnsi="宋体" w:cs="宋体"/>
                <w:color w:val="auto"/>
                <w:sz w:val="24"/>
                <w:highlight w:val="none"/>
              </w:rPr>
            </w:pPr>
          </w:p>
        </w:tc>
      </w:tr>
      <w:tr w14:paraId="209D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80974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766F670">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39B830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D39159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FC7779F">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39CDABD">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3374548">
            <w:pPr>
              <w:spacing w:line="360" w:lineRule="auto"/>
              <w:jc w:val="center"/>
              <w:rPr>
                <w:rFonts w:ascii="宋体" w:hAnsi="宋体" w:cs="宋体"/>
                <w:color w:val="auto"/>
                <w:sz w:val="24"/>
                <w:highlight w:val="none"/>
              </w:rPr>
            </w:pPr>
          </w:p>
        </w:tc>
      </w:tr>
      <w:tr w14:paraId="4F3C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2AB79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62B374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29269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46FF09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4A7E36E">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17AE929">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39C08AA">
            <w:pPr>
              <w:spacing w:line="360" w:lineRule="auto"/>
              <w:jc w:val="center"/>
              <w:rPr>
                <w:rFonts w:ascii="宋体" w:hAnsi="宋体" w:cs="宋体"/>
                <w:color w:val="auto"/>
                <w:sz w:val="24"/>
                <w:highlight w:val="none"/>
              </w:rPr>
            </w:pPr>
          </w:p>
        </w:tc>
      </w:tr>
    </w:tbl>
    <w:p w14:paraId="1C6E34F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68480DD">
      <w:pPr>
        <w:jc w:val="center"/>
        <w:rPr>
          <w:rFonts w:ascii="宋体" w:hAnsi="宋体" w:cs="宋体"/>
          <w:b/>
          <w:color w:val="auto"/>
          <w:kern w:val="0"/>
          <w:sz w:val="32"/>
          <w:szCs w:val="32"/>
          <w:highlight w:val="none"/>
        </w:rPr>
      </w:pPr>
    </w:p>
    <w:p w14:paraId="58DD333B">
      <w:pPr>
        <w:jc w:val="center"/>
        <w:rPr>
          <w:rFonts w:ascii="宋体" w:hAnsi="宋体" w:cs="宋体"/>
          <w:b/>
          <w:color w:val="auto"/>
          <w:kern w:val="0"/>
          <w:sz w:val="32"/>
          <w:szCs w:val="32"/>
          <w:highlight w:val="none"/>
        </w:rPr>
      </w:pPr>
    </w:p>
    <w:p w14:paraId="62BABA9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F73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E3CC512">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14:paraId="24FA9694">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14:paraId="43F65E44">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14:paraId="0507A5C8">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77E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7448F6A">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14:paraId="50167D8B">
            <w:pPr>
              <w:jc w:val="center"/>
              <w:rPr>
                <w:rFonts w:ascii="宋体" w:hAnsi="宋体" w:cs="宋体"/>
                <w:b/>
                <w:color w:val="auto"/>
                <w:kern w:val="0"/>
                <w:sz w:val="32"/>
                <w:szCs w:val="32"/>
                <w:highlight w:val="none"/>
              </w:rPr>
            </w:pPr>
          </w:p>
        </w:tc>
        <w:tc>
          <w:tcPr>
            <w:tcW w:w="3546" w:type="dxa"/>
            <w:vAlign w:val="top"/>
          </w:tcPr>
          <w:p w14:paraId="1E6C5F8D">
            <w:pPr>
              <w:jc w:val="center"/>
              <w:rPr>
                <w:rFonts w:ascii="宋体" w:hAnsi="宋体" w:cs="宋体"/>
                <w:b/>
                <w:color w:val="auto"/>
                <w:kern w:val="0"/>
                <w:sz w:val="32"/>
                <w:szCs w:val="32"/>
                <w:highlight w:val="none"/>
              </w:rPr>
            </w:pPr>
          </w:p>
        </w:tc>
        <w:tc>
          <w:tcPr>
            <w:tcW w:w="1276" w:type="dxa"/>
            <w:vAlign w:val="top"/>
          </w:tcPr>
          <w:p w14:paraId="49C626EC">
            <w:pPr>
              <w:jc w:val="center"/>
              <w:rPr>
                <w:rFonts w:ascii="宋体" w:hAnsi="宋体" w:cs="宋体"/>
                <w:b/>
                <w:color w:val="auto"/>
                <w:kern w:val="0"/>
                <w:sz w:val="32"/>
                <w:szCs w:val="32"/>
                <w:highlight w:val="none"/>
              </w:rPr>
            </w:pPr>
          </w:p>
        </w:tc>
      </w:tr>
      <w:tr w14:paraId="2E00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236ED42">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14:paraId="467072CC">
            <w:pPr>
              <w:jc w:val="center"/>
              <w:rPr>
                <w:rFonts w:ascii="宋体" w:hAnsi="宋体" w:cs="宋体"/>
                <w:b/>
                <w:color w:val="auto"/>
                <w:kern w:val="0"/>
                <w:sz w:val="32"/>
                <w:szCs w:val="32"/>
                <w:highlight w:val="none"/>
              </w:rPr>
            </w:pPr>
          </w:p>
        </w:tc>
        <w:tc>
          <w:tcPr>
            <w:tcW w:w="3546" w:type="dxa"/>
            <w:vAlign w:val="top"/>
          </w:tcPr>
          <w:p w14:paraId="39C95210">
            <w:pPr>
              <w:jc w:val="center"/>
              <w:rPr>
                <w:rFonts w:ascii="宋体" w:hAnsi="宋体" w:cs="宋体"/>
                <w:b/>
                <w:color w:val="auto"/>
                <w:kern w:val="0"/>
                <w:sz w:val="32"/>
                <w:szCs w:val="32"/>
                <w:highlight w:val="none"/>
              </w:rPr>
            </w:pPr>
          </w:p>
        </w:tc>
        <w:tc>
          <w:tcPr>
            <w:tcW w:w="1276" w:type="dxa"/>
            <w:vAlign w:val="top"/>
          </w:tcPr>
          <w:p w14:paraId="190A74D4">
            <w:pPr>
              <w:jc w:val="center"/>
              <w:rPr>
                <w:rFonts w:ascii="宋体" w:hAnsi="宋体" w:cs="宋体"/>
                <w:b/>
                <w:color w:val="auto"/>
                <w:kern w:val="0"/>
                <w:sz w:val="32"/>
                <w:szCs w:val="32"/>
                <w:highlight w:val="none"/>
              </w:rPr>
            </w:pPr>
          </w:p>
        </w:tc>
      </w:tr>
      <w:tr w14:paraId="302A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F9E93B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14:paraId="0100EE1D">
            <w:pPr>
              <w:jc w:val="center"/>
              <w:rPr>
                <w:rFonts w:ascii="宋体" w:hAnsi="宋体" w:cs="宋体"/>
                <w:b/>
                <w:color w:val="auto"/>
                <w:kern w:val="0"/>
                <w:sz w:val="32"/>
                <w:szCs w:val="32"/>
                <w:highlight w:val="none"/>
              </w:rPr>
            </w:pPr>
          </w:p>
        </w:tc>
        <w:tc>
          <w:tcPr>
            <w:tcW w:w="3546" w:type="dxa"/>
            <w:vAlign w:val="top"/>
          </w:tcPr>
          <w:p w14:paraId="40986682">
            <w:pPr>
              <w:jc w:val="center"/>
              <w:rPr>
                <w:rFonts w:ascii="宋体" w:hAnsi="宋体" w:cs="宋体"/>
                <w:b/>
                <w:color w:val="auto"/>
                <w:kern w:val="0"/>
                <w:sz w:val="32"/>
                <w:szCs w:val="32"/>
                <w:highlight w:val="none"/>
              </w:rPr>
            </w:pPr>
          </w:p>
        </w:tc>
        <w:tc>
          <w:tcPr>
            <w:tcW w:w="1276" w:type="dxa"/>
            <w:vAlign w:val="top"/>
          </w:tcPr>
          <w:p w14:paraId="762E764C">
            <w:pPr>
              <w:jc w:val="center"/>
              <w:rPr>
                <w:rFonts w:ascii="宋体" w:hAnsi="宋体" w:cs="宋体"/>
                <w:b/>
                <w:color w:val="auto"/>
                <w:kern w:val="0"/>
                <w:sz w:val="32"/>
                <w:szCs w:val="32"/>
                <w:highlight w:val="none"/>
              </w:rPr>
            </w:pPr>
          </w:p>
        </w:tc>
      </w:tr>
    </w:tbl>
    <w:p w14:paraId="6B74C419">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BFAE987">
      <w:pPr>
        <w:jc w:val="center"/>
        <w:rPr>
          <w:rFonts w:ascii="宋体" w:hAnsi="宋体" w:cs="宋体"/>
          <w:b/>
          <w:color w:val="auto"/>
          <w:kern w:val="0"/>
          <w:sz w:val="32"/>
          <w:szCs w:val="32"/>
          <w:highlight w:val="none"/>
        </w:rPr>
      </w:pPr>
    </w:p>
    <w:p w14:paraId="7CE69EC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06D127B">
      <w:pPr>
        <w:ind w:firstLine="1911" w:firstLineChars="595"/>
        <w:rPr>
          <w:rFonts w:ascii="宋体" w:hAnsi="宋体" w:cs="宋体"/>
          <w:b/>
          <w:bCs/>
          <w:color w:val="auto"/>
          <w:sz w:val="32"/>
          <w:szCs w:val="32"/>
          <w:highlight w:val="none"/>
        </w:rPr>
      </w:pPr>
    </w:p>
    <w:p w14:paraId="721110E6">
      <w:pPr>
        <w:ind w:firstLine="1911" w:firstLineChars="595"/>
        <w:rPr>
          <w:rFonts w:ascii="宋体" w:hAnsi="宋体" w:cs="宋体"/>
          <w:b/>
          <w:bCs/>
          <w:color w:val="auto"/>
          <w:sz w:val="32"/>
          <w:szCs w:val="32"/>
          <w:highlight w:val="none"/>
        </w:rPr>
      </w:pPr>
    </w:p>
    <w:p w14:paraId="7D524408">
      <w:pPr>
        <w:ind w:firstLine="1911" w:firstLineChars="595"/>
        <w:rPr>
          <w:rFonts w:ascii="宋体" w:hAnsi="宋体" w:cs="宋体"/>
          <w:b/>
          <w:bCs/>
          <w:color w:val="auto"/>
          <w:sz w:val="32"/>
          <w:szCs w:val="32"/>
          <w:highlight w:val="none"/>
        </w:rPr>
      </w:pPr>
    </w:p>
    <w:p w14:paraId="25513165">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D862C0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2DD89E4">
      <w:pPr>
        <w:snapToGrid w:val="0"/>
        <w:spacing w:line="360" w:lineRule="auto"/>
        <w:rPr>
          <w:rFonts w:ascii="宋体" w:hAnsi="宋体" w:cs="宋体"/>
          <w:color w:val="auto"/>
          <w:sz w:val="24"/>
          <w:highlight w:val="none"/>
        </w:rPr>
      </w:pPr>
    </w:p>
    <w:p w14:paraId="2120CBA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杭州市余杭区余杭街道社区卫生服务中心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089D969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877C9B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82B884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D3C574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37EFAE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0341EA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80F6EB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40D458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8B8CC1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F2D600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53430D6">
      <w:pPr>
        <w:autoSpaceDE w:val="0"/>
        <w:autoSpaceDN w:val="0"/>
        <w:spacing w:line="360" w:lineRule="auto"/>
        <w:ind w:left="2"/>
        <w:jc w:val="left"/>
        <w:rPr>
          <w:rFonts w:ascii="宋体" w:hAnsi="宋体" w:cs="宋体"/>
          <w:color w:val="auto"/>
          <w:kern w:val="0"/>
          <w:sz w:val="24"/>
          <w:highlight w:val="none"/>
          <w:lang w:val="zh-CN"/>
        </w:rPr>
      </w:pPr>
    </w:p>
    <w:p w14:paraId="35DB6EB8">
      <w:pPr>
        <w:autoSpaceDE w:val="0"/>
        <w:autoSpaceDN w:val="0"/>
        <w:spacing w:line="360" w:lineRule="auto"/>
        <w:ind w:left="2"/>
        <w:jc w:val="left"/>
        <w:rPr>
          <w:rFonts w:ascii="宋体" w:hAnsi="宋体" w:cs="宋体"/>
          <w:color w:val="auto"/>
          <w:kern w:val="0"/>
          <w:sz w:val="24"/>
          <w:highlight w:val="none"/>
          <w:lang w:val="zh-CN"/>
        </w:rPr>
      </w:pPr>
    </w:p>
    <w:p w14:paraId="31324F9A">
      <w:pPr>
        <w:autoSpaceDE w:val="0"/>
        <w:autoSpaceDN w:val="0"/>
        <w:spacing w:line="360" w:lineRule="auto"/>
        <w:ind w:left="2"/>
        <w:jc w:val="left"/>
        <w:rPr>
          <w:rFonts w:ascii="宋体" w:hAnsi="宋体" w:cs="宋体"/>
          <w:color w:val="auto"/>
          <w:kern w:val="0"/>
          <w:sz w:val="24"/>
          <w:highlight w:val="none"/>
          <w:lang w:val="zh-CN"/>
        </w:rPr>
      </w:pPr>
    </w:p>
    <w:p w14:paraId="29BAC064">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522735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3F6315B">
      <w:pPr>
        <w:spacing w:line="360" w:lineRule="auto"/>
        <w:jc w:val="center"/>
        <w:rPr>
          <w:rFonts w:ascii="宋体" w:hAnsi="宋体" w:cs="宋体"/>
          <w:b/>
          <w:bCs/>
          <w:color w:val="auto"/>
          <w:sz w:val="24"/>
          <w:highlight w:val="none"/>
        </w:rPr>
      </w:pPr>
    </w:p>
    <w:p w14:paraId="23B20A9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C5516F">
      <w:pPr>
        <w:spacing w:line="360" w:lineRule="auto"/>
        <w:jc w:val="center"/>
        <w:rPr>
          <w:rFonts w:ascii="宋体" w:hAnsi="宋体" w:cs="宋体"/>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59AF0D9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C17417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7E68F0">
      <w:pPr>
        <w:spacing w:line="360" w:lineRule="auto"/>
        <w:jc w:val="center"/>
        <w:outlineLvl w:val="0"/>
        <w:rPr>
          <w:rFonts w:ascii="宋体" w:hAnsi="宋体" w:cs="宋体"/>
          <w:b/>
          <w:color w:val="auto"/>
          <w:kern w:val="0"/>
          <w:sz w:val="36"/>
          <w:szCs w:val="36"/>
          <w:highlight w:val="none"/>
        </w:rPr>
      </w:pPr>
    </w:p>
    <w:p w14:paraId="3CF379F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6C3944E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3CF504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6616845F">
      <w:pPr>
        <w:snapToGrid w:val="0"/>
        <w:spacing w:line="360" w:lineRule="auto"/>
        <w:ind w:right="480"/>
        <w:jc w:val="center"/>
        <w:rPr>
          <w:rFonts w:ascii="宋体" w:hAnsi="宋体" w:cs="宋体"/>
          <w:b/>
          <w:color w:val="auto"/>
          <w:kern w:val="0"/>
          <w:sz w:val="32"/>
          <w:szCs w:val="32"/>
          <w:highlight w:val="none"/>
        </w:rPr>
      </w:pPr>
    </w:p>
    <w:p w14:paraId="7E9A752C">
      <w:pPr>
        <w:snapToGrid w:val="0"/>
        <w:spacing w:line="360" w:lineRule="auto"/>
        <w:ind w:right="480"/>
        <w:jc w:val="center"/>
        <w:rPr>
          <w:rFonts w:ascii="宋体" w:hAnsi="宋体" w:cs="宋体"/>
          <w:b/>
          <w:color w:val="auto"/>
          <w:kern w:val="0"/>
          <w:sz w:val="32"/>
          <w:szCs w:val="32"/>
          <w:highlight w:val="none"/>
        </w:rPr>
      </w:pPr>
    </w:p>
    <w:p w14:paraId="7D3D58C3">
      <w:pPr>
        <w:snapToGrid w:val="0"/>
        <w:spacing w:line="360" w:lineRule="auto"/>
        <w:ind w:right="480"/>
        <w:jc w:val="center"/>
        <w:rPr>
          <w:rFonts w:ascii="宋体" w:hAnsi="宋体" w:cs="宋体"/>
          <w:b/>
          <w:color w:val="auto"/>
          <w:kern w:val="0"/>
          <w:sz w:val="32"/>
          <w:szCs w:val="32"/>
          <w:highlight w:val="none"/>
        </w:rPr>
      </w:pPr>
    </w:p>
    <w:p w14:paraId="76880FC6">
      <w:pPr>
        <w:snapToGrid w:val="0"/>
        <w:spacing w:line="360" w:lineRule="auto"/>
        <w:ind w:right="480"/>
        <w:jc w:val="center"/>
        <w:rPr>
          <w:rFonts w:ascii="宋体" w:hAnsi="宋体" w:cs="宋体"/>
          <w:b/>
          <w:color w:val="auto"/>
          <w:kern w:val="0"/>
          <w:sz w:val="32"/>
          <w:szCs w:val="32"/>
          <w:highlight w:val="none"/>
        </w:rPr>
      </w:pPr>
    </w:p>
    <w:p w14:paraId="27A93775">
      <w:pPr>
        <w:snapToGrid w:val="0"/>
        <w:spacing w:line="360" w:lineRule="auto"/>
        <w:ind w:right="480"/>
        <w:jc w:val="center"/>
        <w:rPr>
          <w:rFonts w:ascii="宋体" w:hAnsi="宋体" w:cs="宋体"/>
          <w:b/>
          <w:color w:val="auto"/>
          <w:kern w:val="0"/>
          <w:sz w:val="32"/>
          <w:szCs w:val="32"/>
          <w:highlight w:val="none"/>
        </w:rPr>
      </w:pPr>
    </w:p>
    <w:p w14:paraId="03CBB53B">
      <w:pPr>
        <w:snapToGrid w:val="0"/>
        <w:spacing w:line="360" w:lineRule="auto"/>
        <w:ind w:right="480"/>
        <w:jc w:val="center"/>
        <w:rPr>
          <w:rFonts w:ascii="宋体" w:hAnsi="宋体" w:cs="宋体"/>
          <w:b/>
          <w:color w:val="auto"/>
          <w:kern w:val="0"/>
          <w:sz w:val="32"/>
          <w:szCs w:val="32"/>
          <w:highlight w:val="none"/>
        </w:rPr>
      </w:pPr>
    </w:p>
    <w:p w14:paraId="20A9FBC1">
      <w:pPr>
        <w:snapToGrid w:val="0"/>
        <w:spacing w:line="360" w:lineRule="auto"/>
        <w:ind w:right="480"/>
        <w:jc w:val="center"/>
        <w:rPr>
          <w:rFonts w:ascii="宋体" w:hAnsi="宋体" w:cs="宋体"/>
          <w:b/>
          <w:color w:val="auto"/>
          <w:kern w:val="0"/>
          <w:sz w:val="32"/>
          <w:szCs w:val="32"/>
          <w:highlight w:val="none"/>
        </w:rPr>
      </w:pPr>
    </w:p>
    <w:p w14:paraId="4B91E1D0">
      <w:pPr>
        <w:snapToGrid w:val="0"/>
        <w:spacing w:line="360" w:lineRule="auto"/>
        <w:ind w:right="480"/>
        <w:jc w:val="center"/>
        <w:rPr>
          <w:rFonts w:ascii="宋体" w:hAnsi="宋体" w:cs="宋体"/>
          <w:b/>
          <w:color w:val="auto"/>
          <w:kern w:val="0"/>
          <w:sz w:val="32"/>
          <w:szCs w:val="32"/>
          <w:highlight w:val="none"/>
        </w:rPr>
      </w:pPr>
    </w:p>
    <w:p w14:paraId="5AC9C504">
      <w:pPr>
        <w:snapToGrid w:val="0"/>
        <w:spacing w:line="360" w:lineRule="auto"/>
        <w:ind w:right="480"/>
        <w:jc w:val="center"/>
        <w:rPr>
          <w:rFonts w:ascii="宋体" w:hAnsi="宋体" w:cs="宋体"/>
          <w:b/>
          <w:color w:val="auto"/>
          <w:kern w:val="0"/>
          <w:sz w:val="32"/>
          <w:szCs w:val="32"/>
          <w:highlight w:val="none"/>
        </w:rPr>
      </w:pPr>
    </w:p>
    <w:p w14:paraId="4DDFA539">
      <w:pPr>
        <w:snapToGrid w:val="0"/>
        <w:spacing w:line="360" w:lineRule="auto"/>
        <w:ind w:right="480"/>
        <w:jc w:val="center"/>
        <w:rPr>
          <w:rFonts w:ascii="宋体" w:hAnsi="宋体" w:cs="宋体"/>
          <w:b/>
          <w:color w:val="auto"/>
          <w:kern w:val="0"/>
          <w:sz w:val="32"/>
          <w:szCs w:val="32"/>
          <w:highlight w:val="none"/>
        </w:rPr>
      </w:pPr>
    </w:p>
    <w:p w14:paraId="6FD4767D">
      <w:pPr>
        <w:snapToGrid w:val="0"/>
        <w:spacing w:line="360" w:lineRule="auto"/>
        <w:ind w:right="480"/>
        <w:jc w:val="center"/>
        <w:rPr>
          <w:rFonts w:ascii="宋体" w:hAnsi="宋体" w:cs="宋体"/>
          <w:b/>
          <w:color w:val="auto"/>
          <w:kern w:val="0"/>
          <w:sz w:val="32"/>
          <w:szCs w:val="32"/>
          <w:highlight w:val="none"/>
        </w:rPr>
      </w:pPr>
    </w:p>
    <w:p w14:paraId="2433E9C1">
      <w:pPr>
        <w:snapToGrid w:val="0"/>
        <w:spacing w:line="360" w:lineRule="auto"/>
        <w:ind w:right="480"/>
        <w:jc w:val="center"/>
        <w:rPr>
          <w:rFonts w:ascii="宋体" w:hAnsi="宋体" w:cs="宋体"/>
          <w:b/>
          <w:color w:val="auto"/>
          <w:kern w:val="0"/>
          <w:sz w:val="32"/>
          <w:szCs w:val="32"/>
          <w:highlight w:val="none"/>
        </w:rPr>
      </w:pPr>
    </w:p>
    <w:p w14:paraId="5225A104">
      <w:pPr>
        <w:snapToGrid w:val="0"/>
        <w:spacing w:line="360" w:lineRule="auto"/>
        <w:ind w:right="480"/>
        <w:jc w:val="center"/>
        <w:rPr>
          <w:rFonts w:ascii="宋体" w:hAnsi="宋体" w:cs="宋体"/>
          <w:b/>
          <w:color w:val="auto"/>
          <w:kern w:val="0"/>
          <w:sz w:val="32"/>
          <w:szCs w:val="32"/>
          <w:highlight w:val="none"/>
        </w:rPr>
      </w:pPr>
    </w:p>
    <w:p w14:paraId="1880141A">
      <w:pPr>
        <w:snapToGrid w:val="0"/>
        <w:spacing w:line="360" w:lineRule="auto"/>
        <w:ind w:right="480"/>
        <w:jc w:val="center"/>
        <w:rPr>
          <w:rFonts w:ascii="宋体" w:hAnsi="宋体" w:cs="宋体"/>
          <w:b/>
          <w:color w:val="auto"/>
          <w:kern w:val="0"/>
          <w:sz w:val="32"/>
          <w:szCs w:val="32"/>
          <w:highlight w:val="none"/>
        </w:rPr>
        <w:sectPr>
          <w:headerReference r:id="rId15" w:type="first"/>
          <w:footerReference r:id="rId17" w:type="first"/>
          <w:headerReference r:id="rId14" w:type="default"/>
          <w:footerReference r:id="rId16" w:type="default"/>
          <w:pgSz w:w="11906" w:h="16838"/>
          <w:pgMar w:top="1276" w:right="1417" w:bottom="1247" w:left="1417" w:header="851" w:footer="992" w:gutter="0"/>
          <w:cols w:space="0" w:num="1"/>
          <w:titlePg/>
          <w:rtlGutter w:val="0"/>
          <w:docGrid w:linePitch="312" w:charSpace="0"/>
        </w:sectPr>
      </w:pPr>
    </w:p>
    <w:p w14:paraId="36379EF9">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59FE21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杭州市余杭区余杭街道社区卫生服务中心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279AA93F">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 xml:space="preserve">杭州市余杭区余杭街道社区卫生服务中心物业服务采购项目   </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HZYHZFCG-2025-008</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C73873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EDD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CF794A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5F7C19B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14:paraId="38C5AD36">
            <w:pPr>
              <w:spacing w:line="360" w:lineRule="auto"/>
              <w:jc w:val="center"/>
              <w:rPr>
                <w:rFonts w:ascii="宋体" w:hAnsi="宋体" w:cs="宋体"/>
                <w:b/>
                <w:color w:val="auto"/>
                <w:sz w:val="24"/>
                <w:highlight w:val="none"/>
              </w:rPr>
            </w:pPr>
          </w:p>
          <w:p w14:paraId="57D5F5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7041F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7A9CB07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385440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14:paraId="21FD67CC">
            <w:pPr>
              <w:spacing w:line="360" w:lineRule="auto"/>
              <w:jc w:val="center"/>
              <w:rPr>
                <w:rFonts w:ascii="宋体" w:hAnsi="宋体" w:cs="宋体"/>
                <w:b/>
                <w:color w:val="auto"/>
                <w:sz w:val="24"/>
                <w:highlight w:val="none"/>
              </w:rPr>
            </w:pPr>
          </w:p>
          <w:p w14:paraId="4BA7AED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68055574">
            <w:pPr>
              <w:spacing w:line="360" w:lineRule="auto"/>
              <w:jc w:val="center"/>
              <w:rPr>
                <w:rFonts w:ascii="宋体" w:hAnsi="宋体" w:cs="宋体"/>
                <w:b/>
                <w:color w:val="auto"/>
                <w:sz w:val="24"/>
                <w:highlight w:val="none"/>
              </w:rPr>
            </w:pPr>
          </w:p>
          <w:p w14:paraId="2B4ED9B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93EC715">
            <w:pPr>
              <w:spacing w:line="360" w:lineRule="auto"/>
              <w:jc w:val="center"/>
              <w:rPr>
                <w:rFonts w:ascii="宋体" w:hAnsi="宋体" w:cs="宋体"/>
                <w:b/>
                <w:color w:val="auto"/>
                <w:sz w:val="24"/>
                <w:highlight w:val="none"/>
              </w:rPr>
            </w:pPr>
          </w:p>
        </w:tc>
      </w:tr>
      <w:tr w14:paraId="6318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BE7145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35F9961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6D967F99">
            <w:pPr>
              <w:snapToGrid w:val="0"/>
              <w:spacing w:line="360" w:lineRule="auto"/>
              <w:jc w:val="center"/>
              <w:rPr>
                <w:rFonts w:ascii="宋体" w:hAnsi="宋体" w:cs="宋体"/>
                <w:color w:val="auto"/>
                <w:sz w:val="24"/>
                <w:highlight w:val="none"/>
              </w:rPr>
            </w:pPr>
          </w:p>
        </w:tc>
        <w:tc>
          <w:tcPr>
            <w:tcW w:w="2410" w:type="dxa"/>
            <w:vAlign w:val="center"/>
          </w:tcPr>
          <w:p w14:paraId="441FC100">
            <w:pPr>
              <w:snapToGrid w:val="0"/>
              <w:spacing w:line="360" w:lineRule="auto"/>
              <w:jc w:val="center"/>
              <w:rPr>
                <w:rFonts w:ascii="宋体" w:hAnsi="宋体" w:cs="宋体"/>
                <w:color w:val="auto"/>
                <w:sz w:val="24"/>
                <w:highlight w:val="none"/>
              </w:rPr>
            </w:pPr>
          </w:p>
        </w:tc>
        <w:tc>
          <w:tcPr>
            <w:tcW w:w="2268" w:type="dxa"/>
            <w:vAlign w:val="center"/>
          </w:tcPr>
          <w:p w14:paraId="484CA035">
            <w:pPr>
              <w:snapToGrid w:val="0"/>
              <w:spacing w:line="360" w:lineRule="auto"/>
              <w:jc w:val="center"/>
              <w:rPr>
                <w:rFonts w:ascii="宋体" w:hAnsi="宋体" w:cs="宋体"/>
                <w:color w:val="auto"/>
                <w:sz w:val="24"/>
                <w:highlight w:val="none"/>
              </w:rPr>
            </w:pPr>
          </w:p>
        </w:tc>
        <w:tc>
          <w:tcPr>
            <w:tcW w:w="2126" w:type="dxa"/>
            <w:vAlign w:val="center"/>
          </w:tcPr>
          <w:p w14:paraId="327DCBA6">
            <w:pPr>
              <w:spacing w:line="360" w:lineRule="auto"/>
              <w:jc w:val="center"/>
              <w:rPr>
                <w:rFonts w:ascii="宋体" w:hAnsi="宋体" w:cs="宋体"/>
                <w:color w:val="auto"/>
                <w:sz w:val="24"/>
                <w:highlight w:val="none"/>
              </w:rPr>
            </w:pPr>
          </w:p>
        </w:tc>
        <w:tc>
          <w:tcPr>
            <w:tcW w:w="2127" w:type="dxa"/>
            <w:vAlign w:val="top"/>
          </w:tcPr>
          <w:p w14:paraId="02A0BF07">
            <w:pPr>
              <w:spacing w:line="360" w:lineRule="auto"/>
              <w:jc w:val="center"/>
              <w:rPr>
                <w:rFonts w:ascii="宋体" w:hAnsi="宋体" w:cs="宋体"/>
                <w:color w:val="auto"/>
                <w:sz w:val="24"/>
                <w:highlight w:val="none"/>
              </w:rPr>
            </w:pPr>
          </w:p>
        </w:tc>
        <w:tc>
          <w:tcPr>
            <w:tcW w:w="2126" w:type="dxa"/>
            <w:vAlign w:val="center"/>
          </w:tcPr>
          <w:p w14:paraId="5EA9CB4C">
            <w:pPr>
              <w:spacing w:line="360" w:lineRule="auto"/>
              <w:jc w:val="center"/>
              <w:rPr>
                <w:rFonts w:ascii="宋体" w:hAnsi="宋体" w:cs="宋体"/>
                <w:color w:val="auto"/>
                <w:sz w:val="24"/>
                <w:highlight w:val="none"/>
              </w:rPr>
            </w:pPr>
          </w:p>
        </w:tc>
      </w:tr>
      <w:tr w14:paraId="2CAC3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A2CAD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65E9A5F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3EEDAE66">
            <w:pPr>
              <w:snapToGrid w:val="0"/>
              <w:spacing w:line="360" w:lineRule="auto"/>
              <w:jc w:val="center"/>
              <w:rPr>
                <w:rFonts w:ascii="宋体" w:hAnsi="宋体" w:cs="宋体"/>
                <w:color w:val="auto"/>
                <w:sz w:val="24"/>
                <w:highlight w:val="none"/>
              </w:rPr>
            </w:pPr>
          </w:p>
        </w:tc>
        <w:tc>
          <w:tcPr>
            <w:tcW w:w="2410" w:type="dxa"/>
            <w:vAlign w:val="center"/>
          </w:tcPr>
          <w:p w14:paraId="74411AE9">
            <w:pPr>
              <w:snapToGrid w:val="0"/>
              <w:spacing w:line="360" w:lineRule="auto"/>
              <w:jc w:val="center"/>
              <w:rPr>
                <w:rFonts w:ascii="宋体" w:hAnsi="宋体" w:cs="宋体"/>
                <w:color w:val="auto"/>
                <w:sz w:val="24"/>
                <w:highlight w:val="none"/>
              </w:rPr>
            </w:pPr>
          </w:p>
        </w:tc>
        <w:tc>
          <w:tcPr>
            <w:tcW w:w="2268" w:type="dxa"/>
            <w:vAlign w:val="center"/>
          </w:tcPr>
          <w:p w14:paraId="6542746A">
            <w:pPr>
              <w:snapToGrid w:val="0"/>
              <w:spacing w:line="360" w:lineRule="auto"/>
              <w:jc w:val="center"/>
              <w:rPr>
                <w:rFonts w:ascii="宋体" w:hAnsi="宋体" w:cs="宋体"/>
                <w:color w:val="auto"/>
                <w:sz w:val="24"/>
                <w:highlight w:val="none"/>
              </w:rPr>
            </w:pPr>
          </w:p>
        </w:tc>
        <w:tc>
          <w:tcPr>
            <w:tcW w:w="2126" w:type="dxa"/>
            <w:vAlign w:val="center"/>
          </w:tcPr>
          <w:p w14:paraId="6D531C12">
            <w:pPr>
              <w:spacing w:line="360" w:lineRule="auto"/>
              <w:jc w:val="center"/>
              <w:rPr>
                <w:rFonts w:ascii="宋体" w:hAnsi="宋体" w:cs="宋体"/>
                <w:color w:val="auto"/>
                <w:sz w:val="24"/>
                <w:highlight w:val="none"/>
              </w:rPr>
            </w:pPr>
          </w:p>
        </w:tc>
        <w:tc>
          <w:tcPr>
            <w:tcW w:w="2127" w:type="dxa"/>
            <w:vAlign w:val="top"/>
          </w:tcPr>
          <w:p w14:paraId="4D6804E6">
            <w:pPr>
              <w:spacing w:line="360" w:lineRule="auto"/>
              <w:jc w:val="center"/>
              <w:rPr>
                <w:rFonts w:ascii="宋体" w:hAnsi="宋体" w:cs="宋体"/>
                <w:color w:val="auto"/>
                <w:sz w:val="24"/>
                <w:highlight w:val="none"/>
              </w:rPr>
            </w:pPr>
          </w:p>
        </w:tc>
        <w:tc>
          <w:tcPr>
            <w:tcW w:w="2126" w:type="dxa"/>
            <w:vAlign w:val="center"/>
          </w:tcPr>
          <w:p w14:paraId="08AB5C8D">
            <w:pPr>
              <w:spacing w:line="360" w:lineRule="auto"/>
              <w:jc w:val="center"/>
              <w:rPr>
                <w:rFonts w:ascii="宋体" w:hAnsi="宋体" w:cs="宋体"/>
                <w:color w:val="auto"/>
                <w:sz w:val="24"/>
                <w:highlight w:val="none"/>
              </w:rPr>
            </w:pPr>
          </w:p>
        </w:tc>
      </w:tr>
      <w:tr w14:paraId="50CB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3EADBB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760A3915">
            <w:pPr>
              <w:snapToGrid w:val="0"/>
              <w:spacing w:line="360" w:lineRule="auto"/>
              <w:jc w:val="center"/>
              <w:rPr>
                <w:rFonts w:ascii="宋体" w:hAnsi="宋体" w:cs="宋体"/>
                <w:color w:val="auto"/>
                <w:sz w:val="24"/>
                <w:highlight w:val="none"/>
              </w:rPr>
            </w:pPr>
          </w:p>
        </w:tc>
        <w:tc>
          <w:tcPr>
            <w:tcW w:w="2268" w:type="dxa"/>
            <w:vAlign w:val="center"/>
          </w:tcPr>
          <w:p w14:paraId="1866BAF8">
            <w:pPr>
              <w:snapToGrid w:val="0"/>
              <w:spacing w:line="360" w:lineRule="auto"/>
              <w:jc w:val="center"/>
              <w:rPr>
                <w:rFonts w:ascii="宋体" w:hAnsi="宋体" w:cs="宋体"/>
                <w:color w:val="auto"/>
                <w:sz w:val="24"/>
                <w:highlight w:val="none"/>
              </w:rPr>
            </w:pPr>
          </w:p>
        </w:tc>
        <w:tc>
          <w:tcPr>
            <w:tcW w:w="2410" w:type="dxa"/>
            <w:vAlign w:val="center"/>
          </w:tcPr>
          <w:p w14:paraId="262DF69C">
            <w:pPr>
              <w:snapToGrid w:val="0"/>
              <w:spacing w:line="360" w:lineRule="auto"/>
              <w:jc w:val="center"/>
              <w:rPr>
                <w:rFonts w:ascii="宋体" w:hAnsi="宋体" w:cs="宋体"/>
                <w:color w:val="auto"/>
                <w:sz w:val="24"/>
                <w:highlight w:val="none"/>
              </w:rPr>
            </w:pPr>
          </w:p>
        </w:tc>
        <w:tc>
          <w:tcPr>
            <w:tcW w:w="2268" w:type="dxa"/>
            <w:vAlign w:val="center"/>
          </w:tcPr>
          <w:p w14:paraId="2AAD0C53">
            <w:pPr>
              <w:snapToGrid w:val="0"/>
              <w:spacing w:line="360" w:lineRule="auto"/>
              <w:jc w:val="center"/>
              <w:rPr>
                <w:rFonts w:ascii="宋体" w:hAnsi="宋体" w:cs="宋体"/>
                <w:color w:val="auto"/>
                <w:sz w:val="24"/>
                <w:highlight w:val="none"/>
              </w:rPr>
            </w:pPr>
          </w:p>
        </w:tc>
        <w:tc>
          <w:tcPr>
            <w:tcW w:w="2126" w:type="dxa"/>
            <w:vAlign w:val="center"/>
          </w:tcPr>
          <w:p w14:paraId="19FBA984">
            <w:pPr>
              <w:spacing w:line="360" w:lineRule="auto"/>
              <w:jc w:val="center"/>
              <w:rPr>
                <w:rFonts w:ascii="宋体" w:hAnsi="宋体" w:cs="宋体"/>
                <w:color w:val="auto"/>
                <w:sz w:val="24"/>
                <w:highlight w:val="none"/>
              </w:rPr>
            </w:pPr>
          </w:p>
        </w:tc>
        <w:tc>
          <w:tcPr>
            <w:tcW w:w="2127" w:type="dxa"/>
            <w:vAlign w:val="top"/>
          </w:tcPr>
          <w:p w14:paraId="20875875">
            <w:pPr>
              <w:spacing w:line="360" w:lineRule="auto"/>
              <w:jc w:val="center"/>
              <w:rPr>
                <w:rFonts w:ascii="宋体" w:hAnsi="宋体" w:cs="宋体"/>
                <w:color w:val="auto"/>
                <w:sz w:val="24"/>
                <w:highlight w:val="none"/>
              </w:rPr>
            </w:pPr>
          </w:p>
        </w:tc>
        <w:tc>
          <w:tcPr>
            <w:tcW w:w="2126" w:type="dxa"/>
            <w:vAlign w:val="center"/>
          </w:tcPr>
          <w:p w14:paraId="02CFE9BD">
            <w:pPr>
              <w:spacing w:line="360" w:lineRule="auto"/>
              <w:jc w:val="center"/>
              <w:rPr>
                <w:rFonts w:ascii="宋体" w:hAnsi="宋体" w:cs="宋体"/>
                <w:color w:val="auto"/>
                <w:sz w:val="24"/>
                <w:highlight w:val="none"/>
              </w:rPr>
            </w:pPr>
          </w:p>
        </w:tc>
      </w:tr>
      <w:tr w14:paraId="5526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A43399D">
            <w:pPr>
              <w:spacing w:line="360" w:lineRule="auto"/>
              <w:jc w:val="center"/>
              <w:rPr>
                <w:rFonts w:ascii="宋体" w:hAnsi="宋体" w:cs="宋体"/>
                <w:color w:val="auto"/>
                <w:sz w:val="24"/>
                <w:highlight w:val="none"/>
              </w:rPr>
            </w:pPr>
          </w:p>
        </w:tc>
        <w:tc>
          <w:tcPr>
            <w:tcW w:w="992" w:type="dxa"/>
            <w:vAlign w:val="center"/>
          </w:tcPr>
          <w:p w14:paraId="4244DFEF">
            <w:pPr>
              <w:snapToGrid w:val="0"/>
              <w:spacing w:line="360" w:lineRule="auto"/>
              <w:jc w:val="center"/>
              <w:rPr>
                <w:rFonts w:ascii="宋体" w:hAnsi="宋体" w:cs="宋体"/>
                <w:color w:val="auto"/>
                <w:sz w:val="24"/>
                <w:highlight w:val="none"/>
              </w:rPr>
            </w:pPr>
          </w:p>
        </w:tc>
        <w:tc>
          <w:tcPr>
            <w:tcW w:w="2268" w:type="dxa"/>
            <w:vAlign w:val="center"/>
          </w:tcPr>
          <w:p w14:paraId="0852F979">
            <w:pPr>
              <w:snapToGrid w:val="0"/>
              <w:spacing w:line="360" w:lineRule="auto"/>
              <w:jc w:val="center"/>
              <w:rPr>
                <w:rFonts w:ascii="宋体" w:hAnsi="宋体" w:cs="宋体"/>
                <w:color w:val="auto"/>
                <w:sz w:val="24"/>
                <w:highlight w:val="none"/>
              </w:rPr>
            </w:pPr>
          </w:p>
        </w:tc>
        <w:tc>
          <w:tcPr>
            <w:tcW w:w="2410" w:type="dxa"/>
            <w:vAlign w:val="center"/>
          </w:tcPr>
          <w:p w14:paraId="6347CCC5">
            <w:pPr>
              <w:snapToGrid w:val="0"/>
              <w:spacing w:line="360" w:lineRule="auto"/>
              <w:jc w:val="center"/>
              <w:rPr>
                <w:rFonts w:ascii="宋体" w:hAnsi="宋体" w:cs="宋体"/>
                <w:color w:val="auto"/>
                <w:sz w:val="24"/>
                <w:highlight w:val="none"/>
              </w:rPr>
            </w:pPr>
          </w:p>
        </w:tc>
        <w:tc>
          <w:tcPr>
            <w:tcW w:w="2268" w:type="dxa"/>
            <w:vAlign w:val="center"/>
          </w:tcPr>
          <w:p w14:paraId="05A11D5D">
            <w:pPr>
              <w:snapToGrid w:val="0"/>
              <w:spacing w:line="360" w:lineRule="auto"/>
              <w:jc w:val="center"/>
              <w:rPr>
                <w:rFonts w:ascii="宋体" w:hAnsi="宋体" w:cs="宋体"/>
                <w:color w:val="auto"/>
                <w:sz w:val="24"/>
                <w:highlight w:val="none"/>
              </w:rPr>
            </w:pPr>
          </w:p>
        </w:tc>
        <w:tc>
          <w:tcPr>
            <w:tcW w:w="2126" w:type="dxa"/>
            <w:vAlign w:val="center"/>
          </w:tcPr>
          <w:p w14:paraId="5E630860">
            <w:pPr>
              <w:spacing w:line="360" w:lineRule="auto"/>
              <w:jc w:val="center"/>
              <w:rPr>
                <w:rFonts w:ascii="宋体" w:hAnsi="宋体" w:cs="宋体"/>
                <w:color w:val="auto"/>
                <w:sz w:val="24"/>
                <w:highlight w:val="none"/>
              </w:rPr>
            </w:pPr>
          </w:p>
        </w:tc>
        <w:tc>
          <w:tcPr>
            <w:tcW w:w="2127" w:type="dxa"/>
            <w:vAlign w:val="top"/>
          </w:tcPr>
          <w:p w14:paraId="20F904F2">
            <w:pPr>
              <w:spacing w:line="360" w:lineRule="auto"/>
              <w:jc w:val="center"/>
              <w:rPr>
                <w:rFonts w:ascii="宋体" w:hAnsi="宋体" w:cs="宋体"/>
                <w:color w:val="auto"/>
                <w:sz w:val="24"/>
                <w:highlight w:val="none"/>
              </w:rPr>
            </w:pPr>
          </w:p>
        </w:tc>
        <w:tc>
          <w:tcPr>
            <w:tcW w:w="2126" w:type="dxa"/>
            <w:vAlign w:val="center"/>
          </w:tcPr>
          <w:p w14:paraId="72BFA8D1">
            <w:pPr>
              <w:spacing w:line="360" w:lineRule="auto"/>
              <w:jc w:val="center"/>
              <w:rPr>
                <w:rFonts w:ascii="宋体" w:hAnsi="宋体" w:cs="宋体"/>
                <w:color w:val="auto"/>
                <w:sz w:val="24"/>
                <w:highlight w:val="none"/>
              </w:rPr>
            </w:pPr>
          </w:p>
        </w:tc>
      </w:tr>
      <w:tr w14:paraId="0EDC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13F1729">
            <w:pPr>
              <w:spacing w:line="360" w:lineRule="auto"/>
              <w:jc w:val="center"/>
              <w:rPr>
                <w:rFonts w:ascii="宋体" w:hAnsi="宋体" w:cs="宋体"/>
                <w:color w:val="auto"/>
                <w:sz w:val="24"/>
                <w:highlight w:val="none"/>
              </w:rPr>
            </w:pPr>
          </w:p>
        </w:tc>
        <w:tc>
          <w:tcPr>
            <w:tcW w:w="992" w:type="dxa"/>
            <w:vAlign w:val="center"/>
          </w:tcPr>
          <w:p w14:paraId="73BA92F7">
            <w:pPr>
              <w:snapToGrid w:val="0"/>
              <w:spacing w:line="360" w:lineRule="auto"/>
              <w:jc w:val="center"/>
              <w:rPr>
                <w:rFonts w:ascii="宋体" w:hAnsi="宋体" w:cs="宋体"/>
                <w:color w:val="auto"/>
                <w:sz w:val="24"/>
                <w:highlight w:val="none"/>
              </w:rPr>
            </w:pPr>
          </w:p>
        </w:tc>
        <w:tc>
          <w:tcPr>
            <w:tcW w:w="2268" w:type="dxa"/>
            <w:vAlign w:val="center"/>
          </w:tcPr>
          <w:p w14:paraId="12C24FB2">
            <w:pPr>
              <w:snapToGrid w:val="0"/>
              <w:spacing w:line="360" w:lineRule="auto"/>
              <w:jc w:val="center"/>
              <w:rPr>
                <w:rFonts w:ascii="宋体" w:hAnsi="宋体" w:cs="宋体"/>
                <w:color w:val="auto"/>
                <w:sz w:val="24"/>
                <w:highlight w:val="none"/>
              </w:rPr>
            </w:pPr>
          </w:p>
        </w:tc>
        <w:tc>
          <w:tcPr>
            <w:tcW w:w="2410" w:type="dxa"/>
            <w:vAlign w:val="center"/>
          </w:tcPr>
          <w:p w14:paraId="424DF117">
            <w:pPr>
              <w:snapToGrid w:val="0"/>
              <w:spacing w:line="360" w:lineRule="auto"/>
              <w:jc w:val="center"/>
              <w:rPr>
                <w:rFonts w:ascii="宋体" w:hAnsi="宋体" w:cs="宋体"/>
                <w:color w:val="auto"/>
                <w:sz w:val="24"/>
                <w:highlight w:val="none"/>
              </w:rPr>
            </w:pPr>
          </w:p>
        </w:tc>
        <w:tc>
          <w:tcPr>
            <w:tcW w:w="2268" w:type="dxa"/>
            <w:vAlign w:val="center"/>
          </w:tcPr>
          <w:p w14:paraId="1309CC8D">
            <w:pPr>
              <w:snapToGrid w:val="0"/>
              <w:spacing w:line="360" w:lineRule="auto"/>
              <w:jc w:val="center"/>
              <w:rPr>
                <w:rFonts w:ascii="宋体" w:hAnsi="宋体" w:cs="宋体"/>
                <w:color w:val="auto"/>
                <w:sz w:val="24"/>
                <w:highlight w:val="none"/>
              </w:rPr>
            </w:pPr>
          </w:p>
        </w:tc>
        <w:tc>
          <w:tcPr>
            <w:tcW w:w="2126" w:type="dxa"/>
            <w:vAlign w:val="center"/>
          </w:tcPr>
          <w:p w14:paraId="3D8B2CC6">
            <w:pPr>
              <w:spacing w:line="360" w:lineRule="auto"/>
              <w:jc w:val="center"/>
              <w:rPr>
                <w:rFonts w:ascii="宋体" w:hAnsi="宋体" w:cs="宋体"/>
                <w:color w:val="auto"/>
                <w:sz w:val="24"/>
                <w:highlight w:val="none"/>
              </w:rPr>
            </w:pPr>
          </w:p>
        </w:tc>
        <w:tc>
          <w:tcPr>
            <w:tcW w:w="2127" w:type="dxa"/>
            <w:vAlign w:val="top"/>
          </w:tcPr>
          <w:p w14:paraId="6853D514">
            <w:pPr>
              <w:spacing w:line="360" w:lineRule="auto"/>
              <w:jc w:val="center"/>
              <w:rPr>
                <w:rFonts w:ascii="宋体" w:hAnsi="宋体" w:cs="宋体"/>
                <w:color w:val="auto"/>
                <w:sz w:val="24"/>
                <w:highlight w:val="none"/>
              </w:rPr>
            </w:pPr>
          </w:p>
        </w:tc>
        <w:tc>
          <w:tcPr>
            <w:tcW w:w="2126" w:type="dxa"/>
            <w:vAlign w:val="center"/>
          </w:tcPr>
          <w:p w14:paraId="1863797D">
            <w:pPr>
              <w:spacing w:line="360" w:lineRule="auto"/>
              <w:jc w:val="center"/>
              <w:rPr>
                <w:rFonts w:ascii="宋体" w:hAnsi="宋体" w:cs="宋体"/>
                <w:color w:val="auto"/>
                <w:sz w:val="24"/>
                <w:highlight w:val="none"/>
              </w:rPr>
            </w:pPr>
          </w:p>
        </w:tc>
      </w:tr>
      <w:tr w14:paraId="7980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98C63F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14:paraId="48A2EF74">
            <w:pPr>
              <w:spacing w:line="360" w:lineRule="auto"/>
              <w:jc w:val="center"/>
              <w:rPr>
                <w:rFonts w:ascii="宋体" w:hAnsi="宋体" w:cs="宋体"/>
                <w:color w:val="auto"/>
                <w:sz w:val="24"/>
                <w:highlight w:val="none"/>
              </w:rPr>
            </w:pPr>
          </w:p>
        </w:tc>
      </w:tr>
      <w:tr w14:paraId="33A5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67BCB1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14:paraId="49AEABB7">
            <w:pPr>
              <w:spacing w:line="360" w:lineRule="auto"/>
              <w:jc w:val="center"/>
              <w:rPr>
                <w:rFonts w:ascii="宋体" w:hAnsi="宋体" w:cs="宋体"/>
                <w:color w:val="auto"/>
                <w:sz w:val="24"/>
                <w:highlight w:val="none"/>
              </w:rPr>
            </w:pPr>
          </w:p>
        </w:tc>
      </w:tr>
    </w:tbl>
    <w:p w14:paraId="28373A35">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0DD8822">
      <w:pPr>
        <w:numPr>
          <w:ilvl w:val="0"/>
          <w:numId w:val="29"/>
        </w:numPr>
        <w:ind w:left="0" w:leftChars="0" w:firstLine="4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3D3EC32B">
      <w:pPr>
        <w:numPr>
          <w:ilvl w:val="0"/>
          <w:numId w:val="29"/>
        </w:numPr>
        <w:spacing w:line="360" w:lineRule="auto"/>
        <w:ind w:left="0" w:leftChars="0" w:firstLine="400" w:firstLineChars="0"/>
        <w:rPr>
          <w:rFonts w:hint="eastAsia" w:ascii="宋体" w:hAnsi="宋体" w:cs="宋体"/>
          <w:b/>
          <w:color w:val="auto"/>
          <w:sz w:val="24"/>
          <w:highlight w:val="none"/>
        </w:rPr>
      </w:pPr>
      <w:r>
        <w:rPr>
          <w:rFonts w:hint="eastAsia" w:ascii="宋体" w:hAnsi="宋体" w:cs="宋体"/>
          <w:color w:val="auto"/>
          <w:kern w:val="0"/>
          <w:sz w:val="24"/>
          <w:highlight w:val="none"/>
          <w:lang w:val="zh-CN"/>
        </w:rPr>
        <w:t>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4969D6B">
      <w:pPr>
        <w:pStyle w:val="2"/>
        <w:numPr>
          <w:ilvl w:val="0"/>
          <w:numId w:val="29"/>
        </w:numPr>
        <w:spacing w:line="360" w:lineRule="auto"/>
        <w:ind w:left="0" w:leftChars="0" w:firstLine="40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特别提示：采购代理机构将对项目名称和项目编号，中标供应商名称、地址和中标金额，主要中标标的名称、服务范围、服务要求、服务时间、服务标准等予以公示。</w:t>
      </w:r>
    </w:p>
    <w:p w14:paraId="2EAB017C">
      <w:pPr>
        <w:pStyle w:val="2"/>
        <w:numPr>
          <w:ilvl w:val="0"/>
          <w:numId w:val="29"/>
        </w:numPr>
        <w:spacing w:line="360" w:lineRule="auto"/>
        <w:ind w:left="0" w:leftChars="0" w:firstLine="400" w:firstLineChars="0"/>
        <w:rPr>
          <w:rFonts w:hint="eastAsia" w:ascii="宋体" w:hAnsi="宋体" w:eastAsia="宋体" w:cs="宋体"/>
          <w:color w:val="auto"/>
          <w:kern w:val="0"/>
          <w:sz w:val="24"/>
          <w:szCs w:val="24"/>
          <w:highlight w:val="none"/>
          <w:lang w:val="zh-CN"/>
        </w:rPr>
        <w:sectPr>
          <w:headerReference r:id="rId19" w:type="first"/>
          <w:footerReference r:id="rId21" w:type="first"/>
          <w:headerReference r:id="rId18" w:type="default"/>
          <w:footerReference r:id="rId20" w:type="default"/>
          <w:pgSz w:w="16838" w:h="11906" w:orient="landscape"/>
          <w:pgMar w:top="1417" w:right="1276" w:bottom="1417" w:left="1247" w:header="851" w:footer="992" w:gutter="0"/>
          <w:cols w:space="0" w:num="1"/>
          <w:titlePg/>
          <w:rtlGutter w:val="0"/>
          <w:docGrid w:linePitch="312" w:charSpace="0"/>
        </w:sectPr>
      </w:pPr>
      <w:r>
        <w:rPr>
          <w:rFonts w:hint="eastAsia" w:ascii="宋体" w:hAnsi="宋体" w:eastAsia="宋体" w:cs="宋体"/>
          <w:color w:val="auto"/>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735DF2F">
      <w:pPr>
        <w:rPr>
          <w:rFonts w:hint="eastAsia"/>
          <w:color w:val="auto"/>
          <w:highlight w:val="none"/>
          <w:lang w:val="zh-CN"/>
        </w:rPr>
      </w:pPr>
    </w:p>
    <w:p w14:paraId="03C84E0B">
      <w:pPr>
        <w:pStyle w:val="375"/>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7BC66E1E">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252CCD52">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14:paraId="2088BCE8">
      <w:pPr>
        <w:pStyle w:val="375"/>
        <w:keepNext w:val="0"/>
        <w:pageBreakBefore w:val="0"/>
        <w:tabs>
          <w:tab w:val="clear" w:pos="720"/>
        </w:tabs>
        <w:snapToGrid w:val="0"/>
        <w:spacing w:before="120" w:after="120"/>
        <w:ind w:firstLine="0"/>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708BA46D">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257D1EA">
      <w:pPr>
        <w:spacing w:line="360" w:lineRule="auto"/>
        <w:ind w:right="420" w:firstLine="3614" w:firstLineChars="1000"/>
        <w:rPr>
          <w:rFonts w:ascii="宋体" w:hAnsi="宋体" w:cs="宋体"/>
          <w:b/>
          <w:color w:val="auto"/>
          <w:kern w:val="0"/>
          <w:sz w:val="36"/>
          <w:szCs w:val="36"/>
          <w:highlight w:val="none"/>
        </w:rPr>
      </w:pPr>
    </w:p>
    <w:p w14:paraId="1E2B6C08">
      <w:pPr>
        <w:spacing w:line="360" w:lineRule="auto"/>
        <w:ind w:right="420" w:firstLine="3614" w:firstLineChars="1000"/>
        <w:rPr>
          <w:rFonts w:ascii="宋体" w:hAnsi="宋体" w:cs="宋体"/>
          <w:b/>
          <w:color w:val="auto"/>
          <w:kern w:val="0"/>
          <w:sz w:val="36"/>
          <w:szCs w:val="36"/>
          <w:highlight w:val="none"/>
        </w:rPr>
      </w:pPr>
    </w:p>
    <w:p w14:paraId="64489230">
      <w:pPr>
        <w:spacing w:line="360" w:lineRule="auto"/>
        <w:ind w:right="420" w:firstLine="3614" w:firstLineChars="1000"/>
        <w:rPr>
          <w:rFonts w:ascii="宋体" w:hAnsi="宋体" w:cs="宋体"/>
          <w:b/>
          <w:color w:val="auto"/>
          <w:kern w:val="0"/>
          <w:sz w:val="36"/>
          <w:szCs w:val="36"/>
          <w:highlight w:val="none"/>
        </w:rPr>
      </w:pPr>
    </w:p>
    <w:p w14:paraId="260C5DD7">
      <w:pPr>
        <w:spacing w:line="360" w:lineRule="auto"/>
        <w:ind w:right="420" w:firstLine="3614" w:firstLineChars="1000"/>
        <w:rPr>
          <w:rFonts w:ascii="宋体" w:hAnsi="宋体" w:cs="宋体"/>
          <w:b/>
          <w:color w:val="auto"/>
          <w:kern w:val="0"/>
          <w:sz w:val="36"/>
          <w:szCs w:val="36"/>
          <w:highlight w:val="none"/>
        </w:rPr>
      </w:pPr>
    </w:p>
    <w:p w14:paraId="2400D01F">
      <w:pPr>
        <w:spacing w:line="360" w:lineRule="auto"/>
        <w:ind w:right="420" w:firstLine="3614" w:firstLineChars="1000"/>
        <w:rPr>
          <w:rFonts w:ascii="宋体" w:hAnsi="宋体" w:cs="宋体"/>
          <w:b/>
          <w:color w:val="auto"/>
          <w:kern w:val="0"/>
          <w:sz w:val="36"/>
          <w:szCs w:val="36"/>
          <w:highlight w:val="none"/>
        </w:rPr>
      </w:pPr>
    </w:p>
    <w:p w14:paraId="30712909">
      <w:pPr>
        <w:spacing w:line="360" w:lineRule="auto"/>
        <w:ind w:right="420" w:firstLine="3614" w:firstLineChars="1000"/>
        <w:rPr>
          <w:rFonts w:ascii="宋体" w:hAnsi="宋体" w:cs="宋体"/>
          <w:b/>
          <w:color w:val="auto"/>
          <w:kern w:val="0"/>
          <w:sz w:val="36"/>
          <w:szCs w:val="36"/>
          <w:highlight w:val="none"/>
        </w:rPr>
      </w:pPr>
    </w:p>
    <w:p w14:paraId="39DAFA25">
      <w:pPr>
        <w:spacing w:line="360" w:lineRule="auto"/>
        <w:ind w:right="420" w:firstLine="3614" w:firstLineChars="1000"/>
        <w:rPr>
          <w:rFonts w:ascii="宋体" w:hAnsi="宋体" w:cs="宋体"/>
          <w:b/>
          <w:color w:val="auto"/>
          <w:kern w:val="0"/>
          <w:sz w:val="36"/>
          <w:szCs w:val="36"/>
          <w:highlight w:val="none"/>
        </w:rPr>
      </w:pPr>
    </w:p>
    <w:p w14:paraId="0CB1F7DE">
      <w:pPr>
        <w:spacing w:line="360" w:lineRule="auto"/>
        <w:ind w:right="420" w:firstLine="3614" w:firstLineChars="1000"/>
        <w:rPr>
          <w:rFonts w:ascii="宋体" w:hAnsi="宋体" w:cs="宋体"/>
          <w:b/>
          <w:color w:val="auto"/>
          <w:kern w:val="0"/>
          <w:sz w:val="36"/>
          <w:szCs w:val="36"/>
          <w:highlight w:val="none"/>
        </w:rPr>
      </w:pPr>
    </w:p>
    <w:p w14:paraId="4F59B05E">
      <w:pPr>
        <w:spacing w:line="360" w:lineRule="auto"/>
        <w:ind w:right="420" w:firstLine="3614" w:firstLineChars="1000"/>
        <w:rPr>
          <w:rFonts w:ascii="宋体" w:hAnsi="宋体" w:cs="宋体"/>
          <w:b/>
          <w:color w:val="auto"/>
          <w:kern w:val="0"/>
          <w:sz w:val="36"/>
          <w:szCs w:val="36"/>
          <w:highlight w:val="none"/>
        </w:rPr>
      </w:pPr>
    </w:p>
    <w:p w14:paraId="1F3BCA14">
      <w:pPr>
        <w:spacing w:line="360" w:lineRule="auto"/>
        <w:ind w:right="420" w:firstLine="3614" w:firstLineChars="1000"/>
        <w:rPr>
          <w:rFonts w:ascii="宋体" w:hAnsi="宋体" w:cs="宋体"/>
          <w:b/>
          <w:color w:val="auto"/>
          <w:kern w:val="0"/>
          <w:sz w:val="36"/>
          <w:szCs w:val="36"/>
          <w:highlight w:val="none"/>
        </w:rPr>
      </w:pPr>
    </w:p>
    <w:p w14:paraId="398258E8">
      <w:pPr>
        <w:spacing w:line="360" w:lineRule="auto"/>
        <w:ind w:right="420" w:firstLine="3614" w:firstLineChars="1000"/>
        <w:rPr>
          <w:rFonts w:ascii="宋体" w:hAnsi="宋体" w:cs="宋体"/>
          <w:b/>
          <w:color w:val="auto"/>
          <w:kern w:val="0"/>
          <w:sz w:val="36"/>
          <w:szCs w:val="36"/>
          <w:highlight w:val="none"/>
        </w:rPr>
      </w:pPr>
    </w:p>
    <w:p w14:paraId="65230DF2">
      <w:pPr>
        <w:spacing w:line="360" w:lineRule="auto"/>
        <w:ind w:right="420" w:firstLine="3614" w:firstLineChars="1000"/>
        <w:rPr>
          <w:rFonts w:ascii="宋体" w:hAnsi="宋体" w:cs="宋体"/>
          <w:b/>
          <w:color w:val="auto"/>
          <w:kern w:val="0"/>
          <w:sz w:val="36"/>
          <w:szCs w:val="36"/>
          <w:highlight w:val="none"/>
        </w:rPr>
      </w:pPr>
    </w:p>
    <w:p w14:paraId="335F7D2A">
      <w:pPr>
        <w:spacing w:line="360" w:lineRule="auto"/>
        <w:ind w:right="420" w:firstLine="3614" w:firstLineChars="1000"/>
        <w:rPr>
          <w:rFonts w:ascii="宋体" w:hAnsi="宋体" w:cs="宋体"/>
          <w:b/>
          <w:color w:val="auto"/>
          <w:kern w:val="0"/>
          <w:sz w:val="36"/>
          <w:szCs w:val="36"/>
          <w:highlight w:val="none"/>
        </w:rPr>
      </w:pPr>
    </w:p>
    <w:p w14:paraId="4D1516E0">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5FDBEB1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54B8A05">
      <w:pPr>
        <w:spacing w:line="360" w:lineRule="auto"/>
        <w:jc w:val="center"/>
        <w:rPr>
          <w:rFonts w:ascii="宋体" w:hAnsi="宋体" w:cs="宋体"/>
          <w:b/>
          <w:color w:val="auto"/>
          <w:spacing w:val="6"/>
          <w:sz w:val="32"/>
          <w:szCs w:val="32"/>
          <w:highlight w:val="none"/>
        </w:rPr>
      </w:pPr>
      <w:bookmarkStart w:id="457" w:name="OLE_LINK13"/>
      <w:bookmarkStart w:id="458" w:name="OLE_LINK14"/>
      <w:r>
        <w:rPr>
          <w:rFonts w:hint="eastAsia" w:ascii="宋体" w:hAnsi="宋体" w:cs="宋体"/>
          <w:b/>
          <w:color w:val="auto"/>
          <w:spacing w:val="6"/>
          <w:sz w:val="32"/>
          <w:szCs w:val="32"/>
          <w:highlight w:val="none"/>
        </w:rPr>
        <w:t>残疾人福利性单位声明函</w:t>
      </w:r>
    </w:p>
    <w:bookmarkEnd w:id="457"/>
    <w:bookmarkEnd w:id="458"/>
    <w:p w14:paraId="4647AB07">
      <w:pPr>
        <w:spacing w:line="360" w:lineRule="auto"/>
        <w:rPr>
          <w:rFonts w:ascii="宋体" w:hAnsi="宋体" w:cs="宋体"/>
          <w:b/>
          <w:color w:val="auto"/>
          <w:spacing w:val="6"/>
          <w:sz w:val="30"/>
          <w:szCs w:val="30"/>
          <w:highlight w:val="none"/>
        </w:rPr>
      </w:pPr>
    </w:p>
    <w:p w14:paraId="3B97F7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color="auto"/>
          <w:lang w:eastAsia="zh-CN"/>
        </w:rPr>
        <w:t>杭州市余杭区余杭街道社区卫生服务中心</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 xml:space="preserve">杭州市余杭区余杭街道社区卫生服务中心物业服务采购项目   </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105073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450BE0B">
      <w:pPr>
        <w:spacing w:line="360" w:lineRule="auto"/>
        <w:ind w:firstLine="480" w:firstLineChars="200"/>
        <w:rPr>
          <w:rFonts w:ascii="宋体" w:hAnsi="宋体" w:cs="宋体"/>
          <w:color w:val="auto"/>
          <w:sz w:val="24"/>
          <w:highlight w:val="none"/>
        </w:rPr>
      </w:pPr>
    </w:p>
    <w:p w14:paraId="1D2F0972">
      <w:pPr>
        <w:spacing w:line="360" w:lineRule="auto"/>
        <w:ind w:firstLine="480" w:firstLineChars="200"/>
        <w:rPr>
          <w:rFonts w:ascii="宋体" w:hAnsi="宋体" w:cs="宋体"/>
          <w:color w:val="auto"/>
          <w:sz w:val="24"/>
          <w:highlight w:val="none"/>
        </w:rPr>
      </w:pPr>
    </w:p>
    <w:p w14:paraId="7F32C15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F47AA8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1EDC51C">
      <w:pPr>
        <w:spacing w:line="360" w:lineRule="auto"/>
        <w:ind w:firstLine="480" w:firstLineChars="200"/>
        <w:rPr>
          <w:rFonts w:ascii="宋体" w:hAnsi="宋体" w:cs="宋体"/>
          <w:color w:val="auto"/>
          <w:sz w:val="24"/>
          <w:highlight w:val="none"/>
        </w:rPr>
      </w:pPr>
    </w:p>
    <w:p w14:paraId="240A3194">
      <w:pPr>
        <w:spacing w:line="360" w:lineRule="auto"/>
        <w:ind w:firstLine="420" w:firstLineChars="200"/>
        <w:rPr>
          <w:rFonts w:ascii="宋体" w:hAnsi="宋体" w:cs="宋体"/>
          <w:color w:val="auto"/>
          <w:highlight w:val="none"/>
        </w:rPr>
      </w:pPr>
    </w:p>
    <w:p w14:paraId="37C07A9D">
      <w:pPr>
        <w:spacing w:line="360" w:lineRule="auto"/>
        <w:ind w:firstLine="420" w:firstLineChars="200"/>
        <w:rPr>
          <w:rFonts w:ascii="宋体" w:hAnsi="宋体" w:cs="宋体"/>
          <w:color w:val="auto"/>
          <w:highlight w:val="none"/>
        </w:rPr>
      </w:pPr>
    </w:p>
    <w:p w14:paraId="48AE82D1">
      <w:pPr>
        <w:spacing w:line="360" w:lineRule="auto"/>
        <w:ind w:firstLine="420" w:firstLineChars="200"/>
        <w:rPr>
          <w:rFonts w:ascii="宋体" w:hAnsi="宋体" w:cs="宋体"/>
          <w:color w:val="auto"/>
          <w:highlight w:val="none"/>
        </w:rPr>
      </w:pPr>
    </w:p>
    <w:p w14:paraId="3779F09C">
      <w:pPr>
        <w:spacing w:line="360" w:lineRule="auto"/>
        <w:ind w:firstLine="420" w:firstLineChars="200"/>
        <w:rPr>
          <w:rFonts w:ascii="宋体" w:hAnsi="宋体" w:cs="宋体"/>
          <w:color w:val="auto"/>
          <w:highlight w:val="none"/>
        </w:rPr>
      </w:pPr>
    </w:p>
    <w:p w14:paraId="30B682BB">
      <w:pPr>
        <w:spacing w:line="360" w:lineRule="auto"/>
        <w:rPr>
          <w:rFonts w:ascii="宋体" w:hAnsi="宋体" w:cs="宋体"/>
          <w:b/>
          <w:color w:val="auto"/>
          <w:sz w:val="24"/>
          <w:highlight w:val="none"/>
        </w:rPr>
      </w:pPr>
    </w:p>
    <w:p w14:paraId="427F30D6">
      <w:pPr>
        <w:spacing w:line="360" w:lineRule="auto"/>
        <w:rPr>
          <w:rFonts w:ascii="宋体" w:hAnsi="宋体" w:cs="宋体"/>
          <w:b/>
          <w:color w:val="auto"/>
          <w:sz w:val="24"/>
          <w:highlight w:val="none"/>
        </w:rPr>
      </w:pPr>
    </w:p>
    <w:p w14:paraId="67F3AAB7">
      <w:pPr>
        <w:spacing w:line="360" w:lineRule="auto"/>
        <w:rPr>
          <w:rFonts w:ascii="宋体" w:hAnsi="宋体" w:cs="宋体"/>
          <w:b/>
          <w:color w:val="auto"/>
          <w:sz w:val="24"/>
          <w:highlight w:val="none"/>
        </w:rPr>
      </w:pPr>
    </w:p>
    <w:p w14:paraId="660B0D9D">
      <w:pPr>
        <w:spacing w:line="360" w:lineRule="auto"/>
        <w:rPr>
          <w:rFonts w:ascii="宋体" w:hAnsi="宋体" w:cs="宋体"/>
          <w:b/>
          <w:color w:val="auto"/>
          <w:sz w:val="24"/>
          <w:highlight w:val="none"/>
        </w:rPr>
      </w:pPr>
    </w:p>
    <w:p w14:paraId="30190578">
      <w:pPr>
        <w:spacing w:line="360" w:lineRule="auto"/>
        <w:rPr>
          <w:rFonts w:ascii="宋体" w:hAnsi="宋体" w:cs="宋体"/>
          <w:b/>
          <w:color w:val="auto"/>
          <w:sz w:val="24"/>
          <w:highlight w:val="none"/>
        </w:rPr>
      </w:pPr>
    </w:p>
    <w:p w14:paraId="3FC0DB89">
      <w:pPr>
        <w:spacing w:line="360" w:lineRule="auto"/>
        <w:rPr>
          <w:rFonts w:ascii="宋体" w:hAnsi="宋体" w:cs="宋体"/>
          <w:b/>
          <w:color w:val="auto"/>
          <w:sz w:val="24"/>
          <w:highlight w:val="none"/>
        </w:rPr>
      </w:pPr>
    </w:p>
    <w:p w14:paraId="66767C10">
      <w:pPr>
        <w:spacing w:line="360" w:lineRule="auto"/>
        <w:rPr>
          <w:rFonts w:ascii="宋体" w:hAnsi="宋体" w:cs="宋体"/>
          <w:b/>
          <w:color w:val="auto"/>
          <w:sz w:val="24"/>
          <w:highlight w:val="none"/>
        </w:rPr>
      </w:pPr>
    </w:p>
    <w:p w14:paraId="7AED2CFB">
      <w:pPr>
        <w:spacing w:line="360" w:lineRule="auto"/>
        <w:rPr>
          <w:rFonts w:ascii="宋体" w:hAnsi="宋体" w:cs="宋体"/>
          <w:b/>
          <w:color w:val="auto"/>
          <w:sz w:val="24"/>
          <w:highlight w:val="none"/>
        </w:rPr>
      </w:pPr>
    </w:p>
    <w:p w14:paraId="6E9B9531">
      <w:pPr>
        <w:spacing w:line="360" w:lineRule="auto"/>
        <w:rPr>
          <w:rFonts w:ascii="宋体" w:hAnsi="宋体" w:cs="宋体"/>
          <w:b/>
          <w:color w:val="auto"/>
          <w:sz w:val="24"/>
          <w:highlight w:val="none"/>
        </w:rPr>
      </w:pPr>
    </w:p>
    <w:p w14:paraId="716A488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DA5A28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330984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25E5E0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3B2FFB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FDF4C6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F5EC5C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71E5FC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D62A6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33ACCF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480C8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A647A0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55DDF1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DA3D2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E3196F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FA9088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62D576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53845B5">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370E9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D36911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B44A73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B82C90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CCE7C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4808B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BB70AAD">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30FF04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BF27D52">
      <w:pPr>
        <w:spacing w:line="360" w:lineRule="auto"/>
        <w:jc w:val="center"/>
        <w:rPr>
          <w:rFonts w:ascii="宋体" w:hAnsi="宋体" w:cs="宋体"/>
          <w:b/>
          <w:bCs/>
          <w:color w:val="auto"/>
          <w:sz w:val="24"/>
          <w:highlight w:val="none"/>
        </w:rPr>
      </w:pPr>
    </w:p>
    <w:p w14:paraId="15AED0C2">
      <w:pPr>
        <w:spacing w:line="360" w:lineRule="auto"/>
        <w:rPr>
          <w:rFonts w:ascii="宋体" w:hAnsi="宋体" w:cs="宋体"/>
          <w:b/>
          <w:color w:val="auto"/>
          <w:sz w:val="24"/>
          <w:highlight w:val="none"/>
        </w:rPr>
      </w:pPr>
    </w:p>
    <w:p w14:paraId="753142FA">
      <w:pPr>
        <w:spacing w:line="360" w:lineRule="auto"/>
        <w:rPr>
          <w:rFonts w:ascii="宋体" w:hAnsi="宋体" w:cs="宋体"/>
          <w:b/>
          <w:color w:val="auto"/>
          <w:sz w:val="24"/>
          <w:highlight w:val="none"/>
        </w:rPr>
      </w:pPr>
    </w:p>
    <w:p w14:paraId="6B3DAA47">
      <w:pPr>
        <w:spacing w:line="360" w:lineRule="auto"/>
        <w:rPr>
          <w:rFonts w:ascii="宋体" w:hAnsi="宋体" w:cs="宋体"/>
          <w:b/>
          <w:color w:val="auto"/>
          <w:sz w:val="24"/>
          <w:highlight w:val="none"/>
        </w:rPr>
      </w:pPr>
    </w:p>
    <w:p w14:paraId="4A6006E4">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33EE64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145969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32ED55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8E22A1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A4ADCE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F4CA15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C019D19">
      <w:pPr>
        <w:widowControl/>
        <w:spacing w:line="360" w:lineRule="auto"/>
        <w:ind w:firstLine="600" w:firstLineChars="200"/>
        <w:jc w:val="left"/>
        <w:rPr>
          <w:rFonts w:ascii="宋体" w:hAnsi="宋体" w:cs="宋体"/>
          <w:color w:val="auto"/>
          <w:sz w:val="30"/>
          <w:szCs w:val="30"/>
          <w:highlight w:val="none"/>
        </w:rPr>
      </w:pPr>
    </w:p>
    <w:p w14:paraId="28229FEE">
      <w:pPr>
        <w:spacing w:line="360" w:lineRule="auto"/>
        <w:jc w:val="center"/>
        <w:rPr>
          <w:rFonts w:ascii="宋体" w:hAnsi="宋体" w:cs="宋体"/>
          <w:b/>
          <w:color w:val="auto"/>
          <w:spacing w:val="6"/>
          <w:sz w:val="32"/>
          <w:szCs w:val="32"/>
          <w:highlight w:val="none"/>
        </w:rPr>
      </w:pPr>
    </w:p>
    <w:p w14:paraId="05001CC5">
      <w:pPr>
        <w:spacing w:line="360" w:lineRule="auto"/>
        <w:jc w:val="center"/>
        <w:rPr>
          <w:rFonts w:ascii="宋体" w:hAnsi="宋体" w:cs="宋体"/>
          <w:b/>
          <w:color w:val="auto"/>
          <w:spacing w:val="6"/>
          <w:sz w:val="32"/>
          <w:szCs w:val="32"/>
          <w:highlight w:val="none"/>
        </w:rPr>
      </w:pPr>
    </w:p>
    <w:p w14:paraId="3FB92259">
      <w:pPr>
        <w:spacing w:line="360" w:lineRule="auto"/>
        <w:jc w:val="center"/>
        <w:rPr>
          <w:rFonts w:ascii="宋体" w:hAnsi="宋体" w:cs="宋体"/>
          <w:b/>
          <w:color w:val="auto"/>
          <w:spacing w:val="6"/>
          <w:sz w:val="32"/>
          <w:szCs w:val="32"/>
          <w:highlight w:val="none"/>
        </w:rPr>
      </w:pPr>
    </w:p>
    <w:p w14:paraId="1BB27951">
      <w:pPr>
        <w:spacing w:line="360" w:lineRule="auto"/>
        <w:jc w:val="center"/>
        <w:rPr>
          <w:rFonts w:ascii="宋体" w:hAnsi="宋体" w:cs="宋体"/>
          <w:b/>
          <w:color w:val="auto"/>
          <w:spacing w:val="6"/>
          <w:sz w:val="32"/>
          <w:szCs w:val="32"/>
          <w:highlight w:val="none"/>
        </w:rPr>
      </w:pPr>
    </w:p>
    <w:p w14:paraId="30FFEE81">
      <w:pPr>
        <w:spacing w:line="360" w:lineRule="auto"/>
        <w:jc w:val="center"/>
        <w:rPr>
          <w:rFonts w:ascii="宋体" w:hAnsi="宋体" w:cs="宋体"/>
          <w:b/>
          <w:color w:val="auto"/>
          <w:spacing w:val="6"/>
          <w:sz w:val="32"/>
          <w:szCs w:val="32"/>
          <w:highlight w:val="none"/>
        </w:rPr>
      </w:pPr>
    </w:p>
    <w:p w14:paraId="31207AA8">
      <w:pPr>
        <w:spacing w:line="360" w:lineRule="auto"/>
        <w:jc w:val="center"/>
        <w:rPr>
          <w:rFonts w:ascii="宋体" w:hAnsi="宋体" w:cs="宋体"/>
          <w:b/>
          <w:color w:val="auto"/>
          <w:spacing w:val="6"/>
          <w:sz w:val="32"/>
          <w:szCs w:val="32"/>
          <w:highlight w:val="none"/>
        </w:rPr>
      </w:pPr>
    </w:p>
    <w:p w14:paraId="43417455">
      <w:pPr>
        <w:spacing w:line="360" w:lineRule="auto"/>
        <w:jc w:val="center"/>
        <w:rPr>
          <w:rFonts w:ascii="宋体" w:hAnsi="宋体" w:cs="宋体"/>
          <w:b/>
          <w:color w:val="auto"/>
          <w:spacing w:val="6"/>
          <w:sz w:val="32"/>
          <w:szCs w:val="32"/>
          <w:highlight w:val="none"/>
        </w:rPr>
      </w:pPr>
    </w:p>
    <w:p w14:paraId="54BFF729">
      <w:pPr>
        <w:spacing w:line="360" w:lineRule="auto"/>
        <w:jc w:val="center"/>
        <w:rPr>
          <w:rFonts w:ascii="宋体" w:hAnsi="宋体" w:cs="宋体"/>
          <w:b/>
          <w:color w:val="auto"/>
          <w:spacing w:val="6"/>
          <w:sz w:val="32"/>
          <w:szCs w:val="32"/>
          <w:highlight w:val="none"/>
        </w:rPr>
      </w:pPr>
    </w:p>
    <w:p w14:paraId="278FCC4F">
      <w:pPr>
        <w:spacing w:line="360" w:lineRule="auto"/>
        <w:jc w:val="center"/>
        <w:rPr>
          <w:rFonts w:ascii="宋体" w:hAnsi="宋体" w:cs="宋体"/>
          <w:b/>
          <w:color w:val="auto"/>
          <w:spacing w:val="6"/>
          <w:sz w:val="32"/>
          <w:szCs w:val="32"/>
          <w:highlight w:val="none"/>
        </w:rPr>
      </w:pPr>
    </w:p>
    <w:p w14:paraId="79E17F2F">
      <w:pPr>
        <w:spacing w:line="360" w:lineRule="auto"/>
        <w:jc w:val="center"/>
        <w:rPr>
          <w:rFonts w:ascii="宋体" w:hAnsi="宋体" w:cs="宋体"/>
          <w:b/>
          <w:color w:val="auto"/>
          <w:spacing w:val="6"/>
          <w:sz w:val="32"/>
          <w:szCs w:val="32"/>
          <w:highlight w:val="none"/>
        </w:rPr>
      </w:pPr>
    </w:p>
    <w:p w14:paraId="4B72CB8E">
      <w:pPr>
        <w:spacing w:line="360" w:lineRule="auto"/>
        <w:jc w:val="center"/>
        <w:rPr>
          <w:rFonts w:ascii="宋体" w:hAnsi="宋体" w:cs="宋体"/>
          <w:b/>
          <w:color w:val="auto"/>
          <w:spacing w:val="6"/>
          <w:sz w:val="32"/>
          <w:szCs w:val="32"/>
          <w:highlight w:val="none"/>
        </w:rPr>
      </w:pPr>
    </w:p>
    <w:p w14:paraId="0745D2F5">
      <w:pPr>
        <w:spacing w:line="360" w:lineRule="auto"/>
        <w:jc w:val="center"/>
        <w:rPr>
          <w:rFonts w:ascii="宋体" w:hAnsi="宋体" w:cs="宋体"/>
          <w:b/>
          <w:color w:val="auto"/>
          <w:spacing w:val="6"/>
          <w:sz w:val="32"/>
          <w:szCs w:val="32"/>
          <w:highlight w:val="none"/>
        </w:rPr>
      </w:pPr>
    </w:p>
    <w:p w14:paraId="7FA41C5A">
      <w:pPr>
        <w:spacing w:line="360" w:lineRule="auto"/>
        <w:jc w:val="left"/>
        <w:rPr>
          <w:rFonts w:ascii="宋体" w:hAnsi="宋体" w:cs="宋体"/>
          <w:b/>
          <w:color w:val="auto"/>
          <w:spacing w:val="6"/>
          <w:sz w:val="32"/>
          <w:szCs w:val="32"/>
          <w:highlight w:val="none"/>
        </w:rPr>
      </w:pPr>
    </w:p>
    <w:p w14:paraId="3D11EB59">
      <w:pPr>
        <w:spacing w:line="360" w:lineRule="auto"/>
        <w:jc w:val="left"/>
        <w:rPr>
          <w:rFonts w:ascii="宋体" w:hAnsi="宋体" w:cs="宋体"/>
          <w:b/>
          <w:color w:val="auto"/>
          <w:spacing w:val="6"/>
          <w:sz w:val="32"/>
          <w:szCs w:val="32"/>
          <w:highlight w:val="none"/>
        </w:rPr>
      </w:pPr>
    </w:p>
    <w:p w14:paraId="10BAEDB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6571CEF">
      <w:pPr>
        <w:spacing w:line="360" w:lineRule="auto"/>
        <w:jc w:val="center"/>
        <w:rPr>
          <w:rFonts w:ascii="宋体" w:hAnsi="宋体" w:cs="宋体"/>
          <w:b/>
          <w:color w:val="auto"/>
          <w:sz w:val="24"/>
          <w:highlight w:val="none"/>
        </w:rPr>
      </w:pPr>
    </w:p>
    <w:p w14:paraId="7C8EA52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1938985">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E089E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4218B0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99EE3F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922FE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EE6AB3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D5A16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3AFFD8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A7FA5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F746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D40AF16">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CA7560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309C9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011FC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D5607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28BAF8D">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92DEF1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B954B4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B725B2E">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30590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209130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211B55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2530770">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8CE76A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D88305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269F5C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14:paraId="4E60C572">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DC414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A5E2D51">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50DB95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EF8572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8CEE92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A2644ED">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DF4DF4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70E4FE">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1B0618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6A9D782">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F855FB">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12076E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725BEEC">
      <w:pPr>
        <w:spacing w:line="360" w:lineRule="auto"/>
        <w:rPr>
          <w:rFonts w:ascii="宋体" w:hAnsi="宋体" w:cs="宋体"/>
          <w:b/>
          <w:color w:val="auto"/>
          <w:sz w:val="24"/>
          <w:highlight w:val="none"/>
        </w:rPr>
      </w:pPr>
    </w:p>
    <w:p w14:paraId="519F1B4C">
      <w:pPr>
        <w:spacing w:line="360" w:lineRule="auto"/>
        <w:rPr>
          <w:rFonts w:ascii="宋体" w:hAnsi="宋体" w:cs="宋体"/>
          <w:b/>
          <w:color w:val="auto"/>
          <w:sz w:val="24"/>
          <w:highlight w:val="none"/>
        </w:rPr>
      </w:pPr>
    </w:p>
    <w:p w14:paraId="33CD3D1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CD679B0">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0F0674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91EE50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D961A7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67905C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A7ADFC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6159E7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76838ED">
      <w:pPr>
        <w:spacing w:line="360" w:lineRule="auto"/>
        <w:rPr>
          <w:rFonts w:ascii="宋体" w:hAnsi="宋体" w:cs="宋体"/>
          <w:b/>
          <w:color w:val="auto"/>
          <w:sz w:val="24"/>
          <w:highlight w:val="none"/>
        </w:rPr>
      </w:pPr>
    </w:p>
    <w:p w14:paraId="058329FA">
      <w:pPr>
        <w:autoSpaceDE w:val="0"/>
        <w:autoSpaceDN w:val="0"/>
        <w:jc w:val="center"/>
        <w:rPr>
          <w:rFonts w:ascii="宋体" w:hAnsi="宋体" w:cs="宋体"/>
          <w:b/>
          <w:color w:val="auto"/>
          <w:spacing w:val="6"/>
          <w:sz w:val="32"/>
          <w:szCs w:val="32"/>
          <w:highlight w:val="none"/>
        </w:rPr>
      </w:pPr>
    </w:p>
    <w:p w14:paraId="646FE8E9">
      <w:pPr>
        <w:autoSpaceDE w:val="0"/>
        <w:autoSpaceDN w:val="0"/>
        <w:jc w:val="center"/>
        <w:rPr>
          <w:rFonts w:ascii="宋体" w:hAnsi="宋体" w:cs="宋体"/>
          <w:b/>
          <w:color w:val="auto"/>
          <w:spacing w:val="6"/>
          <w:sz w:val="32"/>
          <w:szCs w:val="32"/>
          <w:highlight w:val="none"/>
        </w:rPr>
      </w:pPr>
    </w:p>
    <w:p w14:paraId="3925287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C0405DE">
      <w:pPr>
        <w:spacing w:line="360" w:lineRule="auto"/>
        <w:rPr>
          <w:rFonts w:ascii="宋体" w:hAnsi="宋体" w:cs="宋体"/>
          <w:color w:val="auto"/>
          <w:sz w:val="24"/>
          <w:highlight w:val="none"/>
          <w:u w:val="single"/>
        </w:rPr>
      </w:pPr>
    </w:p>
    <w:p w14:paraId="4172869E">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杭州市余杭区余杭街道社区卫生服务中心</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杭州市公共资源交易中心余杭分中心</w:t>
      </w:r>
      <w:r>
        <w:rPr>
          <w:rFonts w:hint="eastAsia" w:ascii="宋体" w:hAnsi="宋体" w:cs="宋体"/>
          <w:color w:val="auto"/>
          <w:sz w:val="24"/>
          <w:highlight w:val="none"/>
          <w:u w:val="single"/>
        </w:rPr>
        <w:t>：</w:t>
      </w:r>
    </w:p>
    <w:p w14:paraId="65F671D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杭州市余杭区余杭街道社区卫生服务中心物业服务采购项目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HZYHZFCG-2025-008</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EBD16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EF454C2">
      <w:pPr>
        <w:spacing w:line="360" w:lineRule="auto"/>
        <w:ind w:firstLine="494"/>
        <w:rPr>
          <w:rFonts w:ascii="宋体" w:hAnsi="宋体" w:cs="宋体"/>
          <w:color w:val="auto"/>
          <w:sz w:val="24"/>
          <w:highlight w:val="none"/>
        </w:rPr>
      </w:pPr>
    </w:p>
    <w:p w14:paraId="15FBED3C">
      <w:pPr>
        <w:spacing w:line="360" w:lineRule="auto"/>
        <w:ind w:firstLine="494"/>
        <w:rPr>
          <w:rFonts w:ascii="宋体" w:hAnsi="宋体" w:cs="宋体"/>
          <w:color w:val="auto"/>
          <w:sz w:val="24"/>
          <w:highlight w:val="none"/>
        </w:rPr>
      </w:pPr>
    </w:p>
    <w:p w14:paraId="376C7316">
      <w:pPr>
        <w:spacing w:line="360" w:lineRule="auto"/>
        <w:ind w:firstLine="494"/>
        <w:rPr>
          <w:rFonts w:ascii="宋体" w:hAnsi="宋体" w:cs="宋体"/>
          <w:color w:val="auto"/>
          <w:sz w:val="24"/>
          <w:highlight w:val="none"/>
        </w:rPr>
      </w:pPr>
    </w:p>
    <w:p w14:paraId="2F301360">
      <w:pPr>
        <w:spacing w:line="360" w:lineRule="auto"/>
        <w:ind w:firstLine="494"/>
        <w:rPr>
          <w:rFonts w:ascii="宋体" w:hAnsi="宋体" w:cs="宋体"/>
          <w:color w:val="auto"/>
          <w:sz w:val="24"/>
          <w:highlight w:val="none"/>
        </w:rPr>
      </w:pPr>
    </w:p>
    <w:p w14:paraId="219437C7">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E865217">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070F14B">
      <w:pPr>
        <w:rPr>
          <w:rFonts w:ascii="宋体" w:hAnsi="宋体" w:cs="宋体"/>
          <w:color w:val="auto"/>
          <w:sz w:val="24"/>
          <w:highlight w:val="none"/>
        </w:rPr>
      </w:pPr>
      <w:r>
        <w:rPr>
          <w:rFonts w:hint="eastAsia" w:ascii="宋体" w:hAnsi="宋体" w:cs="宋体"/>
          <w:b/>
          <w:bCs/>
          <w:color w:val="auto"/>
          <w:sz w:val="24"/>
          <w:highlight w:val="none"/>
        </w:rPr>
        <w:t>附：</w:t>
      </w:r>
    </w:p>
    <w:p w14:paraId="75982264">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9131562">
      <w:pPr>
        <w:autoSpaceDE w:val="0"/>
        <w:autoSpaceDN w:val="0"/>
        <w:jc w:val="center"/>
        <w:rPr>
          <w:rFonts w:ascii="宋体" w:hAnsi="宋体" w:cs="宋体"/>
          <w:b/>
          <w:color w:val="auto"/>
          <w:spacing w:val="6"/>
          <w:sz w:val="32"/>
          <w:szCs w:val="32"/>
          <w:highlight w:val="none"/>
        </w:rPr>
      </w:pPr>
    </w:p>
    <w:p w14:paraId="6152CA39">
      <w:pPr>
        <w:autoSpaceDE w:val="0"/>
        <w:autoSpaceDN w:val="0"/>
        <w:jc w:val="center"/>
        <w:rPr>
          <w:rFonts w:ascii="宋体" w:hAnsi="宋体" w:cs="宋体"/>
          <w:b/>
          <w:color w:val="auto"/>
          <w:spacing w:val="6"/>
          <w:sz w:val="32"/>
          <w:szCs w:val="32"/>
          <w:highlight w:val="none"/>
        </w:rPr>
      </w:pPr>
    </w:p>
    <w:p w14:paraId="2166B494">
      <w:pPr>
        <w:autoSpaceDE w:val="0"/>
        <w:autoSpaceDN w:val="0"/>
        <w:jc w:val="center"/>
        <w:rPr>
          <w:rFonts w:ascii="宋体" w:hAnsi="宋体" w:cs="宋体"/>
          <w:b/>
          <w:color w:val="auto"/>
          <w:spacing w:val="6"/>
          <w:sz w:val="32"/>
          <w:szCs w:val="32"/>
          <w:highlight w:val="none"/>
        </w:rPr>
      </w:pPr>
    </w:p>
    <w:p w14:paraId="23435896">
      <w:pPr>
        <w:autoSpaceDE w:val="0"/>
        <w:autoSpaceDN w:val="0"/>
        <w:jc w:val="center"/>
        <w:rPr>
          <w:rFonts w:ascii="宋体" w:hAnsi="宋体" w:cs="宋体"/>
          <w:b/>
          <w:color w:val="auto"/>
          <w:spacing w:val="6"/>
          <w:sz w:val="32"/>
          <w:szCs w:val="32"/>
          <w:highlight w:val="none"/>
        </w:rPr>
      </w:pPr>
    </w:p>
    <w:p w14:paraId="051A996D">
      <w:pPr>
        <w:autoSpaceDE w:val="0"/>
        <w:autoSpaceDN w:val="0"/>
        <w:jc w:val="center"/>
        <w:rPr>
          <w:rFonts w:ascii="宋体" w:hAnsi="宋体" w:cs="宋体"/>
          <w:b/>
          <w:color w:val="auto"/>
          <w:spacing w:val="6"/>
          <w:sz w:val="32"/>
          <w:szCs w:val="32"/>
          <w:highlight w:val="none"/>
        </w:rPr>
      </w:pPr>
    </w:p>
    <w:p w14:paraId="06810021">
      <w:pPr>
        <w:autoSpaceDE w:val="0"/>
        <w:autoSpaceDN w:val="0"/>
        <w:jc w:val="center"/>
        <w:rPr>
          <w:rFonts w:ascii="宋体" w:hAnsi="宋体" w:cs="宋体"/>
          <w:b/>
          <w:color w:val="auto"/>
          <w:spacing w:val="6"/>
          <w:sz w:val="32"/>
          <w:szCs w:val="32"/>
          <w:highlight w:val="none"/>
        </w:rPr>
      </w:pPr>
    </w:p>
    <w:p w14:paraId="4981B97D">
      <w:pPr>
        <w:autoSpaceDE w:val="0"/>
        <w:autoSpaceDN w:val="0"/>
        <w:jc w:val="center"/>
        <w:rPr>
          <w:rFonts w:ascii="宋体" w:hAnsi="宋体" w:cs="宋体"/>
          <w:b/>
          <w:color w:val="auto"/>
          <w:spacing w:val="6"/>
          <w:sz w:val="32"/>
          <w:szCs w:val="32"/>
          <w:highlight w:val="none"/>
        </w:rPr>
      </w:pPr>
    </w:p>
    <w:p w14:paraId="2001BD3B">
      <w:pPr>
        <w:autoSpaceDE w:val="0"/>
        <w:autoSpaceDN w:val="0"/>
        <w:jc w:val="center"/>
        <w:rPr>
          <w:rFonts w:ascii="宋体" w:hAnsi="宋体" w:cs="宋体"/>
          <w:b/>
          <w:color w:val="auto"/>
          <w:spacing w:val="6"/>
          <w:sz w:val="32"/>
          <w:szCs w:val="32"/>
          <w:highlight w:val="none"/>
        </w:rPr>
      </w:pPr>
    </w:p>
    <w:p w14:paraId="610DDDAC">
      <w:pPr>
        <w:autoSpaceDE w:val="0"/>
        <w:autoSpaceDN w:val="0"/>
        <w:jc w:val="center"/>
        <w:rPr>
          <w:rFonts w:ascii="宋体" w:hAnsi="宋体" w:cs="宋体"/>
          <w:b/>
          <w:color w:val="auto"/>
          <w:spacing w:val="6"/>
          <w:sz w:val="32"/>
          <w:szCs w:val="32"/>
          <w:highlight w:val="none"/>
        </w:rPr>
      </w:pPr>
    </w:p>
    <w:p w14:paraId="01B55A82">
      <w:pPr>
        <w:autoSpaceDE w:val="0"/>
        <w:autoSpaceDN w:val="0"/>
        <w:jc w:val="center"/>
        <w:rPr>
          <w:rFonts w:ascii="宋体" w:hAnsi="宋体" w:cs="宋体"/>
          <w:b/>
          <w:color w:val="auto"/>
          <w:spacing w:val="6"/>
          <w:sz w:val="32"/>
          <w:szCs w:val="32"/>
          <w:highlight w:val="none"/>
        </w:rPr>
      </w:pPr>
    </w:p>
    <w:p w14:paraId="79597B21">
      <w:pPr>
        <w:autoSpaceDE w:val="0"/>
        <w:autoSpaceDN w:val="0"/>
        <w:jc w:val="center"/>
        <w:rPr>
          <w:rFonts w:ascii="宋体" w:hAnsi="宋体" w:cs="宋体"/>
          <w:b/>
          <w:color w:val="auto"/>
          <w:spacing w:val="6"/>
          <w:sz w:val="32"/>
          <w:szCs w:val="32"/>
          <w:highlight w:val="none"/>
        </w:rPr>
      </w:pPr>
    </w:p>
    <w:p w14:paraId="59E8BCA8">
      <w:pPr>
        <w:autoSpaceDE w:val="0"/>
        <w:autoSpaceDN w:val="0"/>
        <w:jc w:val="center"/>
        <w:rPr>
          <w:rFonts w:ascii="宋体" w:hAnsi="宋体" w:cs="宋体"/>
          <w:b/>
          <w:color w:val="auto"/>
          <w:spacing w:val="6"/>
          <w:sz w:val="32"/>
          <w:szCs w:val="32"/>
          <w:highlight w:val="none"/>
        </w:rPr>
      </w:pPr>
    </w:p>
    <w:p w14:paraId="673EF8F4">
      <w:pPr>
        <w:autoSpaceDE w:val="0"/>
        <w:autoSpaceDN w:val="0"/>
        <w:jc w:val="center"/>
        <w:rPr>
          <w:rFonts w:ascii="宋体" w:hAnsi="宋体" w:cs="宋体"/>
          <w:b/>
          <w:color w:val="auto"/>
          <w:spacing w:val="6"/>
          <w:sz w:val="32"/>
          <w:szCs w:val="32"/>
          <w:highlight w:val="none"/>
        </w:rPr>
      </w:pPr>
    </w:p>
    <w:p w14:paraId="4BCFCAFA">
      <w:pPr>
        <w:autoSpaceDE w:val="0"/>
        <w:autoSpaceDN w:val="0"/>
        <w:jc w:val="center"/>
        <w:rPr>
          <w:rFonts w:ascii="宋体" w:hAnsi="宋体" w:cs="宋体"/>
          <w:b/>
          <w:color w:val="auto"/>
          <w:spacing w:val="6"/>
          <w:sz w:val="32"/>
          <w:szCs w:val="32"/>
          <w:highlight w:val="none"/>
        </w:rPr>
      </w:pPr>
    </w:p>
    <w:p w14:paraId="66512B21">
      <w:pPr>
        <w:autoSpaceDE w:val="0"/>
        <w:autoSpaceDN w:val="0"/>
        <w:jc w:val="center"/>
        <w:rPr>
          <w:rFonts w:ascii="宋体" w:hAnsi="宋体" w:cs="宋体"/>
          <w:b/>
          <w:color w:val="auto"/>
          <w:spacing w:val="6"/>
          <w:sz w:val="32"/>
          <w:szCs w:val="32"/>
          <w:highlight w:val="none"/>
        </w:rPr>
      </w:pPr>
    </w:p>
    <w:p w14:paraId="77FF6130">
      <w:pPr>
        <w:autoSpaceDE w:val="0"/>
        <w:autoSpaceDN w:val="0"/>
        <w:jc w:val="center"/>
        <w:rPr>
          <w:rFonts w:ascii="宋体" w:hAnsi="宋体" w:cs="宋体"/>
          <w:b/>
          <w:color w:val="auto"/>
          <w:spacing w:val="6"/>
          <w:sz w:val="32"/>
          <w:szCs w:val="32"/>
          <w:highlight w:val="none"/>
        </w:rPr>
      </w:pPr>
    </w:p>
    <w:p w14:paraId="79CC7AE2">
      <w:pPr>
        <w:autoSpaceDE w:val="0"/>
        <w:autoSpaceDN w:val="0"/>
        <w:jc w:val="center"/>
        <w:rPr>
          <w:rFonts w:ascii="宋体" w:hAnsi="宋体" w:cs="宋体"/>
          <w:b/>
          <w:color w:val="auto"/>
          <w:spacing w:val="6"/>
          <w:sz w:val="32"/>
          <w:szCs w:val="32"/>
          <w:highlight w:val="none"/>
        </w:rPr>
      </w:pPr>
    </w:p>
    <w:p w14:paraId="421BC7C0">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20A734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2D48D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 xml:space="preserve">杭州市余杭区余杭街道社区卫生服务中心物业服务采购项目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HZYHZFCG-2025-008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89F69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83BE2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45511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9BAAB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A5AA6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E7576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179C1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432820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5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5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60"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60"/>
      <w:r>
        <w:rPr>
          <w:rFonts w:hint="eastAsia" w:ascii="宋体" w:hAnsi="宋体" w:cs="宋体"/>
          <w:b/>
          <w:color w:val="auto"/>
          <w:kern w:val="0"/>
          <w:sz w:val="24"/>
          <w:highlight w:val="none"/>
          <w:lang w:val="zh-CN"/>
        </w:rPr>
        <w:t>）</w:t>
      </w:r>
    </w:p>
    <w:p w14:paraId="2F1233A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6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61"/>
    </w:p>
    <w:p w14:paraId="48EB69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ADAFE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B7A2D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74F89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80AE8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71BBDF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5CC9B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072570D">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448083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F2EA5E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4E9ACA5">
      <w:pPr>
        <w:autoSpaceDE w:val="0"/>
        <w:autoSpaceDN w:val="0"/>
        <w:jc w:val="center"/>
        <w:rPr>
          <w:rFonts w:ascii="宋体" w:hAnsi="宋体" w:cs="宋体"/>
          <w:b/>
          <w:color w:val="auto"/>
          <w:spacing w:val="6"/>
          <w:sz w:val="32"/>
          <w:szCs w:val="32"/>
          <w:highlight w:val="none"/>
        </w:rPr>
      </w:pPr>
    </w:p>
    <w:p w14:paraId="5A15C769">
      <w:pPr>
        <w:autoSpaceDE w:val="0"/>
        <w:autoSpaceDN w:val="0"/>
        <w:jc w:val="center"/>
        <w:rPr>
          <w:rFonts w:ascii="宋体" w:hAnsi="宋体" w:cs="宋体"/>
          <w:b/>
          <w:color w:val="auto"/>
          <w:spacing w:val="6"/>
          <w:sz w:val="32"/>
          <w:szCs w:val="32"/>
          <w:highlight w:val="none"/>
        </w:rPr>
      </w:pPr>
    </w:p>
    <w:p w14:paraId="6762212F">
      <w:pPr>
        <w:autoSpaceDE w:val="0"/>
        <w:autoSpaceDN w:val="0"/>
        <w:jc w:val="center"/>
        <w:rPr>
          <w:rFonts w:ascii="宋体" w:hAnsi="宋体" w:cs="宋体"/>
          <w:b/>
          <w:color w:val="auto"/>
          <w:spacing w:val="6"/>
          <w:sz w:val="32"/>
          <w:szCs w:val="32"/>
          <w:highlight w:val="none"/>
        </w:rPr>
      </w:pPr>
    </w:p>
    <w:p w14:paraId="1A66B371">
      <w:pPr>
        <w:autoSpaceDE w:val="0"/>
        <w:autoSpaceDN w:val="0"/>
        <w:jc w:val="center"/>
        <w:rPr>
          <w:rFonts w:ascii="宋体" w:hAnsi="宋体" w:cs="宋体"/>
          <w:b/>
          <w:color w:val="auto"/>
          <w:spacing w:val="6"/>
          <w:sz w:val="32"/>
          <w:szCs w:val="32"/>
          <w:highlight w:val="none"/>
        </w:rPr>
      </w:pPr>
    </w:p>
    <w:p w14:paraId="3CC1720E">
      <w:pPr>
        <w:autoSpaceDE w:val="0"/>
        <w:autoSpaceDN w:val="0"/>
        <w:jc w:val="center"/>
        <w:rPr>
          <w:rFonts w:ascii="宋体" w:hAnsi="宋体" w:cs="宋体"/>
          <w:b/>
          <w:color w:val="auto"/>
          <w:spacing w:val="6"/>
          <w:sz w:val="32"/>
          <w:szCs w:val="32"/>
          <w:highlight w:val="none"/>
        </w:rPr>
      </w:pPr>
    </w:p>
    <w:p w14:paraId="22D77A47">
      <w:pPr>
        <w:autoSpaceDE w:val="0"/>
        <w:autoSpaceDN w:val="0"/>
        <w:jc w:val="center"/>
        <w:rPr>
          <w:rFonts w:ascii="宋体" w:hAnsi="宋体" w:cs="宋体"/>
          <w:b/>
          <w:color w:val="auto"/>
          <w:spacing w:val="6"/>
          <w:sz w:val="32"/>
          <w:szCs w:val="32"/>
          <w:highlight w:val="none"/>
        </w:rPr>
      </w:pPr>
    </w:p>
    <w:p w14:paraId="36AA6C97">
      <w:pPr>
        <w:autoSpaceDE w:val="0"/>
        <w:autoSpaceDN w:val="0"/>
        <w:jc w:val="center"/>
        <w:rPr>
          <w:rFonts w:ascii="宋体" w:hAnsi="宋体" w:cs="宋体"/>
          <w:b/>
          <w:color w:val="auto"/>
          <w:spacing w:val="6"/>
          <w:sz w:val="32"/>
          <w:szCs w:val="32"/>
          <w:highlight w:val="none"/>
        </w:rPr>
      </w:pPr>
    </w:p>
    <w:p w14:paraId="54F63670">
      <w:pPr>
        <w:autoSpaceDE w:val="0"/>
        <w:autoSpaceDN w:val="0"/>
        <w:jc w:val="center"/>
        <w:rPr>
          <w:rFonts w:ascii="宋体" w:hAnsi="宋体" w:cs="宋体"/>
          <w:b/>
          <w:color w:val="auto"/>
          <w:spacing w:val="6"/>
          <w:sz w:val="32"/>
          <w:szCs w:val="32"/>
          <w:highlight w:val="none"/>
        </w:rPr>
      </w:pPr>
    </w:p>
    <w:p w14:paraId="5D153A1F">
      <w:pPr>
        <w:autoSpaceDE w:val="0"/>
        <w:autoSpaceDN w:val="0"/>
        <w:jc w:val="center"/>
        <w:rPr>
          <w:rFonts w:ascii="宋体" w:hAnsi="宋体" w:cs="宋体"/>
          <w:b/>
          <w:color w:val="auto"/>
          <w:spacing w:val="6"/>
          <w:sz w:val="32"/>
          <w:szCs w:val="32"/>
          <w:highlight w:val="none"/>
        </w:rPr>
      </w:pPr>
    </w:p>
    <w:p w14:paraId="3241DF58">
      <w:pPr>
        <w:autoSpaceDE w:val="0"/>
        <w:autoSpaceDN w:val="0"/>
        <w:jc w:val="center"/>
        <w:rPr>
          <w:rFonts w:ascii="宋体" w:hAnsi="宋体" w:cs="宋体"/>
          <w:b/>
          <w:color w:val="auto"/>
          <w:spacing w:val="6"/>
          <w:sz w:val="32"/>
          <w:szCs w:val="32"/>
          <w:highlight w:val="none"/>
        </w:rPr>
      </w:pPr>
    </w:p>
    <w:p w14:paraId="464E2C5D">
      <w:pPr>
        <w:autoSpaceDE w:val="0"/>
        <w:autoSpaceDN w:val="0"/>
        <w:jc w:val="center"/>
        <w:rPr>
          <w:rFonts w:ascii="宋体" w:hAnsi="宋体" w:cs="宋体"/>
          <w:b/>
          <w:color w:val="auto"/>
          <w:spacing w:val="6"/>
          <w:sz w:val="32"/>
          <w:szCs w:val="32"/>
          <w:highlight w:val="none"/>
        </w:rPr>
      </w:pPr>
    </w:p>
    <w:p w14:paraId="40A19F3C">
      <w:pPr>
        <w:autoSpaceDE w:val="0"/>
        <w:autoSpaceDN w:val="0"/>
        <w:jc w:val="center"/>
        <w:rPr>
          <w:rFonts w:ascii="宋体" w:hAnsi="宋体" w:cs="宋体"/>
          <w:b/>
          <w:color w:val="auto"/>
          <w:spacing w:val="6"/>
          <w:sz w:val="32"/>
          <w:szCs w:val="32"/>
          <w:highlight w:val="none"/>
        </w:rPr>
      </w:pPr>
    </w:p>
    <w:p w14:paraId="609FE886">
      <w:pPr>
        <w:autoSpaceDE w:val="0"/>
        <w:autoSpaceDN w:val="0"/>
        <w:jc w:val="center"/>
        <w:rPr>
          <w:rFonts w:ascii="宋体" w:hAnsi="宋体" w:cs="宋体"/>
          <w:b/>
          <w:color w:val="auto"/>
          <w:spacing w:val="6"/>
          <w:sz w:val="32"/>
          <w:szCs w:val="32"/>
          <w:highlight w:val="none"/>
        </w:rPr>
      </w:pPr>
    </w:p>
    <w:p w14:paraId="578415D9">
      <w:pPr>
        <w:autoSpaceDE w:val="0"/>
        <w:autoSpaceDN w:val="0"/>
        <w:jc w:val="center"/>
        <w:rPr>
          <w:rFonts w:ascii="宋体" w:hAnsi="宋体" w:cs="宋体"/>
          <w:b/>
          <w:color w:val="auto"/>
          <w:spacing w:val="6"/>
          <w:sz w:val="32"/>
          <w:szCs w:val="32"/>
          <w:highlight w:val="none"/>
        </w:rPr>
      </w:pPr>
    </w:p>
    <w:p w14:paraId="65A71B3A">
      <w:pPr>
        <w:autoSpaceDE w:val="0"/>
        <w:autoSpaceDN w:val="0"/>
        <w:jc w:val="center"/>
        <w:rPr>
          <w:rFonts w:ascii="宋体" w:hAnsi="宋体" w:cs="宋体"/>
          <w:b/>
          <w:color w:val="auto"/>
          <w:spacing w:val="6"/>
          <w:sz w:val="32"/>
          <w:szCs w:val="32"/>
          <w:highlight w:val="none"/>
        </w:rPr>
      </w:pPr>
    </w:p>
    <w:p w14:paraId="0D522268">
      <w:pPr>
        <w:autoSpaceDE w:val="0"/>
        <w:autoSpaceDN w:val="0"/>
        <w:jc w:val="center"/>
        <w:rPr>
          <w:rFonts w:ascii="宋体" w:hAnsi="宋体" w:cs="宋体"/>
          <w:b/>
          <w:color w:val="auto"/>
          <w:spacing w:val="6"/>
          <w:sz w:val="32"/>
          <w:szCs w:val="32"/>
          <w:highlight w:val="none"/>
        </w:rPr>
      </w:pPr>
    </w:p>
    <w:p w14:paraId="43FDDB9A">
      <w:pPr>
        <w:autoSpaceDE w:val="0"/>
        <w:autoSpaceDN w:val="0"/>
        <w:jc w:val="center"/>
        <w:rPr>
          <w:rFonts w:ascii="宋体" w:hAnsi="宋体" w:cs="宋体"/>
          <w:b/>
          <w:color w:val="auto"/>
          <w:spacing w:val="6"/>
          <w:sz w:val="32"/>
          <w:szCs w:val="32"/>
          <w:highlight w:val="none"/>
        </w:rPr>
      </w:pPr>
    </w:p>
    <w:p w14:paraId="615808EE">
      <w:pPr>
        <w:autoSpaceDE w:val="0"/>
        <w:autoSpaceDN w:val="0"/>
        <w:jc w:val="center"/>
        <w:rPr>
          <w:rFonts w:ascii="宋体" w:hAnsi="宋体" w:cs="宋体"/>
          <w:b/>
          <w:color w:val="auto"/>
          <w:spacing w:val="6"/>
          <w:sz w:val="32"/>
          <w:szCs w:val="32"/>
          <w:highlight w:val="none"/>
        </w:rPr>
      </w:pPr>
    </w:p>
    <w:p w14:paraId="7E19D95C">
      <w:pPr>
        <w:autoSpaceDE w:val="0"/>
        <w:autoSpaceDN w:val="0"/>
        <w:jc w:val="center"/>
        <w:rPr>
          <w:rFonts w:ascii="宋体" w:hAnsi="宋体" w:cs="宋体"/>
          <w:b/>
          <w:color w:val="auto"/>
          <w:spacing w:val="6"/>
          <w:sz w:val="32"/>
          <w:szCs w:val="32"/>
          <w:highlight w:val="none"/>
        </w:rPr>
      </w:pPr>
    </w:p>
    <w:p w14:paraId="1FBBE2EE">
      <w:pPr>
        <w:autoSpaceDE w:val="0"/>
        <w:autoSpaceDN w:val="0"/>
        <w:jc w:val="center"/>
        <w:rPr>
          <w:rFonts w:ascii="宋体" w:hAnsi="宋体" w:cs="宋体"/>
          <w:b/>
          <w:color w:val="auto"/>
          <w:spacing w:val="6"/>
          <w:sz w:val="32"/>
          <w:szCs w:val="32"/>
          <w:highlight w:val="none"/>
        </w:rPr>
      </w:pPr>
    </w:p>
    <w:p w14:paraId="707D1660">
      <w:pPr>
        <w:autoSpaceDE w:val="0"/>
        <w:autoSpaceDN w:val="0"/>
        <w:jc w:val="center"/>
        <w:rPr>
          <w:rFonts w:ascii="宋体" w:hAnsi="宋体" w:cs="宋体"/>
          <w:b/>
          <w:color w:val="auto"/>
          <w:spacing w:val="6"/>
          <w:sz w:val="32"/>
          <w:szCs w:val="32"/>
          <w:highlight w:val="none"/>
        </w:rPr>
      </w:pPr>
    </w:p>
    <w:p w14:paraId="18E79C88">
      <w:pPr>
        <w:autoSpaceDE w:val="0"/>
        <w:autoSpaceDN w:val="0"/>
        <w:jc w:val="center"/>
        <w:rPr>
          <w:rFonts w:ascii="宋体" w:hAnsi="宋体" w:cs="宋体"/>
          <w:b/>
          <w:color w:val="auto"/>
          <w:spacing w:val="6"/>
          <w:sz w:val="32"/>
          <w:szCs w:val="32"/>
          <w:highlight w:val="none"/>
        </w:rPr>
      </w:pPr>
    </w:p>
    <w:p w14:paraId="76B2B615">
      <w:pPr>
        <w:autoSpaceDE w:val="0"/>
        <w:autoSpaceDN w:val="0"/>
        <w:jc w:val="center"/>
        <w:rPr>
          <w:rFonts w:ascii="宋体" w:hAnsi="宋体" w:cs="宋体"/>
          <w:b/>
          <w:color w:val="auto"/>
          <w:spacing w:val="6"/>
          <w:sz w:val="32"/>
          <w:szCs w:val="32"/>
          <w:highlight w:val="none"/>
        </w:rPr>
      </w:pPr>
    </w:p>
    <w:p w14:paraId="54C71F3B">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2BAC54D7">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73F9304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A90E5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 xml:space="preserve">杭州市余杭区余杭街道社区卫生服务中心物业服务采购项目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HZYHZFCG-2025-008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5D7E0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BB42D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87CC1D1">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EF1541E">
      <w:pPr>
        <w:rPr>
          <w:color w:val="auto"/>
          <w:highlight w:val="none"/>
        </w:rPr>
      </w:pPr>
      <w:r>
        <w:rPr>
          <w:rFonts w:hint="eastAsia"/>
          <w:color w:val="auto"/>
          <w:highlight w:val="none"/>
          <w:lang w:val="zh-CN"/>
        </w:rPr>
        <w:t xml:space="preserve"> </w:t>
      </w:r>
    </w:p>
    <w:p w14:paraId="161406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722E7AA">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BD9EA2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611128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8BE49F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1B139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5AF5D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36744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89C696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C89F9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E8A25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9BFE5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ED61C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C42AB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21D4D9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6851F91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9C95D0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7FF555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2C5EB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3DB7892">
      <w:pPr>
        <w:autoSpaceDE w:val="0"/>
        <w:autoSpaceDN w:val="0"/>
        <w:jc w:val="center"/>
        <w:rPr>
          <w:rFonts w:ascii="宋体" w:hAnsi="宋体" w:cs="宋体"/>
          <w:b/>
          <w:color w:val="auto"/>
          <w:spacing w:val="6"/>
          <w:sz w:val="32"/>
          <w:szCs w:val="32"/>
          <w:highlight w:val="none"/>
        </w:rPr>
      </w:pPr>
    </w:p>
    <w:p w14:paraId="7B3176DA">
      <w:pPr>
        <w:autoSpaceDE w:val="0"/>
        <w:autoSpaceDN w:val="0"/>
        <w:jc w:val="center"/>
        <w:rPr>
          <w:rFonts w:ascii="宋体" w:hAnsi="宋体" w:cs="宋体"/>
          <w:b/>
          <w:color w:val="auto"/>
          <w:spacing w:val="6"/>
          <w:sz w:val="32"/>
          <w:szCs w:val="32"/>
          <w:highlight w:val="none"/>
        </w:rPr>
      </w:pPr>
    </w:p>
    <w:p w14:paraId="0267E67F">
      <w:pPr>
        <w:autoSpaceDE w:val="0"/>
        <w:autoSpaceDN w:val="0"/>
        <w:jc w:val="center"/>
        <w:rPr>
          <w:rFonts w:ascii="宋体" w:hAnsi="宋体" w:cs="宋体"/>
          <w:b/>
          <w:color w:val="auto"/>
          <w:spacing w:val="6"/>
          <w:sz w:val="32"/>
          <w:szCs w:val="32"/>
          <w:highlight w:val="none"/>
        </w:rPr>
      </w:pPr>
    </w:p>
    <w:p w14:paraId="30AB60AD">
      <w:pPr>
        <w:autoSpaceDE w:val="0"/>
        <w:autoSpaceDN w:val="0"/>
        <w:jc w:val="center"/>
        <w:rPr>
          <w:rFonts w:ascii="宋体" w:hAnsi="宋体" w:cs="宋体"/>
          <w:b/>
          <w:color w:val="auto"/>
          <w:spacing w:val="6"/>
          <w:sz w:val="32"/>
          <w:szCs w:val="32"/>
          <w:highlight w:val="none"/>
        </w:rPr>
      </w:pPr>
    </w:p>
    <w:p w14:paraId="6F4B4BA4">
      <w:pPr>
        <w:autoSpaceDE w:val="0"/>
        <w:autoSpaceDN w:val="0"/>
        <w:jc w:val="center"/>
        <w:rPr>
          <w:rFonts w:ascii="宋体" w:hAnsi="宋体" w:cs="宋体"/>
          <w:b/>
          <w:color w:val="auto"/>
          <w:spacing w:val="6"/>
          <w:sz w:val="32"/>
          <w:szCs w:val="32"/>
          <w:highlight w:val="none"/>
        </w:rPr>
      </w:pPr>
    </w:p>
    <w:p w14:paraId="1AA468C4">
      <w:pPr>
        <w:autoSpaceDE w:val="0"/>
        <w:autoSpaceDN w:val="0"/>
        <w:jc w:val="center"/>
        <w:rPr>
          <w:rFonts w:ascii="宋体" w:hAnsi="宋体" w:cs="宋体"/>
          <w:b/>
          <w:color w:val="auto"/>
          <w:spacing w:val="6"/>
          <w:sz w:val="32"/>
          <w:szCs w:val="32"/>
          <w:highlight w:val="none"/>
        </w:rPr>
      </w:pPr>
    </w:p>
    <w:p w14:paraId="44468DF9">
      <w:pPr>
        <w:autoSpaceDE w:val="0"/>
        <w:autoSpaceDN w:val="0"/>
        <w:jc w:val="center"/>
        <w:rPr>
          <w:rFonts w:ascii="宋体" w:hAnsi="宋体" w:cs="宋体"/>
          <w:b/>
          <w:color w:val="auto"/>
          <w:spacing w:val="6"/>
          <w:sz w:val="32"/>
          <w:szCs w:val="32"/>
          <w:highlight w:val="none"/>
        </w:rPr>
      </w:pPr>
    </w:p>
    <w:p w14:paraId="06D55A62">
      <w:pPr>
        <w:autoSpaceDE w:val="0"/>
        <w:autoSpaceDN w:val="0"/>
        <w:jc w:val="center"/>
        <w:rPr>
          <w:rFonts w:ascii="宋体" w:hAnsi="宋体" w:cs="宋体"/>
          <w:b/>
          <w:color w:val="auto"/>
          <w:spacing w:val="6"/>
          <w:sz w:val="32"/>
          <w:szCs w:val="32"/>
          <w:highlight w:val="none"/>
        </w:rPr>
      </w:pPr>
    </w:p>
    <w:p w14:paraId="50217CEF">
      <w:pPr>
        <w:autoSpaceDE w:val="0"/>
        <w:autoSpaceDN w:val="0"/>
        <w:jc w:val="center"/>
        <w:rPr>
          <w:rFonts w:ascii="宋体" w:hAnsi="宋体" w:cs="宋体"/>
          <w:b/>
          <w:color w:val="auto"/>
          <w:spacing w:val="6"/>
          <w:sz w:val="32"/>
          <w:szCs w:val="32"/>
          <w:highlight w:val="none"/>
        </w:rPr>
      </w:pPr>
    </w:p>
    <w:p w14:paraId="577B43F7">
      <w:pPr>
        <w:autoSpaceDE w:val="0"/>
        <w:autoSpaceDN w:val="0"/>
        <w:jc w:val="center"/>
        <w:rPr>
          <w:rFonts w:ascii="宋体" w:hAnsi="宋体" w:cs="宋体"/>
          <w:b/>
          <w:color w:val="auto"/>
          <w:spacing w:val="6"/>
          <w:sz w:val="32"/>
          <w:szCs w:val="32"/>
          <w:highlight w:val="none"/>
        </w:rPr>
      </w:pPr>
    </w:p>
    <w:p w14:paraId="1760BB69">
      <w:pPr>
        <w:autoSpaceDE w:val="0"/>
        <w:autoSpaceDN w:val="0"/>
        <w:jc w:val="center"/>
        <w:rPr>
          <w:rFonts w:ascii="宋体" w:hAnsi="宋体" w:cs="宋体"/>
          <w:b/>
          <w:color w:val="auto"/>
          <w:spacing w:val="6"/>
          <w:sz w:val="32"/>
          <w:szCs w:val="32"/>
          <w:highlight w:val="none"/>
        </w:rPr>
      </w:pPr>
    </w:p>
    <w:p w14:paraId="30C99443">
      <w:pPr>
        <w:autoSpaceDE w:val="0"/>
        <w:autoSpaceDN w:val="0"/>
        <w:jc w:val="center"/>
        <w:rPr>
          <w:rFonts w:ascii="宋体" w:hAnsi="宋体" w:cs="宋体"/>
          <w:b/>
          <w:color w:val="auto"/>
          <w:spacing w:val="6"/>
          <w:sz w:val="32"/>
          <w:szCs w:val="32"/>
          <w:highlight w:val="none"/>
        </w:rPr>
      </w:pPr>
    </w:p>
    <w:p w14:paraId="39A7DE1F">
      <w:pPr>
        <w:autoSpaceDE w:val="0"/>
        <w:autoSpaceDN w:val="0"/>
        <w:jc w:val="center"/>
        <w:rPr>
          <w:rFonts w:ascii="宋体" w:hAnsi="宋体" w:cs="宋体"/>
          <w:b/>
          <w:color w:val="auto"/>
          <w:spacing w:val="6"/>
          <w:sz w:val="32"/>
          <w:szCs w:val="32"/>
          <w:highlight w:val="none"/>
        </w:rPr>
      </w:pPr>
    </w:p>
    <w:p w14:paraId="2BBAD5DE">
      <w:pPr>
        <w:autoSpaceDE w:val="0"/>
        <w:autoSpaceDN w:val="0"/>
        <w:jc w:val="center"/>
        <w:rPr>
          <w:rFonts w:ascii="宋体" w:hAnsi="宋体" w:cs="宋体"/>
          <w:b/>
          <w:color w:val="auto"/>
          <w:spacing w:val="6"/>
          <w:sz w:val="32"/>
          <w:szCs w:val="32"/>
          <w:highlight w:val="none"/>
        </w:rPr>
      </w:pPr>
    </w:p>
    <w:p w14:paraId="36A31C6D">
      <w:pPr>
        <w:autoSpaceDE w:val="0"/>
        <w:autoSpaceDN w:val="0"/>
        <w:jc w:val="center"/>
        <w:rPr>
          <w:rFonts w:ascii="宋体" w:hAnsi="宋体" w:cs="宋体"/>
          <w:b/>
          <w:color w:val="auto"/>
          <w:spacing w:val="6"/>
          <w:sz w:val="32"/>
          <w:szCs w:val="32"/>
          <w:highlight w:val="none"/>
        </w:rPr>
      </w:pPr>
    </w:p>
    <w:p w14:paraId="1259F824">
      <w:pPr>
        <w:autoSpaceDE w:val="0"/>
        <w:autoSpaceDN w:val="0"/>
        <w:jc w:val="center"/>
        <w:rPr>
          <w:rFonts w:ascii="宋体" w:hAnsi="宋体" w:cs="宋体"/>
          <w:b/>
          <w:color w:val="auto"/>
          <w:spacing w:val="6"/>
          <w:sz w:val="32"/>
          <w:szCs w:val="32"/>
          <w:highlight w:val="none"/>
        </w:rPr>
      </w:pPr>
    </w:p>
    <w:p w14:paraId="5393C372">
      <w:pPr>
        <w:autoSpaceDE w:val="0"/>
        <w:autoSpaceDN w:val="0"/>
        <w:jc w:val="center"/>
        <w:rPr>
          <w:rFonts w:ascii="宋体" w:hAnsi="宋体" w:cs="宋体"/>
          <w:b/>
          <w:color w:val="auto"/>
          <w:spacing w:val="6"/>
          <w:sz w:val="32"/>
          <w:szCs w:val="32"/>
          <w:highlight w:val="none"/>
        </w:rPr>
      </w:pPr>
    </w:p>
    <w:p w14:paraId="300A9AF3">
      <w:pPr>
        <w:autoSpaceDE w:val="0"/>
        <w:autoSpaceDN w:val="0"/>
        <w:jc w:val="center"/>
        <w:rPr>
          <w:rFonts w:ascii="宋体" w:hAnsi="宋体" w:cs="宋体"/>
          <w:b/>
          <w:color w:val="auto"/>
          <w:spacing w:val="6"/>
          <w:sz w:val="32"/>
          <w:szCs w:val="32"/>
          <w:highlight w:val="none"/>
        </w:rPr>
      </w:pPr>
    </w:p>
    <w:p w14:paraId="4F10CF1F">
      <w:pPr>
        <w:autoSpaceDE w:val="0"/>
        <w:autoSpaceDN w:val="0"/>
        <w:jc w:val="center"/>
        <w:rPr>
          <w:rFonts w:ascii="宋体" w:hAnsi="宋体" w:cs="宋体"/>
          <w:b/>
          <w:color w:val="auto"/>
          <w:spacing w:val="6"/>
          <w:sz w:val="32"/>
          <w:szCs w:val="32"/>
          <w:highlight w:val="none"/>
        </w:rPr>
      </w:pPr>
    </w:p>
    <w:p w14:paraId="33E638A5">
      <w:pPr>
        <w:autoSpaceDE w:val="0"/>
        <w:autoSpaceDN w:val="0"/>
        <w:jc w:val="center"/>
        <w:rPr>
          <w:rFonts w:ascii="宋体" w:hAnsi="宋体" w:cs="宋体"/>
          <w:b/>
          <w:color w:val="auto"/>
          <w:spacing w:val="6"/>
          <w:sz w:val="32"/>
          <w:szCs w:val="32"/>
          <w:highlight w:val="none"/>
        </w:rPr>
      </w:pPr>
    </w:p>
    <w:p w14:paraId="02216868">
      <w:pPr>
        <w:autoSpaceDE w:val="0"/>
        <w:autoSpaceDN w:val="0"/>
        <w:jc w:val="center"/>
        <w:rPr>
          <w:rFonts w:ascii="宋体" w:hAnsi="宋体" w:cs="宋体"/>
          <w:b/>
          <w:color w:val="auto"/>
          <w:spacing w:val="6"/>
          <w:sz w:val="32"/>
          <w:szCs w:val="32"/>
          <w:highlight w:val="none"/>
        </w:rPr>
      </w:pPr>
    </w:p>
    <w:p w14:paraId="2F87238A">
      <w:pPr>
        <w:autoSpaceDE w:val="0"/>
        <w:autoSpaceDN w:val="0"/>
        <w:jc w:val="center"/>
        <w:rPr>
          <w:rFonts w:ascii="宋体" w:hAnsi="宋体" w:cs="宋体"/>
          <w:b/>
          <w:color w:val="auto"/>
          <w:spacing w:val="6"/>
          <w:sz w:val="32"/>
          <w:szCs w:val="32"/>
          <w:highlight w:val="none"/>
        </w:rPr>
      </w:pPr>
    </w:p>
    <w:p w14:paraId="758EE135">
      <w:pPr>
        <w:autoSpaceDE w:val="0"/>
        <w:autoSpaceDN w:val="0"/>
        <w:jc w:val="center"/>
        <w:rPr>
          <w:rFonts w:ascii="宋体" w:hAnsi="宋体" w:cs="宋体"/>
          <w:b/>
          <w:color w:val="auto"/>
          <w:spacing w:val="6"/>
          <w:sz w:val="32"/>
          <w:szCs w:val="32"/>
          <w:highlight w:val="none"/>
        </w:rPr>
      </w:pPr>
    </w:p>
    <w:p w14:paraId="42AF7681">
      <w:pPr>
        <w:autoSpaceDE w:val="0"/>
        <w:autoSpaceDN w:val="0"/>
        <w:jc w:val="center"/>
        <w:rPr>
          <w:rFonts w:ascii="宋体" w:hAnsi="宋体" w:cs="宋体"/>
          <w:b/>
          <w:color w:val="auto"/>
          <w:spacing w:val="6"/>
          <w:sz w:val="32"/>
          <w:szCs w:val="32"/>
          <w:highlight w:val="none"/>
        </w:rPr>
      </w:pPr>
    </w:p>
    <w:p w14:paraId="0513FD82">
      <w:pPr>
        <w:autoSpaceDE w:val="0"/>
        <w:autoSpaceDN w:val="0"/>
        <w:jc w:val="center"/>
        <w:rPr>
          <w:rFonts w:ascii="宋体" w:hAnsi="宋体" w:cs="宋体"/>
          <w:b/>
          <w:color w:val="auto"/>
          <w:spacing w:val="6"/>
          <w:sz w:val="32"/>
          <w:szCs w:val="32"/>
          <w:highlight w:val="none"/>
        </w:rPr>
      </w:pPr>
    </w:p>
    <w:p w14:paraId="2199B08A">
      <w:pPr>
        <w:autoSpaceDE w:val="0"/>
        <w:autoSpaceDN w:val="0"/>
        <w:jc w:val="center"/>
        <w:rPr>
          <w:rFonts w:ascii="宋体" w:hAnsi="宋体" w:cs="宋体"/>
          <w:b/>
          <w:color w:val="auto"/>
          <w:spacing w:val="6"/>
          <w:sz w:val="32"/>
          <w:szCs w:val="32"/>
          <w:highlight w:val="none"/>
        </w:rPr>
      </w:pPr>
    </w:p>
    <w:p w14:paraId="2C1C3A6D">
      <w:pPr>
        <w:autoSpaceDE w:val="0"/>
        <w:autoSpaceDN w:val="0"/>
        <w:jc w:val="center"/>
        <w:rPr>
          <w:rFonts w:ascii="宋体" w:hAnsi="宋体" w:cs="宋体"/>
          <w:b/>
          <w:color w:val="auto"/>
          <w:spacing w:val="6"/>
          <w:sz w:val="32"/>
          <w:szCs w:val="32"/>
          <w:highlight w:val="none"/>
        </w:rPr>
      </w:pPr>
    </w:p>
    <w:p w14:paraId="29BA14E9">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774043E2">
      <w:pPr>
        <w:spacing w:line="360" w:lineRule="auto"/>
        <w:jc w:val="center"/>
        <w:rPr>
          <w:rFonts w:ascii="宋体" w:hAnsi="宋体" w:cs="宋体"/>
          <w:color w:val="auto"/>
          <w:sz w:val="24"/>
          <w:highlight w:val="none"/>
          <w:u w:val="single"/>
        </w:rPr>
      </w:pPr>
    </w:p>
    <w:p w14:paraId="3BCF0D5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4E61A47">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杭州市余杭区余杭街道社区卫生服务中心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杭州市余杭区余杭街道社区卫生服务中心物业服务采购项目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0D77B1C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u w:val="single"/>
          <w:lang w:eastAsia="zh-CN"/>
        </w:rPr>
        <w:t>物业管理服务</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物业管理行业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1BE222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F4A788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1B5DB49">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A82498F">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3F8CF739">
      <w:pPr>
        <w:spacing w:line="360" w:lineRule="auto"/>
        <w:ind w:firstLine="310" w:firstLineChars="147"/>
        <w:jc w:val="left"/>
        <w:rPr>
          <w:rFonts w:ascii="宋体" w:hAnsi="宋体" w:cs="宋体"/>
          <w:color w:val="auto"/>
          <w:sz w:val="24"/>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9B4980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77A3EBA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14:paraId="0ECCD5D5">
      <w:pPr>
        <w:spacing w:line="360" w:lineRule="auto"/>
        <w:ind w:right="420" w:firstLine="720" w:firstLineChars="300"/>
        <w:rPr>
          <w:rFonts w:ascii="宋体" w:hAnsi="宋体" w:cs="宋体"/>
          <w:bCs/>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0"/>
    <w:family w:val="auto"/>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F4F0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32673">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62" w:name="_Toc164085800"/>
    <w:bookmarkStart w:id="463" w:name="_Toc36110187"/>
    <w:bookmarkStart w:id="464" w:name="_Toc131845147"/>
    <w:bookmarkStart w:id="465" w:name="_Toc91899912"/>
    <w:r>
      <w:rPr>
        <w:rFonts w:hint="eastAsia" w:ascii="仿宋_GB2312" w:eastAsia="仿宋_GB2312"/>
        <w:kern w:val="0"/>
        <w:szCs w:val="21"/>
      </w:rPr>
      <w:t xml:space="preserve"> 页</w:t>
    </w:r>
    <w:bookmarkEnd w:id="462"/>
    <w:bookmarkEnd w:id="463"/>
    <w:bookmarkEnd w:id="464"/>
    <w:bookmarkEnd w:id="46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69DA4">
    <w:pPr>
      <w:pStyle w:val="39"/>
      <w:framePr w:wrap="around" w:vAnchor="text" w:hAnchor="margin" w:xAlign="right" w:y="1"/>
      <w:rPr>
        <w:rStyle w:val="73"/>
      </w:rPr>
    </w:pPr>
    <w:r>
      <w:fldChar w:fldCharType="begin"/>
    </w:r>
    <w:r>
      <w:rPr>
        <w:rStyle w:val="73"/>
      </w:rPr>
      <w:instrText xml:space="preserve">PAGE  </w:instrText>
    </w:r>
    <w:r>
      <w:fldChar w:fldCharType="end"/>
    </w:r>
  </w:p>
  <w:p w14:paraId="0B7CA5D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30D7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5FFF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93CA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CE3B77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0088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F7F180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AE91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19EF46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307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89BDD0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AAB9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47816">
    <w:pPr>
      <w:pStyle w:val="40"/>
      <w:pBdr>
        <w:bottom w:val="single" w:color="auto" w:sz="6" w:space="4"/>
      </w:pBdr>
      <w:jc w:val="right"/>
    </w:pPr>
    <w:r>
      <w:t></w:t>
    </w:r>
    <w:r>
      <w:rPr>
        <w:rFonts w:hint="eastAsia"/>
      </w:rPr>
      <w:t xml:space="preserve">       </w:t>
    </w:r>
    <w:r>
      <w:rPr>
        <w:rFonts w:hint="eastAsia"/>
        <w:lang w:eastAsia="zh-CN"/>
      </w:rPr>
      <w:t>余杭区政府采购公开招标文件</w:t>
    </w:r>
  </w:p>
  <w:p w14:paraId="0F5EE23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7E0DE">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52431">
    <w:pPr>
      <w:pStyle w:val="40"/>
      <w:pBdr>
        <w:bottom w:val="single" w:color="auto" w:sz="6" w:space="4"/>
      </w:pBdr>
      <w:jc w:val="right"/>
    </w:pPr>
    <w:r>
      <w:t></w:t>
    </w:r>
    <w:r>
      <w:rPr>
        <w:rFonts w:hint="eastAsia"/>
      </w:rPr>
      <w:t xml:space="preserve">             </w:t>
    </w:r>
    <w:r>
      <w:rPr>
        <w:rFonts w:hint="eastAsia"/>
        <w:lang w:eastAsia="zh-CN"/>
      </w:rPr>
      <w:t>余杭区政府采购</w:t>
    </w:r>
    <w:r>
      <w:t>公开招标文件</w:t>
    </w:r>
  </w:p>
  <w:p w14:paraId="701462CD">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BE94D">
    <w:pPr>
      <w:pStyle w:val="40"/>
      <w:rPr>
        <w:rFonts w:ascii="仿宋_GB2312" w:eastAsia="仿宋_GB2312"/>
        <w:b/>
        <w:i/>
        <w:u w:val="single"/>
      </w:rPr>
    </w:pPr>
    <w:r>
      <w:t></w:t>
    </w:r>
    <w:r>
      <w:rPr>
        <w:rFonts w:hint="eastAsia"/>
      </w:rPr>
      <w:t xml:space="preserve">                                                  </w:t>
    </w:r>
    <w:r>
      <w:rPr>
        <w:rFonts w:hint="eastAsia"/>
        <w:lang w:eastAsia="zh-CN"/>
      </w:rPr>
      <w:t>余杭区政府采购公开招标文件</w:t>
    </w:r>
  </w:p>
  <w:p w14:paraId="7096745A">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70C3D">
    <w:pPr>
      <w:pStyle w:val="40"/>
      <w:jc w:val="right"/>
    </w:pPr>
    <w:r>
      <w:t></w:t>
    </w:r>
    <w:r>
      <w:rPr>
        <w:rFonts w:hint="eastAsia"/>
      </w:rPr>
      <w:t xml:space="preserve">                 </w:t>
    </w:r>
    <w:r>
      <w:t xml:space="preserve">                                </w:t>
    </w:r>
    <w:r>
      <w:rPr>
        <w:rFonts w:hint="eastAsia"/>
      </w:rPr>
      <w:t xml:space="preserve">         </w:t>
    </w:r>
    <w:r>
      <w:rPr>
        <w:rFonts w:hint="eastAsia"/>
        <w:lang w:eastAsia="zh-CN"/>
      </w:rPr>
      <w:t>余杭区政府采购公开招标文件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5C00F">
    <w:pPr>
      <w:pStyle w:val="40"/>
      <w:jc w:val="right"/>
      <w:rPr>
        <w:rFonts w:ascii="仿宋_GB2312" w:eastAsia="仿宋_GB2312"/>
        <w:b/>
        <w:i/>
        <w:u w:val="single"/>
      </w:rPr>
    </w:pPr>
    <w:r>
      <w:rPr>
        <w:rFonts w:hint="eastAsia"/>
      </w:rPr>
      <w:t xml:space="preserve">                                  </w:t>
    </w:r>
    <w:r>
      <w:rPr>
        <w:rFonts w:hint="eastAsia"/>
        <w:lang w:eastAsia="zh-CN"/>
      </w:rPr>
      <w:t>余杭区政府采购公开招标文件</w:t>
    </w:r>
  </w:p>
  <w:p w14:paraId="63F6D3F3">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A82EB">
    <w:pPr>
      <w:pStyle w:val="40"/>
      <w:jc w:val="right"/>
    </w:pPr>
    <w:r>
      <w:rPr>
        <w:rFonts w:hint="eastAsia"/>
      </w:rPr>
      <w:t xml:space="preserve">                                                                                                        </w:t>
    </w:r>
    <w:r>
      <w:rPr>
        <w:rFonts w:hint="eastAsia"/>
        <w:lang w:eastAsia="zh-CN"/>
      </w:rPr>
      <w:t>余杭区政府采购公开招标文件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3B206">
    <w:pPr>
      <w:pStyle w:val="40"/>
      <w:jc w:val="right"/>
      <w:rPr>
        <w:rFonts w:ascii="仿宋_GB2312" w:eastAsia="仿宋_GB2312"/>
        <w:b/>
        <w:i/>
        <w:iCs/>
        <w:u w:val="single"/>
      </w:rPr>
    </w:pPr>
    <w:r>
      <w:t></w:t>
    </w:r>
    <w:r>
      <w:rPr>
        <w:rFonts w:hint="eastAsia"/>
        <w:lang w:eastAsia="zh-CN"/>
      </w:rPr>
      <w:t>余杭区政府采购公开招标文件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E9280">
    <w:pPr>
      <w:pStyle w:val="40"/>
    </w:pPr>
    <w:r>
      <w:t></w:t>
    </w:r>
    <w:r>
      <w:rPr>
        <w:rFonts w:hint="eastAsia"/>
      </w:rPr>
      <w:t xml:space="preserve">                                          </w:t>
    </w:r>
    <w:r>
      <w:rPr>
        <w:rFonts w:hint="eastAsia"/>
        <w:lang w:eastAsia="zh-CN"/>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5DC40C"/>
    <w:multiLevelType w:val="singleLevel"/>
    <w:tmpl w:val="EF5DC40C"/>
    <w:lvl w:ilvl="0" w:tentative="0">
      <w:start w:val="1"/>
      <w:numFmt w:val="decimalEnclosedCircleChinese"/>
      <w:suff w:val="nothing"/>
      <w:lvlText w:val="%1　"/>
      <w:lvlJc w:val="left"/>
      <w:pPr>
        <w:ind w:left="0" w:firstLine="400"/>
      </w:pPr>
      <w:rPr>
        <w:rFonts w:hint="eastAsia"/>
      </w:rPr>
    </w:lvl>
  </w:abstractNum>
  <w:abstractNum w:abstractNumId="1">
    <w:nsid w:val="1E94E4A5"/>
    <w:multiLevelType w:val="singleLevel"/>
    <w:tmpl w:val="1E94E4A5"/>
    <w:lvl w:ilvl="0" w:tentative="0">
      <w:start w:val="1"/>
      <w:numFmt w:val="decimal"/>
      <w:suff w:val="nothing"/>
      <w:lvlText w:val="%1．"/>
      <w:lvlJc w:val="left"/>
      <w:pPr>
        <w:ind w:left="0" w:firstLine="400"/>
      </w:pPr>
      <w:rPr>
        <w:rFonts w:hint="default"/>
      </w:rPr>
    </w:lvl>
  </w:abstractNum>
  <w:abstractNum w:abstractNumId="2">
    <w:nsid w:val="27B87AA5"/>
    <w:multiLevelType w:val="singleLevel"/>
    <w:tmpl w:val="27B87AA5"/>
    <w:lvl w:ilvl="0" w:tentative="0">
      <w:start w:val="1"/>
      <w:numFmt w:val="decimal"/>
      <w:suff w:val="nothing"/>
      <w:lvlText w:val="%1、"/>
      <w:lvlJc w:val="left"/>
    </w:lvl>
  </w:abstractNum>
  <w:abstractNum w:abstractNumId="3">
    <w:nsid w:val="2B133CBC"/>
    <w:multiLevelType w:val="multilevel"/>
    <w:tmpl w:val="2B133CBC"/>
    <w:lvl w:ilvl="0" w:tentative="0">
      <w:start w:val="1"/>
      <w:numFmt w:val="decimal"/>
      <w:lvlText w:val="（%1）"/>
      <w:lvlJc w:val="left"/>
      <w:pPr>
        <w:ind w:left="1146" w:hanging="720"/>
      </w:pPr>
      <w:rPr>
        <w:rFonts w:hint="default"/>
        <w:lang w:val="en-U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49A1C1CC"/>
    <w:multiLevelType w:val="singleLevel"/>
    <w:tmpl w:val="49A1C1CC"/>
    <w:lvl w:ilvl="0" w:tentative="0">
      <w:start w:val="1"/>
      <w:numFmt w:val="decimal"/>
      <w:suff w:val="nothing"/>
      <w:lvlText w:val="%1．"/>
      <w:lvlJc w:val="left"/>
      <w:pPr>
        <w:ind w:left="0" w:firstLine="400"/>
      </w:pPr>
      <w:rPr>
        <w:rFonts w:hint="default"/>
      </w:rPr>
    </w:lvl>
  </w:abstractNum>
  <w:abstractNum w:abstractNumId="5">
    <w:nsid w:val="6445E6DC"/>
    <w:multiLevelType w:val="singleLevel"/>
    <w:tmpl w:val="6445E6DC"/>
    <w:lvl w:ilvl="0" w:tentative="0">
      <w:start w:val="4"/>
      <w:numFmt w:val="decimal"/>
      <w:suff w:val="nothing"/>
      <w:lvlText w:val="%1."/>
      <w:lvlJc w:val="left"/>
    </w:lvl>
  </w:abstractNum>
  <w:abstractNum w:abstractNumId="6">
    <w:nsid w:val="6462F922"/>
    <w:multiLevelType w:val="singleLevel"/>
    <w:tmpl w:val="6462F922"/>
    <w:lvl w:ilvl="0" w:tentative="0">
      <w:start w:val="1"/>
      <w:numFmt w:val="decimal"/>
      <w:suff w:val="nothing"/>
      <w:lvlText w:val="%1．"/>
      <w:lvlJc w:val="left"/>
      <w:pPr>
        <w:ind w:left="0" w:leftChars="0" w:firstLine="400" w:firstLineChars="0"/>
      </w:pPr>
      <w:rPr>
        <w:rFonts w:hint="default"/>
      </w:rPr>
    </w:lvl>
  </w:abstractNum>
  <w:abstractNum w:abstractNumId="7">
    <w:nsid w:val="65027680"/>
    <w:multiLevelType w:val="singleLevel"/>
    <w:tmpl w:val="65027680"/>
    <w:lvl w:ilvl="0" w:tentative="0">
      <w:start w:val="1"/>
      <w:numFmt w:val="decimalEnclosedCircleChinese"/>
      <w:suff w:val="nothing"/>
      <w:lvlText w:val="%1　"/>
      <w:lvlJc w:val="left"/>
      <w:pPr>
        <w:ind w:left="0" w:firstLine="400"/>
      </w:pPr>
      <w:rPr>
        <w:rFonts w:hint="eastAsia"/>
      </w:rPr>
    </w:lvl>
  </w:abstractNum>
  <w:abstractNum w:abstractNumId="8">
    <w:nsid w:val="650276BC"/>
    <w:multiLevelType w:val="singleLevel"/>
    <w:tmpl w:val="650276BC"/>
    <w:lvl w:ilvl="0" w:tentative="0">
      <w:start w:val="1"/>
      <w:numFmt w:val="decimalEnclosedCircleChinese"/>
      <w:suff w:val="nothing"/>
      <w:lvlText w:val="%1　"/>
      <w:lvlJc w:val="left"/>
      <w:pPr>
        <w:ind w:left="0" w:firstLine="400"/>
      </w:pPr>
      <w:rPr>
        <w:rFonts w:hint="eastAsia"/>
      </w:rPr>
    </w:lvl>
  </w:abstractNum>
  <w:abstractNum w:abstractNumId="9">
    <w:nsid w:val="6503C795"/>
    <w:multiLevelType w:val="singleLevel"/>
    <w:tmpl w:val="6503C795"/>
    <w:lvl w:ilvl="0" w:tentative="0">
      <w:start w:val="1"/>
      <w:numFmt w:val="chineseCounting"/>
      <w:suff w:val="nothing"/>
      <w:lvlText w:val="（%1）"/>
      <w:lvlJc w:val="left"/>
      <w:pPr>
        <w:ind w:left="0" w:firstLine="420"/>
      </w:pPr>
      <w:rPr>
        <w:rFonts w:hint="eastAsia"/>
      </w:rPr>
    </w:lvl>
  </w:abstractNum>
  <w:abstractNum w:abstractNumId="10">
    <w:nsid w:val="6503C7EE"/>
    <w:multiLevelType w:val="singleLevel"/>
    <w:tmpl w:val="6503C7EE"/>
    <w:lvl w:ilvl="0" w:tentative="0">
      <w:start w:val="1"/>
      <w:numFmt w:val="decimal"/>
      <w:suff w:val="nothing"/>
      <w:lvlText w:val="%1．"/>
      <w:lvlJc w:val="left"/>
      <w:pPr>
        <w:ind w:left="0" w:firstLine="400"/>
      </w:pPr>
      <w:rPr>
        <w:rFonts w:hint="default"/>
      </w:rPr>
    </w:lvl>
  </w:abstractNum>
  <w:abstractNum w:abstractNumId="11">
    <w:nsid w:val="6503F9F0"/>
    <w:multiLevelType w:val="singleLevel"/>
    <w:tmpl w:val="6503F9F0"/>
    <w:lvl w:ilvl="0" w:tentative="0">
      <w:start w:val="1"/>
      <w:numFmt w:val="decimal"/>
      <w:suff w:val="nothing"/>
      <w:lvlText w:val="%1．"/>
      <w:lvlJc w:val="left"/>
      <w:pPr>
        <w:ind w:left="0" w:firstLine="400"/>
      </w:pPr>
      <w:rPr>
        <w:rFonts w:hint="default"/>
      </w:rPr>
    </w:lvl>
  </w:abstractNum>
  <w:abstractNum w:abstractNumId="12">
    <w:nsid w:val="6503FA08"/>
    <w:multiLevelType w:val="singleLevel"/>
    <w:tmpl w:val="6503FA08"/>
    <w:lvl w:ilvl="0" w:tentative="0">
      <w:start w:val="1"/>
      <w:numFmt w:val="decimal"/>
      <w:suff w:val="nothing"/>
      <w:lvlText w:val="%1．"/>
      <w:lvlJc w:val="left"/>
      <w:pPr>
        <w:ind w:left="0" w:firstLine="400"/>
      </w:pPr>
      <w:rPr>
        <w:rFonts w:hint="default"/>
      </w:rPr>
    </w:lvl>
  </w:abstractNum>
  <w:abstractNum w:abstractNumId="13">
    <w:nsid w:val="6503FABA"/>
    <w:multiLevelType w:val="singleLevel"/>
    <w:tmpl w:val="6503FABA"/>
    <w:lvl w:ilvl="0" w:tentative="0">
      <w:start w:val="1"/>
      <w:numFmt w:val="decimal"/>
      <w:suff w:val="nothing"/>
      <w:lvlText w:val="%1．"/>
      <w:lvlJc w:val="left"/>
      <w:pPr>
        <w:ind w:left="0" w:firstLine="400"/>
      </w:pPr>
      <w:rPr>
        <w:rFonts w:hint="default"/>
      </w:rPr>
    </w:lvl>
  </w:abstractNum>
  <w:abstractNum w:abstractNumId="14">
    <w:nsid w:val="6503FAEA"/>
    <w:multiLevelType w:val="singleLevel"/>
    <w:tmpl w:val="6503FAEA"/>
    <w:lvl w:ilvl="0" w:tentative="0">
      <w:start w:val="1"/>
      <w:numFmt w:val="decimal"/>
      <w:suff w:val="nothing"/>
      <w:lvlText w:val="%1．"/>
      <w:lvlJc w:val="left"/>
      <w:pPr>
        <w:ind w:left="0" w:firstLine="400"/>
      </w:pPr>
      <w:rPr>
        <w:rFonts w:hint="default"/>
      </w:rPr>
    </w:lvl>
  </w:abstractNum>
  <w:abstractNum w:abstractNumId="15">
    <w:nsid w:val="6503FB4F"/>
    <w:multiLevelType w:val="singleLevel"/>
    <w:tmpl w:val="6503FB4F"/>
    <w:lvl w:ilvl="0" w:tentative="0">
      <w:start w:val="1"/>
      <w:numFmt w:val="decimal"/>
      <w:suff w:val="nothing"/>
      <w:lvlText w:val="%1．"/>
      <w:lvlJc w:val="left"/>
      <w:pPr>
        <w:ind w:left="-400" w:firstLine="400"/>
      </w:pPr>
      <w:rPr>
        <w:rFonts w:hint="default"/>
      </w:rPr>
    </w:lvl>
  </w:abstractNum>
  <w:abstractNum w:abstractNumId="16">
    <w:nsid w:val="65040292"/>
    <w:multiLevelType w:val="singleLevel"/>
    <w:tmpl w:val="65040292"/>
    <w:lvl w:ilvl="0" w:tentative="0">
      <w:start w:val="1"/>
      <w:numFmt w:val="decimal"/>
      <w:suff w:val="nothing"/>
      <w:lvlText w:val="%1．"/>
      <w:lvlJc w:val="left"/>
      <w:pPr>
        <w:ind w:left="0" w:firstLine="400"/>
      </w:pPr>
      <w:rPr>
        <w:rFonts w:hint="default"/>
      </w:rPr>
    </w:lvl>
  </w:abstractNum>
  <w:abstractNum w:abstractNumId="17">
    <w:nsid w:val="650D4A54"/>
    <w:multiLevelType w:val="singleLevel"/>
    <w:tmpl w:val="650D4A54"/>
    <w:lvl w:ilvl="0" w:tentative="0">
      <w:start w:val="1"/>
      <w:numFmt w:val="decimal"/>
      <w:suff w:val="nothing"/>
      <w:lvlText w:val="%1．"/>
      <w:lvlJc w:val="left"/>
      <w:pPr>
        <w:ind w:left="0" w:firstLine="400"/>
      </w:pPr>
      <w:rPr>
        <w:rFonts w:hint="default"/>
      </w:rPr>
    </w:lvl>
  </w:abstractNum>
  <w:abstractNum w:abstractNumId="18">
    <w:nsid w:val="6524ECB5"/>
    <w:multiLevelType w:val="singleLevel"/>
    <w:tmpl w:val="6524ECB5"/>
    <w:lvl w:ilvl="0" w:tentative="0">
      <w:start w:val="1"/>
      <w:numFmt w:val="chineseCounting"/>
      <w:suff w:val="nothing"/>
      <w:lvlText w:val="%1、"/>
      <w:lvlJc w:val="left"/>
      <w:pPr>
        <w:ind w:left="0" w:firstLine="420"/>
      </w:pPr>
      <w:rPr>
        <w:rFonts w:hint="eastAsia"/>
      </w:rPr>
    </w:lvl>
  </w:abstractNum>
  <w:abstractNum w:abstractNumId="19">
    <w:nsid w:val="6524ECDD"/>
    <w:multiLevelType w:val="singleLevel"/>
    <w:tmpl w:val="6524ECDD"/>
    <w:lvl w:ilvl="0" w:tentative="0">
      <w:start w:val="1"/>
      <w:numFmt w:val="chineseCounting"/>
      <w:suff w:val="nothing"/>
      <w:lvlText w:val="(%1)"/>
      <w:lvlJc w:val="left"/>
    </w:lvl>
  </w:abstractNum>
  <w:abstractNum w:abstractNumId="20">
    <w:nsid w:val="6524EDFB"/>
    <w:multiLevelType w:val="singleLevel"/>
    <w:tmpl w:val="6524EDFB"/>
    <w:lvl w:ilvl="0" w:tentative="0">
      <w:start w:val="1"/>
      <w:numFmt w:val="chineseCounting"/>
      <w:suff w:val="nothing"/>
      <w:lvlText w:val="（%1）"/>
      <w:lvlJc w:val="left"/>
      <w:pPr>
        <w:ind w:left="6" w:firstLine="420"/>
      </w:pPr>
      <w:rPr>
        <w:rFonts w:hint="eastAsia"/>
        <w:lang w:val="en-US"/>
      </w:rPr>
    </w:lvl>
  </w:abstractNum>
  <w:abstractNum w:abstractNumId="21">
    <w:nsid w:val="6524EE33"/>
    <w:multiLevelType w:val="singleLevel"/>
    <w:tmpl w:val="6524EE33"/>
    <w:lvl w:ilvl="0" w:tentative="0">
      <w:start w:val="1"/>
      <w:numFmt w:val="decimal"/>
      <w:suff w:val="nothing"/>
      <w:lvlText w:val="%1．"/>
      <w:lvlJc w:val="left"/>
      <w:pPr>
        <w:ind w:left="0" w:firstLine="400"/>
      </w:pPr>
      <w:rPr>
        <w:rFonts w:hint="default"/>
      </w:rPr>
    </w:lvl>
  </w:abstractNum>
  <w:abstractNum w:abstractNumId="22">
    <w:nsid w:val="6524F034"/>
    <w:multiLevelType w:val="singleLevel"/>
    <w:tmpl w:val="6524F034"/>
    <w:lvl w:ilvl="0" w:tentative="0">
      <w:start w:val="1"/>
      <w:numFmt w:val="decimalEnclosedCircleChinese"/>
      <w:suff w:val="nothing"/>
      <w:lvlText w:val="%1　"/>
      <w:lvlJc w:val="left"/>
      <w:pPr>
        <w:ind w:left="0" w:firstLine="400"/>
      </w:pPr>
      <w:rPr>
        <w:rFonts w:hint="eastAsia"/>
      </w:rPr>
    </w:lvl>
  </w:abstractNum>
  <w:abstractNum w:abstractNumId="23">
    <w:nsid w:val="6524F26B"/>
    <w:multiLevelType w:val="singleLevel"/>
    <w:tmpl w:val="6524F26B"/>
    <w:lvl w:ilvl="0" w:tentative="0">
      <w:start w:val="1"/>
      <w:numFmt w:val="decimalEnclosedCircleChinese"/>
      <w:suff w:val="nothing"/>
      <w:lvlText w:val="%1　"/>
      <w:lvlJc w:val="left"/>
      <w:pPr>
        <w:ind w:left="0" w:firstLine="400"/>
      </w:pPr>
      <w:rPr>
        <w:rFonts w:hint="eastAsia"/>
      </w:rPr>
    </w:lvl>
  </w:abstractNum>
  <w:abstractNum w:abstractNumId="24">
    <w:nsid w:val="6524F28D"/>
    <w:multiLevelType w:val="singleLevel"/>
    <w:tmpl w:val="6524F28D"/>
    <w:lvl w:ilvl="0" w:tentative="0">
      <w:start w:val="1"/>
      <w:numFmt w:val="decimalEnclosedCircleChinese"/>
      <w:suff w:val="nothing"/>
      <w:lvlText w:val="%1　"/>
      <w:lvlJc w:val="left"/>
      <w:pPr>
        <w:ind w:left="0" w:firstLine="400"/>
      </w:pPr>
      <w:rPr>
        <w:rFonts w:hint="eastAsia"/>
      </w:rPr>
    </w:lvl>
  </w:abstractNum>
  <w:abstractNum w:abstractNumId="25">
    <w:nsid w:val="6524F2AF"/>
    <w:multiLevelType w:val="singleLevel"/>
    <w:tmpl w:val="6524F2AF"/>
    <w:lvl w:ilvl="0" w:tentative="0">
      <w:start w:val="1"/>
      <w:numFmt w:val="decimalEnclosedCircleChinese"/>
      <w:suff w:val="nothing"/>
      <w:lvlText w:val="%1　"/>
      <w:lvlJc w:val="left"/>
      <w:pPr>
        <w:ind w:left="0" w:firstLine="400"/>
      </w:pPr>
      <w:rPr>
        <w:rFonts w:hint="eastAsia"/>
      </w:rPr>
    </w:lvl>
  </w:abstractNum>
  <w:abstractNum w:abstractNumId="26">
    <w:nsid w:val="6524F2E0"/>
    <w:multiLevelType w:val="singleLevel"/>
    <w:tmpl w:val="6524F2E0"/>
    <w:lvl w:ilvl="0" w:tentative="0">
      <w:start w:val="1"/>
      <w:numFmt w:val="decimalEnclosedCircleChinese"/>
      <w:suff w:val="nothing"/>
      <w:lvlText w:val="%1　"/>
      <w:lvlJc w:val="left"/>
      <w:pPr>
        <w:ind w:left="0" w:firstLine="400"/>
      </w:pPr>
      <w:rPr>
        <w:rFonts w:hint="eastAsia"/>
      </w:rPr>
    </w:lvl>
  </w:abstractNum>
  <w:abstractNum w:abstractNumId="27">
    <w:nsid w:val="6524F358"/>
    <w:multiLevelType w:val="singleLevel"/>
    <w:tmpl w:val="6524F358"/>
    <w:lvl w:ilvl="0" w:tentative="0">
      <w:start w:val="1"/>
      <w:numFmt w:val="decimalEnclosedCircleChinese"/>
      <w:suff w:val="nothing"/>
      <w:lvlText w:val="%1　"/>
      <w:lvlJc w:val="left"/>
      <w:pPr>
        <w:ind w:left="0" w:firstLine="400"/>
      </w:pPr>
      <w:rPr>
        <w:rFonts w:hint="eastAsia"/>
      </w:rPr>
    </w:lvl>
  </w:abstractNum>
  <w:abstractNum w:abstractNumId="28">
    <w:nsid w:val="6524F3E1"/>
    <w:multiLevelType w:val="singleLevel"/>
    <w:tmpl w:val="6524F3E1"/>
    <w:lvl w:ilvl="0" w:tentative="0">
      <w:start w:val="1"/>
      <w:numFmt w:val="decimalEnclosedCircleChinese"/>
      <w:suff w:val="nothing"/>
      <w:lvlText w:val="%1　"/>
      <w:lvlJc w:val="left"/>
      <w:pPr>
        <w:ind w:left="0" w:firstLine="400"/>
      </w:pPr>
      <w:rPr>
        <w:rFonts w:hint="eastAsia"/>
      </w:rPr>
    </w:lvl>
  </w:abstractNum>
  <w:num w:numId="1">
    <w:abstractNumId w:val="5"/>
  </w:num>
  <w:num w:numId="2">
    <w:abstractNumId w:val="18"/>
  </w:num>
  <w:num w:numId="3">
    <w:abstractNumId w:val="19"/>
  </w:num>
  <w:num w:numId="4">
    <w:abstractNumId w:val="7"/>
  </w:num>
  <w:num w:numId="5">
    <w:abstractNumId w:val="8"/>
  </w:num>
  <w:num w:numId="6">
    <w:abstractNumId w:val="9"/>
  </w:num>
  <w:num w:numId="7">
    <w:abstractNumId w:val="10"/>
  </w:num>
  <w:num w:numId="8">
    <w:abstractNumId w:val="20"/>
  </w:num>
  <w:num w:numId="9">
    <w:abstractNumId w:val="16"/>
  </w:num>
  <w:num w:numId="10">
    <w:abstractNumId w:val="3"/>
  </w:num>
  <w:num w:numId="11">
    <w:abstractNumId w:val="21"/>
  </w:num>
  <w:num w:numId="12">
    <w:abstractNumId w:val="11"/>
  </w:num>
  <w:num w:numId="13">
    <w:abstractNumId w:val="12"/>
  </w:num>
  <w:num w:numId="14">
    <w:abstractNumId w:val="13"/>
  </w:num>
  <w:num w:numId="15">
    <w:abstractNumId w:val="1"/>
  </w:num>
  <w:num w:numId="16">
    <w:abstractNumId w:val="4"/>
  </w:num>
  <w:num w:numId="17">
    <w:abstractNumId w:val="14"/>
  </w:num>
  <w:num w:numId="18">
    <w:abstractNumId w:val="17"/>
  </w:num>
  <w:num w:numId="19">
    <w:abstractNumId w:val="15"/>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0"/>
  </w:num>
  <w:num w:numId="28">
    <w:abstractNumId w:val="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ZmNjOGJlZmNkODgzYmVjZDY3OTc4NGU5ZWQ4Nz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E2F"/>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19"/>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56084"/>
    <w:rsid w:val="019F7441"/>
    <w:rsid w:val="01A70C54"/>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0E2D95"/>
    <w:rsid w:val="05251E14"/>
    <w:rsid w:val="05A16594"/>
    <w:rsid w:val="05A7762D"/>
    <w:rsid w:val="060E5941"/>
    <w:rsid w:val="06110FAF"/>
    <w:rsid w:val="06493CA7"/>
    <w:rsid w:val="065A6178"/>
    <w:rsid w:val="06655EF0"/>
    <w:rsid w:val="066F1CF3"/>
    <w:rsid w:val="06930BB8"/>
    <w:rsid w:val="06FD67C2"/>
    <w:rsid w:val="07245D42"/>
    <w:rsid w:val="07264C62"/>
    <w:rsid w:val="072A339C"/>
    <w:rsid w:val="0779354C"/>
    <w:rsid w:val="08061376"/>
    <w:rsid w:val="081D509F"/>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958D8"/>
    <w:rsid w:val="09A92330"/>
    <w:rsid w:val="09B06B87"/>
    <w:rsid w:val="09C13146"/>
    <w:rsid w:val="09E04166"/>
    <w:rsid w:val="09F67204"/>
    <w:rsid w:val="0A0B7FDE"/>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518B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55015A"/>
    <w:rsid w:val="10646583"/>
    <w:rsid w:val="107D4B15"/>
    <w:rsid w:val="108A3C80"/>
    <w:rsid w:val="10C26171"/>
    <w:rsid w:val="10F33360"/>
    <w:rsid w:val="10FC16EA"/>
    <w:rsid w:val="110F1D40"/>
    <w:rsid w:val="11266F33"/>
    <w:rsid w:val="11884C6C"/>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33280"/>
    <w:rsid w:val="16A8729C"/>
    <w:rsid w:val="16B33777"/>
    <w:rsid w:val="16B952DF"/>
    <w:rsid w:val="16BC70A7"/>
    <w:rsid w:val="16C6339E"/>
    <w:rsid w:val="172F2D79"/>
    <w:rsid w:val="17557BEF"/>
    <w:rsid w:val="17D349C1"/>
    <w:rsid w:val="1830729E"/>
    <w:rsid w:val="185F00D6"/>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06E9A"/>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0DC6589"/>
    <w:rsid w:val="211116EB"/>
    <w:rsid w:val="212D0251"/>
    <w:rsid w:val="216133FC"/>
    <w:rsid w:val="21D56769"/>
    <w:rsid w:val="21E52EF3"/>
    <w:rsid w:val="21FB5D7B"/>
    <w:rsid w:val="22015E94"/>
    <w:rsid w:val="220B1C3D"/>
    <w:rsid w:val="221D1D20"/>
    <w:rsid w:val="22334A87"/>
    <w:rsid w:val="224A18DE"/>
    <w:rsid w:val="22BE6801"/>
    <w:rsid w:val="22F43DB4"/>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E7E76"/>
    <w:rsid w:val="258B00E2"/>
    <w:rsid w:val="25A917A6"/>
    <w:rsid w:val="25BE27CC"/>
    <w:rsid w:val="25F74A5C"/>
    <w:rsid w:val="2628662C"/>
    <w:rsid w:val="262D45DE"/>
    <w:rsid w:val="264709A0"/>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053EA9"/>
    <w:rsid w:val="29345E77"/>
    <w:rsid w:val="294C65AD"/>
    <w:rsid w:val="29806583"/>
    <w:rsid w:val="298B3C4C"/>
    <w:rsid w:val="29DA0682"/>
    <w:rsid w:val="29F26D24"/>
    <w:rsid w:val="2A15033F"/>
    <w:rsid w:val="2A1662C1"/>
    <w:rsid w:val="2A1C7367"/>
    <w:rsid w:val="2A2815FA"/>
    <w:rsid w:val="2A6D6092"/>
    <w:rsid w:val="2A7D76B4"/>
    <w:rsid w:val="2ACD01C8"/>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B3099E"/>
    <w:rsid w:val="30DF1478"/>
    <w:rsid w:val="30EC586F"/>
    <w:rsid w:val="314550B7"/>
    <w:rsid w:val="319C6071"/>
    <w:rsid w:val="31AC537E"/>
    <w:rsid w:val="31E3679B"/>
    <w:rsid w:val="31E732FD"/>
    <w:rsid w:val="32517576"/>
    <w:rsid w:val="32A90320"/>
    <w:rsid w:val="32BE5C2C"/>
    <w:rsid w:val="32C13B45"/>
    <w:rsid w:val="32FB6478"/>
    <w:rsid w:val="33263B3F"/>
    <w:rsid w:val="336963EB"/>
    <w:rsid w:val="33816EEB"/>
    <w:rsid w:val="33EB55CD"/>
    <w:rsid w:val="33EC4C02"/>
    <w:rsid w:val="340D2360"/>
    <w:rsid w:val="3410665D"/>
    <w:rsid w:val="34211214"/>
    <w:rsid w:val="342E63AB"/>
    <w:rsid w:val="34902C15"/>
    <w:rsid w:val="34950E68"/>
    <w:rsid w:val="34986E94"/>
    <w:rsid w:val="34AF62C9"/>
    <w:rsid w:val="34B721CC"/>
    <w:rsid w:val="34CB4388"/>
    <w:rsid w:val="34D82788"/>
    <w:rsid w:val="34FA6E12"/>
    <w:rsid w:val="34FC44CA"/>
    <w:rsid w:val="354D7158"/>
    <w:rsid w:val="358D5588"/>
    <w:rsid w:val="363A3B40"/>
    <w:rsid w:val="365302AE"/>
    <w:rsid w:val="36607A0A"/>
    <w:rsid w:val="366E227C"/>
    <w:rsid w:val="366F2E0D"/>
    <w:rsid w:val="367B6A5C"/>
    <w:rsid w:val="36A74ADA"/>
    <w:rsid w:val="36AD60D5"/>
    <w:rsid w:val="36B224F9"/>
    <w:rsid w:val="36EC0CC9"/>
    <w:rsid w:val="37220D9B"/>
    <w:rsid w:val="373F410B"/>
    <w:rsid w:val="37EE7094"/>
    <w:rsid w:val="38296C89"/>
    <w:rsid w:val="383002EB"/>
    <w:rsid w:val="38586797"/>
    <w:rsid w:val="38BC0149"/>
    <w:rsid w:val="38D87D1C"/>
    <w:rsid w:val="395E503B"/>
    <w:rsid w:val="39636459"/>
    <w:rsid w:val="396B7F6C"/>
    <w:rsid w:val="39B417A9"/>
    <w:rsid w:val="39FC5695"/>
    <w:rsid w:val="3A006D8E"/>
    <w:rsid w:val="3A236F63"/>
    <w:rsid w:val="3A3651E5"/>
    <w:rsid w:val="3A560D13"/>
    <w:rsid w:val="3A744481"/>
    <w:rsid w:val="3A8C7BEF"/>
    <w:rsid w:val="3A906246"/>
    <w:rsid w:val="3B0A01F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87802"/>
    <w:rsid w:val="3D8734BB"/>
    <w:rsid w:val="3D9A11D4"/>
    <w:rsid w:val="3DA16D89"/>
    <w:rsid w:val="3DA364BE"/>
    <w:rsid w:val="3DE041CB"/>
    <w:rsid w:val="3E0D48F6"/>
    <w:rsid w:val="3E1868B4"/>
    <w:rsid w:val="3E242D0F"/>
    <w:rsid w:val="3E377251"/>
    <w:rsid w:val="3E42664B"/>
    <w:rsid w:val="3E5A7334"/>
    <w:rsid w:val="3E7B5D6B"/>
    <w:rsid w:val="3E843E66"/>
    <w:rsid w:val="3E8F51FE"/>
    <w:rsid w:val="3E926F87"/>
    <w:rsid w:val="3E9A59DE"/>
    <w:rsid w:val="3EAF4836"/>
    <w:rsid w:val="3EC33DFA"/>
    <w:rsid w:val="3ECB6A7C"/>
    <w:rsid w:val="3F060E16"/>
    <w:rsid w:val="3F1D1096"/>
    <w:rsid w:val="3F2F0234"/>
    <w:rsid w:val="3F6363FE"/>
    <w:rsid w:val="3F756B8F"/>
    <w:rsid w:val="3F95482B"/>
    <w:rsid w:val="3FFB7BD5"/>
    <w:rsid w:val="4019356B"/>
    <w:rsid w:val="40592157"/>
    <w:rsid w:val="406E1CAE"/>
    <w:rsid w:val="40A0133A"/>
    <w:rsid w:val="40C31A53"/>
    <w:rsid w:val="40FF545D"/>
    <w:rsid w:val="410067C8"/>
    <w:rsid w:val="417C1DFF"/>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A4342F"/>
    <w:rsid w:val="44CB3515"/>
    <w:rsid w:val="44CB6087"/>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822D84"/>
    <w:rsid w:val="4A950CE7"/>
    <w:rsid w:val="4AB82D0F"/>
    <w:rsid w:val="4AEB7664"/>
    <w:rsid w:val="4AFD7C19"/>
    <w:rsid w:val="4B0567D1"/>
    <w:rsid w:val="4B236AAE"/>
    <w:rsid w:val="4B707271"/>
    <w:rsid w:val="4B9739F7"/>
    <w:rsid w:val="4BEE2503"/>
    <w:rsid w:val="4C245A30"/>
    <w:rsid w:val="4C532A11"/>
    <w:rsid w:val="4CB6685F"/>
    <w:rsid w:val="4CC367FE"/>
    <w:rsid w:val="4D077F3C"/>
    <w:rsid w:val="4D123355"/>
    <w:rsid w:val="4D2A3B31"/>
    <w:rsid w:val="4D312C52"/>
    <w:rsid w:val="4D905305"/>
    <w:rsid w:val="4D964A72"/>
    <w:rsid w:val="4D9C1254"/>
    <w:rsid w:val="4DC907A5"/>
    <w:rsid w:val="4E0E1DE1"/>
    <w:rsid w:val="4E1C7B69"/>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2D5CBF"/>
    <w:rsid w:val="53544462"/>
    <w:rsid w:val="5397158E"/>
    <w:rsid w:val="54013861"/>
    <w:rsid w:val="54487265"/>
    <w:rsid w:val="544D6070"/>
    <w:rsid w:val="54605E1E"/>
    <w:rsid w:val="54AA3F62"/>
    <w:rsid w:val="54B3506A"/>
    <w:rsid w:val="54CA0D16"/>
    <w:rsid w:val="54DD4057"/>
    <w:rsid w:val="54E7490F"/>
    <w:rsid w:val="550764A4"/>
    <w:rsid w:val="550B2BF6"/>
    <w:rsid w:val="55214EB5"/>
    <w:rsid w:val="55364EFD"/>
    <w:rsid w:val="555D4828"/>
    <w:rsid w:val="55696804"/>
    <w:rsid w:val="557A4C8B"/>
    <w:rsid w:val="558931E1"/>
    <w:rsid w:val="55923347"/>
    <w:rsid w:val="55925180"/>
    <w:rsid w:val="55983B1B"/>
    <w:rsid w:val="55A8376B"/>
    <w:rsid w:val="55DC29B6"/>
    <w:rsid w:val="55DD4241"/>
    <w:rsid w:val="563C36B1"/>
    <w:rsid w:val="5655314C"/>
    <w:rsid w:val="566B6D1E"/>
    <w:rsid w:val="57032A2C"/>
    <w:rsid w:val="570F5219"/>
    <w:rsid w:val="575D12B5"/>
    <w:rsid w:val="57610A87"/>
    <w:rsid w:val="577B1140"/>
    <w:rsid w:val="577B7F21"/>
    <w:rsid w:val="577F181B"/>
    <w:rsid w:val="57921984"/>
    <w:rsid w:val="579737F0"/>
    <w:rsid w:val="57A85B9A"/>
    <w:rsid w:val="57AB7B30"/>
    <w:rsid w:val="57AF5251"/>
    <w:rsid w:val="57B26373"/>
    <w:rsid w:val="57B63F04"/>
    <w:rsid w:val="57CD20C2"/>
    <w:rsid w:val="57D675AB"/>
    <w:rsid w:val="57D95FDD"/>
    <w:rsid w:val="58405EE8"/>
    <w:rsid w:val="58917D2F"/>
    <w:rsid w:val="5894085C"/>
    <w:rsid w:val="58AE4F0C"/>
    <w:rsid w:val="58B85899"/>
    <w:rsid w:val="58E363A9"/>
    <w:rsid w:val="58F81ED0"/>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2A70AB"/>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02F06"/>
    <w:rsid w:val="5EFC7377"/>
    <w:rsid w:val="5F06174D"/>
    <w:rsid w:val="5F3A3602"/>
    <w:rsid w:val="5F4534FA"/>
    <w:rsid w:val="5F45733B"/>
    <w:rsid w:val="5F6277C6"/>
    <w:rsid w:val="5F6D0B1D"/>
    <w:rsid w:val="5F8D0B82"/>
    <w:rsid w:val="5FCC5339"/>
    <w:rsid w:val="5FE34A5B"/>
    <w:rsid w:val="5FFE1E36"/>
    <w:rsid w:val="6020658B"/>
    <w:rsid w:val="60232584"/>
    <w:rsid w:val="607330CE"/>
    <w:rsid w:val="60825176"/>
    <w:rsid w:val="609F2AC4"/>
    <w:rsid w:val="60C76322"/>
    <w:rsid w:val="60FA2EE8"/>
    <w:rsid w:val="61054A27"/>
    <w:rsid w:val="610A52BC"/>
    <w:rsid w:val="611D2366"/>
    <w:rsid w:val="61421856"/>
    <w:rsid w:val="615227C4"/>
    <w:rsid w:val="61654E3F"/>
    <w:rsid w:val="6182292A"/>
    <w:rsid w:val="619F7F92"/>
    <w:rsid w:val="61F2288D"/>
    <w:rsid w:val="61F94C26"/>
    <w:rsid w:val="62000E56"/>
    <w:rsid w:val="623138F2"/>
    <w:rsid w:val="624F3E49"/>
    <w:rsid w:val="62632286"/>
    <w:rsid w:val="62885958"/>
    <w:rsid w:val="62F40B65"/>
    <w:rsid w:val="62FC2CFE"/>
    <w:rsid w:val="63024505"/>
    <w:rsid w:val="635600A5"/>
    <w:rsid w:val="635B1DB5"/>
    <w:rsid w:val="6360276E"/>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2A0A98"/>
    <w:rsid w:val="68551F4F"/>
    <w:rsid w:val="687C10C9"/>
    <w:rsid w:val="68840C16"/>
    <w:rsid w:val="68872541"/>
    <w:rsid w:val="68876EFB"/>
    <w:rsid w:val="68884654"/>
    <w:rsid w:val="689F444F"/>
    <w:rsid w:val="68B96DBB"/>
    <w:rsid w:val="68CA2805"/>
    <w:rsid w:val="68E937A3"/>
    <w:rsid w:val="691664E5"/>
    <w:rsid w:val="693E15D3"/>
    <w:rsid w:val="69627681"/>
    <w:rsid w:val="6977531D"/>
    <w:rsid w:val="69BE6C57"/>
    <w:rsid w:val="69CC2BFF"/>
    <w:rsid w:val="69FD55B8"/>
    <w:rsid w:val="6A0B1C62"/>
    <w:rsid w:val="6A2406C8"/>
    <w:rsid w:val="6A5232C8"/>
    <w:rsid w:val="6ADE0BD1"/>
    <w:rsid w:val="6AE96859"/>
    <w:rsid w:val="6B147746"/>
    <w:rsid w:val="6B24787C"/>
    <w:rsid w:val="6B573233"/>
    <w:rsid w:val="6B5B6274"/>
    <w:rsid w:val="6B935D53"/>
    <w:rsid w:val="6C084658"/>
    <w:rsid w:val="6C196F71"/>
    <w:rsid w:val="6C226FCB"/>
    <w:rsid w:val="6C31226F"/>
    <w:rsid w:val="6C552F0B"/>
    <w:rsid w:val="6C8C67B7"/>
    <w:rsid w:val="6C9D744C"/>
    <w:rsid w:val="6CA57F84"/>
    <w:rsid w:val="6D167928"/>
    <w:rsid w:val="6D26299B"/>
    <w:rsid w:val="6D4772EC"/>
    <w:rsid w:val="6D9078AF"/>
    <w:rsid w:val="6DAA3FEF"/>
    <w:rsid w:val="6DC0172B"/>
    <w:rsid w:val="6DCB690C"/>
    <w:rsid w:val="6DD41A5B"/>
    <w:rsid w:val="6DEC6878"/>
    <w:rsid w:val="6DF43C2E"/>
    <w:rsid w:val="6DF51CA3"/>
    <w:rsid w:val="6E065FF3"/>
    <w:rsid w:val="6E0A7824"/>
    <w:rsid w:val="6E8335BD"/>
    <w:rsid w:val="6E8E12EF"/>
    <w:rsid w:val="6E972936"/>
    <w:rsid w:val="6ED446C5"/>
    <w:rsid w:val="6F1B13C7"/>
    <w:rsid w:val="6F2A7D94"/>
    <w:rsid w:val="6F8331F1"/>
    <w:rsid w:val="6FAE1A09"/>
    <w:rsid w:val="6FD75BF8"/>
    <w:rsid w:val="707723D0"/>
    <w:rsid w:val="70F5661B"/>
    <w:rsid w:val="71360107"/>
    <w:rsid w:val="713B688E"/>
    <w:rsid w:val="719576A0"/>
    <w:rsid w:val="71D43752"/>
    <w:rsid w:val="71F1796A"/>
    <w:rsid w:val="72154626"/>
    <w:rsid w:val="72262B5D"/>
    <w:rsid w:val="72283FF7"/>
    <w:rsid w:val="722E7212"/>
    <w:rsid w:val="723A0474"/>
    <w:rsid w:val="725923E4"/>
    <w:rsid w:val="72864BF7"/>
    <w:rsid w:val="729023FC"/>
    <w:rsid w:val="72B53EAA"/>
    <w:rsid w:val="73C0646E"/>
    <w:rsid w:val="742222F5"/>
    <w:rsid w:val="74476126"/>
    <w:rsid w:val="74630C34"/>
    <w:rsid w:val="74706664"/>
    <w:rsid w:val="747F3682"/>
    <w:rsid w:val="749C4185"/>
    <w:rsid w:val="75067759"/>
    <w:rsid w:val="752E6DCD"/>
    <w:rsid w:val="7551380D"/>
    <w:rsid w:val="75600BE5"/>
    <w:rsid w:val="7564475C"/>
    <w:rsid w:val="7583797F"/>
    <w:rsid w:val="75C37A55"/>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97B4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F083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7104E3"/>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4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4"/>
    <w:qFormat/>
    <w:uiPriority w:val="0"/>
    <w:pPr>
      <w:shd w:val="clear" w:color="auto" w:fill="000080"/>
    </w:pPr>
  </w:style>
  <w:style w:type="paragraph" w:styleId="19">
    <w:name w:val="annotation text"/>
    <w:basedOn w:val="1"/>
    <w:link w:val="852"/>
    <w:qFormat/>
    <w:uiPriority w:val="99"/>
    <w:pPr>
      <w:jc w:val="left"/>
    </w:pPr>
  </w:style>
  <w:style w:type="paragraph" w:styleId="20">
    <w:name w:val="Salutation"/>
    <w:basedOn w:val="1"/>
    <w:next w:val="1"/>
    <w:link w:val="812"/>
    <w:qFormat/>
    <w:uiPriority w:val="0"/>
    <w:rPr>
      <w:rFonts w:ascii="仿宋_GB2312" w:eastAsia="仿宋_GB2312"/>
      <w:sz w:val="28"/>
      <w:szCs w:val="20"/>
    </w:rPr>
  </w:style>
  <w:style w:type="paragraph" w:styleId="21">
    <w:name w:val="Body Text 3"/>
    <w:basedOn w:val="1"/>
    <w:link w:val="84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0"/>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6"/>
    <w:qFormat/>
    <w:uiPriority w:val="0"/>
    <w:pPr>
      <w:ind w:left="100" w:leftChars="2500"/>
    </w:pPr>
    <w:rPr>
      <w:rFonts w:ascii="宋体"/>
      <w:sz w:val="24"/>
      <w:szCs w:val="21"/>
      <w:lang w:val="zh-CN"/>
    </w:rPr>
  </w:style>
  <w:style w:type="paragraph" w:styleId="36">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7">
    <w:name w:val="endnote text"/>
    <w:basedOn w:val="1"/>
    <w:link w:val="937"/>
    <w:qFormat/>
    <w:uiPriority w:val="0"/>
    <w:rPr>
      <w:lang w:val="zh-CN"/>
    </w:rPr>
  </w:style>
  <w:style w:type="paragraph" w:styleId="38">
    <w:name w:val="Balloon Text"/>
    <w:basedOn w:val="1"/>
    <w:link w:val="713"/>
    <w:qFormat/>
    <w:uiPriority w:val="0"/>
    <w:rPr>
      <w:sz w:val="18"/>
      <w:szCs w:val="18"/>
    </w:rPr>
  </w:style>
  <w:style w:type="paragraph" w:styleId="39">
    <w:name w:val="footer"/>
    <w:basedOn w:val="1"/>
    <w:link w:val="888"/>
    <w:qFormat/>
    <w:uiPriority w:val="99"/>
    <w:pPr>
      <w:tabs>
        <w:tab w:val="center" w:pos="4153"/>
        <w:tab w:val="right" w:pos="8306"/>
      </w:tabs>
      <w:snapToGrid w:val="0"/>
      <w:jc w:val="left"/>
    </w:pPr>
    <w:rPr>
      <w:sz w:val="18"/>
      <w:szCs w:val="18"/>
    </w:rPr>
  </w:style>
  <w:style w:type="paragraph" w:styleId="40">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2"/>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6"/>
    <w:qFormat/>
    <w:uiPriority w:val="0"/>
    <w:pPr>
      <w:spacing w:after="120" w:line="480" w:lineRule="auto"/>
    </w:pPr>
  </w:style>
  <w:style w:type="paragraph" w:styleId="56">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29"/>
    <w:qFormat/>
    <w:uiPriority w:val="0"/>
    <w:rPr>
      <w:b/>
      <w:bCs/>
    </w:rPr>
  </w:style>
  <w:style w:type="paragraph" w:styleId="60">
    <w:name w:val="Body Text First Indent"/>
    <w:basedOn w:val="23"/>
    <w:link w:val="831"/>
    <w:qFormat/>
    <w:uiPriority w:val="0"/>
    <w:pPr>
      <w:ind w:firstLine="420"/>
    </w:pPr>
    <w:rPr>
      <w:rFonts w:hAnsi="Calibri" w:cs="Times New Roman"/>
      <w:szCs w:val="20"/>
    </w:rPr>
  </w:style>
  <w:style w:type="paragraph" w:styleId="61">
    <w:name w:val="Body Text First Indent 2"/>
    <w:basedOn w:val="24"/>
    <w:link w:val="65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1"/>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qFormat/>
    <w:uiPriority w:val="0"/>
    <w:pPr>
      <w:spacing w:before="156" w:line="360" w:lineRule="auto"/>
      <w:ind w:firstLine="510" w:firstLineChars="200"/>
    </w:pPr>
    <w:rPr>
      <w:sz w:val="24"/>
      <w:szCs w:val="20"/>
    </w:rPr>
  </w:style>
  <w:style w:type="paragraph" w:customStyle="1" w:styleId="86">
    <w:name w:val="无间隔1"/>
    <w:link w:val="669"/>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qFormat/>
    <w:uiPriority w:val="0"/>
    <w:pPr>
      <w:adjustRightInd/>
      <w:spacing w:line="360" w:lineRule="auto"/>
      <w:ind w:firstLine="480" w:firstLineChars="200"/>
    </w:pPr>
    <w:rPr>
      <w:kern w:val="0"/>
      <w:sz w:val="24"/>
    </w:rPr>
  </w:style>
  <w:style w:type="paragraph" w:customStyle="1" w:styleId="98">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qFormat/>
    <w:uiPriority w:val="0"/>
    <w:pPr>
      <w:tabs>
        <w:tab w:val="left" w:pos="2356"/>
      </w:tabs>
    </w:pPr>
  </w:style>
  <w:style w:type="paragraph" w:customStyle="1" w:styleId="103">
    <w:name w:val="样式 标题 4h4H4Fab-4T5Ref Heading 1rh1Heading sqlsect 1.2.3...."/>
    <w:basedOn w:val="6"/>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qFormat/>
    <w:uiPriority w:val="0"/>
    <w:pPr>
      <w:adjustRightInd/>
    </w:pPr>
    <w:rPr>
      <w:rFonts w:ascii="宋体" w:hAnsi="Courier New"/>
      <w:kern w:val="0"/>
      <w:sz w:val="20"/>
      <w:szCs w:val="20"/>
    </w:rPr>
  </w:style>
  <w:style w:type="paragraph" w:customStyle="1" w:styleId="106">
    <w:name w:val="正文说明"/>
    <w:basedOn w:val="1"/>
    <w:link w:val="842"/>
    <w:qFormat/>
    <w:uiPriority w:val="0"/>
    <w:pPr>
      <w:adjustRightInd/>
      <w:spacing w:line="360" w:lineRule="auto"/>
    </w:pPr>
    <w:rPr>
      <w:kern w:val="0"/>
      <w:sz w:val="24"/>
    </w:rPr>
  </w:style>
  <w:style w:type="paragraph" w:customStyle="1" w:styleId="107">
    <w:name w:val="Table Text"/>
    <w:basedOn w:val="1"/>
    <w:link w:val="848"/>
    <w:qFormat/>
    <w:uiPriority w:val="0"/>
    <w:pPr>
      <w:widowControl/>
      <w:spacing w:before="60" w:after="60"/>
      <w:jc w:val="left"/>
    </w:pPr>
    <w:rPr>
      <w:kern w:val="0"/>
      <w:sz w:val="24"/>
    </w:rPr>
  </w:style>
  <w:style w:type="paragraph" w:customStyle="1" w:styleId="108">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8"/>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18">
    <w:name w:val="表格非标题文字 Char"/>
    <w:link w:val="80"/>
    <w:qFormat/>
    <w:uiPriority w:val="0"/>
    <w:rPr>
      <w:rFonts w:ascii="Futura Bk" w:hAnsi="Futura Bk"/>
      <w:kern w:val="2"/>
      <w:sz w:val="18"/>
      <w:szCs w:val="21"/>
      <w:lang w:val="en-US" w:eastAsia="zh-CN" w:bidi="ar-SA"/>
    </w:rPr>
  </w:style>
  <w:style w:type="character" w:customStyle="1" w:styleId="619">
    <w:name w:val="*正文 Char"/>
    <w:link w:val="81"/>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2"/>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59"/>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4"/>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61"/>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9"/>
    <w:qFormat/>
    <w:uiPriority w:val="0"/>
    <w:rPr>
      <w:rFonts w:ascii="Arial" w:hAnsi="Arial" w:eastAsia="黑体" w:cs="Arial"/>
      <w:snapToGrid w:val="0"/>
      <w:kern w:val="0"/>
      <w:szCs w:val="21"/>
    </w:rPr>
  </w:style>
  <w:style w:type="character" w:customStyle="1" w:styleId="65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5"/>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46"/>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6"/>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8"/>
    <w:qFormat/>
    <w:uiPriority w:val="0"/>
    <w:rPr>
      <w:rFonts w:ascii="Arial" w:hAnsi="Arial" w:eastAsia="黑体"/>
      <w:b/>
      <w:bCs/>
      <w:kern w:val="2"/>
      <w:sz w:val="24"/>
      <w:szCs w:val="24"/>
    </w:rPr>
  </w:style>
  <w:style w:type="character" w:customStyle="1" w:styleId="677">
    <w:name w:val="纯文本 Char_0"/>
    <w:link w:val="87"/>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9"/>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5"/>
    <w:qFormat/>
    <w:uiPriority w:val="0"/>
    <w:rPr>
      <w:rFonts w:ascii="宋体"/>
      <w:kern w:val="2"/>
      <w:sz w:val="24"/>
      <w:szCs w:val="21"/>
      <w:lang w:val="zh-CN"/>
    </w:rPr>
  </w:style>
  <w:style w:type="character" w:customStyle="1" w:styleId="707">
    <w:name w:val="标题 9 Char"/>
    <w:link w:val="11"/>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99"/>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Char"/>
    <w:link w:val="38"/>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1"/>
    <w:qFormat/>
    <w:locked/>
    <w:uiPriority w:val="0"/>
    <w:rPr>
      <w:rFonts w:ascii="Tahoma" w:hAnsi="Tahoma"/>
      <w:sz w:val="24"/>
      <w:szCs w:val="24"/>
    </w:rPr>
  </w:style>
  <w:style w:type="character" w:customStyle="1" w:styleId="717">
    <w:name w:val="正文缩进 Char2"/>
    <w:link w:val="5"/>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18"/>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29"/>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4"/>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5"/>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16"/>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6"/>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7"/>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8"/>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9"/>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24"/>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1"/>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3"/>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58"/>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7"/>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0"/>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6"/>
    <w:qFormat/>
    <w:uiPriority w:val="0"/>
    <w:rPr>
      <w:rFonts w:ascii="黑体" w:hAnsi="Courier New" w:eastAsia="黑体"/>
    </w:rPr>
  </w:style>
  <w:style w:type="character" w:customStyle="1" w:styleId="816">
    <w:name w:val="正文文本 2 Char1"/>
    <w:link w:val="55"/>
    <w:qFormat/>
    <w:uiPriority w:val="0"/>
    <w:rPr>
      <w:kern w:val="2"/>
      <w:sz w:val="21"/>
      <w:szCs w:val="24"/>
    </w:rPr>
  </w:style>
  <w:style w:type="character" w:customStyle="1" w:styleId="817">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9"/>
    <w:qFormat/>
    <w:uiPriority w:val="0"/>
    <w:rPr>
      <w:b/>
      <w:bCs/>
      <w:kern w:val="2"/>
      <w:sz w:val="24"/>
      <w:szCs w:val="24"/>
    </w:rPr>
  </w:style>
  <w:style w:type="character" w:customStyle="1" w:styleId="820">
    <w:name w:val="正文文本缩进 2 Char"/>
    <w:link w:val="36"/>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49"/>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4"/>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5"/>
    <w:qFormat/>
    <w:uiPriority w:val="0"/>
    <w:rPr>
      <w:rFonts w:ascii="宋体" w:hAnsi="Courier New"/>
    </w:rPr>
  </w:style>
  <w:style w:type="character" w:customStyle="1" w:styleId="831">
    <w:name w:val="正文首行缩进 Char"/>
    <w:link w:val="60"/>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6"/>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1"/>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6"/>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7"/>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19"/>
    <w:qFormat/>
    <w:uiPriority w:val="99"/>
    <w:rPr>
      <w:kern w:val="2"/>
      <w:sz w:val="21"/>
      <w:szCs w:val="24"/>
    </w:rPr>
  </w:style>
  <w:style w:type="character" w:customStyle="1" w:styleId="853">
    <w:name w:val="签名 Char"/>
    <w:link w:val="41"/>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8"/>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9"/>
    <w:qFormat/>
    <w:uiPriority w:val="0"/>
    <w:rPr>
      <w:rFonts w:ascii="宋体"/>
    </w:rPr>
  </w:style>
  <w:style w:type="character" w:customStyle="1" w:styleId="864">
    <w:name w:val="标题 8 Char"/>
    <w:link w:val="10"/>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2"/>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0"/>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39"/>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1"/>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0"/>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2"/>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4"/>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5"/>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6"/>
    <w:qFormat/>
    <w:uiPriority w:val="0"/>
    <w:rPr>
      <w:rFonts w:cs="宋体"/>
      <w:kern w:val="2"/>
      <w:sz w:val="24"/>
    </w:rPr>
  </w:style>
  <w:style w:type="character" w:customStyle="1" w:styleId="9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0">
    <w:name w:val="gray6"/>
    <w:basedOn w:val="69"/>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7"/>
    <w:qFormat/>
    <w:uiPriority w:val="0"/>
    <w:rPr>
      <w:kern w:val="2"/>
      <w:sz w:val="21"/>
      <w:szCs w:val="24"/>
      <w:lang w:val="zh-CN"/>
    </w:rPr>
  </w:style>
  <w:style w:type="character" w:customStyle="1" w:styleId="938">
    <w:name w:val="无间隔 Char"/>
    <w:link w:val="165"/>
    <w:qFormat/>
    <w:uiPriority w:val="99"/>
    <w:rPr>
      <w:kern w:val="2"/>
      <w:sz w:val="21"/>
      <w:szCs w:val="22"/>
    </w:rPr>
  </w:style>
  <w:style w:type="character" w:customStyle="1" w:styleId="939">
    <w:name w:val="标准文本 Char Char"/>
    <w:link w:val="604"/>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2">
    <w:name w:val="正文空2字"/>
    <w:basedOn w:val="96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3">
    <w:name w:val="左对齐正文"/>
    <w:qFormat/>
    <w:uiPriority w:val="99"/>
    <w:rPr>
      <w:rFonts w:ascii="Calibri" w:hAnsi="Calibri" w:eastAsia="仿宋_GB2312" w:cs="Calibri"/>
      <w:kern w:val="2"/>
      <w:sz w:val="32"/>
      <w:szCs w:val="32"/>
      <w:lang w:val="en-US" w:eastAsia="zh-CN" w:bidi="ar-SA"/>
    </w:rPr>
  </w:style>
  <w:style w:type="table" w:customStyle="1" w:styleId="964">
    <w:name w:val="Table Normal"/>
    <w:unhideWhenUsed/>
    <w:qFormat/>
    <w:uiPriority w:val="0"/>
    <w:rPr>
      <w:rFonts w:ascii="Times New Roman" w:hAnsi="Times New Roman" w:eastAsia="宋体"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94</Pages>
  <Words>240</Words>
  <Characters>283</Characters>
  <Lines>281</Lines>
  <Paragraphs>79</Paragraphs>
  <TotalTime>26</TotalTime>
  <ScaleCrop>false</ScaleCrop>
  <LinksUpToDate>false</LinksUpToDate>
  <CharactersWithSpaces>332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X</cp:lastModifiedBy>
  <cp:lastPrinted>2023-09-06T02:17:00Z</cp:lastPrinted>
  <dcterms:modified xsi:type="dcterms:W3CDTF">2025-01-24T05:56:02Z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1ABB6C2229BC49F3942A24AD10D4D6CA_13</vt:lpwstr>
  </property>
  <property fmtid="{D5CDD505-2E9C-101B-9397-08002B2CF9AE}" pid="5" name="KSOTemplateDocerSaveRecord">
    <vt:lpwstr>eyJoZGlkIjoiNWVlM2QwYmFmYWQ2NTI5MjM0ZWFjNDE1ZjViNzMyNTMiLCJ1c2VySWQiOiIyODE3ODUzMzQifQ==</vt:lpwstr>
  </property>
</Properties>
</file>