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5385C">
      <w:pPr>
        <w:spacing w:line="360" w:lineRule="auto"/>
        <w:jc w:val="center"/>
        <w:rPr>
          <w:rFonts w:ascii="宋体" w:hAnsi="宋体" w:cs="宋体"/>
          <w:b/>
          <w:color w:val="auto"/>
          <w:sz w:val="24"/>
          <w:highlight w:val="none"/>
        </w:rPr>
      </w:pPr>
    </w:p>
    <w:p w14:paraId="533145BD">
      <w:pPr>
        <w:spacing w:line="360" w:lineRule="auto"/>
        <w:jc w:val="center"/>
        <w:rPr>
          <w:rFonts w:ascii="宋体" w:hAnsi="宋体" w:cs="宋体"/>
          <w:b/>
          <w:color w:val="auto"/>
          <w:sz w:val="24"/>
          <w:highlight w:val="none"/>
        </w:rPr>
      </w:pPr>
    </w:p>
    <w:p w14:paraId="24E69A3B">
      <w:pPr>
        <w:spacing w:line="360" w:lineRule="auto"/>
        <w:jc w:val="center"/>
        <w:rPr>
          <w:rFonts w:ascii="宋体" w:hAnsi="宋体" w:cs="宋体"/>
          <w:b/>
          <w:color w:val="auto"/>
          <w:sz w:val="44"/>
          <w:szCs w:val="44"/>
          <w:highlight w:val="none"/>
        </w:rPr>
      </w:pPr>
    </w:p>
    <w:p w14:paraId="2C1AA818">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2025年度余杭法院人民法庭</w:t>
      </w:r>
    </w:p>
    <w:p w14:paraId="580BD1E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物业服务采购项目</w:t>
      </w:r>
    </w:p>
    <w:p w14:paraId="7746FB62">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543B6D9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D3C5E84">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：HZYHZFCG-2024-125</w:t>
      </w:r>
    </w:p>
    <w:p w14:paraId="6CB96BF8">
      <w:pPr>
        <w:adjustRightInd/>
        <w:spacing w:line="360" w:lineRule="auto"/>
        <w:rPr>
          <w:rFonts w:ascii="宋体" w:hAnsi="宋体" w:cs="宋体"/>
          <w:color w:val="auto"/>
          <w:sz w:val="28"/>
          <w:szCs w:val="20"/>
          <w:highlight w:val="none"/>
        </w:rPr>
      </w:pPr>
    </w:p>
    <w:p w14:paraId="23496CE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1A81D8A">
      <w:pPr>
        <w:spacing w:line="360" w:lineRule="auto"/>
        <w:jc w:val="center"/>
        <w:rPr>
          <w:rFonts w:ascii="宋体" w:hAnsi="宋体" w:cs="宋体"/>
          <w:b/>
          <w:color w:val="auto"/>
          <w:sz w:val="44"/>
          <w:szCs w:val="44"/>
          <w:highlight w:val="none"/>
        </w:rPr>
      </w:pPr>
    </w:p>
    <w:p w14:paraId="384A3F37">
      <w:pPr>
        <w:spacing w:line="360" w:lineRule="auto"/>
        <w:jc w:val="center"/>
        <w:rPr>
          <w:rFonts w:ascii="宋体" w:hAnsi="宋体" w:cs="宋体"/>
          <w:color w:val="auto"/>
          <w:sz w:val="24"/>
          <w:highlight w:val="none"/>
        </w:rPr>
      </w:pPr>
    </w:p>
    <w:p w14:paraId="2BA7A115">
      <w:pPr>
        <w:spacing w:line="360" w:lineRule="auto"/>
        <w:jc w:val="center"/>
        <w:rPr>
          <w:rFonts w:ascii="宋体" w:hAnsi="宋体" w:cs="宋体"/>
          <w:color w:val="auto"/>
          <w:sz w:val="24"/>
          <w:highlight w:val="none"/>
        </w:rPr>
      </w:pPr>
    </w:p>
    <w:p w14:paraId="7D1BF68A">
      <w:pPr>
        <w:spacing w:line="360" w:lineRule="auto"/>
        <w:rPr>
          <w:rFonts w:ascii="宋体" w:hAnsi="宋体" w:cs="宋体"/>
          <w:color w:val="auto"/>
          <w:sz w:val="32"/>
          <w:szCs w:val="32"/>
          <w:highlight w:val="none"/>
        </w:rPr>
      </w:pPr>
    </w:p>
    <w:p w14:paraId="6B6560D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杭州市余杭区人民法院</w:t>
      </w:r>
    </w:p>
    <w:p w14:paraId="1B46C01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5B125BE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w:t>
      </w:r>
      <w:r>
        <w:rPr>
          <w:rFonts w:hint="eastAsia" w:ascii="宋体" w:hAnsi="宋体" w:cs="宋体"/>
          <w:bCs/>
          <w:color w:val="auto"/>
          <w:sz w:val="32"/>
          <w:szCs w:val="32"/>
          <w:highlight w:val="none"/>
        </w:rPr>
        <w:t xml:space="preserve">月 </w:t>
      </w:r>
    </w:p>
    <w:p w14:paraId="6350CF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935059C">
      <w:pPr>
        <w:pStyle w:val="319"/>
        <w:rPr>
          <w:color w:val="auto"/>
          <w:highlight w:val="none"/>
        </w:rPr>
      </w:pPr>
    </w:p>
    <w:p w14:paraId="6839737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7968B15">
      <w:pPr>
        <w:spacing w:line="360" w:lineRule="auto"/>
        <w:rPr>
          <w:rFonts w:ascii="宋体" w:hAnsi="宋体" w:cs="宋体"/>
          <w:color w:val="auto"/>
          <w:sz w:val="32"/>
          <w:szCs w:val="32"/>
          <w:highlight w:val="none"/>
        </w:rPr>
      </w:pPr>
    </w:p>
    <w:p w14:paraId="6C2D8E53">
      <w:pPr>
        <w:spacing w:line="360" w:lineRule="auto"/>
        <w:rPr>
          <w:rFonts w:ascii="宋体" w:hAnsi="宋体" w:cs="宋体"/>
          <w:color w:val="auto"/>
          <w:sz w:val="32"/>
          <w:szCs w:val="32"/>
          <w:highlight w:val="none"/>
        </w:rPr>
      </w:pPr>
    </w:p>
    <w:p w14:paraId="5D51C4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FEDE0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7F902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31646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C82839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13B15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2BAD7B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14EB798">
      <w:pPr>
        <w:spacing w:line="360" w:lineRule="auto"/>
        <w:ind w:firstLine="549" w:firstLineChars="229"/>
        <w:rPr>
          <w:rFonts w:ascii="宋体" w:hAnsi="宋体" w:cs="宋体"/>
          <w:color w:val="auto"/>
          <w:sz w:val="24"/>
          <w:highlight w:val="none"/>
        </w:rPr>
      </w:pPr>
    </w:p>
    <w:p w14:paraId="177627D7">
      <w:pPr>
        <w:spacing w:line="360" w:lineRule="auto"/>
        <w:ind w:firstLine="549" w:firstLineChars="229"/>
        <w:rPr>
          <w:rFonts w:ascii="宋体" w:hAnsi="宋体" w:cs="宋体"/>
          <w:color w:val="auto"/>
          <w:sz w:val="24"/>
          <w:highlight w:val="none"/>
        </w:rPr>
      </w:pPr>
    </w:p>
    <w:p w14:paraId="45B03EF0">
      <w:pPr>
        <w:spacing w:line="360" w:lineRule="auto"/>
        <w:ind w:firstLine="549" w:firstLineChars="229"/>
        <w:rPr>
          <w:rFonts w:ascii="宋体" w:hAnsi="宋体" w:cs="宋体"/>
          <w:color w:val="auto"/>
          <w:sz w:val="24"/>
          <w:highlight w:val="none"/>
        </w:rPr>
      </w:pPr>
    </w:p>
    <w:p w14:paraId="1D293220">
      <w:pPr>
        <w:spacing w:line="360" w:lineRule="auto"/>
        <w:ind w:firstLine="549" w:firstLineChars="229"/>
        <w:rPr>
          <w:rFonts w:ascii="宋体" w:hAnsi="宋体" w:cs="宋体"/>
          <w:color w:val="auto"/>
          <w:sz w:val="24"/>
          <w:highlight w:val="none"/>
        </w:rPr>
      </w:pPr>
    </w:p>
    <w:p w14:paraId="7E0BA306">
      <w:pPr>
        <w:spacing w:line="360" w:lineRule="auto"/>
        <w:ind w:firstLine="549" w:firstLineChars="229"/>
        <w:rPr>
          <w:rFonts w:ascii="宋体" w:hAnsi="宋体" w:cs="宋体"/>
          <w:color w:val="auto"/>
          <w:sz w:val="24"/>
          <w:highlight w:val="none"/>
        </w:rPr>
      </w:pPr>
    </w:p>
    <w:p w14:paraId="13EDC677">
      <w:pPr>
        <w:spacing w:line="360" w:lineRule="auto"/>
        <w:ind w:firstLine="549" w:firstLineChars="229"/>
        <w:rPr>
          <w:rFonts w:ascii="宋体" w:hAnsi="宋体" w:cs="宋体"/>
          <w:color w:val="auto"/>
          <w:sz w:val="24"/>
          <w:highlight w:val="none"/>
        </w:rPr>
      </w:pPr>
    </w:p>
    <w:p w14:paraId="55BA65A7">
      <w:pPr>
        <w:spacing w:line="360" w:lineRule="auto"/>
        <w:ind w:firstLine="549" w:firstLineChars="229"/>
        <w:rPr>
          <w:rFonts w:ascii="宋体" w:hAnsi="宋体" w:cs="宋体"/>
          <w:color w:val="auto"/>
          <w:sz w:val="24"/>
          <w:highlight w:val="none"/>
        </w:rPr>
      </w:pPr>
    </w:p>
    <w:p w14:paraId="6AABFFD8">
      <w:pPr>
        <w:spacing w:line="360" w:lineRule="auto"/>
        <w:ind w:firstLine="549" w:firstLineChars="229"/>
        <w:rPr>
          <w:rFonts w:ascii="宋体" w:hAnsi="宋体" w:cs="宋体"/>
          <w:color w:val="auto"/>
          <w:sz w:val="24"/>
          <w:highlight w:val="none"/>
        </w:rPr>
      </w:pPr>
    </w:p>
    <w:p w14:paraId="194B0CE8">
      <w:pPr>
        <w:spacing w:line="360" w:lineRule="auto"/>
        <w:ind w:firstLine="549" w:firstLineChars="229"/>
        <w:rPr>
          <w:rFonts w:ascii="宋体" w:hAnsi="宋体" w:cs="宋体"/>
          <w:color w:val="auto"/>
          <w:sz w:val="24"/>
          <w:highlight w:val="none"/>
        </w:rPr>
      </w:pPr>
    </w:p>
    <w:p w14:paraId="64457D53">
      <w:pPr>
        <w:spacing w:line="360" w:lineRule="auto"/>
        <w:ind w:firstLine="549" w:firstLineChars="229"/>
        <w:rPr>
          <w:rFonts w:ascii="宋体" w:hAnsi="宋体" w:cs="宋体"/>
          <w:color w:val="auto"/>
          <w:sz w:val="24"/>
          <w:highlight w:val="none"/>
        </w:rPr>
      </w:pPr>
    </w:p>
    <w:p w14:paraId="413915C2">
      <w:pPr>
        <w:spacing w:line="360" w:lineRule="auto"/>
        <w:ind w:firstLine="549" w:firstLineChars="229"/>
        <w:rPr>
          <w:rFonts w:ascii="宋体" w:hAnsi="宋体" w:cs="宋体"/>
          <w:color w:val="auto"/>
          <w:sz w:val="24"/>
          <w:highlight w:val="none"/>
        </w:rPr>
      </w:pPr>
    </w:p>
    <w:p w14:paraId="25A4801A">
      <w:pPr>
        <w:spacing w:line="360" w:lineRule="auto"/>
        <w:ind w:firstLine="549" w:firstLineChars="229"/>
        <w:rPr>
          <w:rFonts w:ascii="宋体" w:hAnsi="宋体" w:cs="宋体"/>
          <w:color w:val="auto"/>
          <w:sz w:val="24"/>
          <w:highlight w:val="none"/>
        </w:rPr>
      </w:pPr>
    </w:p>
    <w:p w14:paraId="686B0F9E">
      <w:pPr>
        <w:spacing w:line="360" w:lineRule="auto"/>
        <w:rPr>
          <w:rFonts w:ascii="宋体" w:hAnsi="宋体" w:cs="宋体"/>
          <w:color w:val="auto"/>
          <w:sz w:val="24"/>
          <w:highlight w:val="none"/>
        </w:rPr>
      </w:pPr>
    </w:p>
    <w:p w14:paraId="50012C8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8333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3AA2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2025年度余杭法院人民法庭物业服务采购项目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b/>
          <w:bCs/>
          <w:color w:val="auto"/>
          <w:kern w:val="2"/>
          <w:sz w:val="24"/>
          <w:szCs w:val="24"/>
          <w:highlight w:val="none"/>
          <w:u w:val="single" w:color="auto"/>
          <w:lang w:eastAsia="zh-CN"/>
        </w:rPr>
        <w:t>2024年11月20日9点30分00秒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0EFC0D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F9474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HZYHZFCG-2024-125</w:t>
      </w:r>
    </w:p>
    <w:p w14:paraId="50C289F2">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2025年度余杭法院人民法庭物业服务采购项目</w:t>
      </w:r>
    </w:p>
    <w:p w14:paraId="18DF7C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ascii="宋体" w:hAnsi="宋体" w:cs="宋体"/>
          <w:color w:val="auto"/>
          <w:sz w:val="24"/>
          <w:highlight w:val="none"/>
        </w:rPr>
        <w:t xml:space="preserve"> </w:t>
      </w:r>
      <w:r>
        <w:rPr>
          <w:rFonts w:hint="eastAsia" w:ascii="新宋体" w:hAnsi="新宋体" w:eastAsia="新宋体" w:cs="新宋体"/>
          <w:b/>
          <w:color w:val="auto"/>
          <w:sz w:val="24"/>
          <w:highlight w:val="none"/>
        </w:rPr>
        <w:t>1126000</w:t>
      </w:r>
    </w:p>
    <w:p w14:paraId="5B1A3C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14:paraId="6FB645A7">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本项目主要内容包括法庭的清洁保洁、绿化养护、工程设备维护、会务服务及采购单位交办的其他工作。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35743B85">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新宋体" w:hAnsi="新宋体" w:eastAsia="新宋体" w:cs="新宋体"/>
          <w:color w:val="auto"/>
          <w:szCs w:val="24"/>
          <w:highlight w:val="none"/>
        </w:rPr>
        <w:t>自合同签订生效之日起一年。</w:t>
      </w:r>
    </w:p>
    <w:p w14:paraId="651E839A">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49BC351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9678D3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66050137">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34BEFF8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983F11E">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656CFAC">
      <w:pPr>
        <w:spacing w:line="360" w:lineRule="auto"/>
        <w:ind w:firstLine="480" w:firstLineChars="200"/>
        <w:rPr>
          <w:rFonts w:ascii="宋体" w:hAnsi="宋体" w:cs="宋体"/>
          <w:color w:val="auto"/>
          <w:sz w:val="24"/>
          <w:highlight w:val="none"/>
        </w:rPr>
      </w:pPr>
      <w:r>
        <w:rPr>
          <w:rFonts w:hint="eastAsia" w:ascii="新宋体" w:hAnsi="新宋体" w:eastAsia="新宋体" w:cs="新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E06BDD6">
      <w:pPr>
        <w:spacing w:line="360" w:lineRule="auto"/>
        <w:ind w:firstLine="720" w:firstLineChars="300"/>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sym w:font="Wingdings" w:char="F0FE"/>
      </w:r>
      <w:r>
        <w:rPr>
          <w:rFonts w:hint="eastAsia" w:ascii="新宋体" w:hAnsi="新宋体" w:eastAsia="新宋体" w:cs="新宋体"/>
          <w:color w:val="auto"/>
          <w:sz w:val="24"/>
          <w:highlight w:val="none"/>
        </w:rPr>
        <w:t>服务全部由符合政策要求的中小</w:t>
      </w:r>
      <w:r>
        <w:rPr>
          <w:rFonts w:hint="eastAsia" w:ascii="新宋体" w:hAnsi="新宋体" w:eastAsia="新宋体" w:cs="新宋体"/>
          <w:color w:val="auto"/>
          <w:sz w:val="24"/>
          <w:highlight w:val="none"/>
          <w:lang w:eastAsia="zh-CN"/>
        </w:rPr>
        <w:t>微</w:t>
      </w:r>
      <w:r>
        <w:rPr>
          <w:rFonts w:hint="eastAsia" w:ascii="新宋体" w:hAnsi="新宋体" w:eastAsia="新宋体" w:cs="新宋体"/>
          <w:color w:val="auto"/>
          <w:sz w:val="24"/>
          <w:highlight w:val="none"/>
        </w:rPr>
        <w:t>企业承接，提供中小企业声明函；</w:t>
      </w:r>
    </w:p>
    <w:p w14:paraId="5C1152C2">
      <w:pPr>
        <w:spacing w:line="360" w:lineRule="auto"/>
        <w:ind w:firstLine="720" w:firstLineChars="3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5250C2D7">
      <w:pPr>
        <w:spacing w:line="360" w:lineRule="auto"/>
        <w:rPr>
          <w:rFonts w:ascii="宋体" w:hAnsi="宋体" w:cs="宋体"/>
          <w:color w:val="auto"/>
          <w:highlight w:val="none"/>
        </w:rPr>
      </w:pPr>
    </w:p>
    <w:p w14:paraId="00C1623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9468DB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461FBF7">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2AD47C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1DF46144">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1C17F4">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5CA0E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CEEE6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2024年11月20日</w:t>
      </w:r>
      <w:r>
        <w:rPr>
          <w:rFonts w:hint="eastAsia" w:ascii="宋体" w:hAnsi="宋体" w:cs="宋体"/>
          <w:color w:val="auto"/>
          <w:sz w:val="24"/>
          <w:highlight w:val="none"/>
        </w:rPr>
        <w:t>，每天上午00:00至12:00 ，下午12:00至23:59（北京时间，线上获取法定节假日均可，线下获取文件法定节假日除外）</w:t>
      </w:r>
    </w:p>
    <w:p w14:paraId="0F05D75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D2F1D7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D8408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CA9D8B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5D53A2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lang w:eastAsia="zh-CN"/>
        </w:rPr>
        <w:t>2024年11月20日9点30分00秒</w:t>
      </w:r>
      <w:r>
        <w:rPr>
          <w:rFonts w:hint="eastAsia" w:ascii="宋体" w:hAnsi="宋体" w:cs="宋体"/>
          <w:color w:val="auto"/>
          <w:sz w:val="24"/>
          <w:highlight w:val="none"/>
        </w:rPr>
        <w:t>（北京时间）</w:t>
      </w:r>
    </w:p>
    <w:p w14:paraId="5B932F0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C156ED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2024年11月20日9点30分00秒</w:t>
      </w:r>
      <w:r>
        <w:rPr>
          <w:rFonts w:hint="eastAsia" w:ascii="宋体" w:hAnsi="宋体" w:cs="宋体"/>
          <w:color w:val="auto"/>
          <w:sz w:val="24"/>
          <w:highlight w:val="none"/>
        </w:rPr>
        <w:t>（北京时间）</w:t>
      </w:r>
    </w:p>
    <w:p w14:paraId="380267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44B516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EAB00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F2580D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6C3E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CB74B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4D8642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0824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3418AEF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C823B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1921B9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 xml:space="preserve"> </w:t>
      </w:r>
    </w:p>
    <w:p w14:paraId="70FD6049">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地址：杭州市余杭区五常街道西坝路49-1号 </w:t>
      </w:r>
    </w:p>
    <w:p w14:paraId="73D2CB5A">
      <w:pPr>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传真： 0571-89515482</w:t>
      </w:r>
    </w:p>
    <w:p w14:paraId="08556D93">
      <w:pPr>
        <w:spacing w:line="360" w:lineRule="auto"/>
        <w:ind w:firstLine="48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项目联系人（询问）：韩骏</w:t>
      </w:r>
    </w:p>
    <w:p w14:paraId="253BAA67">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项目联系方式（询问）：0571-89515479</w:t>
      </w:r>
    </w:p>
    <w:p w14:paraId="1E02546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质疑联系人：陶蕾</w:t>
      </w:r>
    </w:p>
    <w:p w14:paraId="2CE640C9">
      <w:pPr>
        <w:spacing w:line="360" w:lineRule="auto"/>
        <w:ind w:firstLine="480"/>
        <w:rPr>
          <w:rFonts w:hint="eastAsia" w:ascii="宋体" w:hAnsi="宋体" w:eastAsia="宋体" w:cs="宋体"/>
          <w:color w:val="auto"/>
          <w:sz w:val="24"/>
          <w:highlight w:val="none"/>
          <w:lang w:val="en-US" w:eastAsia="zh-CN"/>
        </w:rPr>
      </w:pPr>
      <w:r>
        <w:rPr>
          <w:rFonts w:hint="eastAsia" w:ascii="新宋体" w:hAnsi="新宋体" w:eastAsia="新宋体" w:cs="新宋体"/>
          <w:color w:val="auto"/>
          <w:sz w:val="24"/>
          <w:highlight w:val="none"/>
        </w:rPr>
        <w:t>质疑联系方式：0571-89515498</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65600C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119962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14:paraId="365F1F0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4FE2EB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7BB8B8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徐老师</w:t>
      </w:r>
    </w:p>
    <w:p w14:paraId="79A81F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89395436</w:t>
      </w:r>
    </w:p>
    <w:p w14:paraId="3FB5B6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张老师</w:t>
      </w:r>
    </w:p>
    <w:p w14:paraId="35A1E4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0571-89517231</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562F051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14:paraId="1DDFEF6D">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3C47E17A">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14:paraId="61B582B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26717C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14:paraId="4FBADC1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0571-87227671,0571-87800218</w:t>
      </w:r>
    </w:p>
    <w:p w14:paraId="7CB610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F0950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39DDA9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0E0022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EC8462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98A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C63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A990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ABC7D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9801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529C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20D02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29C30E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2BF0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AF08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EC50B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632C592">
            <w:pPr>
              <w:snapToGrid w:val="0"/>
              <w:spacing w:line="360" w:lineRule="auto"/>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标的：</w:t>
            </w:r>
            <w:r>
              <w:rPr>
                <w:rFonts w:hint="eastAsia" w:ascii="新宋体" w:hAnsi="新宋体" w:eastAsia="新宋体" w:cs="新宋体"/>
                <w:color w:val="auto"/>
                <w:kern w:val="0"/>
                <w:sz w:val="24"/>
                <w:highlight w:val="none"/>
                <w:u w:val="single"/>
              </w:rPr>
              <w:t>物业管理服务</w:t>
            </w:r>
            <w:r>
              <w:rPr>
                <w:rFonts w:hint="eastAsia" w:ascii="新宋体" w:hAnsi="新宋体" w:eastAsia="新宋体" w:cs="新宋体"/>
                <w:color w:val="auto"/>
                <w:kern w:val="0"/>
                <w:sz w:val="24"/>
                <w:highlight w:val="none"/>
              </w:rPr>
              <w:t>，属于</w:t>
            </w:r>
            <w:r>
              <w:rPr>
                <w:rFonts w:hint="eastAsia" w:ascii="新宋体" w:hAnsi="新宋体" w:eastAsia="新宋体" w:cs="新宋体"/>
                <w:color w:val="auto"/>
                <w:kern w:val="0"/>
                <w:sz w:val="24"/>
                <w:highlight w:val="none"/>
                <w:u w:val="single"/>
              </w:rPr>
              <w:t>物业管理</w:t>
            </w:r>
            <w:r>
              <w:rPr>
                <w:rFonts w:hint="eastAsia" w:ascii="新宋体" w:hAnsi="新宋体" w:eastAsia="新宋体" w:cs="新宋体"/>
                <w:color w:val="auto"/>
                <w:kern w:val="0"/>
                <w:sz w:val="24"/>
                <w:highlight w:val="none"/>
              </w:rPr>
              <w:t>行业；</w:t>
            </w:r>
          </w:p>
          <w:p w14:paraId="43828901">
            <w:pPr>
              <w:pStyle w:val="2"/>
              <w:rPr>
                <w:rFonts w:ascii="宋体" w:hAnsi="宋体" w:eastAsia="宋体" w:cs="宋体"/>
                <w:color w:val="auto"/>
                <w:highlight w:val="none"/>
                <w:lang w:val="en-US"/>
              </w:rPr>
            </w:pPr>
          </w:p>
        </w:tc>
      </w:tr>
      <w:tr w14:paraId="3C19C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C780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D33F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D02EA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0FFAAF61">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1F9E3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570F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D371B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3709E2">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新宋体" w:hAnsi="新宋体" w:eastAsia="新宋体" w:cs="新宋体"/>
                <w:color w:val="auto"/>
                <w:sz w:val="24"/>
                <w:highlight w:val="none"/>
                <w:u w:val="single"/>
              </w:rPr>
              <w:t>外墙清洗、绿化租摆、电梯维护、消防设施设备维护、空调系统维护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CDF0C22">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76B066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477E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8959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CCDC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3EA039">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E5D7816">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8BFA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D9E2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DFCF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933862">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4F9D1B9">
            <w:pPr>
              <w:spacing w:line="360" w:lineRule="auto"/>
              <w:rPr>
                <w:rFonts w:ascii="宋体" w:hAnsi="宋体" w:cs="宋体"/>
                <w:b/>
                <w:color w:val="auto"/>
                <w:sz w:val="24"/>
                <w:highlight w:val="none"/>
              </w:rPr>
            </w:pPr>
          </w:p>
        </w:tc>
      </w:tr>
      <w:tr w14:paraId="41C0B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64E7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BEFB6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75194C">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52D6C73">
            <w:pPr>
              <w:snapToGrid w:val="0"/>
              <w:spacing w:line="360" w:lineRule="auto"/>
              <w:rPr>
                <w:rFonts w:ascii="宋体" w:hAnsi="宋体" w:cs="宋体"/>
                <w:b/>
                <w:color w:val="auto"/>
                <w:kern w:val="0"/>
                <w:sz w:val="24"/>
                <w:highlight w:val="none"/>
                <w:lang w:val="zh-CN"/>
              </w:rPr>
            </w:pPr>
          </w:p>
        </w:tc>
      </w:tr>
      <w:tr w14:paraId="51C33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BB746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A103A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00383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57D3A4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31B5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5D6659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F25DC7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9A3BD9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9B53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2BCE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079B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4E37B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EAA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007E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16626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F02CE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7A3F3A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09FB19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C7A4DA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35B706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0B8BF5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E95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36BDD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055A3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178D1">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025B9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42953DA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0CFC7A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0F88AFB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031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A223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3D1B2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6C2539">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2AD6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CCAB6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A7063E9">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3DCE3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533E0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0B5721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D304AF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5519E3E">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14:paraId="0F3AC3EA">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010DB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1527B6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6FA04C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278CD94">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1FAB3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2BB491BF">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523400D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E0720E">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本项目评审报告推荐的中标候选人数量：</w:t>
            </w:r>
            <w:r>
              <w:rPr>
                <w:rFonts w:hint="eastAsia" w:ascii="宋体" w:hAnsi="宋体" w:eastAsia="宋体" w:cs="Arial"/>
                <w:color w:val="auto"/>
                <w:kern w:val="0"/>
                <w:sz w:val="24"/>
                <w:highlight w:val="none"/>
                <w:u w:val="single"/>
              </w:rPr>
              <w:t xml:space="preserve">  1 </w:t>
            </w:r>
            <w:r>
              <w:rPr>
                <w:rFonts w:hint="eastAsia" w:ascii="宋体" w:hAnsi="宋体" w:eastAsia="宋体" w:cs="Arial"/>
                <w:color w:val="auto"/>
                <w:kern w:val="0"/>
                <w:sz w:val="24"/>
                <w:highlight w:val="none"/>
              </w:rPr>
              <w:t xml:space="preserve"> 。</w:t>
            </w:r>
          </w:p>
        </w:tc>
      </w:tr>
    </w:tbl>
    <w:p w14:paraId="1D0154EC">
      <w:pPr>
        <w:snapToGrid w:val="0"/>
        <w:spacing w:line="360" w:lineRule="auto"/>
        <w:jc w:val="center"/>
        <w:rPr>
          <w:rFonts w:ascii="宋体" w:hAnsi="宋体" w:cs="宋体"/>
          <w:b/>
          <w:color w:val="auto"/>
          <w:sz w:val="32"/>
          <w:szCs w:val="20"/>
          <w:highlight w:val="none"/>
        </w:rPr>
      </w:pPr>
    </w:p>
    <w:bookmarkEnd w:id="10"/>
    <w:p w14:paraId="3FC73473">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589B8C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1A1413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66FAF21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22C64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7BBE3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0B6B8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4DD1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EA8A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76BB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14:paraId="266C0A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2247DA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957BC6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BE405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C18AB6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01830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4E86D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14:paraId="7D83447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883EC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5C96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205E65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E0BE6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2B9C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580CCAAA">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7CDD0A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66E06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69DD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42C5B3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ABAADF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41E9C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E0FE2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60FA6EE">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14:paraId="01627C18">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2A88C2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E5F2F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34B09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89ECC9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5217D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D6B5AD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E0730AD">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82F2C3F">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2702F57F">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C63AF6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BE4F4F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F0D8C0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663666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BFD27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1AA9E8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34B6B7">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640339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3F2E5C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DFE925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F200FB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84C0D2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EE51156">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D10818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99BBB9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87A1D3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89E75E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E797898">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14:paraId="74E67C4C">
      <w:pPr>
        <w:pStyle w:val="85"/>
        <w:snapToGrid w:val="0"/>
        <w:spacing w:before="0"/>
        <w:ind w:firstLine="360"/>
        <w:rPr>
          <w:rFonts w:ascii="宋体" w:hAnsi="宋体" w:cs="宋体"/>
          <w:color w:val="auto"/>
          <w:sz w:val="18"/>
          <w:szCs w:val="18"/>
          <w:highlight w:val="none"/>
        </w:rPr>
      </w:pPr>
    </w:p>
    <w:p w14:paraId="4A0D683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6F9D90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597490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6EB963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9FA9BE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38F66D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1A2BD5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504151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274F78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AE4AD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7BF53C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75E1C3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0119EFA">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DF5B6F">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F79438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219153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AD5F9D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4B3C69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98829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88918F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2D259A8">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328740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675728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36F99B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12393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F0637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5220AA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4D0634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11AAA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E5980D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5526C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31FC9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0BCC2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4350FC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4A47D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43526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2B1DC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C27884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0FE87A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9B3357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B7CEBA0">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1866D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787B2AC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C4662E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9F3CA9B">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12FF0442">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B44E7E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E74DB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9B27F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EE59BC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0BC347A">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DCC4AF9">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FF2CF93">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B9ACC46">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D35496C">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5510967">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EBAA83">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432C22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29C81E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8DCABDE">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0D15CA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823FD4C">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14:paraId="64DE7B8B">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81A1136">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03CA63DE">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5885F6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E06A32A">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36B87F9">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A76F075">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273F59E">
      <w:pPr>
        <w:pStyle w:val="85"/>
        <w:spacing w:before="0"/>
        <w:ind w:firstLine="643"/>
        <w:rPr>
          <w:rFonts w:ascii="宋体" w:hAnsi="宋体" w:cs="宋体"/>
          <w:b/>
          <w:color w:val="auto"/>
          <w:sz w:val="32"/>
          <w:highlight w:val="none"/>
        </w:rPr>
      </w:pPr>
    </w:p>
    <w:p w14:paraId="2A9253DA">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0A726FE">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00C93AB">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29A33A5">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94037D7">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CD9BF3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D2A7DB5">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311805F1">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1653E2D">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719F4B30">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9C481E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8FAF729">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D21E960">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49282641">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EA082B8">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87DD471">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14E789B">
      <w:pPr>
        <w:pStyle w:val="85"/>
        <w:spacing w:before="0"/>
        <w:ind w:firstLine="0" w:firstLineChars="0"/>
        <w:rPr>
          <w:rFonts w:ascii="宋体" w:hAnsi="宋体" w:cs="宋体"/>
          <w:color w:val="auto"/>
          <w:kern w:val="0"/>
          <w:szCs w:val="24"/>
          <w:highlight w:val="none"/>
        </w:rPr>
      </w:pPr>
    </w:p>
    <w:p w14:paraId="18E4175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9CA3C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708120">
      <w:pPr>
        <w:spacing w:line="360" w:lineRule="auto"/>
        <w:rPr>
          <w:rFonts w:ascii="宋体" w:hAnsi="宋体" w:cs="宋体"/>
          <w:b/>
          <w:color w:val="auto"/>
          <w:sz w:val="24"/>
          <w:highlight w:val="none"/>
        </w:rPr>
      </w:pPr>
    </w:p>
    <w:p w14:paraId="6660B9B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C769DAC">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234A10F">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061D89A4">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694562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40931A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BF22B6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3EF4787">
      <w:pPr>
        <w:snapToGrid w:val="0"/>
        <w:spacing w:line="360" w:lineRule="auto"/>
        <w:ind w:left="120" w:leftChars="57" w:firstLine="482" w:firstLineChars="150"/>
        <w:jc w:val="center"/>
        <w:rPr>
          <w:rFonts w:ascii="宋体" w:hAnsi="宋体" w:cs="宋体"/>
          <w:b/>
          <w:color w:val="auto"/>
          <w:sz w:val="32"/>
          <w:highlight w:val="none"/>
        </w:rPr>
      </w:pPr>
    </w:p>
    <w:p w14:paraId="46EE88F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A9C96A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CCEA60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E3BC95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7A54FD0">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C9F1D8">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EA3442D">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0DAA5031">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1B77A23">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EEAB1E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DA54753">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BAF8244">
      <w:pPr>
        <w:rPr>
          <w:color w:val="auto"/>
          <w:highlight w:val="none"/>
        </w:rPr>
      </w:pPr>
    </w:p>
    <w:p w14:paraId="33E8563F">
      <w:pPr>
        <w:snapToGrid w:val="0"/>
        <w:spacing w:line="360" w:lineRule="auto"/>
        <w:ind w:firstLine="3357" w:firstLineChars="1045"/>
        <w:rPr>
          <w:rFonts w:ascii="宋体" w:hAnsi="宋体" w:cs="宋体"/>
          <w:b/>
          <w:color w:val="auto"/>
          <w:sz w:val="32"/>
          <w:highlight w:val="none"/>
        </w:rPr>
      </w:pPr>
    </w:p>
    <w:p w14:paraId="46D331D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BA71552">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F034E6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1D85C45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3E11CCE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32CB9567">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21A71D0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281C34DB">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7496533">
      <w:pPr>
        <w:tabs>
          <w:tab w:val="left" w:pos="0"/>
        </w:tabs>
        <w:spacing w:line="360" w:lineRule="auto"/>
        <w:ind w:firstLine="480"/>
        <w:rPr>
          <w:rFonts w:ascii="宋体" w:hAnsi="宋体" w:cs="宋体"/>
          <w:color w:val="auto"/>
          <w:sz w:val="24"/>
          <w:highlight w:val="none"/>
        </w:rPr>
      </w:pPr>
    </w:p>
    <w:p w14:paraId="2EDB21A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8986CC6">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256567D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9490A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E2F253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2C403F">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CC48169">
      <w:pPr>
        <w:tabs>
          <w:tab w:val="left" w:pos="0"/>
        </w:tabs>
        <w:spacing w:line="360" w:lineRule="auto"/>
        <w:ind w:firstLine="480"/>
        <w:rPr>
          <w:color w:val="auto"/>
          <w:highlight w:val="none"/>
        </w:rPr>
      </w:pPr>
      <w:bookmarkStart w:id="15" w:name="_Hlt74729768"/>
      <w:bookmarkEnd w:id="15"/>
      <w:bookmarkStart w:id="16" w:name="_Hlt68073093"/>
      <w:bookmarkEnd w:id="16"/>
      <w:bookmarkStart w:id="17" w:name="_Hlt68072998"/>
      <w:bookmarkEnd w:id="17"/>
      <w:bookmarkStart w:id="18" w:name="_Hlt68072990"/>
      <w:bookmarkEnd w:id="18"/>
      <w:bookmarkStart w:id="19" w:name="_Hlt74707468"/>
      <w:bookmarkEnd w:id="19"/>
      <w:bookmarkStart w:id="20" w:name="_Hlt68403820"/>
      <w:bookmarkEnd w:id="20"/>
      <w:bookmarkStart w:id="21" w:name="_Hlt75236011"/>
      <w:bookmarkEnd w:id="21"/>
      <w:bookmarkStart w:id="22" w:name="_Hlt68057669"/>
      <w:bookmarkEnd w:id="22"/>
      <w:bookmarkStart w:id="23" w:name="_Hlt75236290"/>
      <w:bookmarkEnd w:id="23"/>
      <w:bookmarkStart w:id="24" w:name="_Hlt74714665"/>
      <w:bookmarkEnd w:id="24"/>
      <w:bookmarkStart w:id="25" w:name="_Hlt75236101"/>
      <w:bookmarkEnd w:id="25"/>
      <w:bookmarkStart w:id="26" w:name="_Hlt74730295"/>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324D21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7138667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A5E7A79">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项目概况</w:t>
      </w:r>
    </w:p>
    <w:p w14:paraId="7D2087E3">
      <w:pPr>
        <w:pStyle w:val="100"/>
        <w:spacing w:line="360" w:lineRule="auto"/>
        <w:ind w:left="420" w:firstLine="0" w:firstLineChars="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本项目所涉四个人民法庭情况如下：</w:t>
      </w:r>
    </w:p>
    <w:p w14:paraId="0D6D258A">
      <w:pPr>
        <w:pStyle w:val="100"/>
        <w:spacing w:line="360" w:lineRule="auto"/>
        <w:ind w:left="420" w:firstLine="48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余杭人民法庭，位于余杭区余杭街道城东路城南路口东180米。总用地面积6682平方米，地上四层（有架空层），建筑面积2948.97平方米。室外绿地面积约200平方米，地面车位约30个。</w:t>
      </w:r>
    </w:p>
    <w:p w14:paraId="6E0E85A2">
      <w:pPr>
        <w:pStyle w:val="100"/>
        <w:spacing w:line="360" w:lineRule="auto"/>
        <w:ind w:left="420" w:firstLine="48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瓶窑人民法庭，位于余杭区瓶窑镇前程路16号。总用地面积7187平方米，地上四层（有架空层），建筑面积3005.37平方米。室外绿地面积约150平方米，地面车位约30个。</w:t>
      </w:r>
    </w:p>
    <w:p w14:paraId="242B0F58">
      <w:pPr>
        <w:pStyle w:val="100"/>
        <w:spacing w:line="360" w:lineRule="auto"/>
        <w:ind w:left="420" w:firstLine="48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良渚人民法庭，位于余杭区莫干山路2299号。占地总用地面积3856.5平方米，地上四层，建筑面积1045平方米。室外绿地面积约50平方米，地面车位约10个。</w:t>
      </w:r>
    </w:p>
    <w:p w14:paraId="2BD5FC00">
      <w:pPr>
        <w:pStyle w:val="100"/>
        <w:spacing w:line="360" w:lineRule="auto"/>
        <w:ind w:left="420" w:firstLine="48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未来科技城人民法庭，位于余杭区文一西路998号海创园5幢1层3层。建筑面积2480平方米，为地上二层。室外绿化面积500平方米，地面车位10个。</w:t>
      </w:r>
    </w:p>
    <w:p w14:paraId="7D8E2616">
      <w:pPr>
        <w:tabs>
          <w:tab w:val="left" w:pos="0"/>
        </w:tabs>
        <w:spacing w:line="360" w:lineRule="auto"/>
        <w:ind w:firstLine="480"/>
        <w:rPr>
          <w:rFonts w:ascii="新宋体" w:hAnsi="新宋体" w:eastAsia="新宋体" w:cs="新宋体"/>
          <w:color w:val="auto"/>
          <w:kern w:val="0"/>
          <w:sz w:val="24"/>
          <w:highlight w:val="none"/>
        </w:rPr>
      </w:pPr>
      <w:r>
        <w:rPr>
          <w:rFonts w:hint="eastAsia" w:ascii="新宋体" w:hAnsi="新宋体" w:eastAsia="新宋体" w:cs="新宋体"/>
          <w:snapToGrid w:val="0"/>
          <w:color w:val="auto"/>
          <w:kern w:val="28"/>
          <w:sz w:val="24"/>
          <w:highlight w:val="none"/>
        </w:rPr>
        <w:t>本项目主要内容包括：上述四</w:t>
      </w:r>
      <w:r>
        <w:rPr>
          <w:rFonts w:hint="eastAsia" w:ascii="新宋体" w:hAnsi="新宋体" w:eastAsia="新宋体" w:cs="新宋体"/>
          <w:color w:val="auto"/>
          <w:kern w:val="0"/>
          <w:sz w:val="24"/>
          <w:highlight w:val="none"/>
        </w:rPr>
        <w:t>个人民法庭的清洁保洁、绿化养护、工程设备维护、会务服务和采购单位交办的其他工作。</w:t>
      </w:r>
    </w:p>
    <w:p w14:paraId="718AEE6B">
      <w:pPr>
        <w:tabs>
          <w:tab w:val="left" w:pos="0"/>
        </w:tabs>
        <w:spacing w:line="360" w:lineRule="auto"/>
        <w:ind w:firstLine="48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零星维修涉及的大型材料配件（500元以上）、会议特殊摆花、节日及临时性活动的花卉绿化装饰由采购人承担，但须书面报批准后方可执行。</w:t>
      </w:r>
    </w:p>
    <w:p w14:paraId="596D9EC0">
      <w:pPr>
        <w:tabs>
          <w:tab w:val="left" w:pos="0"/>
        </w:tabs>
        <w:spacing w:line="360" w:lineRule="auto"/>
        <w:ind w:firstLine="48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采购需求、评标标准中所称的“以上”“以下”“内”“以内”“不少于”“不超过”，包括本数；所称的“不足”“低于”，不包括本数。</w:t>
      </w:r>
    </w:p>
    <w:p w14:paraId="4E95B7B9">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服务年限</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val="0"/>
          <w:bCs w:val="0"/>
          <w:color w:val="auto"/>
          <w:sz w:val="24"/>
          <w:highlight w:val="none"/>
          <w:lang w:eastAsia="zh-CN"/>
        </w:rPr>
        <w:t>自</w:t>
      </w:r>
      <w:r>
        <w:rPr>
          <w:rFonts w:hint="eastAsia" w:ascii="新宋体" w:hAnsi="新宋体" w:eastAsia="新宋体" w:cs="新宋体"/>
          <w:color w:val="auto"/>
          <w:sz w:val="24"/>
          <w:highlight w:val="none"/>
        </w:rPr>
        <w:t>合同签订生效之日起一年</w:t>
      </w:r>
      <w:r>
        <w:rPr>
          <w:rFonts w:hint="eastAsia" w:ascii="新宋体" w:hAnsi="新宋体" w:eastAsia="新宋体" w:cs="新宋体"/>
          <w:color w:val="auto"/>
          <w:sz w:val="24"/>
          <w:highlight w:val="none"/>
          <w:lang w:eastAsia="zh-CN"/>
        </w:rPr>
        <w:t>。</w:t>
      </w:r>
    </w:p>
    <w:p w14:paraId="1276820D">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具体</w:t>
      </w:r>
      <w:r>
        <w:rPr>
          <w:rFonts w:hint="eastAsia" w:ascii="新宋体" w:hAnsi="新宋体" w:eastAsia="新宋体" w:cs="新宋体"/>
          <w:b/>
          <w:bCs/>
          <w:color w:val="auto"/>
          <w:sz w:val="24"/>
          <w:highlight w:val="none"/>
        </w:rPr>
        <w:t>服务内容和服务要求</w:t>
      </w:r>
      <w:r>
        <w:rPr>
          <w:rFonts w:hint="eastAsia" w:ascii="新宋体" w:hAnsi="新宋体" w:eastAsia="新宋体" w:cs="新宋体"/>
          <w:b/>
          <w:bCs/>
          <w:color w:val="auto"/>
          <w:sz w:val="24"/>
          <w:highlight w:val="none"/>
          <w:lang w:eastAsia="zh-CN"/>
        </w:rPr>
        <w:t>：</w:t>
      </w:r>
    </w:p>
    <w:p w14:paraId="4372C9C8">
      <w:pPr>
        <w:widowControl/>
        <w:numPr>
          <w:ilvl w:val="0"/>
          <w:numId w:val="3"/>
        </w:numPr>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清洁保洁</w:t>
      </w:r>
    </w:p>
    <w:p w14:paraId="61A911EA">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负责办公楼内楼梯、大厅、走廊、电梯间、卫生间、茶水间、公共活动场所和办公楼室外广场、道路、停车场(库)、"门前三包"等公共区域的清卫保洁，以及垃圾、废弃物清理和消毒灭害等。</w:t>
      </w:r>
    </w:p>
    <w:p w14:paraId="6C9A3055">
      <w:pPr>
        <w:widowControl/>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2.服务基本要求：</w:t>
      </w:r>
    </w:p>
    <w:p w14:paraId="5A2F2510">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(1)根据清洁区域的不同，对所使用的清洁工具，应标记不同标识或颜色加以区分。</w:t>
      </w:r>
    </w:p>
    <w:p w14:paraId="07F44F30">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(2)遇雨、雪、台风等特殊天气时应及时清扫道路，并在通道、台阶、出入口处放置警示标志，铺设防滑垫。</w:t>
      </w:r>
    </w:p>
    <w:p w14:paraId="65A486CB">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(3)开展2米或2米以上高空清洁作业时，应采取安全防护措施。</w:t>
      </w:r>
    </w:p>
    <w:p w14:paraId="0503FDEF">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(4)定期对公共场所和周围环境进行预防性卫生消杀，适时投放消杀药物和设施。</w:t>
      </w:r>
    </w:p>
    <w:p w14:paraId="48E37DDA">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(5)定期采取综合措施消灭“四害”,达到基本无鼠、无蟑螂、无苍蝇和无蚊虫。</w:t>
      </w:r>
    </w:p>
    <w:p w14:paraId="5AB13D73">
      <w:pPr>
        <w:widowControl/>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3.服务质量标准：</w:t>
      </w:r>
    </w:p>
    <w:p w14:paraId="2B318E5F">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(1)室内公共区域的地面、墙面、楼梯、扶手、大厅、玻璃、门及门窗框、天花板、栏杆、走廊等整洁干净，无垃圾、无积灰、无污渍、无手印。</w:t>
      </w:r>
    </w:p>
    <w:p w14:paraId="30A69759">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(2)室内卫生间、茶水间清洁，无垃圾、无污渍、无积水、无异味、无堆积杂物，洁具、台面、镜面光洁无水迹，电器设施外观清洁，物品摆放有序。室内卫生间符合“美丽厕所”标准。</w:t>
      </w:r>
    </w:p>
    <w:p w14:paraId="084137F0">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(3)室外广场、道路、停车场(库)、屋面、“门前三包”等公共区域的地面干净，无杂物、无积水、无淤泥、无污垢。</w:t>
      </w:r>
    </w:p>
    <w:p w14:paraId="14E75496">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(4)外墙应保持清洁，无明显污迹。</w:t>
      </w:r>
    </w:p>
    <w:p w14:paraId="1821CB04">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(5)定期对景观、照明灯设施设备进行清洁，确保表面干净无污渍。</w:t>
      </w:r>
    </w:p>
    <w:p w14:paraId="505CD3F3">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(6)垃圾、废弃物按分类要求及时收集、日产日清，化粪池及时清掏，垃圾箱(房)外侧表面清洁、内侧无残留物、无异味。</w:t>
      </w:r>
    </w:p>
    <w:p w14:paraId="33B30001">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(7)垃圾应按照可回收物、有害垃圾、易腐垃圾和其他垃圾进行分类，对应垃圾桶颜色分别为蓝色、红色、绿色和灰色。</w:t>
      </w:r>
    </w:p>
    <w:p w14:paraId="668F4C70">
      <w:pPr>
        <w:widowControl/>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 (二)绿化养护</w:t>
      </w:r>
    </w:p>
    <w:p w14:paraId="75C6DFDD">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负责办公楼(区)树木、花草、绿地等绿化日常养护和管理，以及办公楼(区)门厅等公共区域养护和管理等。</w:t>
      </w:r>
    </w:p>
    <w:p w14:paraId="7AB715BE">
      <w:pPr>
        <w:widowControl/>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39452E83">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(1)室内外绿化养护期内各类绿植应100%存活。</w:t>
      </w:r>
    </w:p>
    <w:p w14:paraId="3AC64182">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(2)根据季节和气候状况，进行浇灌、施肥、修剪和松土等养护。</w:t>
      </w:r>
    </w:p>
    <w:p w14:paraId="1A7A8E25">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(3)应选择观赏性强、观赏期长、方便管理的鲜活植物摆放室内，植株长势良好，无残枝、无黄叶、无积尘，花朵饱满、无萎蔫，托盘内无积水。</w:t>
      </w:r>
    </w:p>
    <w:p w14:paraId="4A97EC2A">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(4)室外乔木丰满健壮、生长良好，灌木枝叶紧密圆整，无脱节、无枯枝。草坪生长整齐，清洁美观，修剪高度一致，覆盖率高。花卉色彩鲜艳，摆放造型新颖，无杂草、无枯死。</w:t>
      </w:r>
    </w:p>
    <w:p w14:paraId="23BB0FF0">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(5)雨、雪、台风等特殊天气前，应派专人巡查，及时加固、支撑、修剪高大乔木，排除安全隐患。</w:t>
      </w:r>
    </w:p>
    <w:p w14:paraId="09A034B3">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(6)定期检查病虫害情况，病虫害防治率100%,危害率低于5%。</w:t>
      </w:r>
    </w:p>
    <w:p w14:paraId="0B5A033E">
      <w:pPr>
        <w:widowControl/>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(三)工程设备维护</w:t>
      </w:r>
    </w:p>
    <w:p w14:paraId="22196D24">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负责办公楼(区)给排水系统、供配电系统、智能弱电系统、消防监控系统、电梯等设施设备的日常维修、维护、保养，做好办公房屋的日常维护。</w:t>
      </w:r>
    </w:p>
    <w:p w14:paraId="3BCF21EE">
      <w:pPr>
        <w:widowControl/>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2.服务质量标准：</w:t>
      </w:r>
    </w:p>
    <w:p w14:paraId="5A406F0A">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(1)房屋地面、墙、台面、吊顶、门窗、楼梯、卫生洁具、大厅玻璃顶、外墙幕墙等完好，无霉变破损。</w:t>
      </w:r>
    </w:p>
    <w:p w14:paraId="4F5CC476">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(2)至少每2小时巡视一次高配房设备运行情况，如实记录设备运行参数。定期对各类机房设备设施进行检查、维护、清洁，并做好记录。</w:t>
      </w:r>
    </w:p>
    <w:p w14:paraId="02E7C390">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(3)确保各类照明灯具、应急照明系统、供用电设备设施(包括配电箱、桥架、井道、开关、插座等)运行正常。</w:t>
      </w:r>
    </w:p>
    <w:p w14:paraId="1FE800F6">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(4)每日检查污水泵、排水泵、生活水泵、阀门、管道、仪表等，确保给排水系统正常运行，无“跑”"冒”“滴”"漏"现象。</w:t>
      </w:r>
    </w:p>
    <w:p w14:paraId="505DEEBD">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(5)定期对水泵、管道进行养护，每年至少两次对水箱进行全面清洗，并提供水质检测报告。</w:t>
      </w:r>
    </w:p>
    <w:p w14:paraId="6B5D9295">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(6)由专业人员定期对监控系统、门禁系统、多媒体系统、会议系统等智能弱电设备进行巡查，定期清理设备机柜、控制箱、交换机等外表吸附的灰尘和絮状物。</w:t>
      </w:r>
    </w:p>
    <w:p w14:paraId="42FBAD3B">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电梯应由专业资质维保单位至少每15日进行一次清洁、润滑、调整和检查，建立每台电梯的台账档案，日常维护和应急维修应及时记录。每年经有资质的检测机构检验合格，在《安全使用许可证》有效期内安全运行。</w:t>
      </w:r>
    </w:p>
    <w:p w14:paraId="291649A9">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(8)应配置持有特种设备作业人员证的电梯安全管理人员，对电梯保养、运行进行监督管理。</w:t>
      </w:r>
    </w:p>
    <w:p w14:paraId="01517D9C">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(9)消防设施设备应由专业资质维保单位至少每15日进行一次维护保养，建立台账并记录在案。消防重点单位每年应经有资质的检测机构检验合格，并出具《建筑消防设施年度检测报告》。</w:t>
      </w:r>
    </w:p>
    <w:p w14:paraId="04736B97">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(10)定期对空调系统进行检查、维护、清洁，测试运行控制和安全控制功能，记录运行参数，分析运行记录，确保空调系统正常运行。每年冬夏两次对空调系统进行全面的维护保养。</w:t>
      </w:r>
    </w:p>
    <w:p w14:paraId="1F9DAF8E">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3A4A5880">
      <w:pPr>
        <w:widowControl/>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(四)会务服务</w:t>
      </w:r>
    </w:p>
    <w:p w14:paraId="392896BB">
      <w:pPr>
        <w:widowControl/>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1.服务内容：</w:t>
      </w:r>
      <w:r>
        <w:rPr>
          <w:rFonts w:hint="eastAsia" w:ascii="新宋体" w:hAnsi="新宋体" w:eastAsia="新宋体" w:cs="新宋体"/>
          <w:color w:val="auto"/>
          <w:sz w:val="24"/>
          <w:highlight w:val="none"/>
        </w:rPr>
        <w:t>按照会务服务标准及流程，做好会前服务准备、会议期间服务以及会后服务。</w:t>
      </w:r>
      <w:r>
        <w:rPr>
          <w:rFonts w:hint="eastAsia" w:ascii="新宋体" w:hAnsi="新宋体" w:eastAsia="新宋体" w:cs="新宋体"/>
          <w:color w:val="auto"/>
          <w:sz w:val="24"/>
          <w:highlight w:val="none"/>
        </w:rPr>
        <w:br w:type="textWrapping"/>
      </w:r>
      <w:r>
        <w:rPr>
          <w:rFonts w:hint="eastAsia" w:ascii="新宋体" w:hAnsi="新宋体" w:eastAsia="新宋体" w:cs="新宋体"/>
          <w:b/>
          <w:bCs/>
          <w:color w:val="auto"/>
          <w:sz w:val="24"/>
          <w:highlight w:val="none"/>
        </w:rPr>
        <w:t>2.服务质量标准：</w:t>
      </w:r>
    </w:p>
    <w:p w14:paraId="06D5C0AC">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(1)根据会议安排及采购人要求，确定台形，做好会议物品摆放、设备调试、会议资料发放等会前服务准备工作。</w:t>
      </w:r>
    </w:p>
    <w:p w14:paraId="427148A9">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(2)会议期间定时倒水，根据需要为与会人员提供服务，会议设备如出现问题及时协调处理。</w:t>
      </w:r>
    </w:p>
    <w:p w14:paraId="3C99F441">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(3)会议结束后做好会议物品整理，茶具清洗、消毒，会议场地清扫，设施设备清点、检查、记录等会后服务。</w:t>
      </w:r>
    </w:p>
    <w:p w14:paraId="69E217F1">
      <w:pPr>
        <w:widowControl/>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(4)对会议服务期间接触的会议信息、会议资料应严格保密。</w:t>
      </w:r>
    </w:p>
    <w:p w14:paraId="1FBA195F">
      <w:pPr>
        <w:widowControl/>
        <w:kinsoku w:val="0"/>
        <w:autoSpaceDE w:val="0"/>
        <w:autoSpaceDN w:val="0"/>
        <w:snapToGrid w:val="0"/>
        <w:spacing w:line="360" w:lineRule="auto"/>
        <w:jc w:val="left"/>
        <w:textAlignment w:val="baseline"/>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（五）采购单位交办的其他工作</w:t>
      </w:r>
    </w:p>
    <w:p w14:paraId="607DBC57">
      <w:pPr>
        <w:pStyle w:val="2"/>
        <w:ind w:left="0" w:firstLine="241"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(1)建立突发事件应急预案体系，包括电梯困人、紧急会议、火警火灾、突发停电、水管破裂、意外伤害、群体性上访、台风、暴雨及雷电等应急预案等。</w:t>
      </w:r>
    </w:p>
    <w:p w14:paraId="2FF68202">
      <w:pPr>
        <w:ind w:firstLine="240" w:firstLineChars="100"/>
        <w:rPr>
          <w:color w:val="auto"/>
          <w:highlight w:val="none"/>
          <w:lang w:val="zh-CN"/>
        </w:rPr>
      </w:pPr>
      <w:r>
        <w:rPr>
          <w:rFonts w:hint="eastAsia" w:ascii="新宋体" w:hAnsi="新宋体" w:eastAsia="新宋体" w:cs="新宋体"/>
          <w:color w:val="auto"/>
          <w:sz w:val="24"/>
          <w:highlight w:val="none"/>
        </w:rPr>
        <w:t>(2)每年至少组织1次突发事件应急演习。</w:t>
      </w:r>
    </w:p>
    <w:p w14:paraId="43B3F9FA">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人员配置要求</w:t>
      </w:r>
    </w:p>
    <w:p w14:paraId="2DBF9560">
      <w:pPr>
        <w:spacing w:line="360" w:lineRule="auto"/>
        <w:ind w:firstLine="482" w:firstLineChars="2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（一）总体要求</w:t>
      </w:r>
    </w:p>
    <w:p w14:paraId="09997DF0">
      <w:pPr>
        <w:numPr>
          <w:ilvl w:val="0"/>
          <w:numId w:val="4"/>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▲岗位总人数不得低于19人，包括：项目经理（兼会务）1人，综合主管（兼会务）2人，工程维修3人，保洁人员12人（兼会务2人，兼绿化10人），专职会务人员1人。</w:t>
      </w:r>
    </w:p>
    <w:p w14:paraId="30929C96">
      <w:pPr>
        <w:numPr>
          <w:ilvl w:val="0"/>
          <w:numId w:val="4"/>
        </w:numPr>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▲法律法规和政策文件要求必须持证上岗的岗位，所派人员必须满足相关规定，持证上岗。</w:t>
      </w:r>
    </w:p>
    <w:p w14:paraId="5AA17559">
      <w:pPr>
        <w:numPr>
          <w:ilvl w:val="0"/>
          <w:numId w:val="4"/>
        </w:numPr>
        <w:spacing w:before="63" w:line="188"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所有人员要求政治上可靠，无违法犯罪记录，身体健康，工作负责，吃苦耐劳。管理层人员应具有较强的组织领导能力和协调能力。</w:t>
      </w:r>
    </w:p>
    <w:p w14:paraId="51647C1A">
      <w:pPr>
        <w:numPr>
          <w:ilvl w:val="0"/>
          <w:numId w:val="4"/>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管理服务人员应按规定统一着装，工作服样式要求能体现岗位特色和方便不同岗位作业。知晓本岗位服务礼仪，遵守《物业管理服务人员行为规范》要求。</w:t>
      </w:r>
    </w:p>
    <w:p w14:paraId="55AF1443">
      <w:pPr>
        <w:numPr>
          <w:ilvl w:val="0"/>
          <w:numId w:val="4"/>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到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549F1722">
      <w:pPr>
        <w:spacing w:line="360" w:lineRule="auto"/>
        <w:ind w:left="40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（二）管理层人员要求</w:t>
      </w:r>
    </w:p>
    <w:p w14:paraId="238DA3F8">
      <w:pPr>
        <w:numPr>
          <w:ilvl w:val="0"/>
          <w:numId w:val="5"/>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项目经理（兼会务）：年龄50周岁以下；大学专科以上学历；具有物业项目经理工作经验；</w:t>
      </w:r>
    </w:p>
    <w:p w14:paraId="6AB7BDDD">
      <w:pPr>
        <w:numPr>
          <w:ilvl w:val="0"/>
          <w:numId w:val="5"/>
        </w:numPr>
        <w:adjustRightInd/>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综合主管（兼会务）：年龄50周岁以下；大学专科以上学历；具有综合主管工作经验；</w:t>
      </w:r>
    </w:p>
    <w:p w14:paraId="11E81180">
      <w:pPr>
        <w:spacing w:line="360" w:lineRule="auto"/>
        <w:ind w:firstLine="467" w:firstLineChars="19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（三</w:t>
      </w:r>
      <w:r>
        <w:rPr>
          <w:rFonts w:hint="eastAsia" w:ascii="新宋体" w:hAnsi="新宋体" w:eastAsia="新宋体" w:cs="新宋体"/>
          <w:b/>
          <w:bCs/>
          <w:color w:val="auto"/>
          <w:sz w:val="28"/>
          <w:szCs w:val="28"/>
          <w:highlight w:val="none"/>
        </w:rPr>
        <w:t>）其他服务人员要求</w:t>
      </w:r>
    </w:p>
    <w:p w14:paraId="57C4A48D">
      <w:pPr>
        <w:numPr>
          <w:ilvl w:val="0"/>
          <w:numId w:val="6"/>
        </w:numPr>
        <w:adjustRightInd/>
        <w:snapToGrid w:val="0"/>
        <w:spacing w:line="360" w:lineRule="auto"/>
        <w:rPr>
          <w:rFonts w:ascii="宋体" w:hAnsi="宋体" w:cs="宋体"/>
          <w:b/>
          <w:bCs/>
          <w:color w:val="auto"/>
          <w:kern w:val="0"/>
          <w:sz w:val="24"/>
          <w:highlight w:val="none"/>
        </w:rPr>
      </w:pPr>
      <w:r>
        <w:rPr>
          <w:rFonts w:hint="eastAsia" w:ascii="新宋体" w:hAnsi="新宋体" w:eastAsia="新宋体" w:cs="新宋体"/>
          <w:color w:val="auto"/>
          <w:sz w:val="24"/>
          <w:highlight w:val="none"/>
        </w:rPr>
        <w:t>保洁人员</w:t>
      </w:r>
      <w:r>
        <w:rPr>
          <w:rFonts w:hint="eastAsia" w:ascii="宋体" w:hAnsi="宋体" w:cs="宋体"/>
          <w:b/>
          <w:bCs/>
          <w:color w:val="auto"/>
          <w:kern w:val="0"/>
          <w:sz w:val="24"/>
          <w:highlight w:val="none"/>
        </w:rPr>
        <w:t>：</w:t>
      </w:r>
      <w:r>
        <w:rPr>
          <w:rFonts w:hint="eastAsia" w:ascii="新宋体" w:hAnsi="新宋体" w:eastAsia="新宋体" w:cs="新宋体"/>
          <w:color w:val="auto"/>
          <w:sz w:val="24"/>
          <w:highlight w:val="none"/>
        </w:rPr>
        <w:t>年龄55周岁以下；初中以上学历；具有保洁工作经验；</w:t>
      </w:r>
    </w:p>
    <w:p w14:paraId="59D4222B">
      <w:pPr>
        <w:numPr>
          <w:ilvl w:val="0"/>
          <w:numId w:val="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工程维修人员：年龄55周岁以下；高中以上学历；具有工程维护工作经验；</w:t>
      </w:r>
      <w:r>
        <w:rPr>
          <w:rFonts w:hint="eastAsia" w:ascii="宋体" w:hAnsi="宋体" w:cs="宋体"/>
          <w:color w:val="auto"/>
          <w:sz w:val="24"/>
          <w:highlight w:val="none"/>
        </w:rPr>
        <w:t>具有相关专业上岗证；</w:t>
      </w:r>
    </w:p>
    <w:p w14:paraId="24451312">
      <w:pPr>
        <w:numPr>
          <w:ilvl w:val="0"/>
          <w:numId w:val="6"/>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专职会务：年龄40周岁以下；高中以上学历；具有会务工作经验。</w:t>
      </w:r>
    </w:p>
    <w:p w14:paraId="75FC10F8">
      <w:pPr>
        <w:numPr>
          <w:ilvl w:val="0"/>
          <w:numId w:val="7"/>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工作时间要求</w:t>
      </w:r>
    </w:p>
    <w:tbl>
      <w:tblPr>
        <w:tblStyle w:val="62"/>
        <w:tblW w:w="4997" w:type="pct"/>
        <w:tblInd w:w="0" w:type="dxa"/>
        <w:tblLayout w:type="autofit"/>
        <w:tblCellMar>
          <w:top w:w="0" w:type="dxa"/>
          <w:left w:w="108" w:type="dxa"/>
          <w:bottom w:w="0" w:type="dxa"/>
          <w:right w:w="108" w:type="dxa"/>
        </w:tblCellMar>
      </w:tblPr>
      <w:tblGrid>
        <w:gridCol w:w="833"/>
        <w:gridCol w:w="2196"/>
        <w:gridCol w:w="2138"/>
        <w:gridCol w:w="1816"/>
        <w:gridCol w:w="1819"/>
      </w:tblGrid>
      <w:tr w14:paraId="0C2E4439">
        <w:tblPrEx>
          <w:tblCellMar>
            <w:top w:w="0" w:type="dxa"/>
            <w:left w:w="108" w:type="dxa"/>
            <w:bottom w:w="0" w:type="dxa"/>
            <w:right w:w="108" w:type="dxa"/>
          </w:tblCellMar>
        </w:tblPrEx>
        <w:trPr>
          <w:trHeight w:val="560" w:hRule="atLeast"/>
        </w:trPr>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402B23">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序号</w:t>
            </w:r>
          </w:p>
        </w:tc>
        <w:tc>
          <w:tcPr>
            <w:tcW w:w="1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D81344">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岗位</w:t>
            </w:r>
          </w:p>
        </w:tc>
        <w:tc>
          <w:tcPr>
            <w:tcW w:w="12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C36A09">
            <w:pPr>
              <w:widowControl/>
              <w:jc w:val="center"/>
              <w:textAlignment w:val="bottom"/>
              <w:rPr>
                <w:rFonts w:ascii="宋体" w:hAnsi="宋体" w:cs="宋体"/>
                <w:b/>
                <w:bCs/>
                <w:color w:val="auto"/>
                <w:kern w:val="0"/>
                <w:sz w:val="24"/>
                <w:highlight w:val="none"/>
              </w:rPr>
            </w:pPr>
            <w:r>
              <w:rPr>
                <w:rFonts w:hint="eastAsia" w:ascii="宋体" w:hAnsi="宋体" w:cs="宋体"/>
                <w:b/>
                <w:bCs/>
                <w:color w:val="auto"/>
                <w:kern w:val="0"/>
                <w:sz w:val="24"/>
                <w:highlight w:val="none"/>
              </w:rPr>
              <w:t>在岗时间</w:t>
            </w:r>
          </w:p>
          <w:p w14:paraId="688807E5">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（工作日）</w:t>
            </w:r>
          </w:p>
        </w:tc>
        <w:tc>
          <w:tcPr>
            <w:tcW w:w="10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783244">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工作时间内应在岗人数（人）</w:t>
            </w:r>
          </w:p>
        </w:tc>
        <w:tc>
          <w:tcPr>
            <w:tcW w:w="10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C08103">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备注</w:t>
            </w:r>
          </w:p>
        </w:tc>
      </w:tr>
      <w:tr w14:paraId="02639915">
        <w:tblPrEx>
          <w:tblCellMar>
            <w:top w:w="0" w:type="dxa"/>
            <w:left w:w="108" w:type="dxa"/>
            <w:bottom w:w="0" w:type="dxa"/>
            <w:right w:w="108" w:type="dxa"/>
          </w:tblCellMar>
        </w:tblPrEx>
        <w:trPr>
          <w:trHeight w:val="560" w:hRule="atLeast"/>
        </w:trPr>
        <w:tc>
          <w:tcPr>
            <w:tcW w:w="473" w:type="pct"/>
            <w:tcBorders>
              <w:top w:val="nil"/>
              <w:left w:val="single" w:color="000000" w:sz="8" w:space="0"/>
              <w:bottom w:val="single" w:color="000000" w:sz="8" w:space="0"/>
              <w:right w:val="single" w:color="000000" w:sz="8" w:space="0"/>
            </w:tcBorders>
            <w:shd w:val="clear" w:color="auto" w:fill="auto"/>
            <w:vAlign w:val="center"/>
          </w:tcPr>
          <w:p w14:paraId="6C948666">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247" w:type="pct"/>
            <w:tcBorders>
              <w:top w:val="nil"/>
              <w:left w:val="single" w:color="000000" w:sz="8" w:space="0"/>
              <w:bottom w:val="single" w:color="000000" w:sz="8" w:space="0"/>
              <w:right w:val="single" w:color="000000" w:sz="8" w:space="0"/>
            </w:tcBorders>
            <w:shd w:val="clear" w:color="auto" w:fill="auto"/>
            <w:vAlign w:val="center"/>
          </w:tcPr>
          <w:p w14:paraId="1246B826">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项目经理（兼会务）</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348BDC9B">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7:00-17:00</w:t>
            </w:r>
          </w:p>
        </w:tc>
        <w:tc>
          <w:tcPr>
            <w:tcW w:w="1031" w:type="pct"/>
            <w:tcBorders>
              <w:top w:val="nil"/>
              <w:left w:val="single" w:color="000000" w:sz="8" w:space="0"/>
              <w:bottom w:val="single" w:color="000000" w:sz="8" w:space="0"/>
              <w:right w:val="single" w:color="000000" w:sz="8" w:space="0"/>
            </w:tcBorders>
            <w:shd w:val="clear" w:color="auto" w:fill="auto"/>
            <w:vAlign w:val="center"/>
          </w:tcPr>
          <w:p w14:paraId="71519795">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tcBorders>
              <w:top w:val="nil"/>
              <w:left w:val="single" w:color="000000" w:sz="8" w:space="0"/>
              <w:bottom w:val="single" w:color="000000" w:sz="8" w:space="0"/>
              <w:right w:val="single" w:color="000000" w:sz="8" w:space="0"/>
            </w:tcBorders>
            <w:shd w:val="clear" w:color="auto" w:fill="auto"/>
            <w:vAlign w:val="center"/>
          </w:tcPr>
          <w:p w14:paraId="2EA7145B">
            <w:pPr>
              <w:jc w:val="center"/>
              <w:rPr>
                <w:rFonts w:ascii="宋体" w:hAnsi="宋体" w:cs="宋体"/>
                <w:b/>
                <w:bCs/>
                <w:color w:val="auto"/>
                <w:sz w:val="24"/>
                <w:highlight w:val="none"/>
              </w:rPr>
            </w:pPr>
            <w:r>
              <w:rPr>
                <w:rFonts w:hint="eastAsia" w:ascii="宋体" w:hAnsi="宋体" w:cs="宋体"/>
                <w:b/>
                <w:bCs/>
                <w:color w:val="auto"/>
                <w:sz w:val="24"/>
                <w:highlight w:val="none"/>
              </w:rPr>
              <w:t>综合管理</w:t>
            </w:r>
          </w:p>
        </w:tc>
      </w:tr>
      <w:tr w14:paraId="51CA053E">
        <w:tblPrEx>
          <w:tblCellMar>
            <w:top w:w="0" w:type="dxa"/>
            <w:left w:w="108" w:type="dxa"/>
            <w:bottom w:w="0" w:type="dxa"/>
            <w:right w:w="108" w:type="dxa"/>
          </w:tblCellMar>
        </w:tblPrEx>
        <w:trPr>
          <w:trHeight w:val="560" w:hRule="atLeast"/>
        </w:trPr>
        <w:tc>
          <w:tcPr>
            <w:tcW w:w="473" w:type="pct"/>
            <w:tcBorders>
              <w:top w:val="nil"/>
              <w:left w:val="single" w:color="000000" w:sz="8" w:space="0"/>
              <w:bottom w:val="single" w:color="000000" w:sz="8" w:space="0"/>
              <w:right w:val="single" w:color="000000" w:sz="8" w:space="0"/>
            </w:tcBorders>
            <w:shd w:val="clear" w:color="auto" w:fill="auto"/>
            <w:vAlign w:val="center"/>
          </w:tcPr>
          <w:p w14:paraId="203EEC9E">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2</w:t>
            </w:r>
          </w:p>
        </w:tc>
        <w:tc>
          <w:tcPr>
            <w:tcW w:w="1247" w:type="pct"/>
            <w:tcBorders>
              <w:top w:val="nil"/>
              <w:left w:val="single" w:color="000000" w:sz="8" w:space="0"/>
              <w:bottom w:val="single" w:color="000000" w:sz="8" w:space="0"/>
              <w:right w:val="single" w:color="000000" w:sz="8" w:space="0"/>
            </w:tcBorders>
            <w:shd w:val="clear" w:color="auto" w:fill="auto"/>
            <w:vAlign w:val="center"/>
          </w:tcPr>
          <w:p w14:paraId="03023768">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工程维修人员</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19D1509F">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8:00-17:00</w:t>
            </w:r>
          </w:p>
        </w:tc>
        <w:tc>
          <w:tcPr>
            <w:tcW w:w="1031" w:type="pct"/>
            <w:tcBorders>
              <w:top w:val="nil"/>
              <w:left w:val="single" w:color="000000" w:sz="8" w:space="0"/>
              <w:bottom w:val="single" w:color="000000" w:sz="8" w:space="0"/>
              <w:right w:val="single" w:color="000000" w:sz="8" w:space="0"/>
            </w:tcBorders>
            <w:shd w:val="clear" w:color="auto" w:fill="auto"/>
            <w:vAlign w:val="center"/>
          </w:tcPr>
          <w:p w14:paraId="5E649CEB">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vMerge w:val="restart"/>
            <w:tcBorders>
              <w:top w:val="nil"/>
              <w:left w:val="single" w:color="000000" w:sz="8" w:space="0"/>
              <w:right w:val="single" w:color="000000" w:sz="8" w:space="0"/>
            </w:tcBorders>
            <w:shd w:val="clear" w:color="auto" w:fill="auto"/>
            <w:vAlign w:val="center"/>
          </w:tcPr>
          <w:p w14:paraId="1F627DE6">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瓶窑法庭</w:t>
            </w:r>
          </w:p>
        </w:tc>
      </w:tr>
      <w:tr w14:paraId="25337ABD">
        <w:tblPrEx>
          <w:tblCellMar>
            <w:top w:w="0" w:type="dxa"/>
            <w:left w:w="108" w:type="dxa"/>
            <w:bottom w:w="0" w:type="dxa"/>
            <w:right w:w="108" w:type="dxa"/>
          </w:tblCellMar>
        </w:tblPrEx>
        <w:trPr>
          <w:trHeight w:val="560" w:hRule="atLeast"/>
        </w:trPr>
        <w:tc>
          <w:tcPr>
            <w:tcW w:w="473" w:type="pct"/>
            <w:tcBorders>
              <w:top w:val="nil"/>
              <w:left w:val="single" w:color="000000" w:sz="8" w:space="0"/>
              <w:bottom w:val="single" w:color="000000" w:sz="8" w:space="0"/>
              <w:right w:val="single" w:color="000000" w:sz="8" w:space="0"/>
            </w:tcBorders>
            <w:shd w:val="clear" w:color="auto" w:fill="auto"/>
            <w:vAlign w:val="center"/>
          </w:tcPr>
          <w:p w14:paraId="541856DA">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3</w:t>
            </w:r>
          </w:p>
        </w:tc>
        <w:tc>
          <w:tcPr>
            <w:tcW w:w="1247" w:type="pct"/>
            <w:tcBorders>
              <w:top w:val="nil"/>
              <w:left w:val="single" w:color="000000" w:sz="8" w:space="0"/>
              <w:bottom w:val="single" w:color="000000" w:sz="8" w:space="0"/>
              <w:right w:val="single" w:color="000000" w:sz="8" w:space="0"/>
            </w:tcBorders>
            <w:shd w:val="clear" w:color="auto" w:fill="auto"/>
            <w:vAlign w:val="center"/>
          </w:tcPr>
          <w:p w14:paraId="059C785F">
            <w:pPr>
              <w:widowControl/>
              <w:jc w:val="center"/>
              <w:textAlignment w:val="bottom"/>
              <w:rPr>
                <w:rFonts w:ascii="宋体" w:hAnsi="宋体" w:cs="宋体"/>
                <w:b/>
                <w:bCs/>
                <w:color w:val="auto"/>
                <w:kern w:val="0"/>
                <w:sz w:val="24"/>
                <w:highlight w:val="none"/>
              </w:rPr>
            </w:pPr>
            <w:r>
              <w:rPr>
                <w:rFonts w:hint="eastAsia" w:ascii="宋体" w:hAnsi="宋体" w:cs="宋体"/>
                <w:b/>
                <w:bCs/>
                <w:color w:val="auto"/>
                <w:kern w:val="0"/>
                <w:sz w:val="24"/>
                <w:highlight w:val="none"/>
              </w:rPr>
              <w:t>保洁人员</w:t>
            </w:r>
          </w:p>
          <w:p w14:paraId="786CD101">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（兼绿化）</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70A5001E">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7:00-16:30</w:t>
            </w:r>
          </w:p>
        </w:tc>
        <w:tc>
          <w:tcPr>
            <w:tcW w:w="1031" w:type="pct"/>
            <w:tcBorders>
              <w:top w:val="nil"/>
              <w:left w:val="single" w:color="000000" w:sz="8" w:space="0"/>
              <w:bottom w:val="single" w:color="000000" w:sz="8" w:space="0"/>
              <w:right w:val="single" w:color="000000" w:sz="8" w:space="0"/>
            </w:tcBorders>
            <w:shd w:val="clear" w:color="auto" w:fill="auto"/>
            <w:vAlign w:val="center"/>
          </w:tcPr>
          <w:p w14:paraId="14083F54">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3</w:t>
            </w:r>
          </w:p>
        </w:tc>
        <w:tc>
          <w:tcPr>
            <w:tcW w:w="1033" w:type="pct"/>
            <w:vMerge w:val="continue"/>
            <w:tcBorders>
              <w:left w:val="single" w:color="000000" w:sz="8" w:space="0"/>
              <w:right w:val="single" w:color="000000" w:sz="8" w:space="0"/>
            </w:tcBorders>
            <w:shd w:val="clear" w:color="auto" w:fill="auto"/>
            <w:vAlign w:val="bottom"/>
          </w:tcPr>
          <w:p w14:paraId="43C1B3AD">
            <w:pPr>
              <w:widowControl/>
              <w:jc w:val="center"/>
              <w:textAlignment w:val="bottom"/>
              <w:rPr>
                <w:rFonts w:ascii="宋体" w:hAnsi="宋体" w:cs="宋体"/>
                <w:b/>
                <w:bCs/>
                <w:color w:val="auto"/>
                <w:sz w:val="24"/>
                <w:highlight w:val="none"/>
              </w:rPr>
            </w:pPr>
          </w:p>
        </w:tc>
      </w:tr>
      <w:tr w14:paraId="6ABC4ABC">
        <w:tblPrEx>
          <w:tblCellMar>
            <w:top w:w="0" w:type="dxa"/>
            <w:left w:w="108" w:type="dxa"/>
            <w:bottom w:w="0" w:type="dxa"/>
            <w:right w:w="108" w:type="dxa"/>
          </w:tblCellMar>
        </w:tblPrEx>
        <w:trPr>
          <w:trHeight w:val="560" w:hRule="atLeast"/>
        </w:trPr>
        <w:tc>
          <w:tcPr>
            <w:tcW w:w="473" w:type="pct"/>
            <w:tcBorders>
              <w:top w:val="nil"/>
              <w:left w:val="single" w:color="000000" w:sz="8" w:space="0"/>
              <w:bottom w:val="single" w:color="000000" w:sz="8" w:space="0"/>
              <w:right w:val="single" w:color="000000" w:sz="8" w:space="0"/>
            </w:tcBorders>
            <w:shd w:val="clear" w:color="auto" w:fill="auto"/>
            <w:vAlign w:val="center"/>
          </w:tcPr>
          <w:p w14:paraId="2270F253">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4</w:t>
            </w:r>
          </w:p>
        </w:tc>
        <w:tc>
          <w:tcPr>
            <w:tcW w:w="1247" w:type="pct"/>
            <w:tcBorders>
              <w:top w:val="nil"/>
              <w:left w:val="single" w:color="000000" w:sz="8" w:space="0"/>
              <w:bottom w:val="single" w:color="000000" w:sz="8" w:space="0"/>
              <w:right w:val="single" w:color="000000" w:sz="8" w:space="0"/>
            </w:tcBorders>
            <w:shd w:val="clear" w:color="auto" w:fill="auto"/>
            <w:vAlign w:val="center"/>
          </w:tcPr>
          <w:p w14:paraId="4D58567E">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保洁人员（兼会务）</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42B9ECFA">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7:00-16:30</w:t>
            </w:r>
          </w:p>
        </w:tc>
        <w:tc>
          <w:tcPr>
            <w:tcW w:w="1031" w:type="pct"/>
            <w:tcBorders>
              <w:top w:val="nil"/>
              <w:left w:val="single" w:color="000000" w:sz="8" w:space="0"/>
              <w:bottom w:val="single" w:color="000000" w:sz="8" w:space="0"/>
              <w:right w:val="single" w:color="000000" w:sz="8" w:space="0"/>
            </w:tcBorders>
            <w:shd w:val="clear" w:color="auto" w:fill="auto"/>
            <w:vAlign w:val="center"/>
          </w:tcPr>
          <w:p w14:paraId="2C51C5DB">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vMerge w:val="continue"/>
            <w:tcBorders>
              <w:left w:val="single" w:color="000000" w:sz="8" w:space="0"/>
              <w:bottom w:val="single" w:color="000000" w:sz="8" w:space="0"/>
              <w:right w:val="single" w:color="000000" w:sz="8" w:space="0"/>
            </w:tcBorders>
            <w:shd w:val="clear" w:color="auto" w:fill="auto"/>
            <w:vAlign w:val="bottom"/>
          </w:tcPr>
          <w:p w14:paraId="1B0F2457">
            <w:pPr>
              <w:widowControl/>
              <w:jc w:val="center"/>
              <w:textAlignment w:val="bottom"/>
              <w:rPr>
                <w:rFonts w:ascii="宋体" w:hAnsi="宋体" w:cs="宋体"/>
                <w:b/>
                <w:bCs/>
                <w:color w:val="auto"/>
                <w:sz w:val="24"/>
                <w:highlight w:val="none"/>
              </w:rPr>
            </w:pPr>
          </w:p>
        </w:tc>
      </w:tr>
      <w:tr w14:paraId="3526FED3">
        <w:tblPrEx>
          <w:tblCellMar>
            <w:top w:w="0" w:type="dxa"/>
            <w:left w:w="108" w:type="dxa"/>
            <w:bottom w:w="0" w:type="dxa"/>
            <w:right w:w="108" w:type="dxa"/>
          </w:tblCellMar>
        </w:tblPrEx>
        <w:trPr>
          <w:trHeight w:val="560" w:hRule="atLeast"/>
        </w:trPr>
        <w:tc>
          <w:tcPr>
            <w:tcW w:w="473" w:type="pct"/>
            <w:tcBorders>
              <w:top w:val="nil"/>
              <w:left w:val="single" w:color="000000" w:sz="8" w:space="0"/>
              <w:bottom w:val="single" w:color="000000" w:sz="8" w:space="0"/>
              <w:right w:val="single" w:color="000000" w:sz="8" w:space="0"/>
            </w:tcBorders>
            <w:shd w:val="clear" w:color="auto" w:fill="auto"/>
            <w:vAlign w:val="center"/>
          </w:tcPr>
          <w:p w14:paraId="160D7581">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3</w:t>
            </w:r>
          </w:p>
        </w:tc>
        <w:tc>
          <w:tcPr>
            <w:tcW w:w="1247" w:type="pct"/>
            <w:tcBorders>
              <w:top w:val="nil"/>
              <w:left w:val="single" w:color="000000" w:sz="8" w:space="0"/>
              <w:bottom w:val="single" w:color="000000" w:sz="8" w:space="0"/>
              <w:right w:val="single" w:color="000000" w:sz="8" w:space="0"/>
            </w:tcBorders>
            <w:shd w:val="clear" w:color="auto" w:fill="auto"/>
            <w:vAlign w:val="center"/>
          </w:tcPr>
          <w:p w14:paraId="2F652D14">
            <w:pPr>
              <w:widowControl/>
              <w:jc w:val="center"/>
              <w:textAlignment w:val="bottom"/>
              <w:rPr>
                <w:rFonts w:ascii="宋体" w:hAnsi="宋体" w:cs="宋体"/>
                <w:b/>
                <w:bCs/>
                <w:color w:val="auto"/>
                <w:kern w:val="0"/>
                <w:sz w:val="24"/>
                <w:highlight w:val="none"/>
              </w:rPr>
            </w:pPr>
            <w:r>
              <w:rPr>
                <w:rFonts w:hint="eastAsia" w:ascii="宋体" w:hAnsi="宋体" w:cs="宋体"/>
                <w:b/>
                <w:bCs/>
                <w:color w:val="auto"/>
                <w:kern w:val="0"/>
                <w:sz w:val="24"/>
                <w:highlight w:val="none"/>
              </w:rPr>
              <w:t>保洁人员</w:t>
            </w:r>
          </w:p>
          <w:p w14:paraId="44B2707F">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（兼绿化）</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2F0A7663">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7:00-16:30</w:t>
            </w:r>
          </w:p>
        </w:tc>
        <w:tc>
          <w:tcPr>
            <w:tcW w:w="1031" w:type="pct"/>
            <w:tcBorders>
              <w:top w:val="nil"/>
              <w:left w:val="single" w:color="000000" w:sz="8" w:space="0"/>
              <w:bottom w:val="single" w:color="000000" w:sz="8" w:space="0"/>
              <w:right w:val="single" w:color="000000" w:sz="8" w:space="0"/>
            </w:tcBorders>
            <w:shd w:val="clear" w:color="auto" w:fill="auto"/>
            <w:vAlign w:val="center"/>
          </w:tcPr>
          <w:p w14:paraId="645FA401">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vMerge w:val="restart"/>
            <w:tcBorders>
              <w:top w:val="nil"/>
              <w:left w:val="single" w:color="000000" w:sz="8" w:space="0"/>
              <w:right w:val="single" w:color="000000" w:sz="8" w:space="0"/>
            </w:tcBorders>
            <w:shd w:val="clear" w:color="auto" w:fill="auto"/>
            <w:vAlign w:val="center"/>
          </w:tcPr>
          <w:p w14:paraId="2EE57FD3">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良渚法庭</w:t>
            </w:r>
          </w:p>
        </w:tc>
      </w:tr>
      <w:tr w14:paraId="5E1379A9">
        <w:tblPrEx>
          <w:tblCellMar>
            <w:top w:w="0" w:type="dxa"/>
            <w:left w:w="108" w:type="dxa"/>
            <w:bottom w:w="0" w:type="dxa"/>
            <w:right w:w="108" w:type="dxa"/>
          </w:tblCellMar>
        </w:tblPrEx>
        <w:trPr>
          <w:trHeight w:val="764" w:hRule="atLeast"/>
        </w:trPr>
        <w:tc>
          <w:tcPr>
            <w:tcW w:w="473" w:type="pct"/>
            <w:tcBorders>
              <w:top w:val="nil"/>
              <w:left w:val="single" w:color="000000" w:sz="8" w:space="0"/>
              <w:bottom w:val="single" w:color="000000" w:sz="8" w:space="0"/>
              <w:right w:val="single" w:color="000000" w:sz="8" w:space="0"/>
            </w:tcBorders>
            <w:shd w:val="clear" w:color="auto" w:fill="auto"/>
            <w:vAlign w:val="center"/>
          </w:tcPr>
          <w:p w14:paraId="6FFE379F">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4</w:t>
            </w:r>
          </w:p>
        </w:tc>
        <w:tc>
          <w:tcPr>
            <w:tcW w:w="1247" w:type="pct"/>
            <w:tcBorders>
              <w:top w:val="nil"/>
              <w:left w:val="single" w:color="000000" w:sz="8" w:space="0"/>
              <w:bottom w:val="single" w:color="000000" w:sz="8" w:space="0"/>
              <w:right w:val="single" w:color="000000" w:sz="8" w:space="0"/>
            </w:tcBorders>
            <w:shd w:val="clear" w:color="auto" w:fill="auto"/>
            <w:vAlign w:val="center"/>
          </w:tcPr>
          <w:p w14:paraId="014F6AC5">
            <w:pPr>
              <w:widowControl/>
              <w:jc w:val="center"/>
              <w:textAlignment w:val="bottom"/>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保洁人员</w:t>
            </w:r>
          </w:p>
          <w:p w14:paraId="49F4FCD9">
            <w:pPr>
              <w:widowControl/>
              <w:jc w:val="center"/>
              <w:textAlignment w:val="bottom"/>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（兼会务）</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20C99B1A">
            <w:pPr>
              <w:widowControl/>
              <w:jc w:val="center"/>
              <w:textAlignment w:val="bottom"/>
              <w:rPr>
                <w:rFonts w:ascii="宋体" w:hAnsi="宋体" w:cs="宋体"/>
                <w:b/>
                <w:bCs/>
                <w:color w:val="auto"/>
                <w:kern w:val="0"/>
                <w:sz w:val="24"/>
                <w:highlight w:val="none"/>
              </w:rPr>
            </w:pPr>
            <w:r>
              <w:rPr>
                <w:rFonts w:hint="eastAsia" w:ascii="宋体" w:hAnsi="宋体" w:cs="宋体"/>
                <w:b/>
                <w:bCs/>
                <w:color w:val="auto"/>
                <w:kern w:val="0"/>
                <w:sz w:val="24"/>
                <w:highlight w:val="none"/>
              </w:rPr>
              <w:t>7:00-16:30</w:t>
            </w:r>
          </w:p>
        </w:tc>
        <w:tc>
          <w:tcPr>
            <w:tcW w:w="1031" w:type="pct"/>
            <w:tcBorders>
              <w:top w:val="nil"/>
              <w:left w:val="single" w:color="000000" w:sz="8" w:space="0"/>
              <w:bottom w:val="single" w:color="000000" w:sz="8" w:space="0"/>
              <w:right w:val="single" w:color="000000" w:sz="8" w:space="0"/>
            </w:tcBorders>
            <w:shd w:val="clear" w:color="auto" w:fill="auto"/>
            <w:vAlign w:val="center"/>
          </w:tcPr>
          <w:p w14:paraId="239B6FE0">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vMerge w:val="continue"/>
            <w:tcBorders>
              <w:left w:val="single" w:color="000000" w:sz="8" w:space="0"/>
              <w:bottom w:val="single" w:color="000000" w:sz="8" w:space="0"/>
              <w:right w:val="single" w:color="000000" w:sz="8" w:space="0"/>
            </w:tcBorders>
            <w:shd w:val="clear" w:color="auto" w:fill="auto"/>
            <w:vAlign w:val="bottom"/>
          </w:tcPr>
          <w:p w14:paraId="03318569">
            <w:pPr>
              <w:widowControl/>
              <w:jc w:val="center"/>
              <w:textAlignment w:val="bottom"/>
              <w:rPr>
                <w:rFonts w:ascii="宋体" w:hAnsi="宋体" w:cs="宋体"/>
                <w:b/>
                <w:bCs/>
                <w:color w:val="auto"/>
                <w:sz w:val="24"/>
                <w:highlight w:val="none"/>
              </w:rPr>
            </w:pPr>
          </w:p>
        </w:tc>
      </w:tr>
      <w:tr w14:paraId="1E9F131D">
        <w:tblPrEx>
          <w:tblCellMar>
            <w:top w:w="0" w:type="dxa"/>
            <w:left w:w="108" w:type="dxa"/>
            <w:bottom w:w="0" w:type="dxa"/>
            <w:right w:w="108" w:type="dxa"/>
          </w:tblCellMar>
        </w:tblPrEx>
        <w:trPr>
          <w:trHeight w:val="560" w:hRule="atLeast"/>
        </w:trPr>
        <w:tc>
          <w:tcPr>
            <w:tcW w:w="473" w:type="pct"/>
            <w:tcBorders>
              <w:top w:val="nil"/>
              <w:left w:val="single" w:color="000000" w:sz="8" w:space="0"/>
              <w:bottom w:val="single" w:color="000000" w:sz="8" w:space="0"/>
              <w:right w:val="single" w:color="000000" w:sz="8" w:space="0"/>
            </w:tcBorders>
            <w:shd w:val="clear" w:color="auto" w:fill="auto"/>
            <w:vAlign w:val="center"/>
          </w:tcPr>
          <w:p w14:paraId="19F34012">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5</w:t>
            </w:r>
          </w:p>
        </w:tc>
        <w:tc>
          <w:tcPr>
            <w:tcW w:w="1247" w:type="pct"/>
            <w:tcBorders>
              <w:top w:val="nil"/>
              <w:left w:val="single" w:color="000000" w:sz="8" w:space="0"/>
              <w:bottom w:val="single" w:color="000000" w:sz="8" w:space="0"/>
              <w:right w:val="single" w:color="000000" w:sz="8" w:space="0"/>
            </w:tcBorders>
            <w:shd w:val="clear" w:color="auto" w:fill="auto"/>
            <w:vAlign w:val="center"/>
          </w:tcPr>
          <w:p w14:paraId="5AD8AAE2">
            <w:pPr>
              <w:widowControl/>
              <w:jc w:val="center"/>
              <w:textAlignment w:val="bottom"/>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综合主管</w:t>
            </w:r>
          </w:p>
          <w:p w14:paraId="1E396BA2">
            <w:pPr>
              <w:widowControl/>
              <w:jc w:val="center"/>
              <w:textAlignment w:val="bottom"/>
              <w:rPr>
                <w:rFonts w:ascii="宋体" w:hAnsi="宋体" w:cs="宋体"/>
                <w:b/>
                <w:bCs/>
                <w:color w:val="auto"/>
                <w:sz w:val="24"/>
                <w:highlight w:val="none"/>
              </w:rPr>
            </w:pPr>
            <w:r>
              <w:rPr>
                <w:rFonts w:hint="eastAsia" w:ascii="新宋体" w:hAnsi="新宋体" w:eastAsia="新宋体" w:cs="新宋体"/>
                <w:b/>
                <w:color w:val="auto"/>
                <w:sz w:val="24"/>
                <w:highlight w:val="none"/>
              </w:rPr>
              <w:t>（兼会务）</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1A189D90">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7:00-17:00</w:t>
            </w:r>
          </w:p>
        </w:tc>
        <w:tc>
          <w:tcPr>
            <w:tcW w:w="1031" w:type="pct"/>
            <w:tcBorders>
              <w:top w:val="nil"/>
              <w:left w:val="single" w:color="000000" w:sz="8" w:space="0"/>
              <w:bottom w:val="single" w:color="000000" w:sz="8" w:space="0"/>
              <w:right w:val="single" w:color="000000" w:sz="8" w:space="0"/>
            </w:tcBorders>
            <w:shd w:val="clear" w:color="auto" w:fill="auto"/>
            <w:vAlign w:val="center"/>
          </w:tcPr>
          <w:p w14:paraId="64E25EC4">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vMerge w:val="restart"/>
            <w:tcBorders>
              <w:top w:val="nil"/>
              <w:left w:val="single" w:color="000000" w:sz="8" w:space="0"/>
              <w:right w:val="single" w:color="000000" w:sz="8" w:space="0"/>
            </w:tcBorders>
            <w:shd w:val="clear" w:color="auto" w:fill="auto"/>
            <w:vAlign w:val="center"/>
          </w:tcPr>
          <w:p w14:paraId="2891504B">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余杭法庭</w:t>
            </w:r>
          </w:p>
        </w:tc>
      </w:tr>
      <w:tr w14:paraId="5978820C">
        <w:tblPrEx>
          <w:tblCellMar>
            <w:top w:w="0" w:type="dxa"/>
            <w:left w:w="108" w:type="dxa"/>
            <w:bottom w:w="0" w:type="dxa"/>
            <w:right w:w="108" w:type="dxa"/>
          </w:tblCellMar>
        </w:tblPrEx>
        <w:trPr>
          <w:trHeight w:val="560" w:hRule="atLeast"/>
        </w:trPr>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F3FDE0">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6</w:t>
            </w:r>
          </w:p>
        </w:tc>
        <w:tc>
          <w:tcPr>
            <w:tcW w:w="1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250192">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工程维修人员</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2A007E55">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8:00-17:00</w:t>
            </w:r>
          </w:p>
        </w:tc>
        <w:tc>
          <w:tcPr>
            <w:tcW w:w="10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923CD3">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vMerge w:val="continue"/>
            <w:tcBorders>
              <w:left w:val="single" w:color="000000" w:sz="8" w:space="0"/>
              <w:right w:val="single" w:color="000000" w:sz="8" w:space="0"/>
            </w:tcBorders>
            <w:shd w:val="clear" w:color="auto" w:fill="auto"/>
            <w:vAlign w:val="bottom"/>
          </w:tcPr>
          <w:p w14:paraId="3E8B661C">
            <w:pPr>
              <w:widowControl/>
              <w:jc w:val="center"/>
              <w:textAlignment w:val="bottom"/>
              <w:rPr>
                <w:rFonts w:ascii="宋体" w:hAnsi="宋体" w:cs="宋体"/>
                <w:b/>
                <w:bCs/>
                <w:color w:val="auto"/>
                <w:sz w:val="24"/>
                <w:highlight w:val="none"/>
              </w:rPr>
            </w:pPr>
          </w:p>
        </w:tc>
      </w:tr>
      <w:tr w14:paraId="6069DE4C">
        <w:tblPrEx>
          <w:tblCellMar>
            <w:top w:w="0" w:type="dxa"/>
            <w:left w:w="108" w:type="dxa"/>
            <w:bottom w:w="0" w:type="dxa"/>
            <w:right w:w="108" w:type="dxa"/>
          </w:tblCellMar>
        </w:tblPrEx>
        <w:trPr>
          <w:trHeight w:val="560" w:hRule="atLeast"/>
        </w:trPr>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F0FC1F">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w:t>
            </w:r>
          </w:p>
        </w:tc>
        <w:tc>
          <w:tcPr>
            <w:tcW w:w="1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87EA55">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专职会务人员</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73DAA319">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7:00-16:30</w:t>
            </w:r>
          </w:p>
        </w:tc>
        <w:tc>
          <w:tcPr>
            <w:tcW w:w="10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7C0C53">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vMerge w:val="continue"/>
            <w:tcBorders>
              <w:left w:val="single" w:color="000000" w:sz="8" w:space="0"/>
              <w:right w:val="single" w:color="000000" w:sz="8" w:space="0"/>
            </w:tcBorders>
            <w:shd w:val="clear" w:color="auto" w:fill="auto"/>
            <w:vAlign w:val="bottom"/>
          </w:tcPr>
          <w:p w14:paraId="13A73B1B">
            <w:pPr>
              <w:widowControl/>
              <w:jc w:val="center"/>
              <w:textAlignment w:val="bottom"/>
              <w:rPr>
                <w:rFonts w:ascii="宋体" w:hAnsi="宋体" w:cs="宋体"/>
                <w:b/>
                <w:bCs/>
                <w:color w:val="auto"/>
                <w:sz w:val="24"/>
                <w:highlight w:val="none"/>
              </w:rPr>
            </w:pPr>
          </w:p>
        </w:tc>
      </w:tr>
      <w:tr w14:paraId="00475620">
        <w:tblPrEx>
          <w:tblCellMar>
            <w:top w:w="0" w:type="dxa"/>
            <w:left w:w="108" w:type="dxa"/>
            <w:bottom w:w="0" w:type="dxa"/>
            <w:right w:w="108" w:type="dxa"/>
          </w:tblCellMar>
        </w:tblPrEx>
        <w:trPr>
          <w:trHeight w:val="560" w:hRule="atLeast"/>
        </w:trPr>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42E6B9">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8</w:t>
            </w:r>
          </w:p>
        </w:tc>
        <w:tc>
          <w:tcPr>
            <w:tcW w:w="1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2C7E78">
            <w:pPr>
              <w:widowControl/>
              <w:jc w:val="center"/>
              <w:textAlignment w:val="bottom"/>
              <w:rPr>
                <w:rFonts w:ascii="宋体" w:hAnsi="宋体" w:cs="宋体"/>
                <w:b/>
                <w:bCs/>
                <w:color w:val="auto"/>
                <w:kern w:val="0"/>
                <w:sz w:val="24"/>
                <w:highlight w:val="none"/>
              </w:rPr>
            </w:pPr>
            <w:r>
              <w:rPr>
                <w:rFonts w:hint="eastAsia" w:ascii="宋体" w:hAnsi="宋体" w:cs="宋体"/>
                <w:b/>
                <w:bCs/>
                <w:color w:val="auto"/>
                <w:kern w:val="0"/>
                <w:sz w:val="24"/>
                <w:highlight w:val="none"/>
              </w:rPr>
              <w:t>保洁人员</w:t>
            </w:r>
          </w:p>
          <w:p w14:paraId="33D1E781">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（兼绿化）</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680435F3">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7:00-16:30</w:t>
            </w:r>
          </w:p>
        </w:tc>
        <w:tc>
          <w:tcPr>
            <w:tcW w:w="10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D3A9CD">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3</w:t>
            </w:r>
          </w:p>
        </w:tc>
        <w:tc>
          <w:tcPr>
            <w:tcW w:w="1033" w:type="pct"/>
            <w:vMerge w:val="continue"/>
            <w:tcBorders>
              <w:left w:val="single" w:color="000000" w:sz="8" w:space="0"/>
              <w:bottom w:val="single" w:color="000000" w:sz="8" w:space="0"/>
              <w:right w:val="single" w:color="000000" w:sz="8" w:space="0"/>
            </w:tcBorders>
            <w:shd w:val="clear" w:color="auto" w:fill="auto"/>
            <w:vAlign w:val="bottom"/>
          </w:tcPr>
          <w:p w14:paraId="2D537665">
            <w:pPr>
              <w:widowControl/>
              <w:jc w:val="center"/>
              <w:textAlignment w:val="bottom"/>
              <w:rPr>
                <w:rFonts w:ascii="宋体" w:hAnsi="宋体" w:cs="宋体"/>
                <w:b/>
                <w:bCs/>
                <w:color w:val="auto"/>
                <w:sz w:val="24"/>
                <w:highlight w:val="none"/>
              </w:rPr>
            </w:pPr>
          </w:p>
        </w:tc>
      </w:tr>
      <w:tr w14:paraId="466CB25A">
        <w:tblPrEx>
          <w:tblCellMar>
            <w:top w:w="0" w:type="dxa"/>
            <w:left w:w="108" w:type="dxa"/>
            <w:bottom w:w="0" w:type="dxa"/>
            <w:right w:w="108" w:type="dxa"/>
          </w:tblCellMar>
        </w:tblPrEx>
        <w:trPr>
          <w:trHeight w:val="480" w:hRule="atLeast"/>
        </w:trPr>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54AD61">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9</w:t>
            </w:r>
          </w:p>
        </w:tc>
        <w:tc>
          <w:tcPr>
            <w:tcW w:w="1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76997E">
            <w:pPr>
              <w:widowControl/>
              <w:jc w:val="center"/>
              <w:textAlignment w:val="bottom"/>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综合主管</w:t>
            </w:r>
          </w:p>
          <w:p w14:paraId="6CBB75B9">
            <w:pPr>
              <w:widowControl/>
              <w:jc w:val="center"/>
              <w:textAlignment w:val="bottom"/>
              <w:rPr>
                <w:rFonts w:ascii="宋体" w:hAnsi="宋体" w:cs="宋体"/>
                <w:b/>
                <w:bCs/>
                <w:color w:val="auto"/>
                <w:sz w:val="24"/>
                <w:highlight w:val="none"/>
              </w:rPr>
            </w:pPr>
            <w:r>
              <w:rPr>
                <w:rFonts w:hint="eastAsia" w:ascii="新宋体" w:hAnsi="新宋体" w:eastAsia="新宋体" w:cs="新宋体"/>
                <w:b/>
                <w:color w:val="auto"/>
                <w:sz w:val="24"/>
                <w:highlight w:val="none"/>
              </w:rPr>
              <w:t>（兼会务）</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1F8E33E7">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7:00-17:00</w:t>
            </w:r>
          </w:p>
        </w:tc>
        <w:tc>
          <w:tcPr>
            <w:tcW w:w="10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57D8AB">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vMerge w:val="restart"/>
            <w:tcBorders>
              <w:top w:val="single" w:color="000000" w:sz="8" w:space="0"/>
              <w:left w:val="single" w:color="000000" w:sz="8" w:space="0"/>
              <w:right w:val="single" w:color="000000" w:sz="8" w:space="0"/>
            </w:tcBorders>
            <w:shd w:val="clear" w:color="auto" w:fill="auto"/>
            <w:vAlign w:val="center"/>
          </w:tcPr>
          <w:p w14:paraId="722139A6">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科技城法庭</w:t>
            </w:r>
          </w:p>
        </w:tc>
      </w:tr>
      <w:tr w14:paraId="63A26028">
        <w:tblPrEx>
          <w:tblCellMar>
            <w:top w:w="0" w:type="dxa"/>
            <w:left w:w="108" w:type="dxa"/>
            <w:bottom w:w="0" w:type="dxa"/>
            <w:right w:w="108" w:type="dxa"/>
          </w:tblCellMar>
        </w:tblPrEx>
        <w:trPr>
          <w:trHeight w:val="480" w:hRule="atLeast"/>
        </w:trPr>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8037BB">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10</w:t>
            </w:r>
          </w:p>
        </w:tc>
        <w:tc>
          <w:tcPr>
            <w:tcW w:w="1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90BBB5">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工程维修人员</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20DC9D19">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8:00-17:00</w:t>
            </w:r>
          </w:p>
        </w:tc>
        <w:tc>
          <w:tcPr>
            <w:tcW w:w="10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F4C0F4">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1033" w:type="pct"/>
            <w:vMerge w:val="continue"/>
            <w:tcBorders>
              <w:left w:val="single" w:color="000000" w:sz="8" w:space="0"/>
              <w:right w:val="single" w:color="000000" w:sz="8" w:space="0"/>
            </w:tcBorders>
            <w:shd w:val="clear" w:color="auto" w:fill="auto"/>
            <w:vAlign w:val="bottom"/>
          </w:tcPr>
          <w:p w14:paraId="147AD8C5">
            <w:pPr>
              <w:widowControl/>
              <w:jc w:val="center"/>
              <w:textAlignment w:val="bottom"/>
              <w:rPr>
                <w:rFonts w:ascii="宋体" w:hAnsi="宋体" w:cs="宋体"/>
                <w:b/>
                <w:bCs/>
                <w:color w:val="auto"/>
                <w:sz w:val="24"/>
                <w:highlight w:val="none"/>
              </w:rPr>
            </w:pPr>
          </w:p>
        </w:tc>
      </w:tr>
      <w:tr w14:paraId="6E6CF6E8">
        <w:tblPrEx>
          <w:tblCellMar>
            <w:top w:w="0" w:type="dxa"/>
            <w:left w:w="108" w:type="dxa"/>
            <w:bottom w:w="0" w:type="dxa"/>
            <w:right w:w="108" w:type="dxa"/>
          </w:tblCellMar>
        </w:tblPrEx>
        <w:trPr>
          <w:trHeight w:val="480" w:hRule="atLeast"/>
        </w:trPr>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635AEA">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11</w:t>
            </w:r>
          </w:p>
        </w:tc>
        <w:tc>
          <w:tcPr>
            <w:tcW w:w="124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6972E9">
            <w:pPr>
              <w:widowControl/>
              <w:jc w:val="center"/>
              <w:textAlignment w:val="bottom"/>
              <w:rPr>
                <w:rFonts w:ascii="宋体" w:hAnsi="宋体" w:cs="宋体"/>
                <w:b/>
                <w:bCs/>
                <w:color w:val="auto"/>
                <w:kern w:val="0"/>
                <w:sz w:val="24"/>
                <w:highlight w:val="none"/>
              </w:rPr>
            </w:pPr>
            <w:r>
              <w:rPr>
                <w:rFonts w:hint="eastAsia" w:ascii="宋体" w:hAnsi="宋体" w:cs="宋体"/>
                <w:b/>
                <w:bCs/>
                <w:color w:val="auto"/>
                <w:kern w:val="0"/>
                <w:sz w:val="24"/>
                <w:highlight w:val="none"/>
              </w:rPr>
              <w:t>保洁人员</w:t>
            </w:r>
          </w:p>
          <w:p w14:paraId="75E29293">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（兼绿化）</w:t>
            </w:r>
          </w:p>
        </w:tc>
        <w:tc>
          <w:tcPr>
            <w:tcW w:w="1214" w:type="pct"/>
            <w:tcBorders>
              <w:top w:val="nil"/>
              <w:left w:val="single" w:color="000000" w:sz="8" w:space="0"/>
              <w:bottom w:val="single" w:color="000000" w:sz="8" w:space="0"/>
              <w:right w:val="single" w:color="000000" w:sz="8" w:space="0"/>
            </w:tcBorders>
            <w:shd w:val="clear" w:color="auto" w:fill="auto"/>
            <w:vAlign w:val="center"/>
          </w:tcPr>
          <w:p w14:paraId="27788D91">
            <w:pPr>
              <w:widowControl/>
              <w:jc w:val="center"/>
              <w:textAlignment w:val="bottom"/>
              <w:rPr>
                <w:rFonts w:ascii="宋体" w:hAnsi="宋体" w:cs="宋体"/>
                <w:b/>
                <w:bCs/>
                <w:color w:val="auto"/>
                <w:sz w:val="24"/>
                <w:highlight w:val="none"/>
              </w:rPr>
            </w:pPr>
            <w:r>
              <w:rPr>
                <w:rFonts w:hint="eastAsia" w:ascii="宋体" w:hAnsi="宋体" w:cs="宋体"/>
                <w:b/>
                <w:bCs/>
                <w:color w:val="auto"/>
                <w:kern w:val="0"/>
                <w:sz w:val="24"/>
                <w:highlight w:val="none"/>
              </w:rPr>
              <w:t>7:00-16:30</w:t>
            </w:r>
          </w:p>
        </w:tc>
        <w:tc>
          <w:tcPr>
            <w:tcW w:w="10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E5E974">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3</w:t>
            </w:r>
          </w:p>
        </w:tc>
        <w:tc>
          <w:tcPr>
            <w:tcW w:w="1033" w:type="pct"/>
            <w:vMerge w:val="continue"/>
            <w:tcBorders>
              <w:left w:val="single" w:color="000000" w:sz="8" w:space="0"/>
              <w:bottom w:val="single" w:color="000000" w:sz="8" w:space="0"/>
              <w:right w:val="single" w:color="000000" w:sz="8" w:space="0"/>
            </w:tcBorders>
            <w:shd w:val="clear" w:color="auto" w:fill="auto"/>
            <w:vAlign w:val="bottom"/>
          </w:tcPr>
          <w:p w14:paraId="5596AEF1">
            <w:pPr>
              <w:widowControl/>
              <w:jc w:val="center"/>
              <w:textAlignment w:val="bottom"/>
              <w:rPr>
                <w:rFonts w:ascii="宋体" w:hAnsi="宋体" w:cs="宋体"/>
                <w:b/>
                <w:bCs/>
                <w:color w:val="auto"/>
                <w:sz w:val="24"/>
                <w:highlight w:val="none"/>
              </w:rPr>
            </w:pPr>
          </w:p>
        </w:tc>
      </w:tr>
    </w:tbl>
    <w:p w14:paraId="592891AF">
      <w:pPr>
        <w:pStyle w:val="4"/>
        <w:widowControl/>
        <w:shd w:val="clear" w:color="auto" w:fill="FFFFFF"/>
        <w:spacing w:after="48" w:line="264" w:lineRule="atLeast"/>
        <w:ind w:left="0" w:firstLine="0"/>
        <w:rPr>
          <w:rFonts w:ascii="新宋体" w:hAnsi="新宋体" w:eastAsia="新宋体" w:cs="新宋体"/>
          <w:color w:val="auto"/>
          <w:sz w:val="24"/>
          <w:szCs w:val="24"/>
          <w:highlight w:val="none"/>
        </w:rPr>
        <w:sectPr>
          <w:footerReference r:id="rId9" w:type="first"/>
          <w:footerReference r:id="rId8" w:type="default"/>
          <w:pgSz w:w="11900" w:h="16840"/>
          <w:pgMar w:top="1431" w:right="1599" w:bottom="0" w:left="1710" w:header="0" w:footer="0" w:gutter="0"/>
          <w:cols w:space="720" w:num="1"/>
          <w:titlePg/>
          <w:docGrid w:type="lines" w:linePitch="312" w:charSpace="0"/>
        </w:sectPr>
      </w:pPr>
      <w:r>
        <w:rPr>
          <w:rFonts w:hint="eastAsia" w:ascii="新宋体" w:hAnsi="新宋体" w:eastAsia="新宋体" w:cs="新宋体"/>
          <w:color w:val="auto"/>
          <w:kern w:val="0"/>
          <w:sz w:val="24"/>
          <w:szCs w:val="24"/>
          <w:highlight w:val="none"/>
        </w:rPr>
        <w:t xml:space="preserve">   以上所有岗位的设置、排班，应符合《</w:t>
      </w:r>
      <w:r>
        <w:rPr>
          <w:color w:val="auto"/>
          <w:highlight w:val="none"/>
        </w:rPr>
        <w:fldChar w:fldCharType="begin"/>
      </w:r>
      <w:r>
        <w:rPr>
          <w:color w:val="auto"/>
          <w:highlight w:val="none"/>
        </w:rPr>
        <w:instrText xml:space="preserve"> HYPERLINK "http://www.baidu.com/link?url=F45hGkUIbBtxVnxPZATPQbkbwCTU3UxFBB4t-a-QSoW-3bIW4BtrL6FnbZHsoQuDz-Tl0uQwaqK33u1ssI-PWGeDOXSuPpiDhEwM8ziWofO" \t "https://www.baidu.com/_blank" </w:instrText>
      </w:r>
      <w:r>
        <w:rPr>
          <w:color w:val="auto"/>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》相关规定，应满足采购人工作日、双休日、</w:t>
      </w:r>
      <w:r>
        <w:rPr>
          <w:rFonts w:hint="eastAsia" w:ascii="新宋体" w:hAnsi="新宋体" w:eastAsia="新宋体" w:cs="新宋体"/>
          <w:color w:val="auto"/>
          <w:kern w:val="0"/>
          <w:sz w:val="24"/>
          <w:szCs w:val="24"/>
          <w:highlight w:val="none"/>
          <w:lang w:val="en-US" w:eastAsia="zh-CN"/>
        </w:rPr>
        <w:t>法定</w:t>
      </w:r>
      <w:r>
        <w:rPr>
          <w:rFonts w:hint="eastAsia" w:ascii="新宋体" w:hAnsi="新宋体" w:eastAsia="新宋体" w:cs="新宋体"/>
          <w:color w:val="auto"/>
          <w:kern w:val="0"/>
          <w:sz w:val="24"/>
          <w:szCs w:val="24"/>
          <w:highlight w:val="none"/>
        </w:rPr>
        <w:t>节假日的全部工作任务，投标人自行合理安排员工休息时间，如产生替班加班情况，均由投标人自行承担相应费用。</w:t>
      </w:r>
    </w:p>
    <w:p w14:paraId="3EA196EB">
      <w:p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（五）《物业管理服务人员行为规范》</w:t>
      </w:r>
    </w:p>
    <w:p w14:paraId="6A439037">
      <w:pPr>
        <w:spacing w:line="26" w:lineRule="exact"/>
        <w:rPr>
          <w:rFonts w:ascii="新宋体" w:hAnsi="新宋体" w:eastAsia="新宋体" w:cs="新宋体"/>
          <w:color w:val="auto"/>
          <w:sz w:val="24"/>
          <w:highlight w:val="none"/>
        </w:rPr>
      </w:pPr>
    </w:p>
    <w:tbl>
      <w:tblPr>
        <w:tblStyle w:val="964"/>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4"/>
        <w:gridCol w:w="11781"/>
      </w:tblGrid>
      <w:tr w14:paraId="3C6D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tcPr>
          <w:p w14:paraId="7C0D589A">
            <w:pPr>
              <w:spacing w:before="94" w:line="185" w:lineRule="auto"/>
              <w:ind w:left="1081"/>
              <w:rPr>
                <w:rFonts w:ascii="新宋体" w:hAnsi="新宋体" w:eastAsia="新宋体" w:cs="新宋体"/>
                <w:color w:val="auto"/>
                <w:sz w:val="24"/>
                <w:highlight w:val="none"/>
              </w:rPr>
            </w:pPr>
            <w:r>
              <w:rPr>
                <w:rFonts w:hint="eastAsia" w:ascii="新宋体" w:hAnsi="新宋体" w:eastAsia="新宋体" w:cs="新宋体"/>
                <w:color w:val="auto"/>
                <w:spacing w:val="11"/>
                <w:sz w:val="24"/>
                <w:highlight w:val="none"/>
              </w:rPr>
              <w:t>项</w:t>
            </w:r>
            <w:r>
              <w:rPr>
                <w:rFonts w:hint="eastAsia" w:ascii="新宋体" w:hAnsi="新宋体" w:eastAsia="新宋体" w:cs="新宋体"/>
                <w:color w:val="auto"/>
                <w:spacing w:val="9"/>
                <w:sz w:val="24"/>
                <w:highlight w:val="none"/>
              </w:rPr>
              <w:t xml:space="preserve">   目</w:t>
            </w:r>
          </w:p>
        </w:tc>
        <w:tc>
          <w:tcPr>
            <w:tcW w:w="11777" w:type="dxa"/>
          </w:tcPr>
          <w:p w14:paraId="33D6152A">
            <w:pPr>
              <w:spacing w:before="94" w:line="185" w:lineRule="auto"/>
              <w:ind w:left="525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为参考规范</w:t>
            </w:r>
          </w:p>
        </w:tc>
      </w:tr>
      <w:tr w14:paraId="379E3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tcPr>
          <w:p w14:paraId="3638DED8">
            <w:pPr>
              <w:spacing w:before="93" w:line="181" w:lineRule="auto"/>
              <w:ind w:left="157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仪  容  仪  </w:t>
            </w:r>
            <w:r>
              <w:rPr>
                <w:rFonts w:hint="eastAsia" w:ascii="新宋体" w:hAnsi="新宋体" w:eastAsia="新宋体" w:cs="新宋体"/>
                <w:color w:val="auto"/>
                <w:sz w:val="24"/>
                <w:highlight w:val="none"/>
              </w:rPr>
              <w:t>表</w:t>
            </w:r>
          </w:p>
        </w:tc>
        <w:tc>
          <w:tcPr>
            <w:tcW w:w="2053" w:type="dxa"/>
          </w:tcPr>
          <w:p w14:paraId="1F43C266">
            <w:pPr>
              <w:spacing w:line="450" w:lineRule="auto"/>
              <w:rPr>
                <w:rFonts w:ascii="新宋体" w:hAnsi="新宋体" w:eastAsia="新宋体" w:cs="新宋体"/>
                <w:color w:val="auto"/>
                <w:sz w:val="24"/>
                <w:highlight w:val="none"/>
              </w:rPr>
            </w:pPr>
          </w:p>
          <w:p w14:paraId="49386FCA">
            <w:pPr>
              <w:spacing w:before="90" w:line="186"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服饰着装</w:t>
            </w:r>
          </w:p>
        </w:tc>
        <w:tc>
          <w:tcPr>
            <w:tcW w:w="11777" w:type="dxa"/>
          </w:tcPr>
          <w:p w14:paraId="1F4FC61E">
            <w:pPr>
              <w:spacing w:before="32"/>
              <w:ind w:left="128"/>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1、  上班时间必须穿工作服，工作服穿戴整齐整洁</w:t>
            </w:r>
            <w:r>
              <w:rPr>
                <w:rFonts w:hint="eastAsia" w:ascii="新宋体" w:hAnsi="新宋体" w:eastAsia="新宋体" w:cs="新宋体"/>
                <w:color w:val="auto"/>
                <w:spacing w:val="-4"/>
                <w:sz w:val="24"/>
                <w:highlight w:val="none"/>
              </w:rPr>
              <w:t>；</w:t>
            </w:r>
          </w:p>
          <w:p w14:paraId="63BB6983">
            <w:pPr>
              <w:spacing w:before="92"/>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  上班统一佩戴工作牌，工作牌应端正地戴在左胸襟处</w:t>
            </w:r>
            <w:r>
              <w:rPr>
                <w:rFonts w:hint="eastAsia" w:ascii="新宋体" w:hAnsi="新宋体" w:eastAsia="新宋体" w:cs="新宋体"/>
                <w:color w:val="auto"/>
                <w:spacing w:val="-2"/>
                <w:sz w:val="24"/>
                <w:highlight w:val="none"/>
              </w:rPr>
              <w:t>；</w:t>
            </w:r>
          </w:p>
          <w:p w14:paraId="676A8680">
            <w:pPr>
              <w:spacing w:before="91"/>
              <w:ind w:left="11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3</w:t>
            </w:r>
            <w:r>
              <w:rPr>
                <w:rFonts w:hint="eastAsia" w:ascii="新宋体" w:hAnsi="新宋体" w:eastAsia="新宋体" w:cs="新宋体"/>
                <w:color w:val="auto"/>
                <w:spacing w:val="-4"/>
                <w:sz w:val="24"/>
                <w:highlight w:val="none"/>
              </w:rPr>
              <w:t>、  鞋袜穿戴整齐清洁， 非工作需要不允许打赤脚或穿雨鞋到处走。特殊工作完毕应在工作场所将鞋擦干净再走；</w:t>
            </w:r>
          </w:p>
          <w:p w14:paraId="4756727A">
            <w:pPr>
              <w:spacing w:before="91"/>
              <w:ind w:left="111"/>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 xml:space="preserve">4、 </w:t>
            </w:r>
            <w:r>
              <w:rPr>
                <w:rFonts w:hint="eastAsia" w:ascii="新宋体" w:hAnsi="新宋体" w:eastAsia="新宋体" w:cs="新宋体"/>
                <w:color w:val="auto"/>
                <w:spacing w:val="-5"/>
                <w:sz w:val="24"/>
                <w:highlight w:val="none"/>
              </w:rPr>
              <w:t>非特殊情况不允许穿背心、短裤、拖鞋。</w:t>
            </w:r>
          </w:p>
        </w:tc>
      </w:tr>
      <w:tr w14:paraId="0BFB6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tcPr>
          <w:p w14:paraId="4996A6E1">
            <w:pPr>
              <w:rPr>
                <w:rFonts w:ascii="新宋体" w:hAnsi="新宋体" w:eastAsia="新宋体" w:cs="新宋体"/>
                <w:color w:val="auto"/>
                <w:sz w:val="24"/>
                <w:highlight w:val="none"/>
              </w:rPr>
            </w:pPr>
          </w:p>
        </w:tc>
        <w:tc>
          <w:tcPr>
            <w:tcW w:w="2053" w:type="dxa"/>
          </w:tcPr>
          <w:p w14:paraId="4E685D3A">
            <w:pPr>
              <w:spacing w:line="282" w:lineRule="auto"/>
              <w:rPr>
                <w:rFonts w:ascii="新宋体" w:hAnsi="新宋体" w:eastAsia="新宋体" w:cs="新宋体"/>
                <w:color w:val="auto"/>
                <w:sz w:val="24"/>
                <w:highlight w:val="none"/>
              </w:rPr>
            </w:pPr>
          </w:p>
          <w:p w14:paraId="646D241F">
            <w:pPr>
              <w:spacing w:before="91" w:line="185" w:lineRule="auto"/>
              <w:ind w:left="8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须</w:t>
            </w:r>
            <w:r>
              <w:rPr>
                <w:rFonts w:hint="eastAsia" w:ascii="新宋体" w:hAnsi="新宋体" w:eastAsia="新宋体" w:cs="新宋体"/>
                <w:color w:val="auto"/>
                <w:sz w:val="24"/>
                <w:highlight w:val="none"/>
              </w:rPr>
              <w:t>发</w:t>
            </w:r>
          </w:p>
        </w:tc>
        <w:tc>
          <w:tcPr>
            <w:tcW w:w="11777" w:type="dxa"/>
          </w:tcPr>
          <w:p w14:paraId="1C8C3EB6">
            <w:pPr>
              <w:spacing w:before="32"/>
              <w:ind w:left="128"/>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1</w:t>
            </w:r>
            <w:r>
              <w:rPr>
                <w:rFonts w:hint="eastAsia" w:ascii="新宋体" w:hAnsi="新宋体" w:eastAsia="新宋体" w:cs="新宋体"/>
                <w:color w:val="auto"/>
                <w:spacing w:val="-12"/>
                <w:sz w:val="24"/>
                <w:highlight w:val="none"/>
              </w:rPr>
              <w:t>、  女员工前发不遮眼， 不梳怪异发型；</w:t>
            </w:r>
          </w:p>
          <w:p w14:paraId="2CF57F00">
            <w:pPr>
              <w:spacing w:before="90"/>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2</w:t>
            </w:r>
            <w:r>
              <w:rPr>
                <w:rFonts w:hint="eastAsia" w:ascii="新宋体" w:hAnsi="新宋体" w:eastAsia="新宋体" w:cs="新宋体"/>
                <w:color w:val="auto"/>
                <w:spacing w:val="-9"/>
                <w:sz w:val="24"/>
                <w:highlight w:val="none"/>
              </w:rPr>
              <w:t>、</w:t>
            </w:r>
            <w:r>
              <w:rPr>
                <w:rFonts w:hint="eastAsia" w:ascii="新宋体" w:hAnsi="新宋体" w:eastAsia="新宋体" w:cs="新宋体"/>
                <w:color w:val="auto"/>
                <w:spacing w:val="-6"/>
                <w:sz w:val="24"/>
                <w:highlight w:val="none"/>
              </w:rPr>
              <w:t xml:space="preserve">  男员工不留长发，不留胡须；</w:t>
            </w:r>
          </w:p>
          <w:p w14:paraId="765C16E7">
            <w:pPr>
              <w:spacing w:before="88"/>
              <w:ind w:left="117"/>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8"/>
                <w:sz w:val="24"/>
                <w:highlight w:val="none"/>
              </w:rPr>
              <w:t>、  所有员工头发应保持整洁。</w:t>
            </w:r>
          </w:p>
        </w:tc>
      </w:tr>
      <w:tr w14:paraId="157B0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tcPr>
          <w:p w14:paraId="204EEAFD">
            <w:pPr>
              <w:rPr>
                <w:rFonts w:ascii="新宋体" w:hAnsi="新宋体" w:eastAsia="新宋体" w:cs="新宋体"/>
                <w:color w:val="auto"/>
                <w:sz w:val="24"/>
                <w:highlight w:val="none"/>
              </w:rPr>
            </w:pPr>
          </w:p>
        </w:tc>
        <w:tc>
          <w:tcPr>
            <w:tcW w:w="2053" w:type="dxa"/>
          </w:tcPr>
          <w:p w14:paraId="33D3D6A7">
            <w:pPr>
              <w:spacing w:line="262" w:lineRule="auto"/>
              <w:rPr>
                <w:rFonts w:ascii="新宋体" w:hAnsi="新宋体" w:eastAsia="新宋体" w:cs="新宋体"/>
                <w:color w:val="auto"/>
                <w:sz w:val="24"/>
                <w:highlight w:val="none"/>
              </w:rPr>
            </w:pPr>
          </w:p>
          <w:p w14:paraId="0652DE8D">
            <w:pPr>
              <w:spacing w:line="263" w:lineRule="auto"/>
              <w:rPr>
                <w:rFonts w:ascii="新宋体" w:hAnsi="新宋体" w:eastAsia="新宋体" w:cs="新宋体"/>
                <w:color w:val="auto"/>
                <w:sz w:val="24"/>
                <w:highlight w:val="none"/>
              </w:rPr>
            </w:pPr>
          </w:p>
          <w:p w14:paraId="2CA5703A">
            <w:pPr>
              <w:spacing w:line="263" w:lineRule="auto"/>
              <w:rPr>
                <w:rFonts w:ascii="新宋体" w:hAnsi="新宋体" w:eastAsia="新宋体" w:cs="新宋体"/>
                <w:color w:val="auto"/>
                <w:sz w:val="24"/>
                <w:highlight w:val="none"/>
              </w:rPr>
            </w:pPr>
          </w:p>
          <w:p w14:paraId="0EA4F7DC">
            <w:pPr>
              <w:spacing w:before="90" w:line="187"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个人卫生</w:t>
            </w:r>
          </w:p>
        </w:tc>
        <w:tc>
          <w:tcPr>
            <w:tcW w:w="11777" w:type="dxa"/>
          </w:tcPr>
          <w:p w14:paraId="6F002B0F">
            <w:pPr>
              <w:spacing w:before="34"/>
              <w:ind w:left="128"/>
              <w:rPr>
                <w:rFonts w:ascii="新宋体" w:hAnsi="新宋体" w:eastAsia="新宋体" w:cs="新宋体"/>
                <w:color w:val="auto"/>
                <w:sz w:val="24"/>
                <w:highlight w:val="none"/>
              </w:rPr>
            </w:pPr>
            <w:r>
              <w:rPr>
                <w:rFonts w:hint="eastAsia" w:ascii="新宋体" w:hAnsi="新宋体" w:eastAsia="新宋体" w:cs="新宋体"/>
                <w:color w:val="auto"/>
                <w:spacing w:val="-13"/>
                <w:sz w:val="24"/>
                <w:highlight w:val="none"/>
              </w:rPr>
              <w:t>1</w:t>
            </w:r>
            <w:r>
              <w:rPr>
                <w:rFonts w:hint="eastAsia" w:ascii="新宋体" w:hAnsi="新宋体" w:eastAsia="新宋体" w:cs="新宋体"/>
                <w:color w:val="auto"/>
                <w:spacing w:val="-8"/>
                <w:sz w:val="24"/>
                <w:highlight w:val="none"/>
              </w:rPr>
              <w:t>、  保持手部干净，经常修剪指甲；</w:t>
            </w:r>
          </w:p>
          <w:p w14:paraId="2B553EAB">
            <w:pPr>
              <w:spacing w:before="90"/>
              <w:ind w:left="115"/>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w:t>
            </w:r>
            <w:r>
              <w:rPr>
                <w:rFonts w:hint="eastAsia" w:ascii="新宋体" w:hAnsi="新宋体" w:eastAsia="新宋体" w:cs="新宋体"/>
                <w:color w:val="auto"/>
                <w:spacing w:val="-3"/>
                <w:sz w:val="24"/>
                <w:highlight w:val="none"/>
              </w:rPr>
              <w:t>、  员工应经常洗澡防汗臭，勤换衣服。衣服因工作而弄湿、弄脏后应换洗；</w:t>
            </w:r>
          </w:p>
          <w:p w14:paraId="2D351886">
            <w:pPr>
              <w:spacing w:before="87"/>
              <w:ind w:left="117"/>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3、  上班前和上班期间应注意饮食， 保持口腔清洁、口气清新</w:t>
            </w:r>
            <w:r>
              <w:rPr>
                <w:rFonts w:hint="eastAsia" w:ascii="新宋体" w:hAnsi="新宋体" w:eastAsia="新宋体" w:cs="新宋体"/>
                <w:color w:val="auto"/>
                <w:spacing w:val="-6"/>
                <w:sz w:val="24"/>
                <w:highlight w:val="none"/>
              </w:rPr>
              <w:t>；</w:t>
            </w:r>
          </w:p>
          <w:p w14:paraId="3A73009E">
            <w:pPr>
              <w:spacing w:before="92"/>
              <w:ind w:left="111"/>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4</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7"/>
                <w:sz w:val="24"/>
                <w:highlight w:val="none"/>
              </w:rPr>
              <w:t xml:space="preserve">  保持眼部、耳部清洁；</w:t>
            </w:r>
          </w:p>
          <w:p w14:paraId="1EC62AC2">
            <w:pPr>
              <w:spacing w:before="90"/>
              <w:ind w:left="117"/>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 xml:space="preserve">5、 </w:t>
            </w:r>
            <w:r>
              <w:rPr>
                <w:rFonts w:hint="eastAsia" w:ascii="新宋体" w:hAnsi="新宋体" w:eastAsia="新宋体" w:cs="新宋体"/>
                <w:color w:val="auto"/>
                <w:spacing w:val="-6"/>
                <w:sz w:val="24"/>
                <w:highlight w:val="none"/>
              </w:rPr>
              <w:t xml:space="preserve"> 女员工应淡妆打扮， 不允许浓妆艳抹，不宜使用味浓的化妆品；</w:t>
            </w:r>
          </w:p>
          <w:p w14:paraId="054DE81B">
            <w:pPr>
              <w:spacing w:before="90"/>
              <w:ind w:left="114"/>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6、</w:t>
            </w:r>
            <w:r>
              <w:rPr>
                <w:rFonts w:hint="eastAsia" w:ascii="新宋体" w:hAnsi="新宋体" w:eastAsia="新宋体" w:cs="新宋体"/>
                <w:color w:val="auto"/>
                <w:spacing w:val="-6"/>
                <w:sz w:val="24"/>
                <w:highlight w:val="none"/>
              </w:rPr>
              <w:t xml:space="preserve"> 每天上班前应注意检查自己的仪表， 必要时应到卫生间或工作间整理。</w:t>
            </w:r>
          </w:p>
        </w:tc>
      </w:tr>
      <w:tr w14:paraId="5E8EF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tcPr>
          <w:p w14:paraId="1B7EDC01">
            <w:pPr>
              <w:spacing w:before="93" w:line="180" w:lineRule="auto"/>
              <w:ind w:left="614"/>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行  为  举 </w:t>
            </w:r>
            <w:r>
              <w:rPr>
                <w:rFonts w:hint="eastAsia" w:ascii="新宋体" w:hAnsi="新宋体" w:eastAsia="新宋体" w:cs="新宋体"/>
                <w:color w:val="auto"/>
                <w:sz w:val="24"/>
                <w:highlight w:val="none"/>
              </w:rPr>
              <w:t>止</w:t>
            </w:r>
          </w:p>
        </w:tc>
        <w:tc>
          <w:tcPr>
            <w:tcW w:w="2053" w:type="dxa"/>
          </w:tcPr>
          <w:p w14:paraId="5B31AAA6">
            <w:pPr>
              <w:spacing w:before="207" w:line="185" w:lineRule="auto"/>
              <w:ind w:left="605"/>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服务态度</w:t>
            </w:r>
          </w:p>
        </w:tc>
        <w:tc>
          <w:tcPr>
            <w:tcW w:w="11777" w:type="dxa"/>
          </w:tcPr>
          <w:p w14:paraId="52A40947">
            <w:pPr>
              <w:spacing w:before="35"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7"/>
                <w:sz w:val="24"/>
                <w:highlight w:val="none"/>
              </w:rPr>
              <w:t>1、  对客人服务应面带笑容，和颜悦色， 热情主动，做到微笑服务</w:t>
            </w:r>
            <w:r>
              <w:rPr>
                <w:rFonts w:hint="eastAsia" w:ascii="新宋体" w:hAnsi="新宋体" w:eastAsia="新宋体" w:cs="新宋体"/>
                <w:color w:val="auto"/>
                <w:spacing w:val="-3"/>
                <w:sz w:val="24"/>
                <w:highlight w:val="none"/>
              </w:rPr>
              <w:t>；</w:t>
            </w:r>
          </w:p>
          <w:p w14:paraId="5A5D1AD1">
            <w:pPr>
              <w:spacing w:before="90" w:line="219"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9"/>
                <w:sz w:val="24"/>
                <w:highlight w:val="none"/>
              </w:rPr>
              <w:t xml:space="preserve"> 谦虚和悦接受客人的评价， 耐心倾听客人的投诉， 事后汇报。</w:t>
            </w:r>
          </w:p>
        </w:tc>
      </w:tr>
      <w:tr w14:paraId="625E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37" w:type="dxa"/>
            <w:vMerge w:val="continue"/>
            <w:textDirection w:val="tbRlV"/>
          </w:tcPr>
          <w:p w14:paraId="56B99B81">
            <w:pPr>
              <w:rPr>
                <w:rFonts w:ascii="新宋体" w:hAnsi="新宋体" w:eastAsia="新宋体" w:cs="新宋体"/>
                <w:color w:val="auto"/>
                <w:sz w:val="24"/>
                <w:highlight w:val="none"/>
              </w:rPr>
            </w:pPr>
          </w:p>
        </w:tc>
        <w:tc>
          <w:tcPr>
            <w:tcW w:w="2053" w:type="dxa"/>
          </w:tcPr>
          <w:p w14:paraId="6A3D0D6C">
            <w:pPr>
              <w:spacing w:line="455" w:lineRule="auto"/>
              <w:rPr>
                <w:rFonts w:ascii="新宋体" w:hAnsi="新宋体" w:eastAsia="新宋体" w:cs="新宋体"/>
                <w:color w:val="auto"/>
                <w:sz w:val="24"/>
                <w:highlight w:val="none"/>
              </w:rPr>
            </w:pPr>
          </w:p>
          <w:p w14:paraId="374A9A0D">
            <w:pPr>
              <w:spacing w:before="90" w:line="186" w:lineRule="auto"/>
              <w:ind w:left="60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行</w:t>
            </w:r>
            <w:r>
              <w:rPr>
                <w:rFonts w:hint="eastAsia" w:ascii="新宋体" w:hAnsi="新宋体" w:eastAsia="新宋体" w:cs="新宋体"/>
                <w:color w:val="auto"/>
                <w:sz w:val="24"/>
                <w:highlight w:val="none"/>
              </w:rPr>
              <w:t>走姿态</w:t>
            </w:r>
          </w:p>
        </w:tc>
        <w:tc>
          <w:tcPr>
            <w:tcW w:w="11777" w:type="dxa"/>
          </w:tcPr>
          <w:p w14:paraId="6E16EDD9">
            <w:pPr>
              <w:spacing w:before="36" w:line="221"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1</w:t>
            </w:r>
            <w:r>
              <w:rPr>
                <w:rFonts w:hint="eastAsia" w:ascii="新宋体" w:hAnsi="新宋体" w:eastAsia="新宋体" w:cs="新宋体"/>
                <w:color w:val="auto"/>
                <w:spacing w:val="-10"/>
                <w:sz w:val="24"/>
                <w:highlight w:val="none"/>
              </w:rPr>
              <w:t>、</w:t>
            </w:r>
            <w:r>
              <w:rPr>
                <w:rFonts w:hint="eastAsia" w:ascii="新宋体" w:hAnsi="新宋体" w:eastAsia="新宋体" w:cs="新宋体"/>
                <w:color w:val="auto"/>
                <w:spacing w:val="-6"/>
                <w:sz w:val="24"/>
                <w:highlight w:val="none"/>
              </w:rPr>
              <w:t xml:space="preserve">  行走时不宜双手抱胸或背手走路；</w:t>
            </w:r>
          </w:p>
          <w:p w14:paraId="31E7C45A">
            <w:pPr>
              <w:spacing w:before="89" w:line="218"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8"/>
                <w:sz w:val="24"/>
                <w:highlight w:val="none"/>
              </w:rPr>
              <w:t>2</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9"/>
                <w:sz w:val="24"/>
                <w:highlight w:val="none"/>
              </w:rPr>
              <w:t xml:space="preserve">  在工作场合与他人同行时， 不允许勾肩搭背， 不允许同行时嘻戏打闹；</w:t>
            </w:r>
          </w:p>
          <w:p w14:paraId="1437691E">
            <w:pPr>
              <w:spacing w:before="91" w:line="218"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  手</w:t>
            </w:r>
            <w:r>
              <w:rPr>
                <w:rFonts w:hint="eastAsia" w:ascii="新宋体" w:hAnsi="新宋体" w:eastAsia="新宋体" w:cs="新宋体"/>
                <w:color w:val="auto"/>
                <w:spacing w:val="-3"/>
                <w:sz w:val="24"/>
                <w:highlight w:val="none"/>
              </w:rPr>
              <w:t>拉货物行走时应注意前方行人或障碍物，尽量靠路右侧行走；</w:t>
            </w:r>
          </w:p>
          <w:p w14:paraId="7F809DC3">
            <w:pPr>
              <w:spacing w:before="92" w:line="218"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20"/>
                <w:sz w:val="24"/>
                <w:highlight w:val="none"/>
              </w:rPr>
              <w:t>4</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10"/>
                <w:sz w:val="24"/>
                <w:highlight w:val="none"/>
              </w:rPr>
              <w:t xml:space="preserve">  与客户相遇时， 应主动点头示意。</w:t>
            </w:r>
          </w:p>
        </w:tc>
      </w:tr>
      <w:tr w14:paraId="0951D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737" w:type="dxa"/>
            <w:vMerge w:val="continue"/>
            <w:textDirection w:val="tbRlV"/>
          </w:tcPr>
          <w:p w14:paraId="464F7645">
            <w:pPr>
              <w:rPr>
                <w:rFonts w:ascii="新宋体" w:hAnsi="新宋体" w:eastAsia="新宋体" w:cs="新宋体"/>
                <w:color w:val="auto"/>
                <w:sz w:val="24"/>
                <w:highlight w:val="none"/>
              </w:rPr>
            </w:pPr>
          </w:p>
        </w:tc>
        <w:tc>
          <w:tcPr>
            <w:tcW w:w="2053" w:type="dxa"/>
          </w:tcPr>
          <w:p w14:paraId="45AC5BF4">
            <w:pPr>
              <w:spacing w:before="96" w:line="186" w:lineRule="auto"/>
              <w:ind w:left="608"/>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坐立姿</w:t>
            </w:r>
            <w:r>
              <w:rPr>
                <w:rFonts w:hint="eastAsia" w:ascii="新宋体" w:hAnsi="新宋体" w:eastAsia="新宋体" w:cs="新宋体"/>
                <w:color w:val="auto"/>
                <w:sz w:val="24"/>
                <w:highlight w:val="none"/>
              </w:rPr>
              <w:t>态</w:t>
            </w:r>
          </w:p>
        </w:tc>
        <w:tc>
          <w:tcPr>
            <w:tcW w:w="11777" w:type="dxa"/>
          </w:tcPr>
          <w:p w14:paraId="5B55006A">
            <w:pPr>
              <w:numPr>
                <w:ilvl w:val="0"/>
                <w:numId w:val="8"/>
              </w:numPr>
              <w:spacing w:before="96" w:line="218" w:lineRule="auto"/>
              <w:ind w:left="128"/>
              <w:rPr>
                <w:rFonts w:ascii="新宋体" w:hAnsi="新宋体" w:eastAsia="新宋体" w:cs="新宋体"/>
                <w:color w:val="auto"/>
                <w:spacing w:val="-6"/>
                <w:sz w:val="24"/>
                <w:highlight w:val="none"/>
              </w:rPr>
            </w:pPr>
            <w:r>
              <w:rPr>
                <w:rFonts w:hint="eastAsia" w:ascii="新宋体" w:hAnsi="新宋体" w:eastAsia="新宋体" w:cs="新宋体"/>
                <w:color w:val="auto"/>
                <w:spacing w:val="-12"/>
                <w:sz w:val="24"/>
                <w:highlight w:val="none"/>
              </w:rPr>
              <w:t xml:space="preserve"> 入</w:t>
            </w:r>
            <w:r>
              <w:rPr>
                <w:rFonts w:hint="eastAsia" w:ascii="新宋体" w:hAnsi="新宋体" w:eastAsia="新宋体" w:cs="新宋体"/>
                <w:color w:val="auto"/>
                <w:spacing w:val="-8"/>
                <w:sz w:val="24"/>
                <w:highlight w:val="none"/>
              </w:rPr>
              <w:t>坐</w:t>
            </w:r>
            <w:r>
              <w:rPr>
                <w:rFonts w:hint="eastAsia" w:ascii="新宋体" w:hAnsi="新宋体" w:eastAsia="新宋体" w:cs="新宋体"/>
                <w:color w:val="auto"/>
                <w:spacing w:val="-6"/>
                <w:sz w:val="24"/>
                <w:highlight w:val="none"/>
              </w:rPr>
              <w:t>要轻缓，就坐时姿态要端正，上身要直， 腰部挺起， 双膝并拢，手自然放在双膝上，面带笑容；</w:t>
            </w:r>
          </w:p>
          <w:p w14:paraId="2E640607">
            <w:pPr>
              <w:spacing w:before="36"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2、  坐在椅子上不允许前俯后仰、摇腿跷脚或趴在工作台上或把脚放于工作台</w:t>
            </w:r>
            <w:r>
              <w:rPr>
                <w:rFonts w:hint="eastAsia" w:ascii="新宋体" w:hAnsi="新宋体" w:eastAsia="新宋体" w:cs="新宋体"/>
                <w:color w:val="auto"/>
                <w:spacing w:val="-1"/>
                <w:sz w:val="24"/>
                <w:highlight w:val="none"/>
              </w:rPr>
              <w:t>上</w:t>
            </w:r>
            <w:r>
              <w:rPr>
                <w:rFonts w:hint="eastAsia" w:ascii="新宋体" w:hAnsi="新宋体" w:eastAsia="新宋体" w:cs="新宋体"/>
                <w:color w:val="auto"/>
                <w:sz w:val="24"/>
                <w:highlight w:val="none"/>
              </w:rPr>
              <w:t>；</w:t>
            </w:r>
          </w:p>
          <w:p w14:paraId="44AE1B6F">
            <w:pPr>
              <w:numPr>
                <w:ilvl w:val="0"/>
                <w:numId w:val="8"/>
              </w:numPr>
              <w:spacing w:before="96" w:line="218" w:lineRule="auto"/>
              <w:ind w:left="128"/>
              <w:rPr>
                <w:rFonts w:ascii="新宋体" w:hAnsi="新宋体" w:eastAsia="新宋体" w:cs="新宋体"/>
                <w:color w:val="auto"/>
                <w:spacing w:val="-6"/>
                <w:sz w:val="24"/>
                <w:highlight w:val="none"/>
              </w:rPr>
            </w:pPr>
            <w:r>
              <w:rPr>
                <w:rFonts w:hint="eastAsia" w:ascii="新宋体" w:hAnsi="新宋体" w:eastAsia="新宋体" w:cs="新宋体"/>
                <w:color w:val="auto"/>
                <w:spacing w:val="-14"/>
                <w:sz w:val="24"/>
                <w:highlight w:val="none"/>
              </w:rPr>
              <w:t>站</w:t>
            </w:r>
            <w:r>
              <w:rPr>
                <w:rFonts w:hint="eastAsia" w:ascii="新宋体" w:hAnsi="新宋体" w:eastAsia="新宋体" w:cs="新宋体"/>
                <w:color w:val="auto"/>
                <w:spacing w:val="-10"/>
                <w:sz w:val="24"/>
                <w:highlight w:val="none"/>
              </w:rPr>
              <w:t>立</w:t>
            </w:r>
            <w:r>
              <w:rPr>
                <w:rFonts w:hint="eastAsia" w:ascii="新宋体" w:hAnsi="新宋体" w:eastAsia="新宋体" w:cs="新宋体"/>
                <w:color w:val="auto"/>
                <w:spacing w:val="-7"/>
                <w:sz w:val="24"/>
                <w:highlight w:val="none"/>
              </w:rPr>
              <w:t>时姿态要端正， 上身要直， 人体重心要稳，腰部挺起，双手自然下坠，双脚并拢， 目光平视，面带笑容。</w:t>
            </w:r>
          </w:p>
        </w:tc>
      </w:tr>
      <w:tr w14:paraId="0F508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tcPr>
          <w:p w14:paraId="3C901963">
            <w:pPr>
              <w:rPr>
                <w:rFonts w:ascii="新宋体" w:hAnsi="新宋体" w:eastAsia="新宋体" w:cs="新宋体"/>
                <w:color w:val="auto"/>
                <w:sz w:val="24"/>
                <w:highlight w:val="none"/>
              </w:rPr>
            </w:pPr>
          </w:p>
        </w:tc>
        <w:tc>
          <w:tcPr>
            <w:tcW w:w="2054" w:type="dxa"/>
          </w:tcPr>
          <w:p w14:paraId="61881D3D">
            <w:pPr>
              <w:spacing w:line="282" w:lineRule="auto"/>
              <w:rPr>
                <w:rFonts w:ascii="新宋体" w:hAnsi="新宋体" w:eastAsia="新宋体" w:cs="新宋体"/>
                <w:color w:val="auto"/>
                <w:sz w:val="24"/>
                <w:highlight w:val="none"/>
              </w:rPr>
            </w:pPr>
          </w:p>
          <w:p w14:paraId="0DEE4DEB">
            <w:pPr>
              <w:spacing w:before="90" w:line="185" w:lineRule="auto"/>
              <w:ind w:left="60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其</w:t>
            </w:r>
            <w:r>
              <w:rPr>
                <w:rFonts w:hint="eastAsia" w:ascii="新宋体" w:hAnsi="新宋体" w:eastAsia="新宋体" w:cs="新宋体"/>
                <w:color w:val="auto"/>
                <w:sz w:val="24"/>
                <w:highlight w:val="none"/>
              </w:rPr>
              <w:t>他行为</w:t>
            </w:r>
          </w:p>
        </w:tc>
        <w:tc>
          <w:tcPr>
            <w:tcW w:w="11781" w:type="dxa"/>
          </w:tcPr>
          <w:p w14:paraId="06ABD1FA">
            <w:pPr>
              <w:spacing w:before="32" w:line="217" w:lineRule="auto"/>
              <w:ind w:left="128"/>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 要注意</w:t>
            </w:r>
            <w:r>
              <w:rPr>
                <w:rFonts w:hint="eastAsia" w:ascii="新宋体" w:hAnsi="新宋体" w:eastAsia="新宋体" w:cs="新宋体"/>
                <w:color w:val="auto"/>
                <w:spacing w:val="-3"/>
                <w:sz w:val="24"/>
                <w:highlight w:val="none"/>
              </w:rPr>
              <w:t>个人形象，不允许随地吐痰， 乱扔果皮、纸屑；上班时间不允许吃零食，玩弄个人小物品或做与工作无关的事情；</w:t>
            </w:r>
          </w:p>
          <w:p w14:paraId="206523ED">
            <w:pPr>
              <w:spacing w:before="93"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2</w:t>
            </w:r>
            <w:r>
              <w:rPr>
                <w:rFonts w:hint="eastAsia" w:ascii="新宋体" w:hAnsi="新宋体" w:eastAsia="新宋体" w:cs="新宋体"/>
                <w:color w:val="auto"/>
                <w:sz w:val="24"/>
                <w:highlight w:val="none"/>
              </w:rPr>
              <w:t>、  到公共、工作场所(或客户处) 进行工作时， 不允许乱翻乱摸，更不允许随意拿走公用的(或客户的) 东西；</w:t>
            </w:r>
          </w:p>
          <w:p w14:paraId="4E8099F8">
            <w:pPr>
              <w:spacing w:before="90" w:line="219" w:lineRule="auto"/>
              <w:ind w:left="117"/>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3、  谈话时，手势不宜过多，幅度不宜太大</w:t>
            </w:r>
            <w:r>
              <w:rPr>
                <w:rFonts w:hint="eastAsia" w:ascii="新宋体" w:hAnsi="新宋体" w:eastAsia="新宋体" w:cs="新宋体"/>
                <w:color w:val="auto"/>
                <w:spacing w:val="-2"/>
                <w:sz w:val="24"/>
                <w:highlight w:val="none"/>
              </w:rPr>
              <w:t>。</w:t>
            </w:r>
          </w:p>
        </w:tc>
      </w:tr>
      <w:tr w14:paraId="4AF5C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extDirection w:val="tbRlV"/>
          </w:tcPr>
          <w:p w14:paraId="340F903D">
            <w:pPr>
              <w:spacing w:before="92" w:line="181" w:lineRule="auto"/>
              <w:ind w:left="1901"/>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礼  貌  用  </w:t>
            </w:r>
            <w:r>
              <w:rPr>
                <w:rFonts w:hint="eastAsia" w:ascii="新宋体" w:hAnsi="新宋体" w:eastAsia="新宋体" w:cs="新宋体"/>
                <w:color w:val="auto"/>
                <w:sz w:val="24"/>
                <w:highlight w:val="none"/>
              </w:rPr>
              <w:t>语</w:t>
            </w:r>
          </w:p>
        </w:tc>
        <w:tc>
          <w:tcPr>
            <w:tcW w:w="2054" w:type="dxa"/>
          </w:tcPr>
          <w:p w14:paraId="132923BF">
            <w:pPr>
              <w:spacing w:before="90" w:line="186" w:lineRule="auto"/>
              <w:ind w:left="720"/>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问候语</w:t>
            </w:r>
          </w:p>
        </w:tc>
        <w:tc>
          <w:tcPr>
            <w:tcW w:w="11781" w:type="dxa"/>
          </w:tcPr>
          <w:p w14:paraId="50F80124">
            <w:pPr>
              <w:spacing w:before="90"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您好、早安、午安、早、早上好、下午好、</w:t>
            </w:r>
            <w:r>
              <w:rPr>
                <w:rFonts w:hint="eastAsia" w:ascii="新宋体" w:hAnsi="新宋体" w:eastAsia="新宋体" w:cs="新宋体"/>
                <w:color w:val="auto"/>
                <w:sz w:val="24"/>
                <w:highlight w:val="none"/>
              </w:rPr>
              <w:t>晚上好、路上辛苦了。</w:t>
            </w:r>
          </w:p>
        </w:tc>
      </w:tr>
      <w:tr w14:paraId="08989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166D77BA">
            <w:pPr>
              <w:rPr>
                <w:rFonts w:ascii="新宋体" w:hAnsi="新宋体" w:eastAsia="新宋体" w:cs="新宋体"/>
                <w:color w:val="auto"/>
                <w:sz w:val="24"/>
                <w:highlight w:val="none"/>
              </w:rPr>
            </w:pPr>
          </w:p>
        </w:tc>
        <w:tc>
          <w:tcPr>
            <w:tcW w:w="2054" w:type="dxa"/>
          </w:tcPr>
          <w:p w14:paraId="15460319">
            <w:pPr>
              <w:spacing w:before="90" w:line="187"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欢</w:t>
            </w:r>
            <w:r>
              <w:rPr>
                <w:rFonts w:hint="eastAsia" w:ascii="新宋体" w:hAnsi="新宋体" w:eastAsia="新宋体" w:cs="新宋体"/>
                <w:color w:val="auto"/>
                <w:sz w:val="24"/>
                <w:highlight w:val="none"/>
              </w:rPr>
              <w:t>迎语</w:t>
            </w:r>
          </w:p>
        </w:tc>
        <w:tc>
          <w:tcPr>
            <w:tcW w:w="11781" w:type="dxa"/>
          </w:tcPr>
          <w:p w14:paraId="3DED724E">
            <w:pPr>
              <w:spacing w:before="90"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欢</w:t>
            </w:r>
            <w:r>
              <w:rPr>
                <w:rFonts w:hint="eastAsia" w:ascii="新宋体" w:hAnsi="新宋体" w:eastAsia="新宋体" w:cs="新宋体"/>
                <w:color w:val="auto"/>
                <w:spacing w:val="-7"/>
                <w:sz w:val="24"/>
                <w:highlight w:val="none"/>
              </w:rPr>
              <w:t>迎光临、欢迎您来 XX 单位。</w:t>
            </w:r>
          </w:p>
        </w:tc>
      </w:tr>
      <w:tr w14:paraId="488B6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14:paraId="64A29DF2">
            <w:pPr>
              <w:rPr>
                <w:rFonts w:ascii="新宋体" w:hAnsi="新宋体" w:eastAsia="新宋体" w:cs="新宋体"/>
                <w:color w:val="auto"/>
                <w:sz w:val="24"/>
                <w:highlight w:val="none"/>
              </w:rPr>
            </w:pPr>
          </w:p>
        </w:tc>
        <w:tc>
          <w:tcPr>
            <w:tcW w:w="2054" w:type="dxa"/>
          </w:tcPr>
          <w:p w14:paraId="01109D74">
            <w:pPr>
              <w:spacing w:before="92" w:line="186"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祝贺语</w:t>
            </w:r>
          </w:p>
        </w:tc>
        <w:tc>
          <w:tcPr>
            <w:tcW w:w="11781" w:type="dxa"/>
          </w:tcPr>
          <w:p w14:paraId="7312825B">
            <w:pPr>
              <w:spacing w:before="91"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祝您节</w:t>
            </w:r>
            <w:r>
              <w:rPr>
                <w:rFonts w:hint="eastAsia" w:ascii="新宋体" w:hAnsi="新宋体" w:eastAsia="新宋体" w:cs="新宋体"/>
                <w:color w:val="auto"/>
                <w:sz w:val="24"/>
                <w:highlight w:val="none"/>
              </w:rPr>
              <w:t>日愉快、祝您新年快乐、祝您新春快乐。</w:t>
            </w:r>
          </w:p>
        </w:tc>
      </w:tr>
      <w:tr w14:paraId="61B6B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4A473138">
            <w:pPr>
              <w:rPr>
                <w:rFonts w:ascii="新宋体" w:hAnsi="新宋体" w:eastAsia="新宋体" w:cs="新宋体"/>
                <w:color w:val="auto"/>
                <w:sz w:val="24"/>
                <w:highlight w:val="none"/>
              </w:rPr>
            </w:pPr>
          </w:p>
        </w:tc>
        <w:tc>
          <w:tcPr>
            <w:tcW w:w="2054" w:type="dxa"/>
          </w:tcPr>
          <w:p w14:paraId="21D87D6E">
            <w:pPr>
              <w:spacing w:before="92" w:line="186" w:lineRule="auto"/>
              <w:ind w:left="7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告别</w:t>
            </w:r>
            <w:r>
              <w:rPr>
                <w:rFonts w:hint="eastAsia" w:ascii="新宋体" w:hAnsi="新宋体" w:eastAsia="新宋体" w:cs="新宋体"/>
                <w:color w:val="auto"/>
                <w:sz w:val="24"/>
                <w:highlight w:val="none"/>
              </w:rPr>
              <w:t>语</w:t>
            </w:r>
          </w:p>
        </w:tc>
        <w:tc>
          <w:tcPr>
            <w:tcW w:w="11781" w:type="dxa"/>
          </w:tcPr>
          <w:p w14:paraId="316C9F99">
            <w:pPr>
              <w:spacing w:before="91"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再见、晚安</w:t>
            </w:r>
            <w:r>
              <w:rPr>
                <w:rFonts w:hint="eastAsia" w:ascii="新宋体" w:hAnsi="新宋体" w:eastAsia="新宋体" w:cs="新宋体"/>
                <w:color w:val="auto"/>
                <w:sz w:val="24"/>
                <w:highlight w:val="none"/>
              </w:rPr>
              <w:t>、明天见、祝您一路平安。</w:t>
            </w:r>
          </w:p>
        </w:tc>
      </w:tr>
      <w:tr w14:paraId="35610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12C2A202">
            <w:pPr>
              <w:rPr>
                <w:rFonts w:ascii="新宋体" w:hAnsi="新宋体" w:eastAsia="新宋体" w:cs="新宋体"/>
                <w:color w:val="auto"/>
                <w:sz w:val="24"/>
                <w:highlight w:val="none"/>
              </w:rPr>
            </w:pPr>
          </w:p>
        </w:tc>
        <w:tc>
          <w:tcPr>
            <w:tcW w:w="2054" w:type="dxa"/>
          </w:tcPr>
          <w:p w14:paraId="78DD39B5">
            <w:pPr>
              <w:spacing w:before="93" w:line="185"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道歉语</w:t>
            </w:r>
          </w:p>
        </w:tc>
        <w:tc>
          <w:tcPr>
            <w:tcW w:w="11781" w:type="dxa"/>
          </w:tcPr>
          <w:p w14:paraId="7C17B56C">
            <w:pPr>
              <w:spacing w:before="93" w:line="221"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对不起</w:t>
            </w:r>
            <w:r>
              <w:rPr>
                <w:rFonts w:hint="eastAsia" w:ascii="新宋体" w:hAnsi="新宋体" w:eastAsia="新宋体" w:cs="新宋体"/>
                <w:color w:val="auto"/>
                <w:sz w:val="24"/>
                <w:highlight w:val="none"/>
              </w:rPr>
              <w:t>、请原谅、打扰您了、失礼了。</w:t>
            </w:r>
          </w:p>
        </w:tc>
      </w:tr>
      <w:tr w14:paraId="4A14E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14:paraId="4B0BA516">
            <w:pPr>
              <w:rPr>
                <w:rFonts w:ascii="新宋体" w:hAnsi="新宋体" w:eastAsia="新宋体" w:cs="新宋体"/>
                <w:color w:val="auto"/>
                <w:sz w:val="24"/>
                <w:highlight w:val="none"/>
              </w:rPr>
            </w:pPr>
          </w:p>
        </w:tc>
        <w:tc>
          <w:tcPr>
            <w:tcW w:w="2054" w:type="dxa"/>
          </w:tcPr>
          <w:p w14:paraId="253F8817">
            <w:pPr>
              <w:spacing w:before="93"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道谢语</w:t>
            </w:r>
          </w:p>
        </w:tc>
        <w:tc>
          <w:tcPr>
            <w:tcW w:w="11781" w:type="dxa"/>
          </w:tcPr>
          <w:p w14:paraId="4ED27134">
            <w:pPr>
              <w:spacing w:before="93"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谢谢、非常</w:t>
            </w:r>
            <w:r>
              <w:rPr>
                <w:rFonts w:hint="eastAsia" w:ascii="新宋体" w:hAnsi="新宋体" w:eastAsia="新宋体" w:cs="新宋体"/>
                <w:color w:val="auto"/>
                <w:sz w:val="24"/>
                <w:highlight w:val="none"/>
              </w:rPr>
              <w:t>感谢。</w:t>
            </w:r>
          </w:p>
        </w:tc>
      </w:tr>
      <w:tr w14:paraId="4A23B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1D46F55A">
            <w:pPr>
              <w:rPr>
                <w:rFonts w:ascii="新宋体" w:hAnsi="新宋体" w:eastAsia="新宋体" w:cs="新宋体"/>
                <w:color w:val="auto"/>
                <w:sz w:val="24"/>
                <w:highlight w:val="none"/>
              </w:rPr>
            </w:pPr>
          </w:p>
        </w:tc>
        <w:tc>
          <w:tcPr>
            <w:tcW w:w="2054" w:type="dxa"/>
          </w:tcPr>
          <w:p w14:paraId="2154F363">
            <w:pPr>
              <w:spacing w:before="94" w:line="186"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应答语</w:t>
            </w:r>
          </w:p>
        </w:tc>
        <w:tc>
          <w:tcPr>
            <w:tcW w:w="11781" w:type="dxa"/>
          </w:tcPr>
          <w:p w14:paraId="0B3AACAE">
            <w:pPr>
              <w:spacing w:before="93" w:line="219"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是的、好的、我明白了、谢谢您的好意、不要客</w:t>
            </w:r>
            <w:r>
              <w:rPr>
                <w:rFonts w:hint="eastAsia" w:ascii="新宋体" w:hAnsi="新宋体" w:eastAsia="新宋体" w:cs="新宋体"/>
                <w:color w:val="auto"/>
                <w:sz w:val="24"/>
                <w:highlight w:val="none"/>
              </w:rPr>
              <w:t>气、没关系、这是我应该做的。</w:t>
            </w:r>
          </w:p>
        </w:tc>
      </w:tr>
      <w:tr w14:paraId="67715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0725CE4E">
            <w:pPr>
              <w:rPr>
                <w:rFonts w:ascii="新宋体" w:hAnsi="新宋体" w:eastAsia="新宋体" w:cs="新宋体"/>
                <w:color w:val="auto"/>
                <w:sz w:val="24"/>
                <w:highlight w:val="none"/>
              </w:rPr>
            </w:pPr>
          </w:p>
        </w:tc>
        <w:tc>
          <w:tcPr>
            <w:tcW w:w="2054" w:type="dxa"/>
          </w:tcPr>
          <w:p w14:paraId="3A652C22">
            <w:pPr>
              <w:spacing w:before="93"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征询语</w:t>
            </w:r>
          </w:p>
        </w:tc>
        <w:tc>
          <w:tcPr>
            <w:tcW w:w="11781" w:type="dxa"/>
          </w:tcPr>
          <w:p w14:paraId="133A2121">
            <w:pPr>
              <w:spacing w:before="93" w:line="219"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请问您有什么事？我能为您做什么吗？需要我帮您做什么吗？ 您有别的事吗？</w:t>
            </w:r>
          </w:p>
        </w:tc>
      </w:tr>
      <w:tr w14:paraId="36EDB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extDirection w:val="tbRlV"/>
          </w:tcPr>
          <w:p w14:paraId="4A55EFB5">
            <w:pPr>
              <w:rPr>
                <w:rFonts w:ascii="新宋体" w:hAnsi="新宋体" w:eastAsia="新宋体" w:cs="新宋体"/>
                <w:color w:val="auto"/>
                <w:sz w:val="24"/>
                <w:highlight w:val="none"/>
              </w:rPr>
            </w:pPr>
          </w:p>
        </w:tc>
        <w:tc>
          <w:tcPr>
            <w:tcW w:w="2054" w:type="dxa"/>
          </w:tcPr>
          <w:p w14:paraId="701C20C6">
            <w:pPr>
              <w:spacing w:before="94" w:line="187" w:lineRule="auto"/>
              <w:ind w:left="711"/>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请求语</w:t>
            </w:r>
          </w:p>
        </w:tc>
        <w:tc>
          <w:tcPr>
            <w:tcW w:w="11781" w:type="dxa"/>
          </w:tcPr>
          <w:p w14:paraId="700428D7">
            <w:pPr>
              <w:spacing w:before="94" w:line="219" w:lineRule="auto"/>
              <w:ind w:left="111"/>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请您协</w:t>
            </w:r>
            <w:r>
              <w:rPr>
                <w:rFonts w:hint="eastAsia" w:ascii="新宋体" w:hAnsi="新宋体" w:eastAsia="新宋体" w:cs="新宋体"/>
                <w:color w:val="auto"/>
                <w:spacing w:val="-3"/>
                <w:sz w:val="24"/>
                <w:highlight w:val="none"/>
              </w:rPr>
              <w:t>助我们……、请您……好吗？</w:t>
            </w:r>
          </w:p>
        </w:tc>
      </w:tr>
      <w:tr w14:paraId="5C112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5722AAB9">
            <w:pPr>
              <w:rPr>
                <w:rFonts w:ascii="新宋体" w:hAnsi="新宋体" w:eastAsia="新宋体" w:cs="新宋体"/>
                <w:color w:val="auto"/>
                <w:sz w:val="24"/>
                <w:highlight w:val="none"/>
              </w:rPr>
            </w:pPr>
          </w:p>
        </w:tc>
        <w:tc>
          <w:tcPr>
            <w:tcW w:w="2054" w:type="dxa"/>
          </w:tcPr>
          <w:p w14:paraId="0DE7D13C">
            <w:pPr>
              <w:spacing w:before="93" w:line="187" w:lineRule="auto"/>
              <w:ind w:left="716"/>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商</w:t>
            </w:r>
            <w:r>
              <w:rPr>
                <w:rFonts w:hint="eastAsia" w:ascii="新宋体" w:hAnsi="新宋体" w:eastAsia="新宋体" w:cs="新宋体"/>
                <w:color w:val="auto"/>
                <w:spacing w:val="-1"/>
                <w:sz w:val="24"/>
                <w:highlight w:val="none"/>
              </w:rPr>
              <w:t>量语</w:t>
            </w:r>
          </w:p>
        </w:tc>
        <w:tc>
          <w:tcPr>
            <w:tcW w:w="11781" w:type="dxa"/>
          </w:tcPr>
          <w:p w14:paraId="7A29DF61">
            <w:pPr>
              <w:spacing w:before="93" w:line="221" w:lineRule="auto"/>
              <w:ind w:left="12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……您看</w:t>
            </w:r>
            <w:r>
              <w:rPr>
                <w:rFonts w:hint="eastAsia" w:ascii="新宋体" w:hAnsi="新宋体" w:eastAsia="新宋体" w:cs="新宋体"/>
                <w:color w:val="auto"/>
                <w:spacing w:val="-3"/>
                <w:sz w:val="24"/>
                <w:highlight w:val="none"/>
              </w:rPr>
              <w:t>这样好不好？……您看这样可以吗？</w:t>
            </w:r>
          </w:p>
        </w:tc>
      </w:tr>
      <w:tr w14:paraId="7ABF7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14:paraId="25974D6E">
            <w:pPr>
              <w:rPr>
                <w:rFonts w:ascii="新宋体" w:hAnsi="新宋体" w:eastAsia="新宋体" w:cs="新宋体"/>
                <w:color w:val="auto"/>
                <w:sz w:val="24"/>
                <w:highlight w:val="none"/>
              </w:rPr>
            </w:pPr>
          </w:p>
        </w:tc>
        <w:tc>
          <w:tcPr>
            <w:tcW w:w="2054" w:type="dxa"/>
          </w:tcPr>
          <w:p w14:paraId="783B62C2">
            <w:pPr>
              <w:spacing w:before="95" w:line="186" w:lineRule="auto"/>
              <w:ind w:left="710"/>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解</w:t>
            </w:r>
            <w:r>
              <w:rPr>
                <w:rFonts w:hint="eastAsia" w:ascii="新宋体" w:hAnsi="新宋体" w:eastAsia="新宋体" w:cs="新宋体"/>
                <w:color w:val="auto"/>
                <w:sz w:val="24"/>
                <w:highlight w:val="none"/>
              </w:rPr>
              <w:t>释语</w:t>
            </w:r>
          </w:p>
        </w:tc>
        <w:tc>
          <w:tcPr>
            <w:tcW w:w="11781" w:type="dxa"/>
          </w:tcPr>
          <w:p w14:paraId="7B8C0125">
            <w:pPr>
              <w:spacing w:before="93" w:line="221" w:lineRule="auto"/>
              <w:ind w:left="114"/>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很抱</w:t>
            </w:r>
            <w:r>
              <w:rPr>
                <w:rFonts w:hint="eastAsia" w:ascii="新宋体" w:hAnsi="新宋体" w:eastAsia="新宋体" w:cs="新宋体"/>
                <w:color w:val="auto"/>
                <w:spacing w:val="-5"/>
                <w:sz w:val="24"/>
                <w:highlight w:val="none"/>
              </w:rPr>
              <w:t>歉，这种情况， 单位的规定是这样的。</w:t>
            </w:r>
          </w:p>
        </w:tc>
      </w:tr>
      <w:tr w14:paraId="210C8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extDirection w:val="tbRlV"/>
          </w:tcPr>
          <w:p w14:paraId="4834E0C6">
            <w:pPr>
              <w:spacing w:before="92" w:line="181" w:lineRule="auto"/>
              <w:ind w:left="39"/>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对  来  访  </w:t>
            </w:r>
            <w:r>
              <w:rPr>
                <w:rFonts w:hint="eastAsia" w:ascii="新宋体" w:hAnsi="新宋体" w:eastAsia="新宋体" w:cs="新宋体"/>
                <w:color w:val="auto"/>
                <w:sz w:val="24"/>
                <w:highlight w:val="none"/>
              </w:rPr>
              <w:t>人 员</w:t>
            </w:r>
          </w:p>
        </w:tc>
        <w:tc>
          <w:tcPr>
            <w:tcW w:w="13835" w:type="dxa"/>
            <w:gridSpan w:val="2"/>
          </w:tcPr>
          <w:p w14:paraId="43D3FF42">
            <w:pPr>
              <w:spacing w:before="39" w:line="219"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1. 主动说：“您好，请问您</w:t>
            </w:r>
            <w:r>
              <w:rPr>
                <w:rFonts w:hint="eastAsia" w:ascii="新宋体" w:hAnsi="新宋体" w:eastAsia="新宋体" w:cs="新宋体"/>
                <w:color w:val="auto"/>
                <w:spacing w:val="-3"/>
                <w:sz w:val="24"/>
                <w:highlight w:val="none"/>
              </w:rPr>
              <w:t>找</w:t>
            </w:r>
            <w:r>
              <w:rPr>
                <w:rFonts w:hint="eastAsia" w:ascii="新宋体" w:hAnsi="新宋体" w:eastAsia="新宋体" w:cs="新宋体"/>
                <w:color w:val="auto"/>
                <w:spacing w:val="-2"/>
                <w:sz w:val="24"/>
                <w:highlight w:val="none"/>
              </w:rPr>
              <w:t xml:space="preserve">哪一位”或“我可以帮助您吗？ </w:t>
            </w:r>
          </w:p>
          <w:p w14:paraId="4ECB9998">
            <w:pPr>
              <w:spacing w:before="89" w:line="219"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 xml:space="preserve">2. </w:t>
            </w:r>
            <w:r>
              <w:rPr>
                <w:rFonts w:hint="eastAsia" w:ascii="新宋体" w:hAnsi="新宋体" w:eastAsia="新宋体" w:cs="新宋体"/>
                <w:color w:val="auto"/>
                <w:spacing w:val="-8"/>
                <w:sz w:val="24"/>
                <w:highlight w:val="none"/>
              </w:rPr>
              <w:t>确</w:t>
            </w:r>
            <w:r>
              <w:rPr>
                <w:rFonts w:hint="eastAsia" w:ascii="新宋体" w:hAnsi="新宋体" w:eastAsia="新宋体" w:cs="新宋体"/>
                <w:color w:val="auto"/>
                <w:spacing w:val="-7"/>
                <w:sz w:val="24"/>
                <w:highlight w:val="none"/>
              </w:rPr>
              <w:t>认来访人要求后， 说“请稍等， 我帮您联系”与被访人联系后告诉来访人“他马上来， 请您先等一下， 好吗？”</w:t>
            </w:r>
          </w:p>
          <w:p w14:paraId="186BE397">
            <w:pPr>
              <w:spacing w:before="92" w:line="219"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16"/>
                <w:sz w:val="24"/>
                <w:highlight w:val="none"/>
              </w:rPr>
              <w:t xml:space="preserve">3. </w:t>
            </w:r>
            <w:r>
              <w:rPr>
                <w:rFonts w:hint="eastAsia" w:ascii="新宋体" w:hAnsi="新宋体" w:eastAsia="新宋体" w:cs="新宋体"/>
                <w:color w:val="auto"/>
                <w:spacing w:val="-12"/>
                <w:sz w:val="24"/>
                <w:highlight w:val="none"/>
              </w:rPr>
              <w:t>当</w:t>
            </w:r>
            <w:r>
              <w:rPr>
                <w:rFonts w:hint="eastAsia" w:ascii="新宋体" w:hAnsi="新宋体" w:eastAsia="新宋体" w:cs="新宋体"/>
                <w:color w:val="auto"/>
                <w:spacing w:val="-8"/>
                <w:sz w:val="24"/>
                <w:highlight w:val="none"/>
              </w:rPr>
              <w:t>来访人员忘记带证件必须进入区域时，应说：  “先生/小姐， 请稍候， 让我请示一下好吗？”</w:t>
            </w:r>
          </w:p>
          <w:p w14:paraId="5F47C963">
            <w:pPr>
              <w:spacing w:before="36" w:line="217"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2"/>
                <w:sz w:val="24"/>
                <w:highlight w:val="none"/>
              </w:rPr>
              <w:t>4. 当确认来访</w:t>
            </w:r>
            <w:r>
              <w:rPr>
                <w:rFonts w:hint="eastAsia" w:ascii="新宋体" w:hAnsi="新宋体" w:eastAsia="新宋体" w:cs="新宋体"/>
                <w:color w:val="auto"/>
                <w:spacing w:val="-6"/>
                <w:sz w:val="24"/>
                <w:highlight w:val="none"/>
              </w:rPr>
              <w:t>人故意捣乱，耍横硬闯时， 应先说：  “对不起， 按单位的规定，没有证件不允许进入办公区，请配合我的工作。 ”</w:t>
            </w:r>
          </w:p>
          <w:p w14:paraId="0E082A51">
            <w:pPr>
              <w:spacing w:before="93"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5. 当来访人</w:t>
            </w:r>
            <w:r>
              <w:rPr>
                <w:rFonts w:hint="eastAsia" w:ascii="新宋体" w:hAnsi="新宋体" w:eastAsia="新宋体" w:cs="新宋体"/>
                <w:color w:val="auto"/>
                <w:sz w:val="24"/>
                <w:highlight w:val="none"/>
              </w:rPr>
              <w:t>员出示证件时，应说：“谢谢您的配合。 ”</w:t>
            </w:r>
          </w:p>
          <w:p w14:paraId="47B9CC14">
            <w:pPr>
              <w:spacing w:before="89" w:line="220"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 如</w:t>
            </w:r>
            <w:r>
              <w:rPr>
                <w:rFonts w:hint="eastAsia" w:ascii="新宋体" w:hAnsi="新宋体" w:eastAsia="新宋体" w:cs="新宋体"/>
                <w:color w:val="auto"/>
                <w:sz w:val="24"/>
                <w:highlight w:val="none"/>
              </w:rPr>
              <w:t>果要找的人不在或不想见时，应礼貌地对对方说“对不起，他现在不在，您能留下卡片或口信吗？”</w:t>
            </w:r>
          </w:p>
          <w:p w14:paraId="12529EDF">
            <w:pPr>
              <w:spacing w:before="92" w:line="219" w:lineRule="auto"/>
              <w:ind w:left="110"/>
              <w:rPr>
                <w:rFonts w:ascii="新宋体" w:hAnsi="新宋体" w:eastAsia="新宋体" w:cs="新宋体"/>
                <w:color w:val="auto"/>
                <w:spacing w:val="-8"/>
                <w:sz w:val="24"/>
                <w:highlight w:val="none"/>
              </w:rPr>
            </w:pPr>
            <w:r>
              <w:rPr>
                <w:rFonts w:hint="eastAsia" w:ascii="新宋体" w:hAnsi="新宋体" w:eastAsia="新宋体" w:cs="新宋体"/>
                <w:color w:val="auto"/>
                <w:spacing w:val="-8"/>
                <w:sz w:val="24"/>
                <w:highlight w:val="none"/>
              </w:rPr>
              <w:t>7. 当</w:t>
            </w:r>
            <w:r>
              <w:rPr>
                <w:rFonts w:hint="eastAsia" w:ascii="新宋体" w:hAnsi="新宋体" w:eastAsia="新宋体" w:cs="新宋体"/>
                <w:color w:val="auto"/>
                <w:spacing w:val="-5"/>
                <w:sz w:val="24"/>
                <w:highlight w:val="none"/>
              </w:rPr>
              <w:t>来</w:t>
            </w:r>
            <w:r>
              <w:rPr>
                <w:rFonts w:hint="eastAsia" w:ascii="新宋体" w:hAnsi="新宋体" w:eastAsia="新宋体" w:cs="新宋体"/>
                <w:color w:val="auto"/>
                <w:spacing w:val="-4"/>
                <w:sz w:val="24"/>
                <w:highlight w:val="none"/>
              </w:rPr>
              <w:t>访人员离开时， 应礼貌地说“再见！”</w:t>
            </w:r>
          </w:p>
        </w:tc>
      </w:tr>
      <w:tr w14:paraId="4EAC5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extDirection w:val="tbRlV"/>
          </w:tcPr>
          <w:p w14:paraId="4CE5128D">
            <w:pPr>
              <w:spacing w:before="93" w:line="181" w:lineRule="auto"/>
              <w:ind w:left="545"/>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 xml:space="preserve">接  听  拨  打  电  </w:t>
            </w:r>
            <w:r>
              <w:rPr>
                <w:rFonts w:hint="eastAsia" w:ascii="新宋体" w:hAnsi="新宋体" w:eastAsia="新宋体" w:cs="新宋体"/>
                <w:color w:val="auto"/>
                <w:spacing w:val="1"/>
                <w:sz w:val="24"/>
                <w:highlight w:val="none"/>
              </w:rPr>
              <w:t>话</w:t>
            </w:r>
          </w:p>
        </w:tc>
        <w:tc>
          <w:tcPr>
            <w:tcW w:w="13835" w:type="dxa"/>
            <w:gridSpan w:val="2"/>
          </w:tcPr>
          <w:p w14:paraId="7997F966">
            <w:pPr>
              <w:spacing w:before="33" w:line="221" w:lineRule="auto"/>
              <w:ind w:left="127"/>
              <w:rPr>
                <w:rFonts w:ascii="新宋体" w:hAnsi="新宋体" w:eastAsia="新宋体" w:cs="新宋体"/>
                <w:color w:val="auto"/>
                <w:sz w:val="24"/>
                <w:highlight w:val="none"/>
              </w:rPr>
            </w:pPr>
            <w:r>
              <w:rPr>
                <w:rFonts w:hint="eastAsia" w:ascii="新宋体" w:hAnsi="新宋体" w:eastAsia="新宋体" w:cs="新宋体"/>
                <w:color w:val="auto"/>
                <w:spacing w:val="-5"/>
                <w:sz w:val="24"/>
                <w:highlight w:val="none"/>
              </w:rPr>
              <w:t xml:space="preserve">1. 接听电话时应清晰应答：“您好， ××单位。 </w:t>
            </w:r>
            <w:r>
              <w:rPr>
                <w:rFonts w:hint="eastAsia" w:ascii="新宋体" w:hAnsi="新宋体" w:eastAsia="新宋体" w:cs="新宋体"/>
                <w:color w:val="auto"/>
                <w:spacing w:val="-1"/>
                <w:sz w:val="24"/>
                <w:highlight w:val="none"/>
              </w:rPr>
              <w:t>”</w:t>
            </w:r>
          </w:p>
          <w:p w14:paraId="7903C6E8">
            <w:pPr>
              <w:spacing w:before="90" w:line="260" w:lineRule="auto"/>
              <w:ind w:left="112" w:right="113" w:firstLine="1"/>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2. 认真倾听对方的电话事由， 若需传呼他人，应请对方稍候，然后轻轻搁下电话，去传呼他人：如对方有公事相告时，应将对方要求逐条记录</w:t>
            </w:r>
            <w:r>
              <w:rPr>
                <w:rFonts w:hint="eastAsia" w:ascii="新宋体" w:hAnsi="新宋体" w:eastAsia="新宋体" w:cs="新宋体"/>
                <w:color w:val="auto"/>
                <w:spacing w:val="-3"/>
                <w:sz w:val="24"/>
                <w:highlight w:val="none"/>
              </w:rPr>
              <w:t>在</w:t>
            </w:r>
            <w:r>
              <w:rPr>
                <w:rFonts w:hint="eastAsia" w:ascii="新宋体" w:hAnsi="新宋体" w:eastAsia="新宋体" w:cs="新宋体"/>
                <w:color w:val="auto"/>
                <w:sz w:val="24"/>
                <w:highlight w:val="none"/>
              </w:rPr>
              <w:t xml:space="preserve">《工 </w:t>
            </w:r>
            <w:r>
              <w:rPr>
                <w:rFonts w:hint="eastAsia" w:ascii="新宋体" w:hAnsi="新宋体" w:eastAsia="新宋体" w:cs="新宋体"/>
                <w:color w:val="auto"/>
                <w:spacing w:val="-2"/>
                <w:sz w:val="24"/>
                <w:highlight w:val="none"/>
              </w:rPr>
              <w:t>作日记》内，并尽量详细回</w:t>
            </w:r>
            <w:r>
              <w:rPr>
                <w:rFonts w:hint="eastAsia" w:ascii="新宋体" w:hAnsi="新宋体" w:eastAsia="新宋体" w:cs="新宋体"/>
                <w:color w:val="auto"/>
                <w:spacing w:val="-1"/>
                <w:sz w:val="24"/>
                <w:highlight w:val="none"/>
              </w:rPr>
              <w:t>答。</w:t>
            </w:r>
          </w:p>
          <w:p w14:paraId="1E22F850">
            <w:pPr>
              <w:spacing w:before="89" w:line="220"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3</w:t>
            </w:r>
            <w:r>
              <w:rPr>
                <w:rFonts w:hint="eastAsia" w:ascii="新宋体" w:hAnsi="新宋体" w:eastAsia="新宋体" w:cs="新宋体"/>
                <w:color w:val="auto"/>
                <w:spacing w:val="-13"/>
                <w:sz w:val="24"/>
                <w:highlight w:val="none"/>
              </w:rPr>
              <w:t>.</w:t>
            </w:r>
            <w:r>
              <w:rPr>
                <w:rFonts w:hint="eastAsia" w:ascii="新宋体" w:hAnsi="新宋体" w:eastAsia="新宋体" w:cs="新宋体"/>
                <w:color w:val="auto"/>
                <w:spacing w:val="-7"/>
                <w:sz w:val="24"/>
                <w:highlight w:val="none"/>
              </w:rPr>
              <w:t xml:space="preserve"> 通话完毕， 应说：“谢谢，再见！ ”语气平和， 并在对方放下电话后再轻轻放下电话。</w:t>
            </w:r>
          </w:p>
          <w:p w14:paraId="0834FCE4">
            <w:pPr>
              <w:spacing w:before="88" w:line="217" w:lineRule="auto"/>
              <w:ind w:left="110"/>
              <w:rPr>
                <w:rFonts w:ascii="新宋体" w:hAnsi="新宋体" w:eastAsia="新宋体" w:cs="新宋体"/>
                <w:color w:val="auto"/>
                <w:sz w:val="24"/>
                <w:highlight w:val="none"/>
              </w:rPr>
            </w:pPr>
            <w:r>
              <w:rPr>
                <w:rFonts w:hint="eastAsia" w:ascii="新宋体" w:hAnsi="新宋体" w:eastAsia="新宋体" w:cs="新宋体"/>
                <w:color w:val="auto"/>
                <w:spacing w:val="-16"/>
                <w:sz w:val="24"/>
                <w:highlight w:val="none"/>
              </w:rPr>
              <w:t>4. 如</w:t>
            </w:r>
            <w:r>
              <w:rPr>
                <w:rFonts w:hint="eastAsia" w:ascii="新宋体" w:hAnsi="新宋体" w:eastAsia="新宋体" w:cs="新宋体"/>
                <w:color w:val="auto"/>
                <w:spacing w:val="-13"/>
                <w:sz w:val="24"/>
                <w:highlight w:val="none"/>
              </w:rPr>
              <w:t>接</w:t>
            </w:r>
            <w:r>
              <w:rPr>
                <w:rFonts w:hint="eastAsia" w:ascii="新宋体" w:hAnsi="新宋体" w:eastAsia="新宋体" w:cs="新宋体"/>
                <w:color w:val="auto"/>
                <w:spacing w:val="-8"/>
                <w:sz w:val="24"/>
                <w:highlight w:val="none"/>
              </w:rPr>
              <w:t>电话听不懂对方语言时， 应说：“对不起， 请您用普通话， 好吗？”或“不好意思， 请稍候， 我不会说当地话。 ”</w:t>
            </w:r>
          </w:p>
          <w:p w14:paraId="64A8C916">
            <w:pPr>
              <w:spacing w:before="93" w:line="221" w:lineRule="auto"/>
              <w:ind w:left="115"/>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5. 中途若遇急事需暂时中</w:t>
            </w:r>
            <w:r>
              <w:rPr>
                <w:rFonts w:hint="eastAsia" w:ascii="新宋体" w:hAnsi="新宋体" w:eastAsia="新宋体" w:cs="新宋体"/>
                <w:color w:val="auto"/>
                <w:spacing w:val="-5"/>
                <w:sz w:val="24"/>
                <w:highlight w:val="none"/>
              </w:rPr>
              <w:t>断</w:t>
            </w:r>
            <w:r>
              <w:rPr>
                <w:rFonts w:hint="eastAsia" w:ascii="新宋体" w:hAnsi="新宋体" w:eastAsia="新宋体" w:cs="新宋体"/>
                <w:color w:val="auto"/>
                <w:spacing w:val="-3"/>
                <w:sz w:val="24"/>
                <w:highlight w:val="none"/>
              </w:rPr>
              <w:t>与对方通话时，应先征得对方的同意， 并表示感谢，恢复与对方通话时， 切勿忘记向对方致歉。</w:t>
            </w:r>
          </w:p>
          <w:p w14:paraId="050D8466">
            <w:pPr>
              <w:spacing w:before="90"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6. 接听电话时，声调要自然清晰、柔和、亲切，音量</w:t>
            </w:r>
            <w:r>
              <w:rPr>
                <w:rFonts w:hint="eastAsia" w:ascii="新宋体" w:hAnsi="新宋体" w:eastAsia="新宋体" w:cs="新宋体"/>
                <w:color w:val="auto"/>
                <w:sz w:val="24"/>
                <w:highlight w:val="none"/>
              </w:rPr>
              <w:t>要适宜，以免对方听不清楚。</w:t>
            </w:r>
          </w:p>
          <w:p w14:paraId="1FAD4FB1">
            <w:pPr>
              <w:spacing w:before="90" w:line="219" w:lineRule="auto"/>
              <w:ind w:left="116"/>
              <w:rPr>
                <w:rFonts w:ascii="新宋体" w:hAnsi="新宋体" w:eastAsia="新宋体" w:cs="新宋体"/>
                <w:color w:val="auto"/>
                <w:sz w:val="24"/>
                <w:highlight w:val="none"/>
              </w:rPr>
            </w:pPr>
            <w:r>
              <w:rPr>
                <w:rFonts w:hint="eastAsia" w:ascii="新宋体" w:hAnsi="新宋体" w:eastAsia="新宋体" w:cs="新宋体"/>
                <w:color w:val="auto"/>
                <w:spacing w:val="-10"/>
                <w:sz w:val="24"/>
                <w:highlight w:val="none"/>
              </w:rPr>
              <w:t>7. 拨打电话接通后，应首先向对方致以问候， 如：  “您好”， 并作自我介绍。  使用敬语， 将要找的通话人姓名及要做的事交待清</w:t>
            </w:r>
            <w:r>
              <w:rPr>
                <w:rFonts w:hint="eastAsia" w:ascii="新宋体" w:hAnsi="新宋体" w:eastAsia="新宋体" w:cs="新宋体"/>
                <w:color w:val="auto"/>
                <w:spacing w:val="-7"/>
                <w:sz w:val="24"/>
                <w:highlight w:val="none"/>
              </w:rPr>
              <w:t>楚</w:t>
            </w:r>
            <w:r>
              <w:rPr>
                <w:rFonts w:hint="eastAsia" w:ascii="新宋体" w:hAnsi="新宋体" w:eastAsia="新宋体" w:cs="新宋体"/>
                <w:color w:val="auto"/>
                <w:sz w:val="24"/>
                <w:highlight w:val="none"/>
              </w:rPr>
              <w:t>。</w:t>
            </w:r>
          </w:p>
          <w:p w14:paraId="35DF9712">
            <w:pPr>
              <w:spacing w:before="91" w:line="221" w:lineRule="auto"/>
              <w:ind w:left="112"/>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8</w:t>
            </w:r>
            <w:r>
              <w:rPr>
                <w:rFonts w:hint="eastAsia" w:ascii="新宋体" w:hAnsi="新宋体" w:eastAsia="新宋体" w:cs="新宋体"/>
                <w:color w:val="auto"/>
                <w:spacing w:val="-13"/>
                <w:sz w:val="24"/>
                <w:highlight w:val="none"/>
              </w:rPr>
              <w:t>. 通话完毕时，应说：  “谢谢， 再见。 ”</w:t>
            </w:r>
          </w:p>
        </w:tc>
      </w:tr>
      <w:tr w14:paraId="777B5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37" w:type="dxa"/>
          </w:tcPr>
          <w:p w14:paraId="0B211308">
            <w:pPr>
              <w:spacing w:before="206" w:line="227"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同</w:t>
            </w:r>
            <w:r>
              <w:rPr>
                <w:rFonts w:hint="eastAsia" w:ascii="新宋体" w:hAnsi="新宋体" w:eastAsia="新宋体" w:cs="新宋体"/>
                <w:color w:val="auto"/>
                <w:spacing w:val="-2"/>
                <w:sz w:val="24"/>
                <w:highlight w:val="none"/>
              </w:rPr>
              <w:t>乘</w:t>
            </w:r>
          </w:p>
          <w:p w14:paraId="56EE22EE">
            <w:pPr>
              <w:spacing w:line="186" w:lineRule="auto"/>
              <w:ind w:left="168"/>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电</w:t>
            </w:r>
            <w:r>
              <w:rPr>
                <w:rFonts w:hint="eastAsia" w:ascii="新宋体" w:hAnsi="新宋体" w:eastAsia="新宋体" w:cs="新宋体"/>
                <w:color w:val="auto"/>
                <w:spacing w:val="-2"/>
                <w:sz w:val="24"/>
                <w:highlight w:val="none"/>
              </w:rPr>
              <w:t>梯</w:t>
            </w:r>
          </w:p>
        </w:tc>
        <w:tc>
          <w:tcPr>
            <w:tcW w:w="13835" w:type="dxa"/>
            <w:gridSpan w:val="2"/>
          </w:tcPr>
          <w:p w14:paraId="4D5BB7C2">
            <w:pPr>
              <w:spacing w:before="36" w:line="260" w:lineRule="auto"/>
              <w:ind w:left="110" w:right="167" w:firstLine="16"/>
              <w:rPr>
                <w:rFonts w:ascii="新宋体" w:hAnsi="新宋体" w:eastAsia="新宋体" w:cs="新宋体"/>
                <w:color w:val="auto"/>
                <w:sz w:val="24"/>
                <w:highlight w:val="none"/>
              </w:rPr>
            </w:pPr>
            <w:r>
              <w:rPr>
                <w:rFonts w:hint="eastAsia" w:ascii="新宋体" w:hAnsi="新宋体" w:eastAsia="新宋体" w:cs="新宋体"/>
                <w:color w:val="auto"/>
                <w:spacing w:val="-6"/>
                <w:sz w:val="24"/>
                <w:highlight w:val="none"/>
              </w:rPr>
              <w:t>1. 主动按</w:t>
            </w:r>
            <w:r>
              <w:rPr>
                <w:rFonts w:hint="eastAsia" w:ascii="新宋体" w:hAnsi="新宋体" w:eastAsia="新宋体" w:cs="新宋体"/>
                <w:color w:val="auto"/>
                <w:spacing w:val="-3"/>
                <w:sz w:val="24"/>
                <w:highlight w:val="none"/>
              </w:rPr>
              <w:t>“开门”钮，电梯到层时，应站在梯门边，一只手斜放在梯门上，以免梯门突然关闭，同时面带微笑地说“电梯来了，请进。 ” 顾客进</w:t>
            </w:r>
            <w:r>
              <w:rPr>
                <w:rFonts w:hint="eastAsia" w:ascii="新宋体" w:hAnsi="新宋体" w:eastAsia="新宋体" w:cs="新宋体"/>
                <w:color w:val="auto"/>
                <w:spacing w:val="-10"/>
                <w:sz w:val="24"/>
                <w:highlight w:val="none"/>
              </w:rPr>
              <w:t>入</w:t>
            </w:r>
            <w:r>
              <w:rPr>
                <w:rFonts w:hint="eastAsia" w:ascii="新宋体" w:hAnsi="新宋体" w:eastAsia="新宋体" w:cs="新宋体"/>
                <w:color w:val="auto"/>
                <w:spacing w:val="-8"/>
                <w:sz w:val="24"/>
                <w:highlight w:val="none"/>
              </w:rPr>
              <w:t>电</w:t>
            </w:r>
            <w:r>
              <w:rPr>
                <w:rFonts w:hint="eastAsia" w:ascii="新宋体" w:hAnsi="新宋体" w:eastAsia="新宋体" w:cs="新宋体"/>
                <w:color w:val="auto"/>
                <w:spacing w:val="-5"/>
                <w:sz w:val="24"/>
                <w:highlight w:val="none"/>
              </w:rPr>
              <w:t>梯后再进电梯， 面向电梯门，按“关门”钮。</w:t>
            </w:r>
          </w:p>
          <w:p w14:paraId="4A224FDF">
            <w:pPr>
              <w:spacing w:before="87" w:line="221" w:lineRule="auto"/>
              <w:ind w:left="113"/>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2. 电梯停止梯门打开后，首先出去站立在梯门旁， 一只手斜放在梯门上，同时另一只手指向通道</w:t>
            </w:r>
            <w:r>
              <w:rPr>
                <w:rFonts w:hint="eastAsia" w:ascii="新宋体" w:hAnsi="新宋体" w:eastAsia="新宋体" w:cs="新宋体"/>
                <w:color w:val="auto"/>
                <w:spacing w:val="-1"/>
                <w:sz w:val="24"/>
                <w:highlight w:val="none"/>
              </w:rPr>
              <w:t>，面带微笑地说：“到了，请走好。 ”</w:t>
            </w:r>
          </w:p>
        </w:tc>
      </w:tr>
    </w:tbl>
    <w:p w14:paraId="1802FB55">
      <w:pPr>
        <w:spacing w:line="66" w:lineRule="exact"/>
        <w:rPr>
          <w:rFonts w:ascii="新宋体" w:hAnsi="新宋体" w:eastAsia="新宋体" w:cs="新宋体"/>
          <w:color w:val="auto"/>
          <w:sz w:val="24"/>
          <w:highlight w:val="none"/>
        </w:rPr>
      </w:pPr>
    </w:p>
    <w:p w14:paraId="02AF1F9E">
      <w:pPr>
        <w:numPr>
          <w:ilvl w:val="255"/>
          <w:numId w:val="0"/>
        </w:numPr>
        <w:spacing w:line="360" w:lineRule="auto"/>
        <w:ind w:left="420"/>
        <w:rPr>
          <w:rFonts w:ascii="新宋体" w:hAnsi="新宋体" w:eastAsia="新宋体" w:cs="新宋体"/>
          <w:b/>
          <w:bCs/>
          <w:color w:val="auto"/>
          <w:sz w:val="24"/>
          <w:highlight w:val="none"/>
        </w:rPr>
        <w:sectPr>
          <w:footerReference r:id="rId10" w:type="default"/>
          <w:pgSz w:w="16838" w:h="11900" w:orient="landscape"/>
          <w:pgMar w:top="1712" w:right="1429" w:bottom="1599" w:left="1417" w:header="0" w:footer="0" w:gutter="0"/>
          <w:cols w:space="0" w:num="1"/>
          <w:docGrid w:type="lines" w:linePitch="330" w:charSpace="0"/>
        </w:sectPr>
      </w:pPr>
    </w:p>
    <w:p w14:paraId="5C6E1A31">
      <w:pPr>
        <w:numPr>
          <w:ilvl w:val="255"/>
          <w:numId w:val="0"/>
        </w:numPr>
        <w:spacing w:line="360" w:lineRule="auto"/>
        <w:ind w:left="420"/>
        <w:rPr>
          <w:rFonts w:ascii="新宋体" w:hAnsi="新宋体" w:eastAsia="新宋体" w:cs="新宋体"/>
          <w:b/>
          <w:bCs/>
          <w:color w:val="auto"/>
          <w:sz w:val="24"/>
          <w:highlight w:val="none"/>
        </w:rPr>
      </w:pPr>
    </w:p>
    <w:p w14:paraId="6D805972">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其他相关要求</w:t>
      </w:r>
    </w:p>
    <w:p w14:paraId="2599C172">
      <w:pPr>
        <w:numPr>
          <w:ilvl w:val="0"/>
          <w:numId w:val="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根据本项目物业使用特点，提出合理的物业管理服务理念、服务定位和服务目标。</w:t>
      </w:r>
    </w:p>
    <w:p w14:paraId="273C557D">
      <w:pPr>
        <w:numPr>
          <w:ilvl w:val="0"/>
          <w:numId w:val="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主要管理流程（包括：运作流程图、信息反馈及处理运作流程图、投诉处理运作流程图、紧急情况处理运作流程图）、主要管理机制（包括：激励机制、监督机制、约束机制）。</w:t>
      </w:r>
    </w:p>
    <w:p w14:paraId="36877AA6">
      <w:pPr>
        <w:numPr>
          <w:ilvl w:val="0"/>
          <w:numId w:val="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有完善的物业管理制度，包括：考勤管理制度、财务管理制度、接待投诉制度、培训学习制度、监督考核制度、档案管理制度、各项工作制度等，体现标准化服务水平。</w:t>
      </w:r>
    </w:p>
    <w:p w14:paraId="426BA043">
      <w:pPr>
        <w:numPr>
          <w:ilvl w:val="0"/>
          <w:numId w:val="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14:paraId="33B32515">
      <w:pPr>
        <w:numPr>
          <w:ilvl w:val="0"/>
          <w:numId w:val="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本项目投入设施设备等情况</w:t>
      </w:r>
    </w:p>
    <w:p w14:paraId="57870AE9">
      <w:pPr>
        <w:numPr>
          <w:ilvl w:val="0"/>
          <w:numId w:val="1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14:paraId="656188C0">
      <w:pPr>
        <w:numPr>
          <w:ilvl w:val="0"/>
          <w:numId w:val="10"/>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中标单位应提供保洁日常工具、厕纸、擦手纸、洗手液等耗材，配备防爆、防汛物资、工程维护部物料及器材消耗。</w:t>
      </w:r>
    </w:p>
    <w:p w14:paraId="71E62535">
      <w:pPr>
        <w:numPr>
          <w:ilvl w:val="0"/>
          <w:numId w:val="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投标人拥有智能化物业管理能力。</w:t>
      </w:r>
    </w:p>
    <w:p w14:paraId="67AE2B2C">
      <w:pPr>
        <w:numPr>
          <w:ilvl w:val="0"/>
          <w:numId w:val="9"/>
        </w:num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投标人具有类似物业管理服务经验。</w:t>
      </w:r>
    </w:p>
    <w:p w14:paraId="5C9523BE">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管理服务费用及支付</w:t>
      </w:r>
    </w:p>
    <w:p w14:paraId="01CB932D">
      <w:pPr>
        <w:numPr>
          <w:ilvl w:val="0"/>
          <w:numId w:val="11"/>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报价说明</w:t>
      </w:r>
    </w:p>
    <w:p w14:paraId="6F36FE7D">
      <w:pPr>
        <w:widowControl/>
        <w:numPr>
          <w:ilvl w:val="0"/>
          <w:numId w:val="12"/>
        </w:numPr>
        <w:adjustRightInd/>
        <w:spacing w:line="360" w:lineRule="auto"/>
        <w:jc w:val="left"/>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投标报价包含完成本项目招标要求的</w:t>
      </w:r>
      <w:r>
        <w:rPr>
          <w:rFonts w:hint="eastAsia" w:ascii="新宋体" w:hAnsi="新宋体" w:eastAsia="新宋体" w:cs="新宋体"/>
          <w:color w:val="auto"/>
          <w:sz w:val="24"/>
          <w:highlight w:val="none"/>
        </w:rPr>
        <w:t>清洁保洁、</w:t>
      </w:r>
      <w:r>
        <w:rPr>
          <w:rFonts w:hint="eastAsia" w:ascii="新宋体" w:hAnsi="新宋体" w:eastAsia="新宋体" w:cs="新宋体"/>
          <w:bCs/>
          <w:color w:val="auto"/>
          <w:sz w:val="24"/>
          <w:highlight w:val="none"/>
        </w:rPr>
        <w:t>安全消控管理、绿化养护、绿化租赁、工程设备维护</w:t>
      </w:r>
      <w:r>
        <w:rPr>
          <w:rFonts w:hint="eastAsia" w:ascii="新宋体" w:hAnsi="新宋体" w:eastAsia="新宋体" w:cs="新宋体"/>
          <w:color w:val="auto"/>
          <w:sz w:val="24"/>
          <w:highlight w:val="none"/>
        </w:rPr>
        <w:t>、会务服务以及</w:t>
      </w:r>
      <w:r>
        <w:rPr>
          <w:rFonts w:hint="eastAsia" w:ascii="新宋体" w:hAnsi="新宋体" w:eastAsia="新宋体" w:cs="新宋体"/>
          <w:bCs/>
          <w:color w:val="auto"/>
          <w:sz w:val="24"/>
          <w:highlight w:val="none"/>
        </w:rPr>
        <w:t>采购人交办的其他工作所产生的所有费用，包括但不限于人员工资、奖金、福利等以及人员服装费、设备维护费、设备使用费、维修配件费、保洁工具耗材费、管理费、税费等，采购人不再支付其他费用。</w:t>
      </w:r>
    </w:p>
    <w:p w14:paraId="2FE8C11C">
      <w:pPr>
        <w:widowControl/>
        <w:numPr>
          <w:ilvl w:val="0"/>
          <w:numId w:val="12"/>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中标单位应严格按照杭州市社保缴纳基数相关规定进行社保缴纳，并按规定缴纳住房公积金，做到合法用工。</w:t>
      </w:r>
    </w:p>
    <w:p w14:paraId="7362DC5C">
      <w:pPr>
        <w:widowControl/>
        <w:numPr>
          <w:ilvl w:val="0"/>
          <w:numId w:val="12"/>
        </w:numPr>
        <w:adjustRightInd/>
        <w:spacing w:line="360" w:lineRule="auto"/>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物业管理服务费用以签订的合同价为准，合同期内如遇工作人员的最低工资调整等其他因素，产生的费用由中标单位承担，采购人不追加因用工成本增加产生的费用。</w:t>
      </w:r>
    </w:p>
    <w:p w14:paraId="0B049AB1">
      <w:pPr>
        <w:numPr>
          <w:ilvl w:val="0"/>
          <w:numId w:val="11"/>
        </w:numPr>
        <w:spacing w:line="360" w:lineRule="auto"/>
        <w:rPr>
          <w:rFonts w:ascii="新宋体" w:hAnsi="新宋体" w:eastAsia="新宋体" w:cs="新宋体"/>
          <w:color w:val="auto"/>
          <w:spacing w:val="11"/>
          <w:sz w:val="24"/>
          <w:highlight w:val="none"/>
        </w:rPr>
      </w:pPr>
      <w:r>
        <w:rPr>
          <w:rFonts w:hint="eastAsia" w:ascii="新宋体" w:hAnsi="新宋体" w:eastAsia="新宋体" w:cs="新宋体"/>
          <w:color w:val="auto"/>
          <w:spacing w:val="11"/>
          <w:sz w:val="24"/>
          <w:highlight w:val="none"/>
        </w:rPr>
        <w:t>费用支付</w:t>
      </w:r>
    </w:p>
    <w:p w14:paraId="29B166F9">
      <w:pPr>
        <w:numPr>
          <w:ilvl w:val="0"/>
          <w:numId w:val="13"/>
        </w:numPr>
        <w:snapToGrid w:val="0"/>
        <w:spacing w:line="360" w:lineRule="auto"/>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 xml:space="preserve">采购人根据物业服务质量考核结果按每三个月支付物业管理服务费，自合同签订之日起7个工作日内支付一年合同价预付款50%，经采购人考核合格后每三个月付款，按每三个月支付一年合同价的12.5%。物业公司因工作失误造成的扣款在付款时予以扣除。物业管理服务费用以签订的合同价为准。 </w:t>
      </w:r>
    </w:p>
    <w:p w14:paraId="3F4566BF">
      <w:pPr>
        <w:numPr>
          <w:ilvl w:val="0"/>
          <w:numId w:val="13"/>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中标人因合同违约、工作失误或根据考核结果造成的扣款，采购人在支付</w:t>
      </w:r>
      <w:r>
        <w:rPr>
          <w:rFonts w:hint="eastAsia" w:ascii="新宋体" w:hAnsi="新宋体" w:eastAsia="新宋体" w:cs="新宋体"/>
          <w:bCs/>
          <w:color w:val="auto"/>
          <w:sz w:val="24"/>
          <w:highlight w:val="none"/>
        </w:rPr>
        <w:t>每三个月</w:t>
      </w:r>
      <w:r>
        <w:rPr>
          <w:rFonts w:hint="eastAsia" w:ascii="新宋体" w:hAnsi="新宋体" w:eastAsia="新宋体" w:cs="新宋体"/>
          <w:color w:val="auto"/>
          <w:sz w:val="24"/>
          <w:highlight w:val="none"/>
          <w:shd w:val="clear" w:color="040000" w:fill="FFFFFF"/>
        </w:rPr>
        <w:t>服务费时在应支付的服务费中相应扣除。</w:t>
      </w:r>
    </w:p>
    <w:p w14:paraId="3B1226D0">
      <w:pPr>
        <w:numPr>
          <w:ilvl w:val="0"/>
          <w:numId w:val="13"/>
        </w:numPr>
        <w:shd w:val="clear" w:color="040000" w:fill="FFFFFF"/>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采购人每次付款前，中标人须提交对应金额的正规发票。</w:t>
      </w:r>
    </w:p>
    <w:p w14:paraId="72EEE33D">
      <w:pPr>
        <w:snapToGrid w:val="0"/>
        <w:spacing w:line="440" w:lineRule="exact"/>
        <w:ind w:firstLine="482" w:firstLineChars="200"/>
        <w:rPr>
          <w:rFonts w:ascii="新宋体" w:hAnsi="新宋体" w:eastAsia="新宋体" w:cs="新宋体"/>
          <w:b/>
          <w:bCs/>
          <w:color w:val="auto"/>
          <w:sz w:val="24"/>
          <w:highlight w:val="none"/>
          <w:shd w:val="clear" w:color="040000" w:fill="FFFFFF"/>
        </w:rPr>
      </w:pPr>
      <w:r>
        <w:rPr>
          <w:rFonts w:hint="eastAsia" w:ascii="新宋体" w:hAnsi="新宋体" w:eastAsia="新宋体" w:cs="新宋体"/>
          <w:b/>
          <w:bCs/>
          <w:color w:val="auto"/>
          <w:sz w:val="24"/>
          <w:highlight w:val="none"/>
          <w:shd w:val="clear" w:color="040000" w:fill="FFFFFF"/>
        </w:rPr>
        <w:t>七、物业服务质量考核标准</w:t>
      </w:r>
    </w:p>
    <w:p w14:paraId="24E5153B">
      <w:pPr>
        <w:snapToGrid w:val="0"/>
        <w:spacing w:line="440" w:lineRule="exact"/>
        <w:ind w:firstLine="480" w:firstLineChars="20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 xml:space="preserve">本考核要求采用百分制，每年考核四次，每三个月考核一次，采购人可视情况增加考核次数，并按以下原则评定考核等级： </w:t>
      </w:r>
    </w:p>
    <w:p w14:paraId="32B004CA">
      <w:pPr>
        <w:numPr>
          <w:ilvl w:val="0"/>
          <w:numId w:val="14"/>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考核分≥90分，视为优秀，全额拨付当期物业服务费用。</w:t>
      </w:r>
    </w:p>
    <w:p w14:paraId="39C77FAE">
      <w:pPr>
        <w:numPr>
          <w:ilvl w:val="0"/>
          <w:numId w:val="14"/>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80≤考核分＜90分，视为良好，扣除当期物业服务费用的2%；</w:t>
      </w:r>
    </w:p>
    <w:p w14:paraId="56B0B841">
      <w:pPr>
        <w:numPr>
          <w:ilvl w:val="0"/>
          <w:numId w:val="14"/>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70≤考核分＜80分，视为合格，扣除当期物业服务费用的5%；</w:t>
      </w:r>
    </w:p>
    <w:p w14:paraId="2F0D7EB3">
      <w:pPr>
        <w:numPr>
          <w:ilvl w:val="0"/>
          <w:numId w:val="14"/>
        </w:numPr>
        <w:snapToGrid w:val="0"/>
        <w:spacing w:line="440" w:lineRule="exact"/>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考核分＜70分视为不合格，扣除当期物业服务费用的10%。如在考核中中标人连续二次考核分＜70分，采购人将通知中标人解除物业服务合同。</w:t>
      </w:r>
    </w:p>
    <w:p w14:paraId="1EC42122">
      <w:pPr>
        <w:snapToGrid w:val="0"/>
        <w:spacing w:line="440" w:lineRule="exact"/>
        <w:ind w:firstLine="2650" w:firstLineChars="1100"/>
        <w:rPr>
          <w:rFonts w:ascii="新宋体" w:hAnsi="新宋体" w:eastAsia="新宋体" w:cs="新宋体"/>
          <w:b/>
          <w:bCs/>
          <w:color w:val="auto"/>
          <w:sz w:val="24"/>
          <w:highlight w:val="none"/>
        </w:rPr>
      </w:pPr>
    </w:p>
    <w:p w14:paraId="770D33EA">
      <w:pPr>
        <w:snapToGrid w:val="0"/>
        <w:spacing w:line="440" w:lineRule="exact"/>
        <w:jc w:val="cente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（项目名称）物业服务质量考核标准</w:t>
      </w:r>
    </w:p>
    <w:p w14:paraId="2D75A2DC">
      <w:pPr>
        <w:snapToGrid w:val="0"/>
        <w:spacing w:line="440" w:lineRule="exact"/>
        <w:jc w:val="left"/>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 xml:space="preserve">       考核人：                                                 考核时间：</w:t>
      </w:r>
    </w:p>
    <w:tbl>
      <w:tblPr>
        <w:tblStyle w:val="964"/>
        <w:tblW w:w="13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844"/>
        <w:gridCol w:w="7192"/>
        <w:gridCol w:w="8"/>
        <w:gridCol w:w="953"/>
        <w:gridCol w:w="924"/>
        <w:gridCol w:w="3232"/>
        <w:gridCol w:w="12"/>
      </w:tblGrid>
      <w:tr w14:paraId="7AD98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73" w:hRule="atLeast"/>
          <w:tblHeader/>
          <w:jc w:val="center"/>
        </w:trPr>
        <w:tc>
          <w:tcPr>
            <w:tcW w:w="720" w:type="dxa"/>
            <w:tcBorders>
              <w:left w:val="single" w:color="000000" w:sz="6" w:space="0"/>
            </w:tcBorders>
            <w:vAlign w:val="center"/>
          </w:tcPr>
          <w:p w14:paraId="3ECE08CA">
            <w:pPr>
              <w:widowControl/>
              <w:kinsoku w:val="0"/>
              <w:autoSpaceDE w:val="0"/>
              <w:autoSpaceDN w:val="0"/>
              <w:snapToGrid w:val="0"/>
              <w:spacing w:line="240" w:lineRule="atLeast"/>
              <w:ind w:left="13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序</w:t>
            </w:r>
            <w:r>
              <w:rPr>
                <w:rFonts w:hint="eastAsia" w:ascii="新宋体" w:hAnsi="新宋体" w:eastAsia="新宋体" w:cs="新宋体"/>
                <w:color w:val="auto"/>
                <w:sz w:val="24"/>
                <w:highlight w:val="none"/>
              </w:rPr>
              <w:t>号</w:t>
            </w:r>
          </w:p>
        </w:tc>
        <w:tc>
          <w:tcPr>
            <w:tcW w:w="844" w:type="dxa"/>
            <w:vAlign w:val="center"/>
          </w:tcPr>
          <w:p w14:paraId="567A3835">
            <w:pPr>
              <w:widowControl/>
              <w:kinsoku w:val="0"/>
              <w:autoSpaceDE w:val="0"/>
              <w:autoSpaceDN w:val="0"/>
              <w:snapToGrid w:val="0"/>
              <w:spacing w:line="240" w:lineRule="atLeast"/>
              <w:ind w:left="205"/>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项</w:t>
            </w:r>
            <w:r>
              <w:rPr>
                <w:rFonts w:hint="eastAsia" w:ascii="新宋体" w:hAnsi="新宋体" w:eastAsia="新宋体" w:cs="新宋体"/>
                <w:color w:val="auto"/>
                <w:sz w:val="24"/>
                <w:highlight w:val="none"/>
              </w:rPr>
              <w:t>目</w:t>
            </w:r>
          </w:p>
        </w:tc>
        <w:tc>
          <w:tcPr>
            <w:tcW w:w="7200" w:type="dxa"/>
            <w:gridSpan w:val="2"/>
            <w:vAlign w:val="center"/>
          </w:tcPr>
          <w:p w14:paraId="089CD926">
            <w:pPr>
              <w:widowControl/>
              <w:kinsoku w:val="0"/>
              <w:autoSpaceDE w:val="0"/>
              <w:autoSpaceDN w:val="0"/>
              <w:snapToGrid w:val="0"/>
              <w:spacing w:line="240" w:lineRule="atLeast"/>
              <w:ind w:left="2968"/>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考核</w:t>
            </w:r>
            <w:r>
              <w:rPr>
                <w:rFonts w:hint="eastAsia" w:ascii="新宋体" w:hAnsi="新宋体" w:eastAsia="新宋体" w:cs="新宋体"/>
                <w:color w:val="auto"/>
                <w:sz w:val="24"/>
                <w:highlight w:val="none"/>
              </w:rPr>
              <w:t>标准</w:t>
            </w:r>
          </w:p>
        </w:tc>
        <w:tc>
          <w:tcPr>
            <w:tcW w:w="953" w:type="dxa"/>
            <w:vAlign w:val="center"/>
          </w:tcPr>
          <w:p w14:paraId="200BD1C6">
            <w:pPr>
              <w:widowControl/>
              <w:kinsoku w:val="0"/>
              <w:autoSpaceDE w:val="0"/>
              <w:autoSpaceDN w:val="0"/>
              <w:snapToGrid w:val="0"/>
              <w:spacing w:line="240" w:lineRule="atLeast"/>
              <w:ind w:left="268"/>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分</w:t>
            </w:r>
            <w:r>
              <w:rPr>
                <w:rFonts w:hint="eastAsia" w:ascii="新宋体" w:hAnsi="新宋体" w:eastAsia="新宋体" w:cs="新宋体"/>
                <w:color w:val="auto"/>
                <w:sz w:val="24"/>
                <w:highlight w:val="none"/>
              </w:rPr>
              <w:t>值</w:t>
            </w:r>
          </w:p>
        </w:tc>
        <w:tc>
          <w:tcPr>
            <w:tcW w:w="924" w:type="dxa"/>
            <w:vAlign w:val="center"/>
          </w:tcPr>
          <w:p w14:paraId="0DB9461C">
            <w:pPr>
              <w:widowControl/>
              <w:kinsoku w:val="0"/>
              <w:autoSpaceDE w:val="0"/>
              <w:autoSpaceDN w:val="0"/>
              <w:snapToGrid w:val="0"/>
              <w:spacing w:line="240" w:lineRule="atLeast"/>
              <w:ind w:left="256"/>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评</w:t>
            </w:r>
            <w:r>
              <w:rPr>
                <w:rFonts w:hint="eastAsia" w:ascii="新宋体" w:hAnsi="新宋体" w:eastAsia="新宋体" w:cs="新宋体"/>
                <w:color w:val="auto"/>
                <w:sz w:val="24"/>
                <w:highlight w:val="none"/>
              </w:rPr>
              <w:t>分</w:t>
            </w:r>
          </w:p>
        </w:tc>
        <w:tc>
          <w:tcPr>
            <w:tcW w:w="3232" w:type="dxa"/>
            <w:tcBorders>
              <w:right w:val="single" w:color="000000" w:sz="6" w:space="0"/>
            </w:tcBorders>
            <w:vAlign w:val="center"/>
          </w:tcPr>
          <w:p w14:paraId="1A62912B">
            <w:pPr>
              <w:widowControl/>
              <w:kinsoku w:val="0"/>
              <w:autoSpaceDE w:val="0"/>
              <w:autoSpaceDN w:val="0"/>
              <w:snapToGrid w:val="0"/>
              <w:spacing w:line="240" w:lineRule="atLeast"/>
              <w:ind w:left="1196"/>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评</w:t>
            </w:r>
            <w:r>
              <w:rPr>
                <w:rFonts w:hint="eastAsia" w:ascii="新宋体" w:hAnsi="新宋体" w:eastAsia="新宋体" w:cs="新宋体"/>
                <w:color w:val="auto"/>
                <w:sz w:val="24"/>
                <w:highlight w:val="none"/>
              </w:rPr>
              <w:t>分细则</w:t>
            </w:r>
          </w:p>
        </w:tc>
      </w:tr>
      <w:tr w14:paraId="4372A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59" w:hRule="atLeast"/>
          <w:tblHeader/>
          <w:jc w:val="center"/>
        </w:trPr>
        <w:tc>
          <w:tcPr>
            <w:tcW w:w="720" w:type="dxa"/>
            <w:vMerge w:val="restart"/>
            <w:tcBorders>
              <w:left w:val="single" w:color="000000" w:sz="6" w:space="0"/>
            </w:tcBorders>
            <w:vAlign w:val="center"/>
          </w:tcPr>
          <w:p w14:paraId="0652A31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3E379240">
            <w:pPr>
              <w:widowControl/>
              <w:kinsoku w:val="0"/>
              <w:autoSpaceDE w:val="0"/>
              <w:autoSpaceDN w:val="0"/>
              <w:snapToGrid w:val="0"/>
              <w:spacing w:line="240" w:lineRule="atLeast"/>
              <w:ind w:left="3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44" w:type="dxa"/>
            <w:vMerge w:val="restart"/>
            <w:vAlign w:val="center"/>
          </w:tcPr>
          <w:p w14:paraId="7F71B15A">
            <w:pPr>
              <w:widowControl/>
              <w:kinsoku w:val="0"/>
              <w:autoSpaceDE w:val="0"/>
              <w:autoSpaceDN w:val="0"/>
              <w:snapToGrid w:val="0"/>
              <w:spacing w:line="240" w:lineRule="atLeast"/>
              <w:ind w:left="20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人员</w:t>
            </w:r>
            <w:r>
              <w:rPr>
                <w:rFonts w:hint="eastAsia" w:ascii="新宋体" w:hAnsi="新宋体" w:eastAsia="新宋体" w:cs="新宋体"/>
                <w:color w:val="auto"/>
                <w:sz w:val="24"/>
                <w:highlight w:val="none"/>
              </w:rPr>
              <w:br w:type="textWrapping"/>
            </w:r>
            <w:r>
              <w:rPr>
                <w:rFonts w:hint="eastAsia" w:ascii="新宋体" w:hAnsi="新宋体" w:eastAsia="新宋体" w:cs="新宋体"/>
                <w:color w:val="auto"/>
                <w:sz w:val="24"/>
                <w:highlight w:val="none"/>
              </w:rPr>
              <w:t>管理</w:t>
            </w:r>
          </w:p>
        </w:tc>
        <w:tc>
          <w:tcPr>
            <w:tcW w:w="7200" w:type="dxa"/>
            <w:gridSpan w:val="2"/>
            <w:vAlign w:val="center"/>
          </w:tcPr>
          <w:p w14:paraId="42D9DB6B">
            <w:pPr>
              <w:widowControl/>
              <w:numPr>
                <w:ilvl w:val="0"/>
                <w:numId w:val="15"/>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实行</w:t>
            </w:r>
            <w:r>
              <w:rPr>
                <w:rFonts w:hint="eastAsia" w:ascii="新宋体" w:hAnsi="新宋体" w:eastAsia="新宋体" w:cs="新宋体"/>
                <w:color w:val="auto"/>
                <w:spacing w:val="-1"/>
                <w:sz w:val="24"/>
                <w:highlight w:val="none"/>
              </w:rPr>
              <w:t>持证上岗制度。</w:t>
            </w:r>
          </w:p>
        </w:tc>
        <w:tc>
          <w:tcPr>
            <w:tcW w:w="953" w:type="dxa"/>
            <w:vAlign w:val="center"/>
          </w:tcPr>
          <w:p w14:paraId="0C461407">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1A5C021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32" w:type="dxa"/>
            <w:vMerge w:val="restart"/>
            <w:tcBorders>
              <w:right w:val="single" w:color="000000" w:sz="6" w:space="0"/>
            </w:tcBorders>
            <w:vAlign w:val="center"/>
          </w:tcPr>
          <w:p w14:paraId="3D2B790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4C0CEC4C">
            <w:pPr>
              <w:widowControl/>
              <w:kinsoku w:val="0"/>
              <w:autoSpaceDE w:val="0"/>
              <w:autoSpaceDN w:val="0"/>
              <w:snapToGrid w:val="0"/>
              <w:spacing w:line="240" w:lineRule="atLeast"/>
              <w:ind w:left="119"/>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2"/>
                <w:sz w:val="24"/>
                <w:highlight w:val="none"/>
              </w:rPr>
              <w:t>凡</w:t>
            </w:r>
            <w:r>
              <w:rPr>
                <w:rFonts w:hint="eastAsia" w:ascii="新宋体" w:hAnsi="新宋体" w:eastAsia="新宋体" w:cs="新宋体"/>
                <w:color w:val="auto"/>
                <w:spacing w:val="-14"/>
                <w:sz w:val="24"/>
                <w:highlight w:val="none"/>
              </w:rPr>
              <w:t>有</w:t>
            </w:r>
            <w:r>
              <w:rPr>
                <w:rFonts w:hint="eastAsia" w:ascii="新宋体" w:hAnsi="新宋体" w:eastAsia="新宋体" w:cs="新宋体"/>
                <w:color w:val="auto"/>
                <w:spacing w:val="-11"/>
                <w:sz w:val="24"/>
                <w:highlight w:val="none"/>
              </w:rPr>
              <w:t xml:space="preserve"> 1 人不符合， 扣除 1 分</w:t>
            </w:r>
          </w:p>
        </w:tc>
      </w:tr>
      <w:tr w14:paraId="4B277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0" w:type="dxa"/>
            <w:vMerge w:val="continue"/>
            <w:tcBorders>
              <w:left w:val="single" w:color="000000" w:sz="6" w:space="0"/>
            </w:tcBorders>
            <w:vAlign w:val="center"/>
          </w:tcPr>
          <w:p w14:paraId="7193F90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79DFD8E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200" w:type="dxa"/>
            <w:gridSpan w:val="2"/>
            <w:vAlign w:val="center"/>
          </w:tcPr>
          <w:p w14:paraId="6E394050">
            <w:pPr>
              <w:widowControl/>
              <w:numPr>
                <w:ilvl w:val="0"/>
                <w:numId w:val="15"/>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项目投标时所承诺的项目工作人员，</w:t>
            </w:r>
            <w:r>
              <w:rPr>
                <w:rFonts w:hint="eastAsia" w:ascii="新宋体" w:hAnsi="新宋体" w:eastAsia="新宋体" w:cs="新宋体"/>
                <w:color w:val="auto"/>
                <w:spacing w:val="-1"/>
                <w:sz w:val="24"/>
                <w:highlight w:val="none"/>
              </w:rPr>
              <w:t>必须和承接此项目后开展工作的团队</w:t>
            </w:r>
            <w:r>
              <w:rPr>
                <w:rFonts w:hint="eastAsia" w:ascii="新宋体" w:hAnsi="新宋体" w:eastAsia="新宋体" w:cs="新宋体"/>
                <w:color w:val="auto"/>
                <w:spacing w:val="-5"/>
                <w:sz w:val="24"/>
                <w:highlight w:val="none"/>
              </w:rPr>
              <w:t>人员相符， 未征得采购人同意不得随意更换团队成员。</w:t>
            </w:r>
          </w:p>
        </w:tc>
        <w:tc>
          <w:tcPr>
            <w:tcW w:w="953" w:type="dxa"/>
            <w:vAlign w:val="center"/>
          </w:tcPr>
          <w:p w14:paraId="67EB85D3">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3C58058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32" w:type="dxa"/>
            <w:vMerge w:val="continue"/>
            <w:tcBorders>
              <w:right w:val="single" w:color="000000" w:sz="6" w:space="0"/>
            </w:tcBorders>
            <w:vAlign w:val="center"/>
          </w:tcPr>
          <w:p w14:paraId="12546A5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2FB0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0" w:type="dxa"/>
            <w:vMerge w:val="continue"/>
            <w:tcBorders>
              <w:left w:val="single" w:color="000000" w:sz="6" w:space="0"/>
            </w:tcBorders>
            <w:vAlign w:val="center"/>
          </w:tcPr>
          <w:p w14:paraId="1CCE99C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64B6EB8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200" w:type="dxa"/>
            <w:gridSpan w:val="2"/>
            <w:vAlign w:val="center"/>
          </w:tcPr>
          <w:p w14:paraId="17F12372">
            <w:pPr>
              <w:widowControl/>
              <w:numPr>
                <w:ilvl w:val="0"/>
                <w:numId w:val="15"/>
              </w:numPr>
              <w:kinsoku w:val="0"/>
              <w:autoSpaceDE w:val="0"/>
              <w:autoSpaceDN w:val="0"/>
              <w:snapToGrid w:val="0"/>
              <w:spacing w:line="240" w:lineRule="atLeast"/>
              <w:textAlignment w:val="baseline"/>
              <w:rPr>
                <w:rFonts w:ascii="新宋体" w:hAnsi="新宋体" w:eastAsia="新宋体" w:cs="新宋体"/>
                <w:color w:val="auto"/>
                <w:spacing w:val="-2"/>
                <w:sz w:val="24"/>
                <w:highlight w:val="none"/>
              </w:rPr>
            </w:pPr>
            <w:r>
              <w:rPr>
                <w:rFonts w:hint="eastAsia" w:ascii="新宋体" w:hAnsi="新宋体" w:eastAsia="新宋体" w:cs="新宋体"/>
                <w:color w:val="auto"/>
                <w:sz w:val="24"/>
                <w:highlight w:val="none"/>
              </w:rPr>
              <w:t>项目经理更换至少提前20天、其他人员更换至少提前7天告知采购人。</w:t>
            </w:r>
          </w:p>
        </w:tc>
        <w:tc>
          <w:tcPr>
            <w:tcW w:w="953" w:type="dxa"/>
            <w:vAlign w:val="center"/>
          </w:tcPr>
          <w:p w14:paraId="40DBAF39">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465CFCE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32" w:type="dxa"/>
            <w:vMerge w:val="continue"/>
            <w:tcBorders>
              <w:right w:val="single" w:color="000000" w:sz="6" w:space="0"/>
            </w:tcBorders>
            <w:vAlign w:val="center"/>
          </w:tcPr>
          <w:p w14:paraId="34CE43A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81FF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0" w:type="dxa"/>
            <w:vMerge w:val="restart"/>
            <w:tcBorders>
              <w:left w:val="single" w:color="000000" w:sz="6" w:space="0"/>
            </w:tcBorders>
            <w:vAlign w:val="center"/>
          </w:tcPr>
          <w:p w14:paraId="6A1D08D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44" w:type="dxa"/>
            <w:vMerge w:val="restart"/>
            <w:vAlign w:val="center"/>
          </w:tcPr>
          <w:p w14:paraId="01442F5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制度</w:t>
            </w:r>
            <w:r>
              <w:rPr>
                <w:rFonts w:hint="eastAsia" w:ascii="新宋体" w:hAnsi="新宋体" w:eastAsia="新宋体" w:cs="新宋体"/>
                <w:color w:val="auto"/>
                <w:sz w:val="24"/>
                <w:highlight w:val="none"/>
              </w:rPr>
              <w:br w:type="textWrapping"/>
            </w:r>
            <w:r>
              <w:rPr>
                <w:rFonts w:hint="eastAsia" w:ascii="新宋体" w:hAnsi="新宋体" w:eastAsia="新宋体" w:cs="新宋体"/>
                <w:color w:val="auto"/>
                <w:sz w:val="24"/>
                <w:highlight w:val="none"/>
              </w:rPr>
              <w:t>履约</w:t>
            </w:r>
          </w:p>
        </w:tc>
        <w:tc>
          <w:tcPr>
            <w:tcW w:w="7200" w:type="dxa"/>
            <w:gridSpan w:val="2"/>
            <w:vAlign w:val="center"/>
          </w:tcPr>
          <w:p w14:paraId="382D2730">
            <w:pPr>
              <w:widowControl/>
              <w:numPr>
                <w:ilvl w:val="0"/>
                <w:numId w:val="16"/>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遵守《物业管理服务人员行为</w:t>
            </w:r>
            <w:r>
              <w:rPr>
                <w:rFonts w:hint="eastAsia" w:ascii="新宋体" w:hAnsi="新宋体" w:eastAsia="新宋体" w:cs="新宋体"/>
                <w:color w:val="auto"/>
                <w:sz w:val="24"/>
                <w:highlight w:val="none"/>
              </w:rPr>
              <w:t>规范</w:t>
            </w:r>
            <w:r>
              <w:rPr>
                <w:rFonts w:hint="eastAsia" w:ascii="新宋体" w:hAnsi="新宋体" w:eastAsia="新宋体" w:cs="新宋体"/>
                <w:color w:val="auto"/>
                <w:spacing w:val="-1"/>
                <w:sz w:val="24"/>
                <w:highlight w:val="none"/>
              </w:rPr>
              <w:t>》</w:t>
            </w:r>
          </w:p>
        </w:tc>
        <w:tc>
          <w:tcPr>
            <w:tcW w:w="953" w:type="dxa"/>
            <w:vAlign w:val="center"/>
          </w:tcPr>
          <w:p w14:paraId="73903868">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248A284F">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32" w:type="dxa"/>
            <w:vMerge w:val="restart"/>
            <w:tcBorders>
              <w:right w:val="single" w:color="000000" w:sz="6" w:space="0"/>
            </w:tcBorders>
            <w:vAlign w:val="center"/>
          </w:tcPr>
          <w:p w14:paraId="4110B17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4CD9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0" w:type="dxa"/>
            <w:vMerge w:val="continue"/>
            <w:tcBorders>
              <w:left w:val="single" w:color="000000" w:sz="6" w:space="0"/>
            </w:tcBorders>
            <w:vAlign w:val="center"/>
          </w:tcPr>
          <w:p w14:paraId="6EE999C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0E1DFD9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200" w:type="dxa"/>
            <w:gridSpan w:val="2"/>
            <w:vAlign w:val="center"/>
          </w:tcPr>
          <w:p w14:paraId="6D673B68">
            <w:pPr>
              <w:widowControl/>
              <w:numPr>
                <w:ilvl w:val="0"/>
                <w:numId w:val="16"/>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健全的管理流程、</w:t>
            </w:r>
            <w:r>
              <w:rPr>
                <w:rFonts w:hint="eastAsia" w:ascii="新宋体" w:hAnsi="新宋体" w:eastAsia="新宋体" w:cs="新宋体"/>
                <w:color w:val="auto"/>
                <w:sz w:val="24"/>
                <w:highlight w:val="none"/>
              </w:rPr>
              <w:t>管理机制，运作规范。</w:t>
            </w:r>
          </w:p>
        </w:tc>
        <w:tc>
          <w:tcPr>
            <w:tcW w:w="953" w:type="dxa"/>
            <w:vAlign w:val="center"/>
          </w:tcPr>
          <w:p w14:paraId="731394FD">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01E0872B">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32" w:type="dxa"/>
            <w:vMerge w:val="continue"/>
            <w:tcBorders>
              <w:right w:val="single" w:color="000000" w:sz="6" w:space="0"/>
            </w:tcBorders>
            <w:vAlign w:val="center"/>
          </w:tcPr>
          <w:p w14:paraId="31CDB92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3961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0" w:type="dxa"/>
            <w:vMerge w:val="continue"/>
            <w:tcBorders>
              <w:left w:val="single" w:color="000000" w:sz="6" w:space="0"/>
            </w:tcBorders>
            <w:vAlign w:val="center"/>
          </w:tcPr>
          <w:p w14:paraId="4ED3EF8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4514AE7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200" w:type="dxa"/>
            <w:gridSpan w:val="2"/>
            <w:vAlign w:val="center"/>
          </w:tcPr>
          <w:p w14:paraId="248697C0">
            <w:pPr>
              <w:widowControl/>
              <w:numPr>
                <w:ilvl w:val="0"/>
                <w:numId w:val="16"/>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健全的物业管理制度，遵守并执行。</w:t>
            </w:r>
          </w:p>
        </w:tc>
        <w:tc>
          <w:tcPr>
            <w:tcW w:w="953" w:type="dxa"/>
            <w:vAlign w:val="center"/>
          </w:tcPr>
          <w:p w14:paraId="5F3C1DB7">
            <w:pPr>
              <w:widowControl/>
              <w:kinsoku w:val="0"/>
              <w:autoSpaceDE w:val="0"/>
              <w:autoSpaceDN w:val="0"/>
              <w:snapToGrid w:val="0"/>
              <w:spacing w:line="240" w:lineRule="atLeast"/>
              <w:ind w:left="426"/>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41EB4F8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32" w:type="dxa"/>
            <w:vMerge w:val="continue"/>
            <w:tcBorders>
              <w:right w:val="single" w:color="000000" w:sz="6" w:space="0"/>
            </w:tcBorders>
            <w:vAlign w:val="center"/>
          </w:tcPr>
          <w:p w14:paraId="4DB42E3B">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7373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340" w:hRule="atLeast"/>
          <w:tblHeader/>
          <w:jc w:val="center"/>
        </w:trPr>
        <w:tc>
          <w:tcPr>
            <w:tcW w:w="720" w:type="dxa"/>
            <w:vMerge w:val="restart"/>
            <w:vAlign w:val="center"/>
          </w:tcPr>
          <w:p w14:paraId="0754F28B">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4D5DC11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032512F0">
            <w:pPr>
              <w:widowControl/>
              <w:kinsoku w:val="0"/>
              <w:autoSpaceDE w:val="0"/>
              <w:autoSpaceDN w:val="0"/>
              <w:snapToGrid w:val="0"/>
              <w:spacing w:line="240" w:lineRule="atLeast"/>
              <w:ind w:left="309"/>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844" w:type="dxa"/>
            <w:vMerge w:val="restart"/>
            <w:vAlign w:val="center"/>
          </w:tcPr>
          <w:p w14:paraId="4A397C8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2429E290">
            <w:pPr>
              <w:widowControl/>
              <w:kinsoku w:val="0"/>
              <w:autoSpaceDE w:val="0"/>
              <w:autoSpaceDN w:val="0"/>
              <w:snapToGrid w:val="0"/>
              <w:spacing w:line="240" w:lineRule="atLeast"/>
              <w:ind w:left="2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position w:val="9"/>
                <w:sz w:val="24"/>
                <w:highlight w:val="none"/>
              </w:rPr>
              <w:t>清洁</w:t>
            </w:r>
            <w:r>
              <w:rPr>
                <w:rFonts w:hint="eastAsia" w:ascii="新宋体" w:hAnsi="新宋体" w:eastAsia="新宋体" w:cs="新宋体"/>
                <w:color w:val="auto"/>
                <w:spacing w:val="-2"/>
                <w:position w:val="9"/>
                <w:sz w:val="24"/>
                <w:highlight w:val="none"/>
              </w:rPr>
              <w:br w:type="textWrapping"/>
            </w:r>
            <w:r>
              <w:rPr>
                <w:rFonts w:hint="eastAsia" w:ascii="新宋体" w:hAnsi="新宋体" w:eastAsia="新宋体" w:cs="新宋体"/>
                <w:color w:val="auto"/>
                <w:spacing w:val="-2"/>
                <w:position w:val="9"/>
                <w:sz w:val="24"/>
                <w:highlight w:val="none"/>
              </w:rPr>
              <w:t>保洁</w:t>
            </w:r>
          </w:p>
        </w:tc>
        <w:tc>
          <w:tcPr>
            <w:tcW w:w="7200" w:type="dxa"/>
            <w:gridSpan w:val="2"/>
            <w:vAlign w:val="center"/>
          </w:tcPr>
          <w:p w14:paraId="041C082F">
            <w:pPr>
              <w:widowControl/>
              <w:numPr>
                <w:ilvl w:val="0"/>
                <w:numId w:val="17"/>
              </w:numPr>
              <w:kinsoku w:val="0"/>
              <w:autoSpaceDE w:val="0"/>
              <w:autoSpaceDN w:val="0"/>
              <w:snapToGrid w:val="0"/>
              <w:spacing w:line="240" w:lineRule="atLeast"/>
              <w:ind w:right="161"/>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室内公共区域的地面、墙面、楼梯、扶手、大厅、玻</w:t>
            </w:r>
            <w:r>
              <w:rPr>
                <w:rFonts w:hint="eastAsia" w:ascii="新宋体" w:hAnsi="新宋体" w:eastAsia="新宋体" w:cs="新宋体"/>
                <w:color w:val="auto"/>
                <w:spacing w:val="3"/>
                <w:sz w:val="24"/>
                <w:highlight w:val="none"/>
              </w:rPr>
              <w:t xml:space="preserve"> </w:t>
            </w:r>
            <w:r>
              <w:rPr>
                <w:rFonts w:hint="eastAsia" w:ascii="新宋体" w:hAnsi="新宋体" w:eastAsia="新宋体" w:cs="新宋体"/>
                <w:color w:val="auto"/>
                <w:spacing w:val="-7"/>
                <w:sz w:val="24"/>
                <w:highlight w:val="none"/>
              </w:rPr>
              <w:t>璃、门及门窗框、天花板、栏杆、走廊等整洁干净，无垃圾、</w:t>
            </w:r>
            <w:r>
              <w:rPr>
                <w:rFonts w:hint="eastAsia" w:ascii="新宋体" w:hAnsi="新宋体" w:eastAsia="新宋体" w:cs="新宋体"/>
                <w:color w:val="auto"/>
                <w:spacing w:val="-8"/>
                <w:sz w:val="24"/>
                <w:highlight w:val="none"/>
              </w:rPr>
              <w:t>无积灰、无污渍、无手印。</w:t>
            </w:r>
          </w:p>
        </w:tc>
        <w:tc>
          <w:tcPr>
            <w:tcW w:w="953" w:type="dxa"/>
            <w:vAlign w:val="center"/>
          </w:tcPr>
          <w:p w14:paraId="7DDD294F">
            <w:pPr>
              <w:widowControl/>
              <w:kinsoku w:val="0"/>
              <w:autoSpaceDE w:val="0"/>
              <w:autoSpaceDN w:val="0"/>
              <w:snapToGrid w:val="0"/>
              <w:spacing w:line="240" w:lineRule="atLeast"/>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340F395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32" w:type="dxa"/>
            <w:vMerge w:val="restart"/>
            <w:vAlign w:val="center"/>
          </w:tcPr>
          <w:p w14:paraId="00C0F55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55A34D3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0844F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90" w:hRule="atLeast"/>
          <w:tblHeader/>
          <w:jc w:val="center"/>
        </w:trPr>
        <w:tc>
          <w:tcPr>
            <w:tcW w:w="720" w:type="dxa"/>
            <w:vMerge w:val="continue"/>
            <w:vAlign w:val="center"/>
          </w:tcPr>
          <w:p w14:paraId="4386646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67D3D0D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200" w:type="dxa"/>
            <w:gridSpan w:val="2"/>
            <w:vAlign w:val="center"/>
          </w:tcPr>
          <w:p w14:paraId="6C4BD6F3">
            <w:pPr>
              <w:widowControl/>
              <w:numPr>
                <w:ilvl w:val="0"/>
                <w:numId w:val="17"/>
              </w:numPr>
              <w:kinsoku w:val="0"/>
              <w:autoSpaceDE w:val="0"/>
              <w:autoSpaceDN w:val="0"/>
              <w:snapToGrid w:val="0"/>
              <w:spacing w:line="240" w:lineRule="atLeast"/>
              <w:ind w:right="5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4"/>
                <w:sz w:val="24"/>
                <w:highlight w:val="none"/>
              </w:rPr>
              <w:t>室内卫生间、茶水间清洁，无垃圾、无污渍、无积水、</w:t>
            </w:r>
            <w:r>
              <w:rPr>
                <w:rFonts w:hint="eastAsia" w:ascii="新宋体" w:hAnsi="新宋体" w:eastAsia="新宋体" w:cs="新宋体"/>
                <w:color w:val="auto"/>
                <w:spacing w:val="17"/>
                <w:sz w:val="24"/>
                <w:highlight w:val="none"/>
              </w:rPr>
              <w:t xml:space="preserve"> </w:t>
            </w:r>
            <w:r>
              <w:rPr>
                <w:rFonts w:hint="eastAsia" w:ascii="新宋体" w:hAnsi="新宋体" w:eastAsia="新宋体" w:cs="新宋体"/>
                <w:color w:val="auto"/>
                <w:spacing w:val="-7"/>
                <w:sz w:val="24"/>
                <w:highlight w:val="none"/>
              </w:rPr>
              <w:t>无异味、无堆积杂物，洁具、台面、镜面光洁无水迹，电器设施</w:t>
            </w:r>
            <w:r>
              <w:rPr>
                <w:rFonts w:hint="eastAsia" w:ascii="新宋体" w:hAnsi="新宋体" w:eastAsia="新宋体" w:cs="新宋体"/>
                <w:color w:val="auto"/>
                <w:spacing w:val="-5"/>
                <w:sz w:val="24"/>
                <w:highlight w:val="none"/>
              </w:rPr>
              <w:t>外观清洁，物品摆放有序。室内卫生间符合“美丽厕所”标准。</w:t>
            </w:r>
          </w:p>
        </w:tc>
        <w:tc>
          <w:tcPr>
            <w:tcW w:w="953" w:type="dxa"/>
            <w:vAlign w:val="center"/>
          </w:tcPr>
          <w:p w14:paraId="6F53F411">
            <w:pPr>
              <w:widowControl/>
              <w:kinsoku w:val="0"/>
              <w:autoSpaceDE w:val="0"/>
              <w:autoSpaceDN w:val="0"/>
              <w:snapToGrid w:val="0"/>
              <w:spacing w:line="240" w:lineRule="atLeast"/>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5EE519D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32" w:type="dxa"/>
            <w:vMerge w:val="continue"/>
            <w:vAlign w:val="center"/>
          </w:tcPr>
          <w:p w14:paraId="720324C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249E8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720" w:type="dxa"/>
            <w:vMerge w:val="continue"/>
            <w:vAlign w:val="center"/>
          </w:tcPr>
          <w:p w14:paraId="272BEDE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7E2785E8">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5F15AEFF">
            <w:pPr>
              <w:widowControl/>
              <w:numPr>
                <w:ilvl w:val="0"/>
                <w:numId w:val="17"/>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室外广场、道路、停车场（库）、屋面、“门前三包”等公共区域的地面干净，无杂物、无积水、无淤泥、无污垢。</w:t>
            </w:r>
          </w:p>
        </w:tc>
        <w:tc>
          <w:tcPr>
            <w:tcW w:w="961" w:type="dxa"/>
            <w:gridSpan w:val="2"/>
            <w:vAlign w:val="center"/>
          </w:tcPr>
          <w:p w14:paraId="48152FDB">
            <w:pPr>
              <w:widowControl/>
              <w:kinsoku w:val="0"/>
              <w:autoSpaceDE w:val="0"/>
              <w:autoSpaceDN w:val="0"/>
              <w:snapToGrid w:val="0"/>
              <w:spacing w:line="240" w:lineRule="atLeast"/>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320816C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restart"/>
            <w:vAlign w:val="center"/>
          </w:tcPr>
          <w:p w14:paraId="27C5A62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ascii="新宋体" w:hAnsi="新宋体" w:eastAsia="新宋体" w:cs="新宋体"/>
                <w:color w:val="auto"/>
                <w:kern w:val="0"/>
                <w:sz w:val="24"/>
                <w:highlight w:val="none"/>
              </w:rPr>
              <mc:AlternateContent>
                <mc:Choice Requires="wps">
                  <w:drawing>
                    <wp:anchor distT="0" distB="0" distL="114300" distR="114300" simplePos="0" relativeHeight="251661312" behindDoc="0" locked="0" layoutInCell="1" allowOverlap="1">
                      <wp:simplePos x="0" y="0"/>
                      <wp:positionH relativeFrom="page">
                        <wp:posOffset>10095230</wp:posOffset>
                      </wp:positionH>
                      <wp:positionV relativeFrom="page">
                        <wp:posOffset>0</wp:posOffset>
                      </wp:positionV>
                      <wp:extent cx="6350" cy="2947035"/>
                      <wp:effectExtent l="0" t="0" r="12700" b="5715"/>
                      <wp:wrapNone/>
                      <wp:docPr id="3" name="矩形 2"/>
                      <wp:cNvGraphicFramePr/>
                      <a:graphic xmlns:a="http://schemas.openxmlformats.org/drawingml/2006/main">
                        <a:graphicData uri="http://schemas.microsoft.com/office/word/2010/wordprocessingShape">
                          <wps:wsp>
                            <wps:cNvSpPr>
                              <a:spLocks noChangeArrowheads="1"/>
                            </wps:cNvSpPr>
                            <wps:spPr bwMode="auto">
                              <a:xfrm>
                                <a:off x="0" y="0"/>
                                <a:ext cx="6350" cy="294703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794.9pt;margin-top:0pt;height:232.05pt;width:0.5pt;mso-position-horizontal-relative:page;mso-position-vertical-relative:page;z-index:251661312;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FhvmtcAAAAK&#10;AQAADwAAAAAAAAABACAAAAAiAAAAZHJzL2Rvd25yZXYueG1sUEsBAhQAFAAAAAgAh07iQD6G5Csd&#10;AgAAMgQAAA4AAAAAAAAAAQAgAAAAJgEAAGRycy9lMm9Eb2MueG1sUEsFBgAAAAAGAAYAWQEAALUF&#10;AAAAAA==&#10;">
                      <v:fill on="t" focussize="0,0"/>
                      <v:stroke on="f"/>
                      <v:imagedata o:title=""/>
                      <o:lock v:ext="edit" aspectratio="f"/>
                    </v:rect>
                  </w:pict>
                </mc:Fallback>
              </mc:AlternateContent>
            </w:r>
          </w:p>
        </w:tc>
      </w:tr>
      <w:tr w14:paraId="3C7BA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720" w:type="dxa"/>
            <w:vMerge w:val="continue"/>
            <w:vAlign w:val="center"/>
          </w:tcPr>
          <w:p w14:paraId="5684018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4A225A8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479B3E1A">
            <w:pPr>
              <w:widowControl/>
              <w:numPr>
                <w:ilvl w:val="0"/>
                <w:numId w:val="17"/>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外墙应保持清洁，无明显污迹。</w:t>
            </w:r>
          </w:p>
        </w:tc>
        <w:tc>
          <w:tcPr>
            <w:tcW w:w="961" w:type="dxa"/>
            <w:gridSpan w:val="2"/>
            <w:vAlign w:val="center"/>
          </w:tcPr>
          <w:p w14:paraId="3EB276CA">
            <w:pPr>
              <w:widowControl/>
              <w:kinsoku w:val="0"/>
              <w:autoSpaceDE w:val="0"/>
              <w:autoSpaceDN w:val="0"/>
              <w:snapToGrid w:val="0"/>
              <w:spacing w:line="240" w:lineRule="atLeast"/>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67C05F7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vAlign w:val="center"/>
          </w:tcPr>
          <w:p w14:paraId="4B2BF8DB">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692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720" w:type="dxa"/>
            <w:vMerge w:val="continue"/>
            <w:vAlign w:val="center"/>
          </w:tcPr>
          <w:p w14:paraId="09EFE36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400EBD5B">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6888E4A9">
            <w:pPr>
              <w:widowControl/>
              <w:numPr>
                <w:ilvl w:val="0"/>
                <w:numId w:val="17"/>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定期对景观、照明灯设施设备进行清洁，确保表面干净无污渍。</w:t>
            </w:r>
          </w:p>
        </w:tc>
        <w:tc>
          <w:tcPr>
            <w:tcW w:w="961" w:type="dxa"/>
            <w:gridSpan w:val="2"/>
            <w:vAlign w:val="center"/>
          </w:tcPr>
          <w:p w14:paraId="49AA1013">
            <w:pPr>
              <w:widowControl/>
              <w:kinsoku w:val="0"/>
              <w:autoSpaceDE w:val="0"/>
              <w:autoSpaceDN w:val="0"/>
              <w:snapToGrid w:val="0"/>
              <w:spacing w:line="240" w:lineRule="atLeast"/>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26ED193B">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vAlign w:val="center"/>
          </w:tcPr>
          <w:p w14:paraId="3556E56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1EE2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720" w:type="dxa"/>
            <w:vMerge w:val="continue"/>
            <w:vAlign w:val="center"/>
          </w:tcPr>
          <w:p w14:paraId="3939746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4FDF25F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08584B8E">
            <w:pPr>
              <w:widowControl/>
              <w:numPr>
                <w:ilvl w:val="0"/>
                <w:numId w:val="17"/>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垃圾、废弃物按分类要求及时收集、日产日清，化粪 池及时清掏，垃圾箱（房）外侧表面清洁、内侧无残留物、无异味。</w:t>
            </w:r>
          </w:p>
        </w:tc>
        <w:tc>
          <w:tcPr>
            <w:tcW w:w="961" w:type="dxa"/>
            <w:gridSpan w:val="2"/>
            <w:vAlign w:val="center"/>
          </w:tcPr>
          <w:p w14:paraId="38359103">
            <w:pPr>
              <w:widowControl/>
              <w:kinsoku w:val="0"/>
              <w:autoSpaceDE w:val="0"/>
              <w:autoSpaceDN w:val="0"/>
              <w:snapToGrid w:val="0"/>
              <w:spacing w:line="240" w:lineRule="atLeast"/>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1C24A42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vAlign w:val="center"/>
          </w:tcPr>
          <w:p w14:paraId="7A95656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3E30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720" w:type="dxa"/>
            <w:vMerge w:val="continue"/>
            <w:vAlign w:val="center"/>
          </w:tcPr>
          <w:p w14:paraId="236E5B3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7BED880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667CEC42">
            <w:pPr>
              <w:widowControl/>
              <w:numPr>
                <w:ilvl w:val="0"/>
                <w:numId w:val="17"/>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垃圾应按照可回收物、有害垃圾、易腐垃圾和其他垃圾进行分类，对应垃圾桶颜色分别为蓝色、红色、绿色和灰色。</w:t>
            </w:r>
          </w:p>
        </w:tc>
        <w:tc>
          <w:tcPr>
            <w:tcW w:w="961" w:type="dxa"/>
            <w:gridSpan w:val="2"/>
            <w:vAlign w:val="center"/>
          </w:tcPr>
          <w:p w14:paraId="6ECD0EB0">
            <w:pPr>
              <w:widowControl/>
              <w:kinsoku w:val="0"/>
              <w:autoSpaceDE w:val="0"/>
              <w:autoSpaceDN w:val="0"/>
              <w:snapToGrid w:val="0"/>
              <w:spacing w:line="240" w:lineRule="atLeast"/>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19CC612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vAlign w:val="center"/>
          </w:tcPr>
          <w:p w14:paraId="75B5224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21399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jc w:val="center"/>
        </w:trPr>
        <w:tc>
          <w:tcPr>
            <w:tcW w:w="720" w:type="dxa"/>
            <w:vMerge w:val="restart"/>
            <w:tcBorders>
              <w:left w:val="single" w:color="000000" w:sz="6" w:space="0"/>
            </w:tcBorders>
            <w:vAlign w:val="center"/>
          </w:tcPr>
          <w:p w14:paraId="34C8912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5452BFE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6097D2F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719C7469">
            <w:pPr>
              <w:widowControl/>
              <w:kinsoku w:val="0"/>
              <w:autoSpaceDE w:val="0"/>
              <w:autoSpaceDN w:val="0"/>
              <w:snapToGrid w:val="0"/>
              <w:spacing w:line="240" w:lineRule="atLeast"/>
              <w:ind w:left="297"/>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844" w:type="dxa"/>
            <w:vMerge w:val="restart"/>
            <w:vAlign w:val="center"/>
          </w:tcPr>
          <w:p w14:paraId="0A01C91B">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4E572C5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0821AA9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123CA619">
            <w:pPr>
              <w:widowControl/>
              <w:kinsoku w:val="0"/>
              <w:autoSpaceDE w:val="0"/>
              <w:autoSpaceDN w:val="0"/>
              <w:snapToGrid w:val="0"/>
              <w:spacing w:line="240" w:lineRule="atLeast"/>
              <w:ind w:left="212"/>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绿化</w:t>
            </w:r>
            <w:r>
              <w:rPr>
                <w:rFonts w:hint="eastAsia" w:ascii="新宋体" w:hAnsi="新宋体" w:eastAsia="新宋体" w:cs="新宋体"/>
                <w:color w:val="auto"/>
                <w:spacing w:val="-2"/>
                <w:sz w:val="24"/>
                <w:highlight w:val="none"/>
              </w:rPr>
              <w:br w:type="textWrapping"/>
            </w:r>
            <w:r>
              <w:rPr>
                <w:rFonts w:hint="eastAsia" w:ascii="新宋体" w:hAnsi="新宋体" w:eastAsia="新宋体" w:cs="新宋体"/>
                <w:color w:val="auto"/>
                <w:spacing w:val="-2"/>
                <w:sz w:val="24"/>
                <w:highlight w:val="none"/>
              </w:rPr>
              <w:t>养护</w:t>
            </w:r>
          </w:p>
        </w:tc>
        <w:tc>
          <w:tcPr>
            <w:tcW w:w="7192" w:type="dxa"/>
            <w:vAlign w:val="center"/>
          </w:tcPr>
          <w:p w14:paraId="63E826B8">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室内外绿化养护期内各类绿植应100%存活。</w:t>
            </w:r>
          </w:p>
        </w:tc>
        <w:tc>
          <w:tcPr>
            <w:tcW w:w="961" w:type="dxa"/>
            <w:gridSpan w:val="2"/>
            <w:vAlign w:val="center"/>
          </w:tcPr>
          <w:p w14:paraId="19ACEA81">
            <w:pPr>
              <w:widowControl/>
              <w:kinsoku w:val="0"/>
              <w:autoSpaceDE w:val="0"/>
              <w:autoSpaceDN w:val="0"/>
              <w:snapToGrid w:val="0"/>
              <w:spacing w:line="240" w:lineRule="atLeast"/>
              <w:ind w:left="433"/>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46152144">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restart"/>
            <w:tcBorders>
              <w:right w:val="single" w:color="000000" w:sz="6" w:space="0"/>
            </w:tcBorders>
            <w:vAlign w:val="center"/>
          </w:tcPr>
          <w:p w14:paraId="343A169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50EA89E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52E7B15F">
            <w:pPr>
              <w:widowControl/>
              <w:kinsoku w:val="0"/>
              <w:autoSpaceDE w:val="0"/>
              <w:autoSpaceDN w:val="0"/>
              <w:snapToGrid w:val="0"/>
              <w:spacing w:line="240" w:lineRule="atLeast"/>
              <w:ind w:left="115" w:right="17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759B2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jc w:val="center"/>
        </w:trPr>
        <w:tc>
          <w:tcPr>
            <w:tcW w:w="720" w:type="dxa"/>
            <w:vMerge w:val="continue"/>
            <w:tcBorders>
              <w:left w:val="single" w:color="000000" w:sz="6" w:space="0"/>
            </w:tcBorders>
            <w:vAlign w:val="center"/>
          </w:tcPr>
          <w:p w14:paraId="29D04AAB">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1A09E2E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315EF402">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根据季节和气候状况，进行浇灌、施肥、修剪和松土等养护。</w:t>
            </w:r>
          </w:p>
        </w:tc>
        <w:tc>
          <w:tcPr>
            <w:tcW w:w="961" w:type="dxa"/>
            <w:gridSpan w:val="2"/>
            <w:vAlign w:val="center"/>
          </w:tcPr>
          <w:p w14:paraId="0F15A097">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773A5A4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61901F8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897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0" w:type="dxa"/>
            <w:vMerge w:val="continue"/>
            <w:tcBorders>
              <w:left w:val="single" w:color="000000" w:sz="6" w:space="0"/>
            </w:tcBorders>
            <w:vAlign w:val="center"/>
          </w:tcPr>
          <w:p w14:paraId="1467454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2E10588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35F1F554">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应选择观赏性强、观赏期长、方便管理的鲜活植物摆 放室内，植株长势良好，无残枝、无黄叶、无积尘，花朵饱满、无萎蔫，托盘内无积水。</w:t>
            </w:r>
          </w:p>
        </w:tc>
        <w:tc>
          <w:tcPr>
            <w:tcW w:w="961" w:type="dxa"/>
            <w:gridSpan w:val="2"/>
            <w:vAlign w:val="center"/>
          </w:tcPr>
          <w:p w14:paraId="72CCC19F">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4A0B319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54B257C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7AFE8AF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9B42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0" w:type="dxa"/>
            <w:vMerge w:val="continue"/>
            <w:tcBorders>
              <w:left w:val="single" w:color="000000" w:sz="6" w:space="0"/>
            </w:tcBorders>
            <w:vAlign w:val="center"/>
          </w:tcPr>
          <w:p w14:paraId="2C3D904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682A73A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6FA87316">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室外乔木丰满健壮、生长良好，灌木枝叶紧密圆整， 无脱节、无枯枝。草坪生长整齐，清洁美观，修剪高度一致，覆盖率高。花卉色彩鲜艳，摆放造型新颖，无杂草、无枯死。</w:t>
            </w:r>
          </w:p>
        </w:tc>
        <w:tc>
          <w:tcPr>
            <w:tcW w:w="961" w:type="dxa"/>
            <w:gridSpan w:val="2"/>
            <w:vAlign w:val="center"/>
          </w:tcPr>
          <w:p w14:paraId="34228441">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10FC00C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5292EC5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47A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0" w:type="dxa"/>
            <w:vMerge w:val="continue"/>
            <w:tcBorders>
              <w:left w:val="single" w:color="000000" w:sz="6" w:space="0"/>
            </w:tcBorders>
            <w:vAlign w:val="center"/>
          </w:tcPr>
          <w:p w14:paraId="0563E81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0F8C24A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5E4AC9BC">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pacing w:val="-6"/>
                <w:sz w:val="24"/>
                <w:highlight w:val="none"/>
              </w:rPr>
            </w:pPr>
            <w:r>
              <w:rPr>
                <w:rFonts w:hint="eastAsia" w:ascii="新宋体" w:hAnsi="新宋体" w:eastAsia="新宋体" w:cs="新宋体"/>
                <w:color w:val="auto"/>
                <w:sz w:val="24"/>
                <w:highlight w:val="none"/>
              </w:rPr>
              <w:t>雨、雪、台风等特殊天气前，应派专人巡查，及时加固、支撑、修剪高大乔木，排除安全隐患。</w:t>
            </w:r>
          </w:p>
        </w:tc>
        <w:tc>
          <w:tcPr>
            <w:tcW w:w="961" w:type="dxa"/>
            <w:gridSpan w:val="2"/>
            <w:vAlign w:val="center"/>
          </w:tcPr>
          <w:p w14:paraId="7BBBB451">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489E0A3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769B14C4">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2F0E142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2B97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blHeader/>
          <w:jc w:val="center"/>
        </w:trPr>
        <w:tc>
          <w:tcPr>
            <w:tcW w:w="720" w:type="dxa"/>
            <w:vMerge w:val="continue"/>
            <w:tcBorders>
              <w:left w:val="single" w:color="000000" w:sz="6" w:space="0"/>
            </w:tcBorders>
            <w:vAlign w:val="center"/>
          </w:tcPr>
          <w:p w14:paraId="3171449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1D4E417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0FCE194D">
            <w:pPr>
              <w:widowControl/>
              <w:numPr>
                <w:ilvl w:val="0"/>
                <w:numId w:val="18"/>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定期检查病虫害情况，病虫害防治率100%，危害率低于5%。</w:t>
            </w:r>
          </w:p>
        </w:tc>
        <w:tc>
          <w:tcPr>
            <w:tcW w:w="961" w:type="dxa"/>
            <w:gridSpan w:val="2"/>
            <w:vAlign w:val="center"/>
          </w:tcPr>
          <w:p w14:paraId="6A00CC34">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23D8DF5A">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43BE421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26A4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720" w:type="dxa"/>
            <w:vMerge w:val="restart"/>
            <w:tcBorders>
              <w:left w:val="single" w:color="000000" w:sz="6" w:space="0"/>
            </w:tcBorders>
            <w:vAlign w:val="center"/>
          </w:tcPr>
          <w:p w14:paraId="1F38471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5D1C651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4EDA660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7EB1FDD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318D6888">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10FA5C4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555DC699">
            <w:pPr>
              <w:widowControl/>
              <w:kinsoku w:val="0"/>
              <w:autoSpaceDE w:val="0"/>
              <w:autoSpaceDN w:val="0"/>
              <w:snapToGrid w:val="0"/>
              <w:spacing w:line="240" w:lineRule="atLeast"/>
              <w:ind w:left="302"/>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844" w:type="dxa"/>
            <w:vMerge w:val="restart"/>
            <w:vAlign w:val="center"/>
          </w:tcPr>
          <w:p w14:paraId="0EE7137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58F051F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28D8BE08">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7A22C3D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73E6EE1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p w14:paraId="0DDBB4E8">
            <w:pPr>
              <w:widowControl/>
              <w:kinsoku w:val="0"/>
              <w:autoSpaceDE w:val="0"/>
              <w:autoSpaceDN w:val="0"/>
              <w:snapToGrid w:val="0"/>
              <w:spacing w:line="240" w:lineRule="atLeast"/>
              <w:ind w:left="2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3"/>
                <w:position w:val="9"/>
                <w:sz w:val="24"/>
                <w:highlight w:val="none"/>
              </w:rPr>
              <w:t>工</w:t>
            </w:r>
            <w:r>
              <w:rPr>
                <w:rFonts w:hint="eastAsia" w:ascii="新宋体" w:hAnsi="新宋体" w:eastAsia="新宋体" w:cs="新宋体"/>
                <w:color w:val="auto"/>
                <w:spacing w:val="-2"/>
                <w:position w:val="9"/>
                <w:sz w:val="24"/>
                <w:highlight w:val="none"/>
              </w:rPr>
              <w:t>程</w:t>
            </w:r>
          </w:p>
          <w:p w14:paraId="44656CAB">
            <w:pPr>
              <w:widowControl/>
              <w:kinsoku w:val="0"/>
              <w:autoSpaceDE w:val="0"/>
              <w:autoSpaceDN w:val="0"/>
              <w:snapToGrid w:val="0"/>
              <w:spacing w:line="240" w:lineRule="atLeast"/>
              <w:ind w:left="210"/>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设备</w:t>
            </w:r>
            <w:r>
              <w:rPr>
                <w:rFonts w:hint="eastAsia" w:ascii="新宋体" w:hAnsi="新宋体" w:eastAsia="新宋体" w:cs="新宋体"/>
                <w:color w:val="auto"/>
                <w:spacing w:val="-2"/>
                <w:sz w:val="24"/>
                <w:highlight w:val="none"/>
              </w:rPr>
              <w:br w:type="textWrapping"/>
            </w:r>
            <w:r>
              <w:rPr>
                <w:rFonts w:hint="eastAsia" w:ascii="新宋体" w:hAnsi="新宋体" w:eastAsia="新宋体" w:cs="新宋体"/>
                <w:color w:val="auto"/>
                <w:spacing w:val="-2"/>
                <w:sz w:val="24"/>
                <w:highlight w:val="none"/>
              </w:rPr>
              <w:t>维护</w:t>
            </w:r>
          </w:p>
        </w:tc>
        <w:tc>
          <w:tcPr>
            <w:tcW w:w="7192" w:type="dxa"/>
            <w:vAlign w:val="center"/>
          </w:tcPr>
          <w:p w14:paraId="54B276C9">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房屋地面、墙、台面、吊顶、门窗、楼梯、卫生洁具、大厅玻璃顶、外墙幕墙等完好，无霉变破损。</w:t>
            </w:r>
          </w:p>
        </w:tc>
        <w:tc>
          <w:tcPr>
            <w:tcW w:w="961" w:type="dxa"/>
            <w:gridSpan w:val="2"/>
            <w:vAlign w:val="center"/>
          </w:tcPr>
          <w:p w14:paraId="004DC4BC">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66071B5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restart"/>
            <w:tcBorders>
              <w:right w:val="single" w:color="000000" w:sz="6" w:space="0"/>
            </w:tcBorders>
            <w:vAlign w:val="center"/>
          </w:tcPr>
          <w:p w14:paraId="037C7C9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74737347">
            <w:pPr>
              <w:widowControl/>
              <w:kinsoku w:val="0"/>
              <w:autoSpaceDE w:val="0"/>
              <w:autoSpaceDN w:val="0"/>
              <w:snapToGrid w:val="0"/>
              <w:spacing w:line="240" w:lineRule="atLeast"/>
              <w:ind w:left="115" w:right="170"/>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满分，部分符合相应</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10D2D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720" w:type="dxa"/>
            <w:vMerge w:val="continue"/>
            <w:tcBorders>
              <w:left w:val="single" w:color="000000" w:sz="6" w:space="0"/>
            </w:tcBorders>
            <w:vAlign w:val="center"/>
          </w:tcPr>
          <w:p w14:paraId="11A7546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435757B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08372BDB">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至少每2小时巡视一次高配房设备运行情况，如实记录设备运行参数。定期对各类机房设备设施进行检查、维护、清洁，并做好记录。</w:t>
            </w:r>
          </w:p>
        </w:tc>
        <w:tc>
          <w:tcPr>
            <w:tcW w:w="961" w:type="dxa"/>
            <w:gridSpan w:val="2"/>
            <w:vAlign w:val="center"/>
          </w:tcPr>
          <w:p w14:paraId="6A4737FF">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6D23001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734D182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22B7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720" w:type="dxa"/>
            <w:vMerge w:val="continue"/>
            <w:tcBorders>
              <w:left w:val="single" w:color="000000" w:sz="6" w:space="0"/>
            </w:tcBorders>
            <w:vAlign w:val="center"/>
          </w:tcPr>
          <w:p w14:paraId="1DC4B91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5647774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3B7C16CD">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确保各类照明灯具、应急照明系统、供用电设备设施（包括配电箱、桥架、井道、开关、插座等）运行正常。</w:t>
            </w:r>
          </w:p>
        </w:tc>
        <w:tc>
          <w:tcPr>
            <w:tcW w:w="961" w:type="dxa"/>
            <w:gridSpan w:val="2"/>
            <w:vAlign w:val="center"/>
          </w:tcPr>
          <w:p w14:paraId="7BED8790">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178B143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6969FEB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96AC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0" w:type="dxa"/>
            <w:vMerge w:val="continue"/>
            <w:tcBorders>
              <w:left w:val="single" w:color="000000" w:sz="6" w:space="0"/>
            </w:tcBorders>
            <w:vAlign w:val="center"/>
          </w:tcPr>
          <w:p w14:paraId="1B7BEE1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7B5A435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483C7048">
            <w:pPr>
              <w:widowControl/>
              <w:numPr>
                <w:ilvl w:val="0"/>
                <w:numId w:val="19"/>
              </w:numPr>
              <w:kinsoku w:val="0"/>
              <w:autoSpaceDE w:val="0"/>
              <w:autoSpaceDN w:val="0"/>
              <w:snapToGrid w:val="0"/>
              <w:spacing w:line="240" w:lineRule="atLeast"/>
              <w:ind w:right="1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每日检查污水泵、排水泵、生活水泵、阀门、管道、仪表等，确保给排水系统正常运行，无“跑”“冒”“滴”“漏“现象。</w:t>
            </w:r>
          </w:p>
        </w:tc>
        <w:tc>
          <w:tcPr>
            <w:tcW w:w="961" w:type="dxa"/>
            <w:gridSpan w:val="2"/>
            <w:vAlign w:val="center"/>
          </w:tcPr>
          <w:p w14:paraId="24A51926">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6C551FB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472A773B">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E210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jc w:val="center"/>
        </w:trPr>
        <w:tc>
          <w:tcPr>
            <w:tcW w:w="720" w:type="dxa"/>
            <w:vMerge w:val="continue"/>
            <w:tcBorders>
              <w:left w:val="single" w:color="000000" w:sz="6" w:space="0"/>
            </w:tcBorders>
            <w:vAlign w:val="center"/>
          </w:tcPr>
          <w:p w14:paraId="3F8151C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4D689E6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02D44F66">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定期对水泵、管道进行养护，每年至少两次对水箱进行全面清洗，并提供水质检测报告。</w:t>
            </w:r>
          </w:p>
        </w:tc>
        <w:tc>
          <w:tcPr>
            <w:tcW w:w="961" w:type="dxa"/>
            <w:gridSpan w:val="2"/>
            <w:vAlign w:val="center"/>
          </w:tcPr>
          <w:p w14:paraId="2344BDB6">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49311D9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3B0BE1A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F4C0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0" w:type="dxa"/>
            <w:vMerge w:val="continue"/>
            <w:tcBorders>
              <w:left w:val="single" w:color="000000" w:sz="6" w:space="0"/>
            </w:tcBorders>
            <w:vAlign w:val="center"/>
          </w:tcPr>
          <w:p w14:paraId="48ECF4A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26528BD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53253217">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由专业人员定期对监控系统、门禁系统、多媒体系统、 会议系统等智能弱电设备进行巡查，定期清理设备机柜、控制箱、交换机等外表吸附的灰尘和絮状物。</w:t>
            </w:r>
          </w:p>
        </w:tc>
        <w:tc>
          <w:tcPr>
            <w:tcW w:w="961" w:type="dxa"/>
            <w:gridSpan w:val="2"/>
            <w:vAlign w:val="center"/>
          </w:tcPr>
          <w:p w14:paraId="78DBE50F">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5D80F99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7C8FFD5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4133A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0" w:type="dxa"/>
            <w:vMerge w:val="continue"/>
            <w:tcBorders>
              <w:left w:val="single" w:color="000000" w:sz="6" w:space="0"/>
            </w:tcBorders>
            <w:vAlign w:val="center"/>
          </w:tcPr>
          <w:p w14:paraId="3AC67E6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3692E36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2A296548">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961" w:type="dxa"/>
            <w:gridSpan w:val="2"/>
            <w:vAlign w:val="center"/>
          </w:tcPr>
          <w:p w14:paraId="7FB3C547">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4FCD296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4D81163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729B0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jc w:val="center"/>
        </w:trPr>
        <w:tc>
          <w:tcPr>
            <w:tcW w:w="720" w:type="dxa"/>
            <w:vMerge w:val="continue"/>
            <w:tcBorders>
              <w:left w:val="single" w:color="000000" w:sz="6" w:space="0"/>
            </w:tcBorders>
            <w:vAlign w:val="center"/>
          </w:tcPr>
          <w:p w14:paraId="09F9862A">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430A3DC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0542562D">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应配置持有特种设备作业人员证的电梯安全管理人员，对电梯保养、运行进行监督管理。</w:t>
            </w:r>
          </w:p>
        </w:tc>
        <w:tc>
          <w:tcPr>
            <w:tcW w:w="961" w:type="dxa"/>
            <w:gridSpan w:val="2"/>
            <w:vAlign w:val="center"/>
          </w:tcPr>
          <w:p w14:paraId="11714AED">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1C76CE7D">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50595FC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279AB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0" w:type="dxa"/>
            <w:vMerge w:val="continue"/>
            <w:tcBorders>
              <w:left w:val="single" w:color="000000" w:sz="6" w:space="0"/>
            </w:tcBorders>
            <w:vAlign w:val="center"/>
          </w:tcPr>
          <w:p w14:paraId="232B509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77E510FE">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29379DB3">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961" w:type="dxa"/>
            <w:gridSpan w:val="2"/>
            <w:vAlign w:val="center"/>
          </w:tcPr>
          <w:p w14:paraId="76C5F8FF">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7E1AD49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21FD965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34F7A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720" w:type="dxa"/>
            <w:vMerge w:val="continue"/>
            <w:tcBorders>
              <w:left w:val="single" w:color="000000" w:sz="6" w:space="0"/>
            </w:tcBorders>
            <w:vAlign w:val="center"/>
          </w:tcPr>
          <w:p w14:paraId="3EB96C6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1C3D7BA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1A6401F5">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定期对空调系统进行检查、维护、清洁，测试运 行控制和安全控制功能，记录运行参数，分析运行记录，确保空调系统正常运行。每年冬夏两次对空调系统进行全面的维护保养。</w:t>
            </w:r>
          </w:p>
        </w:tc>
        <w:tc>
          <w:tcPr>
            <w:tcW w:w="961" w:type="dxa"/>
            <w:gridSpan w:val="2"/>
            <w:vAlign w:val="center"/>
          </w:tcPr>
          <w:p w14:paraId="491A8528">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608DF1C4">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1F87D79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49A0B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vMerge w:val="continue"/>
            <w:tcBorders>
              <w:left w:val="single" w:color="000000" w:sz="6" w:space="0"/>
            </w:tcBorders>
            <w:vAlign w:val="center"/>
          </w:tcPr>
          <w:p w14:paraId="7621371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6FB55759">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20D82629">
            <w:pPr>
              <w:widowControl/>
              <w:numPr>
                <w:ilvl w:val="0"/>
                <w:numId w:val="19"/>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961" w:type="dxa"/>
            <w:gridSpan w:val="2"/>
            <w:vAlign w:val="center"/>
          </w:tcPr>
          <w:p w14:paraId="5FE61677">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24" w:type="dxa"/>
            <w:vAlign w:val="center"/>
          </w:tcPr>
          <w:p w14:paraId="5F84F614">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4659E04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47EF2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tcBorders>
              <w:left w:val="single" w:color="000000" w:sz="6" w:space="0"/>
            </w:tcBorders>
            <w:vAlign w:val="center"/>
          </w:tcPr>
          <w:p w14:paraId="1D98F71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844" w:type="dxa"/>
            <w:vAlign w:val="center"/>
          </w:tcPr>
          <w:p w14:paraId="32E3DDFF">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会务</w:t>
            </w:r>
            <w:r>
              <w:rPr>
                <w:rFonts w:hint="eastAsia" w:ascii="新宋体" w:hAnsi="新宋体" w:eastAsia="新宋体" w:cs="新宋体"/>
                <w:color w:val="auto"/>
                <w:sz w:val="24"/>
                <w:highlight w:val="none"/>
              </w:rPr>
              <w:br w:type="textWrapping"/>
            </w:r>
            <w:r>
              <w:rPr>
                <w:rFonts w:hint="eastAsia" w:ascii="新宋体" w:hAnsi="新宋体" w:eastAsia="新宋体" w:cs="新宋体"/>
                <w:color w:val="auto"/>
                <w:sz w:val="24"/>
                <w:highlight w:val="none"/>
              </w:rPr>
              <w:t>服务</w:t>
            </w:r>
          </w:p>
        </w:tc>
        <w:tc>
          <w:tcPr>
            <w:tcW w:w="7192" w:type="dxa"/>
            <w:vAlign w:val="center"/>
          </w:tcPr>
          <w:p w14:paraId="60811612">
            <w:pPr>
              <w:widowControl/>
              <w:numPr>
                <w:ilvl w:val="0"/>
                <w:numId w:val="2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根据会议安排及采购人要求，确定台形，做好会议物品摆放、设备调试、会议资料发放等会前服务准备工作。</w:t>
            </w:r>
          </w:p>
          <w:p w14:paraId="2E91AF5F">
            <w:pPr>
              <w:widowControl/>
              <w:numPr>
                <w:ilvl w:val="0"/>
                <w:numId w:val="2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会议期间定时倒水，根据需要为与会人员提供服务，会议设备如出现问题及时协调处理。</w:t>
            </w:r>
          </w:p>
          <w:p w14:paraId="6F0843D0">
            <w:pPr>
              <w:widowControl/>
              <w:numPr>
                <w:ilvl w:val="0"/>
                <w:numId w:val="20"/>
              </w:numPr>
              <w:kinsoku w:val="0"/>
              <w:autoSpaceDE w:val="0"/>
              <w:autoSpaceDN w:val="0"/>
              <w:snapToGrid w:val="0"/>
              <w:spacing w:line="360" w:lineRule="auto"/>
              <w:jc w:val="lef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会议结束后做好会议物品整理，茶具清洗、消毒，会议场地清扫，设施设备清点、检查、记录等会后服务。</w:t>
            </w:r>
          </w:p>
          <w:p w14:paraId="18EA6FEE">
            <w:pPr>
              <w:widowControl/>
              <w:numPr>
                <w:ilvl w:val="0"/>
                <w:numId w:val="20"/>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对会议服务期间接触的会议信息、会议资料应严格保密。</w:t>
            </w:r>
          </w:p>
        </w:tc>
        <w:tc>
          <w:tcPr>
            <w:tcW w:w="961" w:type="dxa"/>
            <w:gridSpan w:val="2"/>
            <w:vAlign w:val="center"/>
          </w:tcPr>
          <w:p w14:paraId="7FF659AD">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924" w:type="dxa"/>
            <w:vAlign w:val="center"/>
          </w:tcPr>
          <w:p w14:paraId="431EFA7E">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tcBorders>
              <w:right w:val="single" w:color="000000" w:sz="6" w:space="0"/>
            </w:tcBorders>
            <w:vAlign w:val="center"/>
          </w:tcPr>
          <w:p w14:paraId="4649488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77903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vMerge w:val="restart"/>
            <w:tcBorders>
              <w:left w:val="single" w:color="000000" w:sz="6" w:space="0"/>
            </w:tcBorders>
            <w:vAlign w:val="center"/>
          </w:tcPr>
          <w:p w14:paraId="31106A75">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844" w:type="dxa"/>
            <w:vMerge w:val="restart"/>
            <w:vAlign w:val="center"/>
          </w:tcPr>
          <w:p w14:paraId="772033B6">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采购单位交办的其他工作</w:t>
            </w:r>
          </w:p>
        </w:tc>
        <w:tc>
          <w:tcPr>
            <w:tcW w:w="7192" w:type="dxa"/>
            <w:vAlign w:val="center"/>
          </w:tcPr>
          <w:p w14:paraId="2B974FA4">
            <w:pPr>
              <w:widowControl/>
              <w:kinsoku w:val="0"/>
              <w:autoSpaceDE w:val="0"/>
              <w:autoSpaceDN w:val="0"/>
              <w:snapToGrid w:val="0"/>
              <w:spacing w:line="240" w:lineRule="atLeast"/>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1、建立突发事件应急预案体系，包括电梯困人、紧急会议、火警火灾、突发停电、水管破裂、意外伤害、群体性上访、台风、暴雨及雷电等应急预案等。</w:t>
            </w:r>
          </w:p>
        </w:tc>
        <w:tc>
          <w:tcPr>
            <w:tcW w:w="961" w:type="dxa"/>
            <w:gridSpan w:val="2"/>
            <w:vAlign w:val="center"/>
          </w:tcPr>
          <w:p w14:paraId="32AD34E3">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33AAA4D9">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tcBorders>
              <w:right w:val="single" w:color="000000" w:sz="6" w:space="0"/>
            </w:tcBorders>
            <w:vAlign w:val="center"/>
          </w:tcPr>
          <w:p w14:paraId="23AC2D55">
            <w:pPr>
              <w:widowControl/>
              <w:kinsoku w:val="0"/>
              <w:autoSpaceDE w:val="0"/>
              <w:autoSpaceDN w:val="0"/>
              <w:snapToGrid w:val="0"/>
              <w:spacing w:line="240" w:lineRule="atLeast"/>
              <w:textAlignment w:val="baseline"/>
              <w:rPr>
                <w:rFonts w:ascii="新宋体" w:hAnsi="新宋体" w:eastAsia="新宋体" w:cs="新宋体"/>
                <w:color w:val="auto"/>
                <w:spacing w:val="-1"/>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52E30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vMerge w:val="continue"/>
            <w:tcBorders>
              <w:left w:val="single" w:color="000000" w:sz="6" w:space="0"/>
            </w:tcBorders>
            <w:vAlign w:val="center"/>
          </w:tcPr>
          <w:p w14:paraId="5EAD9169">
            <w:pPr>
              <w:widowControl/>
              <w:kinsoku w:val="0"/>
              <w:autoSpaceDE w:val="0"/>
              <w:autoSpaceDN w:val="0"/>
              <w:snapToGrid w:val="0"/>
              <w:spacing w:line="240" w:lineRule="atLeast"/>
              <w:jc w:val="center"/>
              <w:textAlignment w:val="baseline"/>
              <w:rPr>
                <w:color w:val="auto"/>
                <w:highlight w:val="none"/>
              </w:rPr>
            </w:pPr>
          </w:p>
        </w:tc>
        <w:tc>
          <w:tcPr>
            <w:tcW w:w="844" w:type="dxa"/>
            <w:vMerge w:val="continue"/>
            <w:vAlign w:val="center"/>
          </w:tcPr>
          <w:p w14:paraId="6604070C">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44F0B514">
            <w:pPr>
              <w:widowControl/>
              <w:kinsoku w:val="0"/>
              <w:autoSpaceDE w:val="0"/>
              <w:autoSpaceDN w:val="0"/>
              <w:snapToGrid w:val="0"/>
              <w:spacing w:line="240" w:lineRule="atLeast"/>
              <w:ind w:left="400"/>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2、每年至少组织1次突发事件应急演习。</w:t>
            </w:r>
          </w:p>
        </w:tc>
        <w:tc>
          <w:tcPr>
            <w:tcW w:w="961" w:type="dxa"/>
            <w:gridSpan w:val="2"/>
            <w:vAlign w:val="center"/>
          </w:tcPr>
          <w:p w14:paraId="104B20D2">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49116DE1">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tcBorders>
              <w:right w:val="single" w:color="000000" w:sz="6" w:space="0"/>
            </w:tcBorders>
            <w:vAlign w:val="center"/>
          </w:tcPr>
          <w:p w14:paraId="5E83E1D9">
            <w:pPr>
              <w:widowControl/>
              <w:kinsoku w:val="0"/>
              <w:autoSpaceDE w:val="0"/>
              <w:autoSpaceDN w:val="0"/>
              <w:snapToGrid w:val="0"/>
              <w:spacing w:line="240" w:lineRule="atLeast"/>
              <w:textAlignment w:val="baseline"/>
              <w:rPr>
                <w:rFonts w:ascii="新宋体" w:hAnsi="新宋体" w:eastAsia="新宋体" w:cs="新宋体"/>
                <w:color w:val="auto"/>
                <w:spacing w:val="-1"/>
                <w:sz w:val="24"/>
                <w:highlight w:val="none"/>
              </w:rPr>
            </w:pPr>
          </w:p>
        </w:tc>
      </w:tr>
      <w:tr w14:paraId="1F41C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vMerge w:val="restart"/>
            <w:tcBorders>
              <w:left w:val="single" w:color="000000" w:sz="6" w:space="0"/>
            </w:tcBorders>
            <w:vAlign w:val="center"/>
          </w:tcPr>
          <w:p w14:paraId="592A6280">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844" w:type="dxa"/>
            <w:vMerge w:val="restart"/>
            <w:vAlign w:val="center"/>
          </w:tcPr>
          <w:p w14:paraId="272C615B">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投入设备、耗材等情况</w:t>
            </w:r>
          </w:p>
        </w:tc>
        <w:tc>
          <w:tcPr>
            <w:tcW w:w="7192" w:type="dxa"/>
            <w:vAlign w:val="center"/>
          </w:tcPr>
          <w:p w14:paraId="0E369112">
            <w:pPr>
              <w:widowControl/>
              <w:numPr>
                <w:ilvl w:val="0"/>
                <w:numId w:val="2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投入本项目的设备情况与招标需求、投标承诺一致。</w:t>
            </w:r>
          </w:p>
        </w:tc>
        <w:tc>
          <w:tcPr>
            <w:tcW w:w="961" w:type="dxa"/>
            <w:gridSpan w:val="2"/>
            <w:vAlign w:val="center"/>
          </w:tcPr>
          <w:p w14:paraId="1686067E">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77FA3CA5">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tcBorders>
              <w:right w:val="single" w:color="000000" w:sz="6" w:space="0"/>
            </w:tcBorders>
            <w:vAlign w:val="center"/>
          </w:tcPr>
          <w:p w14:paraId="51473BA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30811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vMerge w:val="continue"/>
            <w:tcBorders>
              <w:left w:val="single" w:color="000000" w:sz="6" w:space="0"/>
            </w:tcBorders>
            <w:vAlign w:val="center"/>
          </w:tcPr>
          <w:p w14:paraId="33F2C721">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240F41F2">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4898D720">
            <w:pPr>
              <w:widowControl/>
              <w:numPr>
                <w:ilvl w:val="0"/>
                <w:numId w:val="2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投入本项目的保洁日常工具、厕纸、擦手纸、洗手液等耗材与招标需求、投标承诺一致。</w:t>
            </w:r>
          </w:p>
        </w:tc>
        <w:tc>
          <w:tcPr>
            <w:tcW w:w="961" w:type="dxa"/>
            <w:gridSpan w:val="2"/>
            <w:vAlign w:val="center"/>
          </w:tcPr>
          <w:p w14:paraId="4EBC91ED">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4741AD6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tcBorders>
              <w:right w:val="single" w:color="000000" w:sz="6" w:space="0"/>
            </w:tcBorders>
            <w:vAlign w:val="center"/>
          </w:tcPr>
          <w:p w14:paraId="23C5C286">
            <w:pPr>
              <w:widowControl/>
              <w:kinsoku w:val="0"/>
              <w:autoSpaceDE w:val="0"/>
              <w:autoSpaceDN w:val="0"/>
              <w:snapToGrid w:val="0"/>
              <w:spacing w:line="240" w:lineRule="atLeast"/>
              <w:textAlignment w:val="baseline"/>
              <w:rPr>
                <w:rFonts w:ascii="新宋体" w:hAnsi="新宋体" w:eastAsia="新宋体" w:cs="新宋体"/>
                <w:color w:val="auto"/>
                <w:spacing w:val="-1"/>
                <w:sz w:val="24"/>
                <w:highlight w:val="none"/>
              </w:rPr>
            </w:pPr>
            <w:r>
              <w:rPr>
                <w:rFonts w:hint="eastAsia" w:ascii="新宋体" w:hAnsi="新宋体" w:eastAsia="新宋体" w:cs="新宋体"/>
                <w:color w:val="auto"/>
                <w:spacing w:val="-1"/>
                <w:sz w:val="24"/>
                <w:highlight w:val="none"/>
              </w:rPr>
              <w:t>完全符合得</w:t>
            </w:r>
            <w:r>
              <w:rPr>
                <w:rFonts w:hint="eastAsia" w:ascii="新宋体" w:hAnsi="新宋体" w:eastAsia="新宋体" w:cs="新宋体"/>
                <w:color w:val="auto"/>
                <w:sz w:val="24"/>
                <w:highlight w:val="none"/>
              </w:rPr>
              <w:t xml:space="preserve">满分，部分符合相应 </w:t>
            </w:r>
            <w:r>
              <w:rPr>
                <w:rFonts w:hint="eastAsia" w:ascii="新宋体" w:hAnsi="新宋体" w:eastAsia="新宋体" w:cs="新宋体"/>
                <w:color w:val="auto"/>
                <w:spacing w:val="-18"/>
                <w:sz w:val="24"/>
                <w:highlight w:val="none"/>
              </w:rPr>
              <w:t>递</w:t>
            </w:r>
            <w:r>
              <w:rPr>
                <w:rFonts w:hint="eastAsia" w:ascii="新宋体" w:hAnsi="新宋体" w:eastAsia="新宋体" w:cs="新宋体"/>
                <w:color w:val="auto"/>
                <w:spacing w:val="-12"/>
                <w:sz w:val="24"/>
                <w:highlight w:val="none"/>
              </w:rPr>
              <w:t>减， 不符合得 0 分</w:t>
            </w:r>
          </w:p>
        </w:tc>
      </w:tr>
      <w:tr w14:paraId="2DCF6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vMerge w:val="continue"/>
            <w:tcBorders>
              <w:left w:val="single" w:color="000000" w:sz="6" w:space="0"/>
            </w:tcBorders>
            <w:vAlign w:val="center"/>
          </w:tcPr>
          <w:p w14:paraId="2D0BB60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3DCE0CA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1D4F6560">
            <w:pPr>
              <w:widowControl/>
              <w:numPr>
                <w:ilvl w:val="0"/>
                <w:numId w:val="21"/>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投入本项目防汛物资、器材等与招标需求、投标承诺一致。</w:t>
            </w:r>
          </w:p>
        </w:tc>
        <w:tc>
          <w:tcPr>
            <w:tcW w:w="961" w:type="dxa"/>
            <w:gridSpan w:val="2"/>
            <w:vAlign w:val="center"/>
          </w:tcPr>
          <w:p w14:paraId="4E9EE4AA">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14EEB79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tcBorders>
              <w:right w:val="single" w:color="000000" w:sz="6" w:space="0"/>
            </w:tcBorders>
            <w:vAlign w:val="center"/>
          </w:tcPr>
          <w:p w14:paraId="4430503F">
            <w:pPr>
              <w:widowControl/>
              <w:kinsoku w:val="0"/>
              <w:autoSpaceDE w:val="0"/>
              <w:autoSpaceDN w:val="0"/>
              <w:snapToGrid w:val="0"/>
              <w:spacing w:line="240" w:lineRule="atLeast"/>
              <w:textAlignment w:val="baseline"/>
              <w:rPr>
                <w:rFonts w:ascii="新宋体" w:hAnsi="新宋体" w:eastAsia="新宋体" w:cs="新宋体"/>
                <w:color w:val="auto"/>
                <w:spacing w:val="-1"/>
                <w:sz w:val="24"/>
                <w:highlight w:val="none"/>
              </w:rPr>
            </w:pPr>
          </w:p>
        </w:tc>
      </w:tr>
      <w:tr w14:paraId="7334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vMerge w:val="restart"/>
            <w:tcBorders>
              <w:left w:val="single" w:color="000000" w:sz="6" w:space="0"/>
            </w:tcBorders>
            <w:vAlign w:val="center"/>
          </w:tcPr>
          <w:p w14:paraId="0A7B9D94">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w:t>
            </w:r>
          </w:p>
        </w:tc>
        <w:tc>
          <w:tcPr>
            <w:tcW w:w="844" w:type="dxa"/>
            <w:vMerge w:val="restart"/>
            <w:vAlign w:val="center"/>
          </w:tcPr>
          <w:p w14:paraId="7A90574C">
            <w:pPr>
              <w:widowControl/>
              <w:kinsoku w:val="0"/>
              <w:autoSpaceDE w:val="0"/>
              <w:autoSpaceDN w:val="0"/>
              <w:snapToGrid w:val="0"/>
              <w:spacing w:line="240" w:lineRule="atLeast"/>
              <w:ind w:left="213"/>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3"/>
                <w:sz w:val="24"/>
                <w:highlight w:val="none"/>
              </w:rPr>
              <w:t>投</w:t>
            </w:r>
            <w:r>
              <w:rPr>
                <w:rFonts w:hint="eastAsia" w:ascii="新宋体" w:hAnsi="新宋体" w:eastAsia="新宋体" w:cs="新宋体"/>
                <w:color w:val="auto"/>
                <w:spacing w:val="-2"/>
                <w:sz w:val="24"/>
                <w:highlight w:val="none"/>
              </w:rPr>
              <w:t>诉</w:t>
            </w:r>
          </w:p>
          <w:p w14:paraId="79929116">
            <w:pPr>
              <w:widowControl/>
              <w:kinsoku w:val="0"/>
              <w:autoSpaceDE w:val="0"/>
              <w:autoSpaceDN w:val="0"/>
              <w:snapToGrid w:val="0"/>
              <w:spacing w:line="240" w:lineRule="atLeast"/>
              <w:ind w:left="208"/>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检</w:t>
            </w:r>
            <w:r>
              <w:rPr>
                <w:rFonts w:hint="eastAsia" w:ascii="新宋体" w:hAnsi="新宋体" w:eastAsia="新宋体" w:cs="新宋体"/>
                <w:color w:val="auto"/>
                <w:spacing w:val="-1"/>
                <w:sz w:val="24"/>
                <w:highlight w:val="none"/>
              </w:rPr>
              <w:t>查</w:t>
            </w:r>
          </w:p>
          <w:p w14:paraId="71A73309">
            <w:pPr>
              <w:widowControl/>
              <w:kinsoku w:val="0"/>
              <w:autoSpaceDE w:val="0"/>
              <w:autoSpaceDN w:val="0"/>
              <w:snapToGrid w:val="0"/>
              <w:spacing w:line="240" w:lineRule="atLeast"/>
              <w:ind w:left="211"/>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整改</w:t>
            </w:r>
          </w:p>
        </w:tc>
        <w:tc>
          <w:tcPr>
            <w:tcW w:w="7192" w:type="dxa"/>
            <w:vAlign w:val="center"/>
          </w:tcPr>
          <w:p w14:paraId="79C7A5B3">
            <w:pPr>
              <w:widowControl/>
              <w:numPr>
                <w:ilvl w:val="0"/>
                <w:numId w:val="21"/>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8"/>
                <w:sz w:val="24"/>
                <w:highlight w:val="none"/>
              </w:rPr>
              <w:t>建立完善</w:t>
            </w:r>
            <w:r>
              <w:rPr>
                <w:rFonts w:hint="eastAsia" w:ascii="新宋体" w:hAnsi="新宋体" w:eastAsia="新宋体" w:cs="新宋体"/>
                <w:color w:val="auto"/>
                <w:spacing w:val="-5"/>
                <w:sz w:val="24"/>
                <w:highlight w:val="none"/>
              </w:rPr>
              <w:t>的</w:t>
            </w:r>
            <w:r>
              <w:rPr>
                <w:rFonts w:hint="eastAsia" w:ascii="新宋体" w:hAnsi="新宋体" w:eastAsia="新宋体" w:cs="新宋体"/>
                <w:color w:val="auto"/>
                <w:spacing w:val="-4"/>
                <w:sz w:val="24"/>
                <w:highlight w:val="none"/>
              </w:rPr>
              <w:t>投诉响应机制， 并能妥善处理各类投诉及建议，给予投诉客户</w:t>
            </w:r>
            <w:r>
              <w:rPr>
                <w:rFonts w:hint="eastAsia" w:ascii="新宋体" w:hAnsi="新宋体" w:eastAsia="新宋体" w:cs="新宋体"/>
                <w:color w:val="auto"/>
                <w:spacing w:val="-8"/>
                <w:sz w:val="24"/>
                <w:highlight w:val="none"/>
              </w:rPr>
              <w:t>答复。</w:t>
            </w:r>
          </w:p>
        </w:tc>
        <w:tc>
          <w:tcPr>
            <w:tcW w:w="961" w:type="dxa"/>
            <w:gridSpan w:val="2"/>
            <w:vAlign w:val="center"/>
          </w:tcPr>
          <w:p w14:paraId="31D26D78">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068B5173">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restart"/>
            <w:tcBorders>
              <w:right w:val="single" w:color="000000" w:sz="6" w:space="0"/>
            </w:tcBorders>
            <w:vAlign w:val="center"/>
          </w:tcPr>
          <w:p w14:paraId="48A8EB66">
            <w:pPr>
              <w:widowControl/>
              <w:kinsoku w:val="0"/>
              <w:autoSpaceDE w:val="0"/>
              <w:autoSpaceDN w:val="0"/>
              <w:snapToGrid w:val="0"/>
              <w:spacing w:line="240" w:lineRule="atLeast"/>
              <w:ind w:right="109"/>
              <w:textAlignment w:val="baseline"/>
              <w:rPr>
                <w:rFonts w:ascii="新宋体" w:hAnsi="新宋体" w:eastAsia="新宋体" w:cs="新宋体"/>
                <w:color w:val="auto"/>
                <w:sz w:val="24"/>
                <w:highlight w:val="none"/>
              </w:rPr>
            </w:pPr>
            <w:r>
              <w:rPr>
                <w:rFonts w:ascii="新宋体" w:hAnsi="新宋体" w:eastAsia="新宋体" w:cs="新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page">
                        <wp:posOffset>10095230</wp:posOffset>
                      </wp:positionH>
                      <wp:positionV relativeFrom="page">
                        <wp:posOffset>5080</wp:posOffset>
                      </wp:positionV>
                      <wp:extent cx="6350" cy="1023620"/>
                      <wp:effectExtent l="0" t="0" r="12700" b="5080"/>
                      <wp:wrapNone/>
                      <wp:docPr id="4" name="矩形 1"/>
                      <wp:cNvGraphicFramePr/>
                      <a:graphic xmlns:a="http://schemas.openxmlformats.org/drawingml/2006/main">
                        <a:graphicData uri="http://schemas.microsoft.com/office/word/2010/wordprocessingShape">
                          <wps:wsp>
                            <wps:cNvSpPr>
                              <a:spLocks noChangeArrowheads="1"/>
                            </wps:cNvSpPr>
                            <wps:spPr bwMode="auto">
                              <a:xfrm>
                                <a:off x="0" y="0"/>
                                <a:ext cx="6350" cy="102362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94.9pt;margin-top:0.4pt;height:80.6pt;width:0.5pt;mso-position-horizontal-relative:page;mso-position-vertical-relative:page;z-index:251662336;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SEY12AAA&#10;AAoBAAAPAAAAAAAAAAEAIAAAACIAAABkcnMvZG93bnJldi54bWxQSwECFAAUAAAACACHTuJAjsFC&#10;Jh4CAAAyBAAADgAAAAAAAAABACAAAAAnAQAAZHJzL2Uyb0RvYy54bWxQSwUGAAAAAAYABgBZAQAA&#10;twUAAAAA&#10;">
                      <v:fill on="t" focussize="0,0"/>
                      <v:stroke on="f"/>
                      <v:imagedata o:title=""/>
                      <o:lock v:ext="edit" aspectratio="f"/>
                    </v:rect>
                  </w:pict>
                </mc:Fallback>
              </mc:AlternateContent>
            </w:r>
            <w:r>
              <w:rPr>
                <w:rFonts w:hint="eastAsia" w:ascii="新宋体" w:hAnsi="新宋体" w:eastAsia="新宋体" w:cs="新宋体"/>
                <w:color w:val="auto"/>
                <w:spacing w:val="-2"/>
                <w:sz w:val="24"/>
                <w:highlight w:val="none"/>
              </w:rPr>
              <w:t>①</w:t>
            </w:r>
            <w:r>
              <w:rPr>
                <w:rFonts w:hint="eastAsia" w:ascii="新宋体" w:hAnsi="新宋体" w:eastAsia="新宋体" w:cs="新宋体"/>
                <w:color w:val="auto"/>
                <w:spacing w:val="-1"/>
                <w:sz w:val="24"/>
                <w:highlight w:val="none"/>
              </w:rPr>
              <w:t>投诉事件经认定属实，未妥善</w:t>
            </w:r>
            <w:r>
              <w:rPr>
                <w:rFonts w:hint="eastAsia" w:ascii="新宋体" w:hAnsi="新宋体" w:eastAsia="新宋体" w:cs="新宋体"/>
                <w:color w:val="auto"/>
                <w:spacing w:val="-17"/>
                <w:sz w:val="24"/>
                <w:highlight w:val="none"/>
              </w:rPr>
              <w:t>处</w:t>
            </w:r>
            <w:r>
              <w:rPr>
                <w:rFonts w:hint="eastAsia" w:ascii="新宋体" w:hAnsi="新宋体" w:eastAsia="新宋体" w:cs="新宋体"/>
                <w:color w:val="auto"/>
                <w:spacing w:val="-12"/>
                <w:sz w:val="24"/>
                <w:highlight w:val="none"/>
              </w:rPr>
              <w:t>理或未答复，扣 1 分。</w:t>
            </w:r>
          </w:p>
          <w:p w14:paraId="7B20D82C">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4"/>
                <w:sz w:val="24"/>
                <w:highlight w:val="none"/>
              </w:rPr>
              <w:t>②符合得 2分，基本符合得 1 分</w:t>
            </w:r>
            <w:r>
              <w:rPr>
                <w:rFonts w:hint="eastAsia" w:ascii="新宋体" w:hAnsi="新宋体" w:eastAsia="新宋体" w:cs="新宋体"/>
                <w:color w:val="auto"/>
                <w:spacing w:val="-11"/>
                <w:sz w:val="24"/>
                <w:highlight w:val="none"/>
              </w:rPr>
              <w:t>，</w:t>
            </w:r>
            <w:r>
              <w:rPr>
                <w:rFonts w:hint="eastAsia" w:ascii="新宋体" w:hAnsi="新宋体" w:eastAsia="新宋体" w:cs="新宋体"/>
                <w:color w:val="auto"/>
                <w:spacing w:val="-10"/>
                <w:sz w:val="24"/>
                <w:highlight w:val="none"/>
              </w:rPr>
              <w:t>不</w:t>
            </w:r>
            <w:r>
              <w:rPr>
                <w:rFonts w:hint="eastAsia" w:ascii="新宋体" w:hAnsi="新宋体" w:eastAsia="新宋体" w:cs="新宋体"/>
                <w:color w:val="auto"/>
                <w:spacing w:val="-6"/>
                <w:sz w:val="24"/>
                <w:highlight w:val="none"/>
              </w:rPr>
              <w:t>符</w:t>
            </w:r>
            <w:r>
              <w:rPr>
                <w:rFonts w:hint="eastAsia" w:ascii="新宋体" w:hAnsi="新宋体" w:eastAsia="新宋体" w:cs="新宋体"/>
                <w:color w:val="auto"/>
                <w:spacing w:val="-5"/>
                <w:sz w:val="24"/>
                <w:highlight w:val="none"/>
              </w:rPr>
              <w:t>合得 0 分</w:t>
            </w:r>
          </w:p>
        </w:tc>
      </w:tr>
      <w:tr w14:paraId="539EB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vMerge w:val="continue"/>
            <w:tcBorders>
              <w:left w:val="single" w:color="000000" w:sz="6" w:space="0"/>
            </w:tcBorders>
            <w:vAlign w:val="center"/>
          </w:tcPr>
          <w:p w14:paraId="243B831B">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2641DD57">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1C3B4F53">
            <w:pPr>
              <w:widowControl/>
              <w:numPr>
                <w:ilvl w:val="0"/>
                <w:numId w:val="21"/>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1"/>
                <w:sz w:val="24"/>
                <w:highlight w:val="none"/>
              </w:rPr>
              <w:t>检查整改有效落</w:t>
            </w:r>
            <w:r>
              <w:rPr>
                <w:rFonts w:hint="eastAsia" w:ascii="新宋体" w:hAnsi="新宋体" w:eastAsia="新宋体" w:cs="新宋体"/>
                <w:color w:val="auto"/>
                <w:sz w:val="24"/>
                <w:highlight w:val="none"/>
              </w:rPr>
              <w:t>实。</w:t>
            </w:r>
          </w:p>
        </w:tc>
        <w:tc>
          <w:tcPr>
            <w:tcW w:w="961" w:type="dxa"/>
            <w:gridSpan w:val="2"/>
            <w:vAlign w:val="center"/>
          </w:tcPr>
          <w:p w14:paraId="19516943">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6E9A0704">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4F7070A4">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4BE27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vMerge w:val="continue"/>
            <w:tcBorders>
              <w:left w:val="single" w:color="000000" w:sz="6" w:space="0"/>
            </w:tcBorders>
            <w:vAlign w:val="center"/>
          </w:tcPr>
          <w:p w14:paraId="7DEC0B73">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844" w:type="dxa"/>
            <w:vMerge w:val="continue"/>
            <w:vAlign w:val="center"/>
          </w:tcPr>
          <w:p w14:paraId="28CE5E7D">
            <w:pPr>
              <w:widowControl/>
              <w:kinsoku w:val="0"/>
              <w:autoSpaceDE w:val="0"/>
              <w:autoSpaceDN w:val="0"/>
              <w:snapToGrid w:val="0"/>
              <w:spacing w:line="240" w:lineRule="atLeast"/>
              <w:jc w:val="center"/>
              <w:textAlignment w:val="baseline"/>
              <w:rPr>
                <w:rFonts w:ascii="新宋体" w:hAnsi="新宋体" w:eastAsia="新宋体" w:cs="新宋体"/>
                <w:color w:val="auto"/>
                <w:sz w:val="24"/>
                <w:highlight w:val="none"/>
              </w:rPr>
            </w:pPr>
          </w:p>
        </w:tc>
        <w:tc>
          <w:tcPr>
            <w:tcW w:w="7192" w:type="dxa"/>
            <w:vAlign w:val="center"/>
          </w:tcPr>
          <w:p w14:paraId="163EC78C">
            <w:pPr>
              <w:widowControl/>
              <w:numPr>
                <w:ilvl w:val="0"/>
                <w:numId w:val="21"/>
              </w:numPr>
              <w:kinsoku w:val="0"/>
              <w:autoSpaceDE w:val="0"/>
              <w:autoSpaceDN w:val="0"/>
              <w:snapToGrid w:val="0"/>
              <w:spacing w:line="240" w:lineRule="atLeast"/>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sz w:val="24"/>
                <w:highlight w:val="none"/>
              </w:rPr>
              <w:t>无其它</w:t>
            </w:r>
            <w:r>
              <w:rPr>
                <w:rFonts w:hint="eastAsia" w:ascii="新宋体" w:hAnsi="新宋体" w:eastAsia="新宋体" w:cs="新宋体"/>
                <w:color w:val="auto"/>
                <w:spacing w:val="-1"/>
                <w:sz w:val="24"/>
                <w:highlight w:val="none"/>
              </w:rPr>
              <w:t>违反采购人相关规定之事项。</w:t>
            </w:r>
          </w:p>
        </w:tc>
        <w:tc>
          <w:tcPr>
            <w:tcW w:w="961" w:type="dxa"/>
            <w:gridSpan w:val="2"/>
            <w:vAlign w:val="center"/>
          </w:tcPr>
          <w:p w14:paraId="64FFF173">
            <w:pPr>
              <w:widowControl/>
              <w:kinsoku w:val="0"/>
              <w:autoSpaceDE w:val="0"/>
              <w:autoSpaceDN w:val="0"/>
              <w:snapToGrid w:val="0"/>
              <w:spacing w:line="240" w:lineRule="atLeast"/>
              <w:ind w:left="432"/>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24" w:type="dxa"/>
            <w:vAlign w:val="center"/>
          </w:tcPr>
          <w:p w14:paraId="31A7AFA7">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vMerge w:val="continue"/>
            <w:tcBorders>
              <w:right w:val="single" w:color="000000" w:sz="6" w:space="0"/>
            </w:tcBorders>
            <w:vAlign w:val="center"/>
          </w:tcPr>
          <w:p w14:paraId="45F2FCA2">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1B59F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tcBorders>
              <w:left w:val="single" w:color="000000" w:sz="6" w:space="0"/>
            </w:tcBorders>
            <w:vAlign w:val="center"/>
          </w:tcPr>
          <w:p w14:paraId="5A33093A">
            <w:pPr>
              <w:widowControl/>
              <w:kinsoku w:val="0"/>
              <w:autoSpaceDE w:val="0"/>
              <w:autoSpaceDN w:val="0"/>
              <w:snapToGrid w:val="0"/>
              <w:spacing w:line="240" w:lineRule="atLeast"/>
              <w:ind w:left="303"/>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844" w:type="dxa"/>
            <w:vAlign w:val="center"/>
          </w:tcPr>
          <w:p w14:paraId="645F016D">
            <w:pPr>
              <w:widowControl/>
              <w:kinsoku w:val="0"/>
              <w:autoSpaceDE w:val="0"/>
              <w:autoSpaceDN w:val="0"/>
              <w:snapToGrid w:val="0"/>
              <w:spacing w:line="240" w:lineRule="atLeast"/>
              <w:ind w:left="211"/>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2"/>
                <w:position w:val="9"/>
                <w:sz w:val="24"/>
                <w:highlight w:val="none"/>
              </w:rPr>
              <w:t>标准</w:t>
            </w:r>
          </w:p>
          <w:p w14:paraId="24E9D19D">
            <w:pPr>
              <w:widowControl/>
              <w:kinsoku w:val="0"/>
              <w:autoSpaceDE w:val="0"/>
              <w:autoSpaceDN w:val="0"/>
              <w:snapToGrid w:val="0"/>
              <w:spacing w:line="240" w:lineRule="atLeast"/>
              <w:ind w:left="316"/>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分</w:t>
            </w:r>
          </w:p>
        </w:tc>
        <w:tc>
          <w:tcPr>
            <w:tcW w:w="9077" w:type="dxa"/>
            <w:gridSpan w:val="4"/>
            <w:vAlign w:val="center"/>
          </w:tcPr>
          <w:p w14:paraId="54EC743A">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p w14:paraId="3A18B20E">
            <w:pPr>
              <w:tabs>
                <w:tab w:val="left" w:pos="6229"/>
              </w:tabs>
              <w:rPr>
                <w:rFonts w:ascii="新宋体" w:hAnsi="新宋体" w:eastAsia="新宋体" w:cs="新宋体"/>
                <w:snapToGrid w:val="0"/>
                <w:color w:val="auto"/>
                <w:kern w:val="0"/>
                <w:sz w:val="24"/>
                <w:highlight w:val="none"/>
              </w:rPr>
            </w:pPr>
            <w:r>
              <w:rPr>
                <w:rFonts w:hint="eastAsia" w:ascii="新宋体" w:hAnsi="新宋体" w:eastAsia="新宋体" w:cs="新宋体"/>
                <w:snapToGrid w:val="0"/>
                <w:color w:val="auto"/>
                <w:kern w:val="0"/>
                <w:sz w:val="24"/>
                <w:highlight w:val="none"/>
              </w:rPr>
              <w:tab/>
            </w:r>
            <w:r>
              <w:rPr>
                <w:rFonts w:hint="eastAsia" w:ascii="新宋体" w:hAnsi="新宋体" w:eastAsia="新宋体" w:cs="新宋体"/>
                <w:snapToGrid w:val="0"/>
                <w:color w:val="auto"/>
                <w:kern w:val="0"/>
                <w:sz w:val="24"/>
                <w:highlight w:val="none"/>
              </w:rPr>
              <w:t>100分</w:t>
            </w:r>
          </w:p>
        </w:tc>
        <w:tc>
          <w:tcPr>
            <w:tcW w:w="3244" w:type="dxa"/>
            <w:gridSpan w:val="2"/>
            <w:tcBorders>
              <w:right w:val="single" w:color="000000" w:sz="6" w:space="0"/>
            </w:tcBorders>
            <w:vAlign w:val="center"/>
          </w:tcPr>
          <w:p w14:paraId="18DE8BA8">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r w14:paraId="0BBC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0" w:type="dxa"/>
            <w:tcBorders>
              <w:left w:val="single" w:color="000000" w:sz="6" w:space="0"/>
            </w:tcBorders>
            <w:vAlign w:val="center"/>
          </w:tcPr>
          <w:p w14:paraId="22981E83">
            <w:pPr>
              <w:widowControl/>
              <w:kinsoku w:val="0"/>
              <w:autoSpaceDE w:val="0"/>
              <w:autoSpaceDN w:val="0"/>
              <w:snapToGrid w:val="0"/>
              <w:spacing w:line="240" w:lineRule="atLeast"/>
              <w:ind w:left="303"/>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w:t>
            </w:r>
          </w:p>
        </w:tc>
        <w:tc>
          <w:tcPr>
            <w:tcW w:w="844" w:type="dxa"/>
            <w:vAlign w:val="center"/>
          </w:tcPr>
          <w:p w14:paraId="5DA79905">
            <w:pPr>
              <w:widowControl/>
              <w:kinsoku w:val="0"/>
              <w:autoSpaceDE w:val="0"/>
              <w:autoSpaceDN w:val="0"/>
              <w:snapToGrid w:val="0"/>
              <w:spacing w:line="240" w:lineRule="atLeast"/>
              <w:ind w:left="216"/>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pacing w:val="-3"/>
                <w:position w:val="9"/>
                <w:sz w:val="24"/>
                <w:highlight w:val="none"/>
              </w:rPr>
              <w:t>总得</w:t>
            </w:r>
          </w:p>
          <w:p w14:paraId="78E63C36">
            <w:pPr>
              <w:widowControl/>
              <w:kinsoku w:val="0"/>
              <w:autoSpaceDE w:val="0"/>
              <w:autoSpaceDN w:val="0"/>
              <w:snapToGrid w:val="0"/>
              <w:spacing w:line="240" w:lineRule="atLeast"/>
              <w:ind w:left="316"/>
              <w:jc w:val="center"/>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分</w:t>
            </w:r>
          </w:p>
        </w:tc>
        <w:tc>
          <w:tcPr>
            <w:tcW w:w="9077" w:type="dxa"/>
            <w:gridSpan w:val="4"/>
            <w:vAlign w:val="center"/>
          </w:tcPr>
          <w:p w14:paraId="3F071A46">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c>
          <w:tcPr>
            <w:tcW w:w="3244" w:type="dxa"/>
            <w:gridSpan w:val="2"/>
            <w:tcBorders>
              <w:right w:val="single" w:color="000000" w:sz="6" w:space="0"/>
            </w:tcBorders>
            <w:vAlign w:val="center"/>
          </w:tcPr>
          <w:p w14:paraId="16C39C70">
            <w:pPr>
              <w:widowControl/>
              <w:kinsoku w:val="0"/>
              <w:autoSpaceDE w:val="0"/>
              <w:autoSpaceDN w:val="0"/>
              <w:snapToGrid w:val="0"/>
              <w:spacing w:line="240" w:lineRule="atLeast"/>
              <w:textAlignment w:val="baseline"/>
              <w:rPr>
                <w:rFonts w:ascii="新宋体" w:hAnsi="新宋体" w:eastAsia="新宋体" w:cs="新宋体"/>
                <w:color w:val="auto"/>
                <w:sz w:val="24"/>
                <w:highlight w:val="none"/>
              </w:rPr>
            </w:pPr>
          </w:p>
        </w:tc>
      </w:tr>
    </w:tbl>
    <w:p w14:paraId="652349F9">
      <w:pPr>
        <w:spacing w:line="360" w:lineRule="auto"/>
        <w:rPr>
          <w:rFonts w:ascii="新宋体" w:hAnsi="新宋体" w:eastAsia="新宋体" w:cs="新宋体"/>
          <w:b/>
          <w:color w:val="auto"/>
          <w:sz w:val="24"/>
          <w:highlight w:val="none"/>
        </w:rPr>
        <w:sectPr>
          <w:pgSz w:w="16839" w:h="11907" w:orient="landscape"/>
          <w:pgMar w:top="1012" w:right="938" w:bottom="0" w:left="1327" w:header="0" w:footer="0" w:gutter="0"/>
          <w:cols w:space="720" w:num="1"/>
          <w:docGrid w:type="lines" w:linePitch="319" w:charSpace="0"/>
        </w:sectPr>
      </w:pPr>
    </w:p>
    <w:p w14:paraId="73AB80B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61"/>
      <w:bookmarkEnd w:id="28"/>
      <w:bookmarkStart w:id="29" w:name="_Toc184314447"/>
      <w:bookmarkEnd w:id="29"/>
      <w:bookmarkStart w:id="30" w:name="_Toc184308100"/>
      <w:bookmarkEnd w:id="30"/>
      <w:bookmarkStart w:id="31" w:name="_Toc184308066"/>
      <w:bookmarkEnd w:id="31"/>
      <w:bookmarkStart w:id="32" w:name="_Toc184313246"/>
      <w:bookmarkEnd w:id="32"/>
      <w:bookmarkStart w:id="33" w:name="_Toc184310325"/>
      <w:bookmarkEnd w:id="33"/>
      <w:bookmarkStart w:id="34" w:name="_Toc184312079"/>
      <w:bookmarkEnd w:id="34"/>
      <w:bookmarkStart w:id="35" w:name="_Toc184313266"/>
      <w:bookmarkEnd w:id="35"/>
      <w:bookmarkStart w:id="36" w:name="_Toc184313291"/>
      <w:bookmarkEnd w:id="36"/>
      <w:bookmarkStart w:id="37" w:name="_Toc184310298"/>
      <w:bookmarkEnd w:id="37"/>
      <w:bookmarkStart w:id="38" w:name="_Toc184310319"/>
      <w:bookmarkEnd w:id="38"/>
      <w:bookmarkStart w:id="39" w:name="_Toc184313251"/>
      <w:bookmarkEnd w:id="39"/>
      <w:bookmarkStart w:id="40" w:name="_Toc184313239"/>
      <w:bookmarkEnd w:id="40"/>
      <w:bookmarkStart w:id="41" w:name="_Toc184312103"/>
      <w:bookmarkEnd w:id="41"/>
      <w:bookmarkStart w:id="42" w:name="_Toc184314438"/>
      <w:bookmarkEnd w:id="42"/>
      <w:bookmarkStart w:id="43" w:name="_Toc184310332"/>
      <w:bookmarkEnd w:id="43"/>
      <w:bookmarkStart w:id="44" w:name="_Toc184314466"/>
      <w:bookmarkEnd w:id="44"/>
      <w:bookmarkStart w:id="45" w:name="_Toc184308072"/>
      <w:bookmarkEnd w:id="45"/>
      <w:bookmarkStart w:id="46" w:name="_Toc184313265"/>
      <w:bookmarkEnd w:id="46"/>
      <w:bookmarkStart w:id="47" w:name="_Toc184310307"/>
      <w:bookmarkEnd w:id="47"/>
      <w:bookmarkStart w:id="48" w:name="_Toc184310322"/>
      <w:bookmarkEnd w:id="48"/>
      <w:bookmarkStart w:id="49" w:name="_Toc184312108"/>
      <w:bookmarkEnd w:id="49"/>
      <w:bookmarkStart w:id="50" w:name="_Toc184312068"/>
      <w:bookmarkEnd w:id="50"/>
      <w:bookmarkStart w:id="51" w:name="_Toc184308093"/>
      <w:bookmarkEnd w:id="51"/>
      <w:bookmarkStart w:id="52" w:name="_Toc184313252"/>
      <w:bookmarkEnd w:id="52"/>
      <w:bookmarkStart w:id="53" w:name="_Toc184313302"/>
      <w:bookmarkEnd w:id="53"/>
      <w:bookmarkStart w:id="54" w:name="_Toc184308108"/>
      <w:bookmarkEnd w:id="54"/>
      <w:bookmarkStart w:id="55" w:name="_Toc184314462"/>
      <w:bookmarkEnd w:id="55"/>
      <w:bookmarkStart w:id="56" w:name="_Toc184308058"/>
      <w:bookmarkEnd w:id="56"/>
      <w:bookmarkStart w:id="57" w:name="_Toc184312110"/>
      <w:bookmarkEnd w:id="57"/>
      <w:bookmarkStart w:id="58" w:name="_Toc184310318"/>
      <w:bookmarkEnd w:id="58"/>
      <w:bookmarkStart w:id="59" w:name="_Toc184314443"/>
      <w:bookmarkEnd w:id="59"/>
      <w:bookmarkStart w:id="60" w:name="_Toc184308036"/>
      <w:bookmarkEnd w:id="60"/>
      <w:bookmarkStart w:id="61" w:name="_Toc184312087"/>
      <w:bookmarkEnd w:id="61"/>
      <w:bookmarkStart w:id="62" w:name="_Toc184313240"/>
      <w:bookmarkEnd w:id="62"/>
      <w:bookmarkStart w:id="63" w:name="_Toc184310334"/>
      <w:bookmarkEnd w:id="63"/>
      <w:bookmarkStart w:id="64" w:name="_Toc184310303"/>
      <w:bookmarkEnd w:id="64"/>
      <w:bookmarkStart w:id="65" w:name="_Toc184308102"/>
      <w:bookmarkEnd w:id="65"/>
      <w:bookmarkStart w:id="66" w:name="_Toc184312070"/>
      <w:bookmarkEnd w:id="66"/>
      <w:bookmarkStart w:id="67" w:name="_Toc184308089"/>
      <w:bookmarkEnd w:id="67"/>
      <w:bookmarkStart w:id="68" w:name="_Toc184313254"/>
      <w:bookmarkEnd w:id="68"/>
      <w:bookmarkStart w:id="69" w:name="_Toc184314428"/>
      <w:bookmarkEnd w:id="69"/>
      <w:bookmarkStart w:id="70" w:name="_Toc184313301"/>
      <w:bookmarkEnd w:id="70"/>
      <w:bookmarkStart w:id="71" w:name="_Toc184308044"/>
      <w:bookmarkEnd w:id="71"/>
      <w:bookmarkStart w:id="72" w:name="_Toc184313303"/>
      <w:bookmarkEnd w:id="72"/>
      <w:bookmarkStart w:id="73" w:name="_Toc184310282"/>
      <w:bookmarkEnd w:id="73"/>
      <w:bookmarkStart w:id="74" w:name="_Toc184308043"/>
      <w:bookmarkEnd w:id="74"/>
      <w:bookmarkStart w:id="75" w:name="_Toc184313296"/>
      <w:bookmarkEnd w:id="75"/>
      <w:bookmarkStart w:id="76" w:name="_Toc184312122"/>
      <w:bookmarkEnd w:id="76"/>
      <w:bookmarkStart w:id="77" w:name="_Toc184314463"/>
      <w:bookmarkEnd w:id="77"/>
      <w:bookmarkStart w:id="78" w:name="_Toc184310300"/>
      <w:bookmarkEnd w:id="78"/>
      <w:bookmarkStart w:id="79" w:name="_Toc184313308"/>
      <w:bookmarkEnd w:id="79"/>
      <w:bookmarkStart w:id="80" w:name="_Toc184308040"/>
      <w:bookmarkEnd w:id="80"/>
      <w:bookmarkStart w:id="81" w:name="_Toc184312098"/>
      <w:bookmarkEnd w:id="81"/>
      <w:bookmarkStart w:id="82" w:name="_Toc184308095"/>
      <w:bookmarkEnd w:id="82"/>
      <w:bookmarkStart w:id="83" w:name="_Toc184312085"/>
      <w:bookmarkEnd w:id="83"/>
      <w:bookmarkStart w:id="84" w:name="_Toc184308077"/>
      <w:bookmarkEnd w:id="84"/>
      <w:bookmarkStart w:id="85" w:name="_Toc184310313"/>
      <w:bookmarkEnd w:id="85"/>
      <w:bookmarkStart w:id="86" w:name="_Toc184312114"/>
      <w:bookmarkEnd w:id="86"/>
      <w:bookmarkStart w:id="87" w:name="_Toc184312115"/>
      <w:bookmarkEnd w:id="87"/>
      <w:bookmarkStart w:id="88" w:name="_Toc184312109"/>
      <w:bookmarkEnd w:id="88"/>
      <w:bookmarkStart w:id="89" w:name="_Toc184308049"/>
      <w:bookmarkEnd w:id="89"/>
      <w:bookmarkStart w:id="90" w:name="_Toc184313261"/>
      <w:bookmarkEnd w:id="90"/>
      <w:bookmarkStart w:id="91" w:name="_Toc184314471"/>
      <w:bookmarkEnd w:id="91"/>
      <w:bookmarkStart w:id="92" w:name="_Toc184313245"/>
      <w:bookmarkEnd w:id="92"/>
      <w:bookmarkStart w:id="93" w:name="_Toc184310335"/>
      <w:bookmarkEnd w:id="93"/>
      <w:bookmarkStart w:id="94" w:name="_Toc184310331"/>
      <w:bookmarkEnd w:id="94"/>
      <w:bookmarkStart w:id="95" w:name="_Toc184308081"/>
      <w:bookmarkEnd w:id="95"/>
      <w:bookmarkStart w:id="96" w:name="_Toc184314416"/>
      <w:bookmarkEnd w:id="96"/>
      <w:bookmarkStart w:id="97" w:name="_Toc184308039"/>
      <w:bookmarkEnd w:id="97"/>
      <w:bookmarkStart w:id="98" w:name="_Toc184310330"/>
      <w:bookmarkEnd w:id="98"/>
      <w:bookmarkStart w:id="99" w:name="_Toc184312088"/>
      <w:bookmarkEnd w:id="99"/>
      <w:bookmarkStart w:id="100" w:name="_Toc184310309"/>
      <w:bookmarkEnd w:id="100"/>
      <w:bookmarkStart w:id="101" w:name="_Toc184310323"/>
      <w:bookmarkEnd w:id="101"/>
      <w:bookmarkStart w:id="102" w:name="_Toc184312067"/>
      <w:bookmarkEnd w:id="102"/>
      <w:bookmarkStart w:id="103" w:name="_Toc184313249"/>
      <w:bookmarkEnd w:id="103"/>
      <w:bookmarkStart w:id="104" w:name="_Toc184310291"/>
      <w:bookmarkEnd w:id="104"/>
      <w:bookmarkStart w:id="105" w:name="_Toc184312097"/>
      <w:bookmarkEnd w:id="105"/>
      <w:bookmarkStart w:id="106" w:name="_Toc184313309"/>
      <w:bookmarkEnd w:id="106"/>
      <w:bookmarkStart w:id="107" w:name="_Toc184313295"/>
      <w:bookmarkEnd w:id="107"/>
      <w:bookmarkStart w:id="108" w:name="_Toc184308073"/>
      <w:bookmarkEnd w:id="108"/>
      <w:bookmarkStart w:id="109" w:name="_Toc184312084"/>
      <w:bookmarkEnd w:id="109"/>
      <w:bookmarkStart w:id="110" w:name="_Toc184313298"/>
      <w:bookmarkEnd w:id="110"/>
      <w:bookmarkStart w:id="111" w:name="_Toc184312069"/>
      <w:bookmarkEnd w:id="111"/>
      <w:bookmarkStart w:id="112" w:name="_Toc184308042"/>
      <w:bookmarkEnd w:id="112"/>
      <w:bookmarkStart w:id="113" w:name="_Toc184312136"/>
      <w:bookmarkEnd w:id="113"/>
      <w:bookmarkStart w:id="114" w:name="_Toc184308092"/>
      <w:bookmarkEnd w:id="114"/>
      <w:bookmarkStart w:id="115" w:name="_Toc184313299"/>
      <w:bookmarkEnd w:id="115"/>
      <w:bookmarkStart w:id="116" w:name="_Toc184313277"/>
      <w:bookmarkEnd w:id="116"/>
      <w:bookmarkStart w:id="117" w:name="_Toc184308061"/>
      <w:bookmarkEnd w:id="117"/>
      <w:bookmarkStart w:id="118" w:name="_Toc184313271"/>
      <w:bookmarkEnd w:id="118"/>
      <w:bookmarkStart w:id="119" w:name="_Toc184308067"/>
      <w:bookmarkEnd w:id="119"/>
      <w:bookmarkStart w:id="120" w:name="_Toc184312094"/>
      <w:bookmarkEnd w:id="120"/>
      <w:bookmarkStart w:id="121" w:name="_Toc184313310"/>
      <w:bookmarkEnd w:id="121"/>
      <w:bookmarkStart w:id="122" w:name="_Toc184312083"/>
      <w:bookmarkEnd w:id="122"/>
      <w:bookmarkStart w:id="123" w:name="_Toc184308083"/>
      <w:bookmarkEnd w:id="123"/>
      <w:bookmarkStart w:id="124" w:name="_Toc184313256"/>
      <w:bookmarkEnd w:id="124"/>
      <w:bookmarkStart w:id="125" w:name="_Toc184310339"/>
      <w:bookmarkEnd w:id="125"/>
      <w:bookmarkStart w:id="126" w:name="_Toc184312118"/>
      <w:bookmarkEnd w:id="126"/>
      <w:bookmarkStart w:id="127" w:name="_Toc184313247"/>
      <w:bookmarkEnd w:id="127"/>
      <w:bookmarkStart w:id="128" w:name="_Toc184314470"/>
      <w:bookmarkEnd w:id="128"/>
      <w:bookmarkStart w:id="129" w:name="_Toc184314412"/>
      <w:bookmarkEnd w:id="129"/>
      <w:bookmarkStart w:id="130" w:name="_Toc184312077"/>
      <w:bookmarkEnd w:id="130"/>
      <w:bookmarkStart w:id="131" w:name="_Toc184312133"/>
      <w:bookmarkEnd w:id="131"/>
      <w:bookmarkStart w:id="132" w:name="_Toc184314413"/>
      <w:bookmarkEnd w:id="132"/>
      <w:bookmarkStart w:id="133" w:name="_Toc184314421"/>
      <w:bookmarkEnd w:id="133"/>
      <w:bookmarkStart w:id="134" w:name="_Toc184312120"/>
      <w:bookmarkEnd w:id="134"/>
      <w:bookmarkStart w:id="135" w:name="_Toc184308052"/>
      <w:bookmarkEnd w:id="135"/>
      <w:bookmarkStart w:id="136" w:name="_Toc184312071"/>
      <w:bookmarkEnd w:id="136"/>
      <w:bookmarkStart w:id="137" w:name="_Toc184314431"/>
      <w:bookmarkEnd w:id="137"/>
      <w:bookmarkStart w:id="138" w:name="_Toc184308088"/>
      <w:bookmarkEnd w:id="138"/>
      <w:bookmarkStart w:id="139" w:name="_Toc184314433"/>
      <w:bookmarkEnd w:id="139"/>
      <w:bookmarkStart w:id="140" w:name="_Toc184312089"/>
      <w:bookmarkEnd w:id="140"/>
      <w:bookmarkStart w:id="141" w:name="_Toc184310337"/>
      <w:bookmarkEnd w:id="141"/>
      <w:bookmarkStart w:id="142" w:name="_Toc184314451"/>
      <w:bookmarkEnd w:id="142"/>
      <w:bookmarkStart w:id="143" w:name="_Toc184314426"/>
      <w:bookmarkEnd w:id="143"/>
      <w:bookmarkStart w:id="144" w:name="_Toc184313304"/>
      <w:bookmarkEnd w:id="144"/>
      <w:bookmarkStart w:id="145" w:name="_Toc184312072"/>
      <w:bookmarkEnd w:id="145"/>
      <w:bookmarkStart w:id="146" w:name="_Toc184310273"/>
      <w:bookmarkEnd w:id="146"/>
      <w:bookmarkStart w:id="147" w:name="_Toc184312111"/>
      <w:bookmarkEnd w:id="147"/>
      <w:bookmarkStart w:id="148" w:name="_Toc184314444"/>
      <w:bookmarkEnd w:id="148"/>
      <w:bookmarkStart w:id="149" w:name="_Toc184314435"/>
      <w:bookmarkEnd w:id="149"/>
      <w:bookmarkStart w:id="150" w:name="_Toc184313260"/>
      <w:bookmarkEnd w:id="150"/>
      <w:bookmarkStart w:id="151" w:name="_Toc184314419"/>
      <w:bookmarkEnd w:id="151"/>
      <w:bookmarkStart w:id="152" w:name="_Toc184310321"/>
      <w:bookmarkEnd w:id="152"/>
      <w:bookmarkStart w:id="153" w:name="_Toc184312135"/>
      <w:bookmarkEnd w:id="153"/>
      <w:bookmarkStart w:id="154" w:name="_Toc184312137"/>
      <w:bookmarkEnd w:id="154"/>
      <w:bookmarkStart w:id="155" w:name="_Toc184308090"/>
      <w:bookmarkEnd w:id="155"/>
      <w:bookmarkStart w:id="156" w:name="_Toc184314414"/>
      <w:bookmarkEnd w:id="156"/>
      <w:bookmarkStart w:id="157" w:name="_Toc184310344"/>
      <w:bookmarkEnd w:id="157"/>
      <w:bookmarkStart w:id="158" w:name="_Toc184308041"/>
      <w:bookmarkEnd w:id="158"/>
      <w:bookmarkStart w:id="159" w:name="_Toc184314436"/>
      <w:bookmarkEnd w:id="159"/>
      <w:bookmarkStart w:id="160" w:name="_Toc184312127"/>
      <w:bookmarkEnd w:id="160"/>
      <w:bookmarkStart w:id="161" w:name="_Toc184312112"/>
      <w:bookmarkEnd w:id="161"/>
      <w:bookmarkStart w:id="162" w:name="_Toc184310333"/>
      <w:bookmarkEnd w:id="162"/>
      <w:bookmarkStart w:id="163" w:name="_Toc184313294"/>
      <w:bookmarkEnd w:id="163"/>
      <w:bookmarkStart w:id="164" w:name="_Toc184312134"/>
      <w:bookmarkEnd w:id="164"/>
      <w:bookmarkStart w:id="165" w:name="_Toc184312104"/>
      <w:bookmarkEnd w:id="165"/>
      <w:bookmarkStart w:id="166" w:name="_Toc184310295"/>
      <w:bookmarkEnd w:id="166"/>
      <w:bookmarkStart w:id="167" w:name="_Toc184310310"/>
      <w:bookmarkEnd w:id="167"/>
      <w:bookmarkStart w:id="168" w:name="_Toc184312099"/>
      <w:bookmarkEnd w:id="168"/>
      <w:bookmarkStart w:id="169" w:name="_Toc184308105"/>
      <w:bookmarkEnd w:id="169"/>
      <w:bookmarkStart w:id="170" w:name="_Toc184308104"/>
      <w:bookmarkEnd w:id="170"/>
      <w:bookmarkStart w:id="171" w:name="_Toc184308037"/>
      <w:bookmarkEnd w:id="171"/>
      <w:bookmarkStart w:id="172" w:name="_Toc184308087"/>
      <w:bookmarkEnd w:id="172"/>
      <w:bookmarkStart w:id="173" w:name="_Toc184310293"/>
      <w:bookmarkEnd w:id="173"/>
      <w:bookmarkStart w:id="174" w:name="_Toc184314453"/>
      <w:bookmarkEnd w:id="174"/>
      <w:bookmarkStart w:id="175" w:name="_Toc184308055"/>
      <w:bookmarkEnd w:id="175"/>
      <w:bookmarkStart w:id="176" w:name="_Toc184314411"/>
      <w:bookmarkEnd w:id="176"/>
      <w:bookmarkStart w:id="177" w:name="_Toc184310283"/>
      <w:bookmarkEnd w:id="177"/>
      <w:bookmarkStart w:id="178" w:name="_Toc184310275"/>
      <w:bookmarkEnd w:id="178"/>
      <w:bookmarkStart w:id="179" w:name="_Toc184312078"/>
      <w:bookmarkEnd w:id="179"/>
      <w:bookmarkStart w:id="180" w:name="_Toc184308080"/>
      <w:bookmarkEnd w:id="180"/>
      <w:bookmarkStart w:id="181" w:name="_Toc184310306"/>
      <w:bookmarkEnd w:id="181"/>
      <w:bookmarkStart w:id="182" w:name="_Toc184308060"/>
      <w:bookmarkEnd w:id="182"/>
      <w:bookmarkStart w:id="183" w:name="_Toc184308084"/>
      <w:bookmarkEnd w:id="183"/>
      <w:bookmarkStart w:id="184" w:name="_Toc184310311"/>
      <w:bookmarkEnd w:id="184"/>
      <w:bookmarkStart w:id="185" w:name="_Toc184310285"/>
      <w:bookmarkEnd w:id="185"/>
      <w:bookmarkStart w:id="186" w:name="_Toc184308069"/>
      <w:bookmarkEnd w:id="186"/>
      <w:bookmarkStart w:id="187" w:name="_Toc184314448"/>
      <w:bookmarkEnd w:id="187"/>
      <w:bookmarkStart w:id="188" w:name="_Toc184313263"/>
      <w:bookmarkEnd w:id="188"/>
      <w:bookmarkStart w:id="189" w:name="_Toc184310277"/>
      <w:bookmarkEnd w:id="189"/>
      <w:bookmarkStart w:id="190" w:name="_Toc184310302"/>
      <w:bookmarkEnd w:id="190"/>
      <w:bookmarkStart w:id="191" w:name="_Toc184313288"/>
      <w:bookmarkEnd w:id="191"/>
      <w:bookmarkStart w:id="192" w:name="_Toc184313272"/>
      <w:bookmarkEnd w:id="192"/>
      <w:bookmarkStart w:id="193" w:name="_Toc184312123"/>
      <w:bookmarkEnd w:id="193"/>
      <w:bookmarkStart w:id="194" w:name="_Toc184314469"/>
      <w:bookmarkEnd w:id="194"/>
      <w:bookmarkStart w:id="195" w:name="_Toc184308074"/>
      <w:bookmarkEnd w:id="195"/>
      <w:bookmarkStart w:id="196" w:name="_Toc184314459"/>
      <w:bookmarkEnd w:id="196"/>
      <w:bookmarkStart w:id="197" w:name="_Toc184308051"/>
      <w:bookmarkEnd w:id="197"/>
      <w:bookmarkStart w:id="198" w:name="_Toc184314460"/>
      <w:bookmarkEnd w:id="198"/>
      <w:bookmarkStart w:id="199" w:name="_Toc184313292"/>
      <w:bookmarkEnd w:id="199"/>
      <w:bookmarkStart w:id="200" w:name="_Toc184314468"/>
      <w:bookmarkEnd w:id="200"/>
      <w:bookmarkStart w:id="201" w:name="_Toc184313290"/>
      <w:bookmarkEnd w:id="201"/>
      <w:bookmarkStart w:id="202" w:name="_Toc184308065"/>
      <w:bookmarkEnd w:id="202"/>
      <w:bookmarkStart w:id="203" w:name="_Toc184312092"/>
      <w:bookmarkEnd w:id="203"/>
      <w:bookmarkStart w:id="204" w:name="_Toc184313269"/>
      <w:bookmarkEnd w:id="204"/>
      <w:bookmarkStart w:id="205" w:name="_Toc184312105"/>
      <w:bookmarkEnd w:id="205"/>
      <w:bookmarkStart w:id="206" w:name="_Toc184310279"/>
      <w:bookmarkEnd w:id="206"/>
      <w:bookmarkStart w:id="207" w:name="_Toc184314465"/>
      <w:bookmarkEnd w:id="207"/>
      <w:bookmarkStart w:id="208" w:name="_Toc184312091"/>
      <w:bookmarkEnd w:id="208"/>
      <w:bookmarkStart w:id="209" w:name="_Toc184312130"/>
      <w:bookmarkEnd w:id="209"/>
      <w:bookmarkStart w:id="210" w:name="_Toc184310340"/>
      <w:bookmarkEnd w:id="210"/>
      <w:bookmarkStart w:id="211" w:name="_Toc184312082"/>
      <w:bookmarkEnd w:id="211"/>
      <w:bookmarkStart w:id="212" w:name="_Toc184310304"/>
      <w:bookmarkEnd w:id="212"/>
      <w:bookmarkStart w:id="213" w:name="_Toc184310329"/>
      <w:bookmarkEnd w:id="213"/>
      <w:bookmarkStart w:id="214" w:name="_Toc184313250"/>
      <w:bookmarkEnd w:id="214"/>
      <w:bookmarkStart w:id="215" w:name="_Toc184313307"/>
      <w:bookmarkEnd w:id="215"/>
      <w:bookmarkStart w:id="216" w:name="_Toc184313248"/>
      <w:bookmarkEnd w:id="216"/>
      <w:bookmarkStart w:id="217" w:name="_Toc184310276"/>
      <w:bookmarkEnd w:id="217"/>
      <w:bookmarkStart w:id="218" w:name="_Toc184308053"/>
      <w:bookmarkEnd w:id="218"/>
      <w:bookmarkStart w:id="219" w:name="_Toc184308063"/>
      <w:bookmarkEnd w:id="219"/>
      <w:bookmarkStart w:id="220" w:name="_Toc184312121"/>
      <w:bookmarkEnd w:id="220"/>
      <w:bookmarkStart w:id="221" w:name="_Toc184308103"/>
      <w:bookmarkEnd w:id="221"/>
      <w:bookmarkStart w:id="222" w:name="_Toc184314442"/>
      <w:bookmarkEnd w:id="222"/>
      <w:bookmarkStart w:id="223" w:name="_Toc184312086"/>
      <w:bookmarkEnd w:id="223"/>
      <w:bookmarkStart w:id="224" w:name="_Toc184314446"/>
      <w:bookmarkEnd w:id="224"/>
      <w:bookmarkStart w:id="225" w:name="_Toc184314458"/>
      <w:bookmarkEnd w:id="225"/>
      <w:bookmarkStart w:id="226" w:name="_Toc184308094"/>
      <w:bookmarkEnd w:id="226"/>
      <w:bookmarkStart w:id="227" w:name="_Toc184313268"/>
      <w:bookmarkEnd w:id="227"/>
      <w:bookmarkStart w:id="228" w:name="_Toc184308038"/>
      <w:bookmarkEnd w:id="228"/>
      <w:bookmarkStart w:id="229" w:name="_Toc184314474"/>
      <w:bookmarkEnd w:id="229"/>
      <w:bookmarkStart w:id="230" w:name="_Toc184314437"/>
      <w:bookmarkEnd w:id="230"/>
      <w:bookmarkStart w:id="231" w:name="_Toc184308107"/>
      <w:bookmarkEnd w:id="231"/>
      <w:bookmarkStart w:id="232" w:name="_Toc184314467"/>
      <w:bookmarkEnd w:id="232"/>
      <w:bookmarkStart w:id="233" w:name="_Toc184314410"/>
      <w:bookmarkEnd w:id="233"/>
      <w:bookmarkStart w:id="234" w:name="_Toc184312107"/>
      <w:bookmarkEnd w:id="234"/>
      <w:bookmarkStart w:id="235" w:name="_Toc184314425"/>
      <w:bookmarkEnd w:id="235"/>
      <w:bookmarkStart w:id="236" w:name="_Toc184313282"/>
      <w:bookmarkEnd w:id="236"/>
      <w:bookmarkStart w:id="237" w:name="_Toc184314449"/>
      <w:bookmarkEnd w:id="237"/>
      <w:bookmarkStart w:id="238" w:name="_Toc184314481"/>
      <w:bookmarkEnd w:id="238"/>
      <w:bookmarkStart w:id="239" w:name="_Toc184310341"/>
      <w:bookmarkEnd w:id="239"/>
      <w:bookmarkStart w:id="240" w:name="_Toc184312080"/>
      <w:bookmarkEnd w:id="240"/>
      <w:bookmarkStart w:id="241" w:name="_Toc184314475"/>
      <w:bookmarkEnd w:id="241"/>
      <w:bookmarkStart w:id="242" w:name="_Toc184312073"/>
      <w:bookmarkEnd w:id="242"/>
      <w:bookmarkStart w:id="243" w:name="_Toc184313238"/>
      <w:bookmarkEnd w:id="243"/>
      <w:bookmarkStart w:id="244" w:name="_Toc184314440"/>
      <w:bookmarkEnd w:id="244"/>
      <w:bookmarkStart w:id="245" w:name="_Toc184313275"/>
      <w:bookmarkEnd w:id="245"/>
      <w:bookmarkStart w:id="246" w:name="_Toc184313297"/>
      <w:bookmarkEnd w:id="246"/>
      <w:bookmarkStart w:id="247" w:name="_Toc184313281"/>
      <w:bookmarkEnd w:id="247"/>
      <w:bookmarkStart w:id="248" w:name="_Toc184313286"/>
      <w:bookmarkEnd w:id="248"/>
      <w:bookmarkStart w:id="249" w:name="_Toc184313255"/>
      <w:bookmarkEnd w:id="249"/>
      <w:bookmarkStart w:id="250" w:name="_Toc184314434"/>
      <w:bookmarkEnd w:id="250"/>
      <w:bookmarkStart w:id="251" w:name="_Toc184308086"/>
      <w:bookmarkEnd w:id="251"/>
      <w:bookmarkStart w:id="252" w:name="_Toc184308046"/>
      <w:bookmarkEnd w:id="252"/>
      <w:bookmarkStart w:id="253" w:name="_Toc184310326"/>
      <w:bookmarkEnd w:id="253"/>
      <w:bookmarkStart w:id="254" w:name="_Toc184312096"/>
      <w:bookmarkEnd w:id="254"/>
      <w:bookmarkStart w:id="255" w:name="_Toc184308057"/>
      <w:bookmarkEnd w:id="255"/>
      <w:bookmarkStart w:id="256" w:name="_Toc184312113"/>
      <w:bookmarkEnd w:id="256"/>
      <w:bookmarkStart w:id="257" w:name="_Toc184312090"/>
      <w:bookmarkEnd w:id="257"/>
      <w:bookmarkStart w:id="258" w:name="_Toc184310288"/>
      <w:bookmarkEnd w:id="258"/>
      <w:bookmarkStart w:id="259" w:name="_Toc184313273"/>
      <w:bookmarkEnd w:id="259"/>
      <w:bookmarkStart w:id="260" w:name="_Toc184314477"/>
      <w:bookmarkEnd w:id="260"/>
      <w:bookmarkStart w:id="261" w:name="_Toc184310296"/>
      <w:bookmarkEnd w:id="261"/>
      <w:bookmarkStart w:id="262" w:name="_Toc184314478"/>
      <w:bookmarkEnd w:id="262"/>
      <w:bookmarkStart w:id="263" w:name="_Toc184314457"/>
      <w:bookmarkEnd w:id="263"/>
      <w:bookmarkStart w:id="264" w:name="_Toc184310289"/>
      <w:bookmarkEnd w:id="264"/>
      <w:bookmarkStart w:id="265" w:name="_Toc184314476"/>
      <w:bookmarkEnd w:id="265"/>
      <w:bookmarkStart w:id="266" w:name="_Toc184314415"/>
      <w:bookmarkEnd w:id="266"/>
      <w:bookmarkStart w:id="267" w:name="_Toc184312129"/>
      <w:bookmarkEnd w:id="267"/>
      <w:bookmarkStart w:id="268" w:name="_Toc184308062"/>
      <w:bookmarkEnd w:id="268"/>
      <w:bookmarkStart w:id="269" w:name="_Toc184314439"/>
      <w:bookmarkEnd w:id="269"/>
      <w:bookmarkStart w:id="270" w:name="_Toc184314417"/>
      <w:bookmarkEnd w:id="270"/>
      <w:bookmarkStart w:id="271" w:name="_Toc184314424"/>
      <w:bookmarkEnd w:id="271"/>
      <w:bookmarkStart w:id="272" w:name="_Toc184312102"/>
      <w:bookmarkEnd w:id="272"/>
      <w:bookmarkStart w:id="273" w:name="_Toc184313278"/>
      <w:bookmarkEnd w:id="273"/>
      <w:bookmarkStart w:id="274" w:name="_Toc184310312"/>
      <w:bookmarkEnd w:id="274"/>
      <w:bookmarkStart w:id="275" w:name="_Toc184314480"/>
      <w:bookmarkEnd w:id="275"/>
      <w:bookmarkStart w:id="276" w:name="_Toc184308075"/>
      <w:bookmarkEnd w:id="276"/>
      <w:bookmarkStart w:id="277" w:name="_Toc184310317"/>
      <w:bookmarkEnd w:id="277"/>
      <w:bookmarkStart w:id="278" w:name="_Toc184310316"/>
      <w:bookmarkEnd w:id="278"/>
      <w:bookmarkStart w:id="279" w:name="_Toc184312131"/>
      <w:bookmarkEnd w:id="279"/>
      <w:bookmarkStart w:id="280" w:name="_Toc184313270"/>
      <w:bookmarkEnd w:id="280"/>
      <w:bookmarkStart w:id="281" w:name="_Toc184314423"/>
      <w:bookmarkEnd w:id="281"/>
      <w:bookmarkStart w:id="282" w:name="_Toc184312106"/>
      <w:bookmarkEnd w:id="282"/>
      <w:bookmarkStart w:id="283" w:name="_Toc184310272"/>
      <w:bookmarkEnd w:id="283"/>
      <w:bookmarkStart w:id="284" w:name="_Toc184312126"/>
      <w:bookmarkEnd w:id="284"/>
      <w:bookmarkStart w:id="285" w:name="_Toc184314429"/>
      <w:bookmarkEnd w:id="285"/>
      <w:bookmarkStart w:id="286" w:name="_Toc184310314"/>
      <w:bookmarkEnd w:id="286"/>
      <w:bookmarkStart w:id="287" w:name="_Toc184310284"/>
      <w:bookmarkEnd w:id="287"/>
      <w:bookmarkStart w:id="288" w:name="_Toc184308050"/>
      <w:bookmarkEnd w:id="288"/>
      <w:bookmarkStart w:id="289" w:name="_Toc184314455"/>
      <w:bookmarkEnd w:id="289"/>
      <w:bookmarkStart w:id="290" w:name="_Toc184312100"/>
      <w:bookmarkEnd w:id="290"/>
      <w:bookmarkStart w:id="291" w:name="_Toc184314454"/>
      <w:bookmarkEnd w:id="291"/>
      <w:bookmarkStart w:id="292" w:name="_Toc184310315"/>
      <w:bookmarkEnd w:id="292"/>
      <w:bookmarkStart w:id="293" w:name="_Toc184312095"/>
      <w:bookmarkEnd w:id="293"/>
      <w:bookmarkStart w:id="294" w:name="_Toc184308096"/>
      <w:bookmarkEnd w:id="294"/>
      <w:bookmarkStart w:id="295" w:name="_Toc184310308"/>
      <w:bookmarkEnd w:id="295"/>
      <w:bookmarkStart w:id="296" w:name="_Toc184313258"/>
      <w:bookmarkEnd w:id="296"/>
      <w:bookmarkStart w:id="297" w:name="_Toc184308056"/>
      <w:bookmarkEnd w:id="297"/>
      <w:bookmarkStart w:id="298" w:name="_Toc184308085"/>
      <w:bookmarkEnd w:id="298"/>
      <w:bookmarkStart w:id="299" w:name="_Toc184308047"/>
      <w:bookmarkEnd w:id="299"/>
      <w:bookmarkStart w:id="300" w:name="_Toc184313287"/>
      <w:bookmarkEnd w:id="300"/>
      <w:bookmarkStart w:id="301" w:name="_Toc184310336"/>
      <w:bookmarkEnd w:id="301"/>
      <w:bookmarkStart w:id="302" w:name="_Toc184312132"/>
      <w:bookmarkEnd w:id="302"/>
      <w:bookmarkStart w:id="303" w:name="_Toc184313259"/>
      <w:bookmarkEnd w:id="303"/>
      <w:bookmarkStart w:id="304" w:name="_Toc184314456"/>
      <w:bookmarkEnd w:id="304"/>
      <w:bookmarkStart w:id="305" w:name="_Toc184313289"/>
      <w:bookmarkEnd w:id="305"/>
      <w:bookmarkStart w:id="306" w:name="_Toc184308064"/>
      <w:bookmarkEnd w:id="306"/>
      <w:bookmarkStart w:id="307" w:name="_Toc184314422"/>
      <w:bookmarkEnd w:id="307"/>
      <w:bookmarkStart w:id="308" w:name="_Toc184310342"/>
      <w:bookmarkEnd w:id="308"/>
      <w:bookmarkStart w:id="309" w:name="_Toc184310292"/>
      <w:bookmarkEnd w:id="309"/>
      <w:bookmarkStart w:id="310" w:name="_Toc184313244"/>
      <w:bookmarkEnd w:id="310"/>
      <w:bookmarkStart w:id="311" w:name="_Toc184308068"/>
      <w:bookmarkEnd w:id="311"/>
      <w:bookmarkStart w:id="312" w:name="_Toc184308106"/>
      <w:bookmarkEnd w:id="312"/>
      <w:bookmarkStart w:id="313" w:name="_Toc184312075"/>
      <w:bookmarkEnd w:id="313"/>
      <w:bookmarkStart w:id="314" w:name="_Toc184313276"/>
      <w:bookmarkEnd w:id="314"/>
      <w:bookmarkStart w:id="315" w:name="_Toc184313280"/>
      <w:bookmarkEnd w:id="315"/>
      <w:bookmarkStart w:id="316" w:name="_Toc184314441"/>
      <w:bookmarkEnd w:id="316"/>
      <w:bookmarkStart w:id="317" w:name="_Toc184312116"/>
      <w:bookmarkEnd w:id="317"/>
      <w:bookmarkStart w:id="318" w:name="_Toc184310299"/>
      <w:bookmarkEnd w:id="318"/>
      <w:bookmarkStart w:id="319" w:name="_Toc184313274"/>
      <w:bookmarkEnd w:id="319"/>
      <w:bookmarkStart w:id="320" w:name="_Toc184313293"/>
      <w:bookmarkEnd w:id="320"/>
      <w:bookmarkStart w:id="321" w:name="_Toc184310305"/>
      <w:bookmarkEnd w:id="321"/>
      <w:bookmarkStart w:id="322" w:name="_Toc184310297"/>
      <w:bookmarkEnd w:id="322"/>
      <w:bookmarkStart w:id="323" w:name="_Toc184308079"/>
      <w:bookmarkEnd w:id="323"/>
      <w:bookmarkStart w:id="324" w:name="_Toc184313305"/>
      <w:bookmarkEnd w:id="324"/>
      <w:bookmarkStart w:id="325" w:name="_Toc184313241"/>
      <w:bookmarkEnd w:id="325"/>
      <w:bookmarkStart w:id="326" w:name="_Toc184314482"/>
      <w:bookmarkEnd w:id="326"/>
      <w:bookmarkStart w:id="327" w:name="_Toc184312138"/>
      <w:bookmarkEnd w:id="327"/>
      <w:bookmarkStart w:id="328" w:name="_Toc184312076"/>
      <w:bookmarkEnd w:id="328"/>
      <w:bookmarkStart w:id="329" w:name="_Toc184310324"/>
      <w:bookmarkEnd w:id="329"/>
      <w:bookmarkStart w:id="330" w:name="_Toc184312139"/>
      <w:bookmarkEnd w:id="330"/>
      <w:bookmarkStart w:id="331" w:name="_Toc184308098"/>
      <w:bookmarkEnd w:id="331"/>
      <w:bookmarkStart w:id="332" w:name="_Toc184314452"/>
      <w:bookmarkEnd w:id="332"/>
      <w:bookmarkStart w:id="333" w:name="_Toc184310290"/>
      <w:bookmarkEnd w:id="333"/>
      <w:bookmarkStart w:id="334" w:name="_Toc184312081"/>
      <w:bookmarkEnd w:id="334"/>
      <w:bookmarkStart w:id="335" w:name="_Toc184308048"/>
      <w:bookmarkEnd w:id="335"/>
      <w:bookmarkStart w:id="336" w:name="_Toc184313300"/>
      <w:bookmarkEnd w:id="336"/>
      <w:bookmarkStart w:id="337" w:name="_Toc184313243"/>
      <w:bookmarkEnd w:id="337"/>
      <w:bookmarkStart w:id="338" w:name="_Toc184310301"/>
      <w:bookmarkEnd w:id="338"/>
      <w:bookmarkStart w:id="339" w:name="_Toc184310281"/>
      <w:bookmarkEnd w:id="339"/>
      <w:bookmarkStart w:id="340" w:name="_Toc184308101"/>
      <w:bookmarkEnd w:id="340"/>
      <w:bookmarkStart w:id="341" w:name="_Toc184314445"/>
      <w:bookmarkEnd w:id="341"/>
      <w:bookmarkStart w:id="342" w:name="_Toc184313267"/>
      <w:bookmarkEnd w:id="342"/>
      <w:bookmarkStart w:id="343" w:name="_Toc184310338"/>
      <w:bookmarkEnd w:id="343"/>
      <w:bookmarkStart w:id="344" w:name="_Toc184313242"/>
      <w:bookmarkEnd w:id="344"/>
      <w:bookmarkStart w:id="345" w:name="_Toc184310294"/>
      <w:bookmarkEnd w:id="345"/>
      <w:bookmarkStart w:id="346" w:name="_Toc184313253"/>
      <w:bookmarkEnd w:id="346"/>
      <w:bookmarkStart w:id="347" w:name="_Toc184314473"/>
      <w:bookmarkEnd w:id="347"/>
      <w:bookmarkStart w:id="348" w:name="_Toc184308082"/>
      <w:bookmarkEnd w:id="348"/>
      <w:bookmarkStart w:id="349" w:name="_Toc184314464"/>
      <w:bookmarkEnd w:id="349"/>
      <w:bookmarkStart w:id="350" w:name="_Toc184314418"/>
      <w:bookmarkEnd w:id="350"/>
      <w:bookmarkStart w:id="351" w:name="_Toc184312093"/>
      <w:bookmarkEnd w:id="351"/>
      <w:bookmarkStart w:id="352" w:name="_Toc184308078"/>
      <w:bookmarkEnd w:id="352"/>
      <w:bookmarkStart w:id="353" w:name="_Toc184312101"/>
      <w:bookmarkEnd w:id="353"/>
      <w:bookmarkStart w:id="354" w:name="_Toc184308099"/>
      <w:bookmarkEnd w:id="354"/>
      <w:bookmarkStart w:id="355" w:name="_Toc184308071"/>
      <w:bookmarkEnd w:id="355"/>
      <w:bookmarkStart w:id="356" w:name="_Toc184312124"/>
      <w:bookmarkEnd w:id="356"/>
      <w:bookmarkStart w:id="357" w:name="_Toc184314420"/>
      <w:bookmarkEnd w:id="357"/>
      <w:bookmarkStart w:id="358" w:name="_Toc184314450"/>
      <w:bookmarkEnd w:id="358"/>
      <w:bookmarkStart w:id="359" w:name="_Toc184312117"/>
      <w:bookmarkEnd w:id="359"/>
      <w:bookmarkStart w:id="360" w:name="_Toc184314430"/>
      <w:bookmarkEnd w:id="360"/>
      <w:bookmarkStart w:id="361" w:name="_Toc184313262"/>
      <w:bookmarkEnd w:id="361"/>
      <w:bookmarkStart w:id="362" w:name="_Toc184308076"/>
      <w:bookmarkEnd w:id="362"/>
      <w:bookmarkStart w:id="363" w:name="_Toc184313284"/>
      <w:bookmarkEnd w:id="363"/>
      <w:bookmarkStart w:id="364" w:name="_Toc184312125"/>
      <w:bookmarkEnd w:id="364"/>
      <w:bookmarkStart w:id="365" w:name="_Toc184313264"/>
      <w:bookmarkEnd w:id="365"/>
      <w:bookmarkStart w:id="366" w:name="_Toc184314432"/>
      <w:bookmarkEnd w:id="366"/>
      <w:bookmarkStart w:id="367" w:name="_Toc184312074"/>
      <w:bookmarkEnd w:id="367"/>
      <w:bookmarkStart w:id="368" w:name="_Toc184310287"/>
      <w:bookmarkEnd w:id="368"/>
      <w:bookmarkStart w:id="369" w:name="_Toc184310286"/>
      <w:bookmarkEnd w:id="369"/>
      <w:bookmarkStart w:id="370" w:name="_Toc184310280"/>
      <w:bookmarkEnd w:id="370"/>
      <w:bookmarkStart w:id="371" w:name="_Toc184312128"/>
      <w:bookmarkEnd w:id="371"/>
      <w:bookmarkStart w:id="372" w:name="_Toc184308091"/>
      <w:bookmarkEnd w:id="372"/>
      <w:bookmarkStart w:id="373" w:name="_Toc184313257"/>
      <w:bookmarkEnd w:id="373"/>
      <w:bookmarkStart w:id="374" w:name="_Toc184308059"/>
      <w:bookmarkEnd w:id="374"/>
      <w:bookmarkStart w:id="375" w:name="_Toc184310327"/>
      <w:bookmarkEnd w:id="375"/>
      <w:bookmarkStart w:id="376" w:name="_Toc184310328"/>
      <w:bookmarkEnd w:id="376"/>
      <w:bookmarkStart w:id="377" w:name="_Toc184308045"/>
      <w:bookmarkEnd w:id="377"/>
      <w:bookmarkStart w:id="378" w:name="_Toc184308097"/>
      <w:bookmarkEnd w:id="378"/>
      <w:bookmarkStart w:id="379" w:name="_Toc184314479"/>
      <w:bookmarkEnd w:id="379"/>
      <w:bookmarkStart w:id="380" w:name="_Toc184310278"/>
      <w:bookmarkEnd w:id="380"/>
      <w:bookmarkStart w:id="381" w:name="_Toc184310320"/>
      <w:bookmarkEnd w:id="381"/>
      <w:bookmarkStart w:id="382" w:name="_Toc184313306"/>
      <w:bookmarkEnd w:id="382"/>
      <w:bookmarkStart w:id="383" w:name="_Toc184313283"/>
      <w:bookmarkEnd w:id="383"/>
      <w:bookmarkStart w:id="384" w:name="_Toc184308054"/>
      <w:bookmarkEnd w:id="384"/>
      <w:bookmarkStart w:id="385" w:name="_Toc184308070"/>
      <w:bookmarkEnd w:id="385"/>
      <w:bookmarkStart w:id="386" w:name="_Toc184312119"/>
      <w:bookmarkEnd w:id="386"/>
      <w:bookmarkStart w:id="387" w:name="_Toc184313285"/>
      <w:bookmarkEnd w:id="387"/>
      <w:bookmarkStart w:id="388" w:name="_Toc184310343"/>
      <w:bookmarkEnd w:id="388"/>
      <w:bookmarkStart w:id="389" w:name="_Toc184314427"/>
      <w:bookmarkEnd w:id="389"/>
      <w:bookmarkStart w:id="390" w:name="_Toc184314472"/>
      <w:bookmarkEnd w:id="390"/>
      <w:bookmarkStart w:id="391" w:name="_Toc184310274"/>
      <w:bookmarkEnd w:id="391"/>
      <w:bookmarkStart w:id="392" w:name="_Toc184313279"/>
      <w:bookmarkEnd w:id="392"/>
      <w:r>
        <w:rPr>
          <w:rFonts w:hint="eastAsia" w:ascii="宋体" w:hAnsi="宋体" w:cs="宋体"/>
          <w:b/>
          <w:color w:val="auto"/>
          <w:sz w:val="36"/>
          <w:szCs w:val="36"/>
          <w:highlight w:val="none"/>
        </w:rPr>
        <w:t>评标办法</w:t>
      </w:r>
    </w:p>
    <w:p w14:paraId="2F5C286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14:paraId="311C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9C7DC51">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序号</w:t>
            </w:r>
          </w:p>
        </w:tc>
        <w:tc>
          <w:tcPr>
            <w:tcW w:w="5103" w:type="dxa"/>
            <w:vAlign w:val="center"/>
          </w:tcPr>
          <w:p w14:paraId="1DD01549">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评标标准</w:t>
            </w:r>
          </w:p>
        </w:tc>
        <w:tc>
          <w:tcPr>
            <w:tcW w:w="567" w:type="dxa"/>
            <w:vAlign w:val="center"/>
          </w:tcPr>
          <w:p w14:paraId="6B621CB5">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最高分值</w:t>
            </w:r>
          </w:p>
        </w:tc>
        <w:tc>
          <w:tcPr>
            <w:tcW w:w="992" w:type="dxa"/>
            <w:vAlign w:val="center"/>
          </w:tcPr>
          <w:p w14:paraId="762D9EF0">
            <w:pPr>
              <w:snapToGrid w:val="0"/>
              <w:spacing w:line="360" w:lineRule="auto"/>
              <w:jc w:val="center"/>
              <w:rPr>
                <w:rFonts w:ascii="新宋体" w:hAnsi="新宋体" w:eastAsia="新宋体" w:cs="新宋体"/>
                <w:bCs/>
                <w:color w:val="auto"/>
                <w:sz w:val="24"/>
                <w:highlight w:val="none"/>
              </w:rPr>
            </w:pPr>
            <w:r>
              <w:rPr>
                <w:rFonts w:hint="eastAsia" w:ascii="新宋体" w:hAnsi="新宋体" w:eastAsia="新宋体" w:cs="新宋体"/>
                <w:bCs/>
                <w:color w:val="auto"/>
                <w:sz w:val="24"/>
                <w:highlight w:val="none"/>
              </w:rPr>
              <w:t>主观分/客观分属性</w:t>
            </w:r>
          </w:p>
        </w:tc>
        <w:tc>
          <w:tcPr>
            <w:tcW w:w="1299" w:type="dxa"/>
          </w:tcPr>
          <w:p w14:paraId="6AA7F979">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投标文件中评标标准相应的商务技术资料目录*</w:t>
            </w:r>
          </w:p>
        </w:tc>
      </w:tr>
      <w:tr w14:paraId="06FF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F985C8A">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5103" w:type="dxa"/>
            <w:vAlign w:val="center"/>
          </w:tcPr>
          <w:p w14:paraId="1CD40043">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根据本项目物业使用特点提出合理的物业管理服务理念、服务定位和服务目标。</w:t>
            </w:r>
          </w:p>
          <w:p w14:paraId="267F34AF">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全部符合得2分，部分符合得1分，不符合不得分。内容完整合理、有针对性，视为符合要求，此项最高</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分。</w:t>
            </w:r>
          </w:p>
        </w:tc>
        <w:tc>
          <w:tcPr>
            <w:tcW w:w="567" w:type="dxa"/>
            <w:vAlign w:val="center"/>
          </w:tcPr>
          <w:p w14:paraId="75F29173">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92" w:type="dxa"/>
            <w:vAlign w:val="center"/>
          </w:tcPr>
          <w:p w14:paraId="5D55E4C7">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3782014E">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服务理念、定位、目标</w:t>
            </w:r>
          </w:p>
        </w:tc>
      </w:tr>
      <w:tr w14:paraId="66A9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E29D006">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5103" w:type="dxa"/>
            <w:vAlign w:val="center"/>
          </w:tcPr>
          <w:p w14:paraId="79E5BE64">
            <w:pPr>
              <w:numPr>
                <w:ilvl w:val="0"/>
                <w:numId w:val="22"/>
              </w:numPr>
              <w:tabs>
                <w:tab w:val="left" w:pos="425"/>
              </w:tabs>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针对本项目有比较完善的组织架构；</w:t>
            </w:r>
          </w:p>
          <w:p w14:paraId="2951EDC8">
            <w:pPr>
              <w:numPr>
                <w:ilvl w:val="0"/>
                <w:numId w:val="22"/>
              </w:numPr>
              <w:tabs>
                <w:tab w:val="left" w:pos="425"/>
              </w:tabs>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清晰简练地列出主要管理流程，包括：运作流程图、信息反馈及处理运作流程图、投诉处理运作流程图、紧急情况处理运作流程图；</w:t>
            </w:r>
          </w:p>
          <w:p w14:paraId="14F477BA">
            <w:pPr>
              <w:numPr>
                <w:ilvl w:val="0"/>
                <w:numId w:val="22"/>
              </w:numPr>
              <w:tabs>
                <w:tab w:val="left" w:pos="425"/>
              </w:tabs>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列出主要管理机制，包括：激励机制、监督机制、自我约束机制；</w:t>
            </w:r>
          </w:p>
          <w:p w14:paraId="59CB7746">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14:paraId="36B85374">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992" w:type="dxa"/>
            <w:vAlign w:val="center"/>
          </w:tcPr>
          <w:p w14:paraId="37FCA8AA">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37A5A666">
            <w:pPr>
              <w:widowControl/>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组织架构、管理流程、管理机制</w:t>
            </w:r>
          </w:p>
        </w:tc>
      </w:tr>
      <w:tr w14:paraId="6C26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B0E331C">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5103" w:type="dxa"/>
            <w:vAlign w:val="center"/>
          </w:tcPr>
          <w:p w14:paraId="001D7E80">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具有健全的物业管理制度，体现标准化服务水平，包括：考勤管理制度、财务管理制度、接待投诉制度、培训学习制度、监督考核制度、档案管理制度、各项工作制度（应包含清洁保洁、绿化养护、工程设备维护、会务服务以及采购单位交办的其他工作）。</w:t>
            </w:r>
          </w:p>
          <w:p w14:paraId="767C33D0">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每提供一条符合要求的制度，得1分，部分符合得0.5分，不符合不得分。内容完整合理、有针对性视为符合要求。</w:t>
            </w:r>
          </w:p>
        </w:tc>
        <w:tc>
          <w:tcPr>
            <w:tcW w:w="567" w:type="dxa"/>
            <w:vAlign w:val="center"/>
          </w:tcPr>
          <w:p w14:paraId="5F058BD5">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992" w:type="dxa"/>
            <w:vAlign w:val="center"/>
          </w:tcPr>
          <w:p w14:paraId="19DB6017">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277059BA">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管理制度</w:t>
            </w:r>
          </w:p>
        </w:tc>
      </w:tr>
      <w:tr w14:paraId="0F27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4740153">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5103" w:type="dxa"/>
            <w:vAlign w:val="center"/>
          </w:tcPr>
          <w:p w14:paraId="5DCAF0F2">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针对本项目的员工培训方案，包括：培训目的、培训内容、培训时间、培训地点、培训者、培训对象、培训方式等。</w:t>
            </w:r>
          </w:p>
          <w:p w14:paraId="1B2A23CA">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全部符合得2分，部分符合得1分，不符合不得分。内容完整合理、有针对性视为符合要求。</w:t>
            </w:r>
          </w:p>
        </w:tc>
        <w:tc>
          <w:tcPr>
            <w:tcW w:w="567" w:type="dxa"/>
            <w:vAlign w:val="center"/>
          </w:tcPr>
          <w:p w14:paraId="556EB4D6">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92" w:type="dxa"/>
            <w:vAlign w:val="center"/>
          </w:tcPr>
          <w:p w14:paraId="479B13C7">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41775146">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培训方案</w:t>
            </w:r>
          </w:p>
        </w:tc>
      </w:tr>
      <w:tr w14:paraId="27F7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1633B74">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5103" w:type="dxa"/>
            <w:vAlign w:val="center"/>
          </w:tcPr>
          <w:p w14:paraId="6CA9A44B">
            <w:pPr>
              <w:numPr>
                <w:ilvl w:val="0"/>
                <w:numId w:val="2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详细说明投入的设备、工具、药剂、耗材的环保性和优越性，提供相关设备、工具、材料的品牌、型号、产地、数量等清单；</w:t>
            </w:r>
          </w:p>
          <w:p w14:paraId="4E2E94D8">
            <w:pPr>
              <w:numPr>
                <w:ilvl w:val="0"/>
                <w:numId w:val="23"/>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配备防爆、防汛物资、工程维护部物料及器材消耗。</w:t>
            </w:r>
          </w:p>
          <w:p w14:paraId="192DE0AD">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14:paraId="5A77CF91">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992" w:type="dxa"/>
            <w:vAlign w:val="center"/>
          </w:tcPr>
          <w:p w14:paraId="0D59EA7A">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1AF4580F">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投入的设备、耗材等情况</w:t>
            </w:r>
          </w:p>
        </w:tc>
      </w:tr>
      <w:tr w14:paraId="213C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7C75A2D">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5103" w:type="dxa"/>
            <w:vAlign w:val="center"/>
          </w:tcPr>
          <w:p w14:paraId="72890558">
            <w:pPr>
              <w:numPr>
                <w:ilvl w:val="0"/>
                <w:numId w:val="2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室内保洁；</w:t>
            </w:r>
          </w:p>
          <w:p w14:paraId="018AECB3">
            <w:pPr>
              <w:numPr>
                <w:ilvl w:val="0"/>
                <w:numId w:val="2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室外保洁；</w:t>
            </w:r>
          </w:p>
          <w:p w14:paraId="3C58530D">
            <w:pPr>
              <w:numPr>
                <w:ilvl w:val="0"/>
                <w:numId w:val="2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外墙清洁；</w:t>
            </w:r>
          </w:p>
          <w:p w14:paraId="22BD8B65">
            <w:pPr>
              <w:numPr>
                <w:ilvl w:val="0"/>
                <w:numId w:val="2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设施设备清洁；</w:t>
            </w:r>
          </w:p>
          <w:p w14:paraId="6D73A0B5">
            <w:pPr>
              <w:numPr>
                <w:ilvl w:val="0"/>
                <w:numId w:val="2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垃圾分类、处理；</w:t>
            </w:r>
          </w:p>
          <w:p w14:paraId="7766B267">
            <w:pPr>
              <w:numPr>
                <w:ilvl w:val="0"/>
                <w:numId w:val="24"/>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消毒灭害。</w:t>
            </w:r>
          </w:p>
          <w:p w14:paraId="2F074ED3">
            <w:pPr>
              <w:snapToGrid w:val="0"/>
              <w:spacing w:line="360" w:lineRule="auto"/>
              <w:rPr>
                <w:rFonts w:ascii="新宋体" w:hAnsi="新宋体" w:eastAsia="新宋体" w:cs="新宋体"/>
                <w:color w:val="auto"/>
                <w:kern w:val="0"/>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14:paraId="70CAF637">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w:t>
            </w:r>
          </w:p>
        </w:tc>
        <w:tc>
          <w:tcPr>
            <w:tcW w:w="992" w:type="dxa"/>
            <w:vAlign w:val="center"/>
          </w:tcPr>
          <w:p w14:paraId="5199C7C1">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1049C031">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清洁保洁服务方案</w:t>
            </w:r>
          </w:p>
        </w:tc>
      </w:tr>
      <w:tr w14:paraId="6C14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3641482">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5103" w:type="dxa"/>
            <w:vAlign w:val="center"/>
          </w:tcPr>
          <w:p w14:paraId="7C9EAA06">
            <w:pPr>
              <w:numPr>
                <w:ilvl w:val="0"/>
                <w:numId w:val="2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建立突发事件应急预案体系，包括但不限于电梯困人、紧急会议、火警火灾、突发停电、水管破裂、意外伤害、群体性上访、台风、暴雨及雷电等应急预案；</w:t>
            </w:r>
          </w:p>
          <w:p w14:paraId="50D87FF6">
            <w:pPr>
              <w:numPr>
                <w:ilvl w:val="0"/>
                <w:numId w:val="25"/>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每年至少组织1次突发事件应急演习。</w:t>
            </w:r>
          </w:p>
          <w:p w14:paraId="7679350E">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每小点内容全部符合得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0.5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14:paraId="5BDAE103">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92" w:type="dxa"/>
            <w:vAlign w:val="center"/>
          </w:tcPr>
          <w:p w14:paraId="13E8E094">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012E48E7">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应急处理</w:t>
            </w:r>
          </w:p>
        </w:tc>
      </w:tr>
      <w:tr w14:paraId="2F27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DC7416A">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5103" w:type="dxa"/>
            <w:vAlign w:val="center"/>
          </w:tcPr>
          <w:p w14:paraId="33E1C70C">
            <w:pPr>
              <w:numPr>
                <w:ilvl w:val="0"/>
                <w:numId w:val="2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绿化日常养护、管理；（2分）</w:t>
            </w:r>
          </w:p>
          <w:p w14:paraId="2D19AD7C">
            <w:pPr>
              <w:numPr>
                <w:ilvl w:val="0"/>
                <w:numId w:val="2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特殊天气巡查、处理，排除安全隐患；（2分）</w:t>
            </w:r>
          </w:p>
          <w:p w14:paraId="294EE690">
            <w:pPr>
              <w:numPr>
                <w:ilvl w:val="0"/>
                <w:numId w:val="26"/>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病虫害防治。（2分）</w:t>
            </w:r>
          </w:p>
          <w:p w14:paraId="4876AAB3">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14:paraId="22A11E43">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992" w:type="dxa"/>
            <w:vAlign w:val="center"/>
          </w:tcPr>
          <w:p w14:paraId="6E5EE580">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0E0C8DFF">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绿化养护方案</w:t>
            </w:r>
          </w:p>
        </w:tc>
      </w:tr>
      <w:tr w14:paraId="0A68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04D1CCC">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9</w:t>
            </w:r>
          </w:p>
        </w:tc>
        <w:tc>
          <w:tcPr>
            <w:tcW w:w="5103" w:type="dxa"/>
            <w:vAlign w:val="center"/>
          </w:tcPr>
          <w:p w14:paraId="21BA9D9E">
            <w:pPr>
              <w:numPr>
                <w:ilvl w:val="0"/>
                <w:numId w:val="2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房屋日常维护；</w:t>
            </w:r>
          </w:p>
          <w:p w14:paraId="125B5EAC">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高配房巡视、各类机房设备设施巡检；</w:t>
            </w:r>
          </w:p>
          <w:p w14:paraId="6E7341EF">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照明系统、供用电设备设施维护；</w:t>
            </w:r>
          </w:p>
          <w:p w14:paraId="2B28F7DF">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排水系统维护；</w:t>
            </w:r>
          </w:p>
          <w:p w14:paraId="6EC9E12F">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水泵、管道养护，每年至少两次水箱清洗，并提供水质检测报告；</w:t>
            </w:r>
          </w:p>
          <w:p w14:paraId="159FFD12">
            <w:pPr>
              <w:widowControl/>
              <w:numPr>
                <w:ilvl w:val="0"/>
                <w:numId w:val="27"/>
              </w:numPr>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智能弱电设备巡检；</w:t>
            </w:r>
          </w:p>
          <w:p w14:paraId="7942137E">
            <w:pPr>
              <w:numPr>
                <w:ilvl w:val="0"/>
                <w:numId w:val="27"/>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零星维修、其他大修。</w:t>
            </w:r>
          </w:p>
          <w:p w14:paraId="5C3BB0DB">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每小点内容全部符合得2分，部分符合得1分，不符合不得分。内容完整合理、有针对性视为符合要求。</w:t>
            </w:r>
          </w:p>
        </w:tc>
        <w:tc>
          <w:tcPr>
            <w:tcW w:w="567" w:type="dxa"/>
            <w:vAlign w:val="center"/>
          </w:tcPr>
          <w:p w14:paraId="55F57A9F">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14 </w:t>
            </w:r>
          </w:p>
        </w:tc>
        <w:tc>
          <w:tcPr>
            <w:tcW w:w="992" w:type="dxa"/>
            <w:vAlign w:val="center"/>
          </w:tcPr>
          <w:p w14:paraId="4044F907">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1A4B6629">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工程设备维护方案</w:t>
            </w:r>
          </w:p>
        </w:tc>
      </w:tr>
      <w:tr w14:paraId="7102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08D7379">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5103" w:type="dxa"/>
            <w:vAlign w:val="center"/>
          </w:tcPr>
          <w:p w14:paraId="729E64AD">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电梯定期检查、维护、应急维修等，建立台账并记录。</w:t>
            </w:r>
          </w:p>
          <w:p w14:paraId="6FD36D79">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全部符合得3分，部分符合得1</w:t>
            </w:r>
            <w:r>
              <w:rPr>
                <w:rFonts w:hint="eastAsia" w:ascii="黑体" w:hAnsi="黑体" w:eastAsia="黑体" w:cs="黑体"/>
                <w:color w:val="auto"/>
                <w:szCs w:val="21"/>
                <w:highlight w:val="none"/>
                <w:lang w:val="en-US" w:eastAsia="zh-CN"/>
              </w:rPr>
              <w:t>.5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14:paraId="09A401CC">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14:paraId="1B8A7BDD">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774766AC">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电梯维护方案</w:t>
            </w:r>
          </w:p>
        </w:tc>
      </w:tr>
      <w:tr w14:paraId="246E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EDF6520">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w:t>
            </w:r>
          </w:p>
        </w:tc>
        <w:tc>
          <w:tcPr>
            <w:tcW w:w="5103" w:type="dxa"/>
            <w:vAlign w:val="center"/>
          </w:tcPr>
          <w:p w14:paraId="2839FDA6">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消防设施设备定期维护保养，建立台账并记录。  </w:t>
            </w:r>
          </w:p>
          <w:p w14:paraId="68D3401E">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全部符合得3分，部分符合得1</w:t>
            </w:r>
            <w:r>
              <w:rPr>
                <w:rFonts w:hint="eastAsia" w:ascii="黑体" w:hAnsi="黑体" w:eastAsia="黑体" w:cs="黑体"/>
                <w:color w:val="auto"/>
                <w:szCs w:val="21"/>
                <w:highlight w:val="none"/>
                <w:lang w:val="en-US" w:eastAsia="zh-CN"/>
              </w:rPr>
              <w:t>.5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14:paraId="75DF39AB">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14:paraId="38A3DB4D">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65DBBB05">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消防设施设备维护方案</w:t>
            </w:r>
          </w:p>
        </w:tc>
      </w:tr>
      <w:tr w14:paraId="2C62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3D523F4">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w:t>
            </w:r>
          </w:p>
        </w:tc>
        <w:tc>
          <w:tcPr>
            <w:tcW w:w="5103" w:type="dxa"/>
            <w:vAlign w:val="center"/>
          </w:tcPr>
          <w:p w14:paraId="038EF315">
            <w:pPr>
              <w:widowControl/>
              <w:kinsoku w:val="0"/>
              <w:autoSpaceDE w:val="0"/>
              <w:autoSpaceDN w:val="0"/>
              <w:snapToGrid w:val="0"/>
              <w:spacing w:line="360" w:lineRule="auto"/>
              <w:textAlignment w:val="baseline"/>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定期对空调系统进行检查、维护、清洁，测试运行控制和安全控制功能，记录运行参数，分析运行记录，确保空调系统正常运行。每年冬夏两次对空调系统进行全面的维护保养。</w:t>
            </w:r>
          </w:p>
          <w:p w14:paraId="44DF4999">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全部符合得3分，部分符合得1</w:t>
            </w:r>
            <w:r>
              <w:rPr>
                <w:rFonts w:hint="eastAsia" w:ascii="黑体" w:hAnsi="黑体" w:eastAsia="黑体" w:cs="黑体"/>
                <w:color w:val="auto"/>
                <w:szCs w:val="21"/>
                <w:highlight w:val="none"/>
                <w:lang w:val="en-US" w:eastAsia="zh-CN"/>
              </w:rPr>
              <w:t>.5</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14:paraId="6B1740CA">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14:paraId="18317DE2">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74748CCD">
            <w:pPr>
              <w:widowControl/>
              <w:jc w:val="center"/>
              <w:textAlignment w:val="center"/>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空调系统维护方案</w:t>
            </w:r>
          </w:p>
        </w:tc>
      </w:tr>
      <w:tr w14:paraId="52C8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EFDFAEA">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13</w:t>
            </w:r>
          </w:p>
        </w:tc>
        <w:tc>
          <w:tcPr>
            <w:tcW w:w="5103" w:type="dxa"/>
            <w:vAlign w:val="center"/>
          </w:tcPr>
          <w:p w14:paraId="59142B24">
            <w:pPr>
              <w:numPr>
                <w:ilvl w:val="0"/>
                <w:numId w:val="2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会前准备方案；</w:t>
            </w:r>
          </w:p>
          <w:p w14:paraId="5C621715">
            <w:pPr>
              <w:numPr>
                <w:ilvl w:val="0"/>
                <w:numId w:val="2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会中服务方案；</w:t>
            </w:r>
          </w:p>
          <w:p w14:paraId="79054A70">
            <w:pPr>
              <w:numPr>
                <w:ilvl w:val="0"/>
                <w:numId w:val="2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会后整理方案；</w:t>
            </w:r>
          </w:p>
          <w:p w14:paraId="38947397">
            <w:pPr>
              <w:numPr>
                <w:ilvl w:val="0"/>
                <w:numId w:val="28"/>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严格保密。</w:t>
            </w:r>
          </w:p>
          <w:p w14:paraId="1B9EF13B">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每小点内容全部符合得1分，部分符合得0.5分，不符合不得分。内容完整合理、有针对性视为符合要求。</w:t>
            </w:r>
          </w:p>
        </w:tc>
        <w:tc>
          <w:tcPr>
            <w:tcW w:w="567" w:type="dxa"/>
            <w:vAlign w:val="center"/>
          </w:tcPr>
          <w:p w14:paraId="77D59C6D">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992" w:type="dxa"/>
            <w:vAlign w:val="center"/>
          </w:tcPr>
          <w:p w14:paraId="23A08DB5">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299" w:type="dxa"/>
            <w:vAlign w:val="center"/>
          </w:tcPr>
          <w:p w14:paraId="5D7626FE">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会务服务</w:t>
            </w:r>
          </w:p>
        </w:tc>
      </w:tr>
      <w:tr w14:paraId="59FD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4" w:type="dxa"/>
            <w:vMerge w:val="restart"/>
            <w:shd w:val="clear" w:color="auto" w:fill="auto"/>
            <w:vAlign w:val="center"/>
          </w:tcPr>
          <w:p w14:paraId="755ADF85">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w:t>
            </w:r>
          </w:p>
        </w:tc>
        <w:tc>
          <w:tcPr>
            <w:tcW w:w="5103" w:type="dxa"/>
            <w:shd w:val="clear" w:color="auto" w:fill="auto"/>
            <w:vAlign w:val="center"/>
          </w:tcPr>
          <w:p w14:paraId="284AA0B3">
            <w:pPr>
              <w:numPr>
                <w:ilvl w:val="0"/>
                <w:numId w:val="2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拟派本项目的项目经理（3分）：年龄50周岁以下（1分），具有大专以上学历（1分），具有1年以上物业项目经理工作经验（ 1分）。</w:t>
            </w:r>
          </w:p>
          <w:p w14:paraId="26A47FCC">
            <w:pPr>
              <w:numPr>
                <w:ilvl w:val="0"/>
                <w:numId w:val="2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拟派本项目综合主管（3分）：年龄50周岁以下（1 分），具有大专以上学历（1 分），具有1年以上综合主管工作经验（ 1分）。</w:t>
            </w:r>
          </w:p>
          <w:p w14:paraId="78889189">
            <w:pPr>
              <w:numPr>
                <w:ilvl w:val="0"/>
                <w:numId w:val="2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拟派本项目的工程维修人员（3 分）：年龄55周岁以下，高中以上学历，具有1年以上工程维护工作经验。上述条件每符合1人得1分，最高得3分。</w:t>
            </w:r>
          </w:p>
          <w:p w14:paraId="2A1791C7">
            <w:pPr>
              <w:numPr>
                <w:ilvl w:val="0"/>
                <w:numId w:val="29"/>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拟派本项目专职会务人员（ 3分）：40周岁以下（1 分），具有高中以上学历（1分），具有1年以上会务工作经验（ 1分）。</w:t>
            </w:r>
          </w:p>
          <w:p w14:paraId="5B23F0C0">
            <w:pPr>
              <w:pStyle w:val="19"/>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w:t>
            </w:r>
            <w:r>
              <w:rPr>
                <w:rFonts w:hint="eastAsia" w:ascii="黑体" w:hAnsi="黑体" w:eastAsia="黑体" w:cs="黑体"/>
                <w:color w:val="auto"/>
                <w:kern w:val="2"/>
                <w:sz w:val="21"/>
                <w:szCs w:val="21"/>
                <w:highlight w:val="none"/>
                <w:lang w:val="en-US" w:eastAsia="zh-CN" w:bidi="ar-SA"/>
              </w:rPr>
              <w:t>年龄、工作经验计算截至投标截止时间。以上人员需提供在投标人单位的社保缴纳证明( 超过法定退休年龄的人员提供与投标人签订的劳务合同)，学历证明提供学历证书，年龄证明提供身份证扫描件，工作经验需提供显示职务的劳动合同或原服务业主出具的盖章证明，能清楚体现工作岗位及年限，否则不得分。</w:t>
            </w:r>
          </w:p>
        </w:tc>
        <w:tc>
          <w:tcPr>
            <w:tcW w:w="567" w:type="dxa"/>
            <w:vMerge w:val="restart"/>
            <w:shd w:val="clear" w:color="auto" w:fill="auto"/>
            <w:vAlign w:val="center"/>
          </w:tcPr>
          <w:p w14:paraId="5DE34A87">
            <w:pPr>
              <w:snapToGrid w:val="0"/>
              <w:spacing w:line="360" w:lineRule="auto"/>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4</w:t>
            </w:r>
          </w:p>
        </w:tc>
        <w:tc>
          <w:tcPr>
            <w:tcW w:w="992" w:type="dxa"/>
            <w:vMerge w:val="restart"/>
            <w:vAlign w:val="center"/>
          </w:tcPr>
          <w:p w14:paraId="0EDAE595">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Merge w:val="restart"/>
            <w:vAlign w:val="center"/>
          </w:tcPr>
          <w:p w14:paraId="5D64F368">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项目实施的拟派人员安排情况</w:t>
            </w:r>
          </w:p>
        </w:tc>
      </w:tr>
      <w:tr w14:paraId="41D0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4" w:type="dxa"/>
            <w:vMerge w:val="continue"/>
            <w:shd w:val="clear" w:color="auto" w:fill="auto"/>
            <w:vAlign w:val="center"/>
          </w:tcPr>
          <w:p w14:paraId="416122D3">
            <w:pPr>
              <w:pStyle w:val="19"/>
              <w:rPr>
                <w:color w:val="auto"/>
                <w:highlight w:val="none"/>
              </w:rPr>
            </w:pPr>
          </w:p>
        </w:tc>
        <w:tc>
          <w:tcPr>
            <w:tcW w:w="5103" w:type="dxa"/>
            <w:shd w:val="clear" w:color="auto" w:fill="auto"/>
            <w:vAlign w:val="center"/>
          </w:tcPr>
          <w:p w14:paraId="4A4D291D">
            <w:pPr>
              <w:numPr>
                <w:ilvl w:val="0"/>
                <w:numId w:val="29"/>
              </w:numPr>
              <w:snapToGrid w:val="0"/>
              <w:spacing w:line="360" w:lineRule="auto"/>
              <w:rPr>
                <w:rFonts w:hint="eastAsia" w:ascii="黑体" w:hAnsi="黑体" w:eastAsia="黑体" w:cs="黑体"/>
                <w:color w:val="auto"/>
                <w:szCs w:val="21"/>
                <w:highlight w:val="none"/>
              </w:rPr>
            </w:pPr>
            <w:r>
              <w:rPr>
                <w:rFonts w:hint="eastAsia" w:ascii="新宋体" w:hAnsi="新宋体" w:eastAsia="新宋体" w:cs="新宋体"/>
                <w:color w:val="auto"/>
                <w:sz w:val="24"/>
                <w:highlight w:val="none"/>
              </w:rPr>
              <w:t>拟派本项目保洁人员（</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w:t>
            </w:r>
            <w:r>
              <w:rPr>
                <w:rFonts w:hint="eastAsia" w:ascii="新宋体" w:hAnsi="新宋体" w:eastAsia="新宋体" w:cs="新宋体"/>
                <w:color w:val="auto"/>
                <w:sz w:val="24"/>
                <w:highlight w:val="none"/>
                <w:lang w:val="en-US" w:eastAsia="zh-CN"/>
              </w:rPr>
              <w:t>初中以上学历，</w:t>
            </w:r>
            <w:r>
              <w:rPr>
                <w:rFonts w:hint="eastAsia" w:ascii="新宋体" w:hAnsi="新宋体" w:eastAsia="新宋体" w:cs="新宋体"/>
                <w:color w:val="auto"/>
                <w:sz w:val="24"/>
                <w:highlight w:val="none"/>
              </w:rPr>
              <w:t>年龄55周岁以下，具有1年以上保洁工作经验。</w:t>
            </w:r>
            <w:r>
              <w:rPr>
                <w:rFonts w:hint="eastAsia" w:ascii="新宋体" w:hAnsi="新宋体" w:eastAsia="新宋体" w:cs="新宋体"/>
                <w:i w:val="0"/>
                <w:iCs w:val="0"/>
                <w:color w:val="auto"/>
                <w:kern w:val="0"/>
                <w:sz w:val="24"/>
                <w:szCs w:val="24"/>
                <w:highlight w:val="none"/>
                <w:u w:val="none"/>
                <w:lang w:val="en-US" w:eastAsia="zh-CN" w:bidi="ar"/>
              </w:rPr>
              <w:t>承诺全部符合得2分，未承诺或承诺不全不得分</w:t>
            </w:r>
            <w:r>
              <w:rPr>
                <w:rFonts w:hint="eastAsia" w:ascii="新宋体" w:hAnsi="新宋体" w:eastAsia="新宋体" w:cs="新宋体"/>
                <w:color w:val="auto"/>
                <w:sz w:val="24"/>
                <w:highlight w:val="none"/>
              </w:rPr>
              <w:t>。</w:t>
            </w:r>
          </w:p>
        </w:tc>
        <w:tc>
          <w:tcPr>
            <w:tcW w:w="567" w:type="dxa"/>
            <w:vMerge w:val="continue"/>
            <w:shd w:val="clear" w:color="auto" w:fill="auto"/>
            <w:vAlign w:val="center"/>
          </w:tcPr>
          <w:p w14:paraId="44FC7F53">
            <w:pPr>
              <w:pStyle w:val="19"/>
              <w:rPr>
                <w:rFonts w:hint="eastAsia" w:ascii="黑体" w:hAnsi="黑体" w:eastAsia="黑体" w:cs="黑体"/>
                <w:color w:val="auto"/>
                <w:szCs w:val="21"/>
                <w:highlight w:val="none"/>
              </w:rPr>
            </w:pPr>
          </w:p>
        </w:tc>
        <w:tc>
          <w:tcPr>
            <w:tcW w:w="992" w:type="dxa"/>
            <w:vMerge w:val="continue"/>
            <w:vAlign w:val="center"/>
          </w:tcPr>
          <w:p w14:paraId="0B325DAA">
            <w:pPr>
              <w:pStyle w:val="19"/>
              <w:rPr>
                <w:rFonts w:hint="eastAsia" w:ascii="黑体" w:hAnsi="黑体" w:eastAsia="黑体" w:cs="黑体"/>
                <w:color w:val="auto"/>
                <w:szCs w:val="21"/>
                <w:highlight w:val="none"/>
              </w:rPr>
            </w:pPr>
          </w:p>
        </w:tc>
        <w:tc>
          <w:tcPr>
            <w:tcW w:w="1299" w:type="dxa"/>
            <w:vMerge w:val="continue"/>
            <w:vAlign w:val="center"/>
          </w:tcPr>
          <w:p w14:paraId="6AC1530D">
            <w:pPr>
              <w:pStyle w:val="19"/>
              <w:rPr>
                <w:rFonts w:hint="eastAsia" w:ascii="黑体" w:hAnsi="黑体" w:eastAsia="黑体" w:cs="黑体"/>
                <w:color w:val="auto"/>
                <w:szCs w:val="21"/>
                <w:highlight w:val="none"/>
              </w:rPr>
            </w:pPr>
          </w:p>
        </w:tc>
      </w:tr>
      <w:tr w14:paraId="5E95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EAF914A">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w:t>
            </w:r>
          </w:p>
        </w:tc>
        <w:tc>
          <w:tcPr>
            <w:tcW w:w="5103" w:type="dxa"/>
            <w:vAlign w:val="center"/>
          </w:tcPr>
          <w:p w14:paraId="6D7230A7">
            <w:p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投标人具有职业健康安全管理体系认证证书（1分）、质量管理体系认证证书（1分）、环境管理体系认证（1分）。</w:t>
            </w:r>
          </w:p>
          <w:p w14:paraId="2D4AB2AB">
            <w:pPr>
              <w:snapToGrid w:val="0"/>
              <w:spacing w:line="360" w:lineRule="auto"/>
              <w:rPr>
                <w:rFonts w:ascii="新宋体" w:hAnsi="新宋体" w:eastAsia="新宋体" w:cs="新宋体"/>
                <w:color w:val="auto"/>
                <w:sz w:val="24"/>
                <w:highlight w:val="none"/>
              </w:rPr>
            </w:pPr>
            <w:r>
              <w:rPr>
                <w:rFonts w:hint="eastAsia" w:ascii="黑体" w:hAnsi="黑体" w:eastAsia="黑体" w:cs="黑体"/>
                <w:color w:val="auto"/>
                <w:szCs w:val="21"/>
                <w:highlight w:val="none"/>
              </w:rPr>
              <w:t xml:space="preserve">    提供有效期内的证书扫描件及全国认证认可信息公共服务平台网站http://www.cnca.gov.cn/查询页面截图，否则不得分。</w:t>
            </w:r>
          </w:p>
        </w:tc>
        <w:tc>
          <w:tcPr>
            <w:tcW w:w="567" w:type="dxa"/>
            <w:vAlign w:val="center"/>
          </w:tcPr>
          <w:p w14:paraId="1FEDBDA7">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92" w:type="dxa"/>
            <w:vAlign w:val="center"/>
          </w:tcPr>
          <w:p w14:paraId="3342830A">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vAlign w:val="center"/>
          </w:tcPr>
          <w:p w14:paraId="4B42DF00">
            <w:pPr>
              <w:widowControl/>
              <w:jc w:val="center"/>
              <w:textAlignment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体系认证证书情况</w:t>
            </w:r>
          </w:p>
        </w:tc>
      </w:tr>
      <w:tr w14:paraId="6E0D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548D583">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w:t>
            </w:r>
          </w:p>
        </w:tc>
        <w:tc>
          <w:tcPr>
            <w:tcW w:w="5103" w:type="dxa"/>
            <w:vAlign w:val="center"/>
          </w:tcPr>
          <w:p w14:paraId="771E184B">
            <w:pPr>
              <w:snapToGrid w:val="0"/>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投标人自202</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年1月1日以来的同类型物业管理服务的成功案例（含在管项目），以签订时间为准。</w:t>
            </w:r>
          </w:p>
          <w:p w14:paraId="08AF67AB">
            <w:pPr>
              <w:snapToGrid w:val="0"/>
              <w:spacing w:line="360" w:lineRule="auto"/>
              <w:ind w:firstLine="420" w:firstLineChars="200"/>
              <w:rPr>
                <w:rFonts w:ascii="新宋体" w:hAnsi="新宋体" w:eastAsia="新宋体" w:cs="新宋体"/>
                <w:color w:val="auto"/>
                <w:sz w:val="24"/>
                <w:highlight w:val="none"/>
              </w:rPr>
            </w:pPr>
            <w:r>
              <w:rPr>
                <w:rFonts w:hint="eastAsia" w:ascii="黑体" w:hAnsi="黑体" w:eastAsia="黑体" w:cs="黑体"/>
                <w:color w:val="auto"/>
                <w:szCs w:val="21"/>
                <w:highlight w:val="none"/>
              </w:rPr>
              <w:t>提供合同扫描件。每提供1份得0.5分，最多得1分。</w:t>
            </w:r>
          </w:p>
        </w:tc>
        <w:tc>
          <w:tcPr>
            <w:tcW w:w="567" w:type="dxa"/>
            <w:vAlign w:val="center"/>
          </w:tcPr>
          <w:p w14:paraId="3735D937">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992" w:type="dxa"/>
            <w:vAlign w:val="center"/>
          </w:tcPr>
          <w:p w14:paraId="3DF13987">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299" w:type="dxa"/>
          </w:tcPr>
          <w:p w14:paraId="65F6F768">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投标人类似项目业绩</w:t>
            </w:r>
          </w:p>
        </w:tc>
      </w:tr>
      <w:tr w14:paraId="1473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5914B63">
            <w:pPr>
              <w:snapToGrid w:val="0"/>
              <w:spacing w:line="360" w:lineRule="auto"/>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5103" w:type="dxa"/>
            <w:vAlign w:val="center"/>
          </w:tcPr>
          <w:p w14:paraId="57513718">
            <w:pPr>
              <w:spacing w:line="360" w:lineRule="auto"/>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有效投标报价的最低价作为评标基准价，其最低报价为满分；按［投标报价得分=（评标基准价/投标报价）*1</w:t>
            </w:r>
            <w:r>
              <w:rPr>
                <w:rFonts w:hint="eastAsia" w:ascii="新宋体" w:hAnsi="新宋体" w:eastAsia="新宋体" w:cs="新宋体"/>
                <w:color w:val="auto"/>
                <w:sz w:val="24"/>
                <w:highlight w:val="none"/>
                <w:lang w:val="en-US" w:eastAsia="zh-CN"/>
              </w:rPr>
              <w:t>4</w:t>
            </w:r>
            <w:r>
              <w:rPr>
                <w:rFonts w:hint="eastAsia" w:ascii="新宋体" w:hAnsi="新宋体" w:eastAsia="新宋体" w:cs="新宋体"/>
                <w:color w:val="auto"/>
                <w:sz w:val="24"/>
                <w:highlight w:val="none"/>
              </w:rPr>
              <w:t>］的计算公式计算。</w:t>
            </w:r>
          </w:p>
          <w:p w14:paraId="0D4D09FC">
            <w:pPr>
              <w:widowControl/>
              <w:shd w:val="clear" w:color="auto" w:fill="FFFFFF"/>
              <w:adjustRightInd/>
              <w:spacing w:after="225" w:line="315" w:lineRule="atLeast"/>
              <w:ind w:firstLine="42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评标过程中，不得去掉报价中的最高报价和最低报价。</w:t>
            </w:r>
          </w:p>
        </w:tc>
        <w:tc>
          <w:tcPr>
            <w:tcW w:w="567" w:type="dxa"/>
            <w:vAlign w:val="center"/>
          </w:tcPr>
          <w:p w14:paraId="7A987A95">
            <w:pPr>
              <w:spacing w:line="360" w:lineRule="auto"/>
              <w:jc w:val="center"/>
              <w:outlineLvl w:val="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4</w:t>
            </w:r>
          </w:p>
        </w:tc>
        <w:tc>
          <w:tcPr>
            <w:tcW w:w="992" w:type="dxa"/>
            <w:vAlign w:val="center"/>
          </w:tcPr>
          <w:p w14:paraId="7693AE73">
            <w:pPr>
              <w:spacing w:line="360" w:lineRule="auto"/>
              <w:jc w:val="center"/>
              <w:outlineLvl w:val="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w:t>
            </w:r>
          </w:p>
        </w:tc>
        <w:tc>
          <w:tcPr>
            <w:tcW w:w="1299" w:type="dxa"/>
            <w:vAlign w:val="center"/>
          </w:tcPr>
          <w:p w14:paraId="015A8D7B">
            <w:pPr>
              <w:spacing w:line="360" w:lineRule="auto"/>
              <w:jc w:val="center"/>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价格分</w:t>
            </w:r>
          </w:p>
        </w:tc>
      </w:tr>
    </w:tbl>
    <w:p w14:paraId="41B7EA55">
      <w:pPr>
        <w:rPr>
          <w:color w:val="auto"/>
          <w:highlight w:val="none"/>
        </w:rPr>
      </w:pPr>
    </w:p>
    <w:p w14:paraId="5F744C4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026BD7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F8DA11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10D96F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F767C7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C9C9CF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24755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4CBCBB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D472DA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AB5FF0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4979837">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17232DE">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0FE5272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85EE0DF">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1F111FBA">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52CD95ED">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8AA870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A94BBA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D903E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2768340">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9D01B8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14DB1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BF9E07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02103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5EDFB8E">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C354D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319D2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91269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1CE3A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CCF69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4B2836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35E368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1B5CE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2A7D52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06478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4C8C4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5FC5E8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E82C74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5C20C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49BB5037">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007130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77222F5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62FA4A9">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B98B687">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BE214E4">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7A34A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209F516">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A6A1587">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85A7D54">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B54CD9C">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3BB83FA">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B467C5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B8C171">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3A7F9B0">
      <w:pPr>
        <w:pStyle w:val="24"/>
        <w:snapToGrid w:val="0"/>
        <w:spacing w:line="360" w:lineRule="auto"/>
        <w:ind w:firstLine="0" w:firstLineChars="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471" w:name="_GoBack"/>
      <w:bookmarkEnd w:id="471"/>
    </w:p>
    <w:p w14:paraId="399F173A">
      <w:pPr>
        <w:pStyle w:val="24"/>
        <w:snapToGrid w:val="0"/>
        <w:spacing w:line="360" w:lineRule="auto"/>
        <w:ind w:firstLine="0" w:firstLineChars="0"/>
        <w:rPr>
          <w:rFonts w:hint="eastAsia" w:cs="宋体"/>
          <w:b w:val="0"/>
          <w:bCs w:val="0"/>
          <w:color w:val="auto"/>
          <w:highlight w:val="none"/>
          <w:lang w:val="en-US" w:eastAsia="zh-CN"/>
        </w:rPr>
      </w:pPr>
      <w:r>
        <w:rPr>
          <w:rFonts w:hint="eastAsia" w:cs="宋体"/>
          <w:b/>
          <w:bCs/>
          <w:color w:val="auto"/>
          <w:highlight w:val="none"/>
          <w:lang w:val="en-US" w:eastAsia="zh-CN"/>
        </w:rPr>
        <w:t xml:space="preserve">    8.串通投标认定。</w:t>
      </w:r>
      <w:r>
        <w:rPr>
          <w:rFonts w:hint="eastAsia" w:cs="宋体"/>
          <w:b w:val="0"/>
          <w:bCs w:val="0"/>
          <w:color w:val="auto"/>
          <w:highlight w:val="none"/>
          <w:lang w:val="en-US" w:eastAsia="zh-CN"/>
        </w:rPr>
        <w:t>有下列情形之一的，视为投标人串通投标，其投标无效：</w:t>
      </w:r>
    </w:p>
    <w:p w14:paraId="3E077BAB">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8.1不同投标人的投标文件由同一单位或者个人编制或同一IP地址上传；</w:t>
      </w:r>
    </w:p>
    <w:p w14:paraId="6DF4BDE6">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8.2不同投标人委托同一单位或者个人办理投标事宜；</w:t>
      </w:r>
    </w:p>
    <w:p w14:paraId="62BE1C20">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8.3不同投标人的投标文件载明的项目管理成员或者联系人员为同一人；</w:t>
      </w:r>
    </w:p>
    <w:p w14:paraId="4E929BE6">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8.4不同投标人的投标文件异常一致或者投标报价呈规律性差异；</w:t>
      </w:r>
    </w:p>
    <w:p w14:paraId="16471442">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8.5不同投标人的投标文件相互混装。</w:t>
      </w:r>
    </w:p>
    <w:p w14:paraId="03024F8B">
      <w:pPr>
        <w:pStyle w:val="24"/>
        <w:snapToGrid w:val="0"/>
        <w:spacing w:line="360" w:lineRule="auto"/>
        <w:ind w:firstLine="0" w:firstLineChars="0"/>
        <w:rPr>
          <w:rFonts w:hint="eastAsia" w:cs="宋体"/>
          <w:b/>
          <w:bCs/>
          <w:color w:val="auto"/>
          <w:highlight w:val="none"/>
          <w:lang w:val="en-US" w:eastAsia="zh-CN"/>
        </w:rPr>
      </w:pPr>
    </w:p>
    <w:p w14:paraId="2720089A">
      <w:pPr>
        <w:pStyle w:val="24"/>
        <w:snapToGrid w:val="0"/>
        <w:spacing w:line="360" w:lineRule="auto"/>
        <w:ind w:firstLine="0" w:firstLineChars="0"/>
        <w:rPr>
          <w:rFonts w:hint="default" w:eastAsia="宋体" w:cs="宋体"/>
          <w:color w:val="auto"/>
          <w:highlight w:val="none"/>
          <w:lang w:val="en-US" w:eastAsia="zh-CN"/>
        </w:rPr>
      </w:pPr>
    </w:p>
    <w:bookmarkEnd w:id="27"/>
    <w:p w14:paraId="324CA09B">
      <w:pPr>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18C6BB3E">
      <w:pPr>
        <w:spacing w:line="360" w:lineRule="auto"/>
        <w:ind w:left="720" w:leftChars="343" w:firstLine="1084" w:firstLineChars="300"/>
        <w:outlineLvl w:val="0"/>
        <w:rPr>
          <w:rFonts w:ascii="宋体" w:hAnsi="宋体" w:cs="宋体"/>
          <w:b/>
          <w:color w:val="auto"/>
          <w:sz w:val="36"/>
          <w:szCs w:val="36"/>
          <w:highlight w:val="none"/>
        </w:rPr>
      </w:pPr>
    </w:p>
    <w:p w14:paraId="7D05D815">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CB87EF2">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21C1FA3">
      <w:pPr>
        <w:rPr>
          <w:rFonts w:ascii="宋体" w:hAnsi="宋体" w:cs="宋体"/>
          <w:b/>
          <w:color w:val="auto"/>
          <w:sz w:val="24"/>
          <w:highlight w:val="none"/>
        </w:rPr>
      </w:pPr>
    </w:p>
    <w:p w14:paraId="328454A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45BCD3C">
      <w:pPr>
        <w:spacing w:line="480" w:lineRule="auto"/>
        <w:jc w:val="center"/>
        <w:rPr>
          <w:rFonts w:ascii="宋体" w:hAnsi="宋体" w:cs="宋体"/>
          <w:b/>
          <w:color w:val="auto"/>
          <w:sz w:val="28"/>
          <w:szCs w:val="28"/>
          <w:highlight w:val="none"/>
        </w:rPr>
      </w:pPr>
    </w:p>
    <w:p w14:paraId="53B37CD8">
      <w:pPr>
        <w:spacing w:line="480" w:lineRule="auto"/>
        <w:jc w:val="center"/>
        <w:rPr>
          <w:rFonts w:ascii="宋体" w:hAnsi="宋体" w:cs="宋体"/>
          <w:b/>
          <w:color w:val="auto"/>
          <w:sz w:val="24"/>
          <w:highlight w:val="none"/>
        </w:rPr>
      </w:pPr>
    </w:p>
    <w:p w14:paraId="027DF8AF">
      <w:pPr>
        <w:spacing w:line="480" w:lineRule="auto"/>
        <w:jc w:val="center"/>
        <w:rPr>
          <w:rFonts w:ascii="宋体" w:hAnsi="宋体" w:cs="宋体"/>
          <w:b/>
          <w:color w:val="auto"/>
          <w:sz w:val="24"/>
          <w:highlight w:val="none"/>
        </w:rPr>
      </w:pPr>
    </w:p>
    <w:p w14:paraId="7ECDD68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E2B2BD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AEFCC74">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76480121">
      <w:pPr>
        <w:spacing w:before="120" w:line="22" w:lineRule="atLeast"/>
        <w:rPr>
          <w:rFonts w:ascii="宋体" w:hAnsi="宋体" w:cs="宋体"/>
          <w:color w:val="auto"/>
          <w:sz w:val="24"/>
          <w:highlight w:val="none"/>
        </w:rPr>
      </w:pPr>
    </w:p>
    <w:p w14:paraId="2724F692">
      <w:pPr>
        <w:keepNext/>
        <w:keepLines/>
        <w:tabs>
          <w:tab w:val="left" w:pos="432"/>
        </w:tabs>
        <w:adjustRightInd/>
        <w:ind w:left="431" w:hanging="431"/>
        <w:rPr>
          <w:rFonts w:ascii="宋体" w:hAnsi="宋体" w:cs="宋体"/>
          <w:color w:val="auto"/>
          <w:highlight w:val="none"/>
        </w:rPr>
      </w:pPr>
    </w:p>
    <w:p w14:paraId="3994E6A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1A9B372">
      <w:pPr>
        <w:pStyle w:val="281"/>
        <w:spacing w:before="120" w:line="22" w:lineRule="atLeast"/>
        <w:rPr>
          <w:rFonts w:ascii="宋体" w:hAnsi="宋体" w:eastAsia="宋体" w:cs="宋体"/>
          <w:color w:val="auto"/>
          <w:szCs w:val="24"/>
          <w:highlight w:val="none"/>
        </w:rPr>
      </w:pPr>
    </w:p>
    <w:p w14:paraId="54D9DAB9">
      <w:pPr>
        <w:pStyle w:val="281"/>
        <w:spacing w:before="120" w:line="22" w:lineRule="atLeast"/>
        <w:rPr>
          <w:rFonts w:ascii="宋体" w:hAnsi="宋体" w:eastAsia="宋体" w:cs="宋体"/>
          <w:color w:val="auto"/>
          <w:szCs w:val="24"/>
          <w:highlight w:val="none"/>
        </w:rPr>
      </w:pPr>
    </w:p>
    <w:p w14:paraId="50C4C1E8">
      <w:pPr>
        <w:rPr>
          <w:rFonts w:ascii="宋体" w:hAnsi="宋体" w:cs="宋体"/>
          <w:color w:val="auto"/>
          <w:sz w:val="24"/>
          <w:highlight w:val="none"/>
        </w:rPr>
      </w:pPr>
    </w:p>
    <w:p w14:paraId="2FEBDAA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4292A39">
      <w:pPr>
        <w:spacing w:before="120" w:line="22" w:lineRule="atLeast"/>
        <w:rPr>
          <w:rFonts w:ascii="宋体" w:hAnsi="宋体" w:cs="宋体"/>
          <w:color w:val="auto"/>
          <w:sz w:val="24"/>
          <w:highlight w:val="none"/>
        </w:rPr>
      </w:pPr>
    </w:p>
    <w:p w14:paraId="6FA489C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BC040F8">
      <w:pPr>
        <w:spacing w:before="120" w:line="22" w:lineRule="atLeast"/>
        <w:rPr>
          <w:rFonts w:ascii="宋体" w:hAnsi="宋体" w:cs="宋体"/>
          <w:color w:val="auto"/>
          <w:sz w:val="24"/>
          <w:highlight w:val="none"/>
        </w:rPr>
      </w:pPr>
    </w:p>
    <w:p w14:paraId="107DF1E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6785147">
      <w:pPr>
        <w:spacing w:before="120" w:line="22" w:lineRule="atLeast"/>
        <w:rPr>
          <w:rFonts w:ascii="宋体" w:hAnsi="宋体" w:cs="宋体"/>
          <w:color w:val="auto"/>
          <w:sz w:val="24"/>
          <w:highlight w:val="none"/>
        </w:rPr>
      </w:pPr>
    </w:p>
    <w:p w14:paraId="1733C98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B5B01C0">
      <w:pPr>
        <w:widowControl/>
        <w:jc w:val="left"/>
        <w:rPr>
          <w:rFonts w:ascii="宋体" w:hAnsi="宋体" w:cs="宋体"/>
          <w:color w:val="auto"/>
          <w:kern w:val="0"/>
          <w:sz w:val="24"/>
          <w:highlight w:val="none"/>
        </w:rPr>
        <w:sectPr>
          <w:headerReference r:id="rId11" w:type="default"/>
          <w:footerReference r:id="rId12" w:type="default"/>
          <w:pgSz w:w="11907" w:h="16840"/>
          <w:pgMar w:top="1474" w:right="1814" w:bottom="1474" w:left="1814" w:header="851" w:footer="851" w:gutter="0"/>
          <w:cols w:space="720" w:num="1"/>
          <w:titlePg/>
          <w:docGrid w:linePitch="312" w:charSpace="0"/>
        </w:sectPr>
      </w:pPr>
    </w:p>
    <w:p w14:paraId="2E57675C">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年</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月</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日，</w:t>
      </w:r>
      <w:r>
        <w:rPr>
          <w:rFonts w:hint="eastAsia" w:ascii="新宋体" w:hAnsi="新宋体" w:eastAsia="新宋体" w:cs="新宋体"/>
          <w:color w:val="auto"/>
          <w:sz w:val="24"/>
          <w:highlight w:val="none"/>
          <w:u w:val="single"/>
        </w:rPr>
        <w:t xml:space="preserve">   （采购人）   </w:t>
      </w:r>
      <w:r>
        <w:rPr>
          <w:rFonts w:hint="eastAsia" w:ascii="新宋体" w:hAnsi="新宋体" w:eastAsia="新宋体" w:cs="新宋体"/>
          <w:color w:val="auto"/>
          <w:sz w:val="24"/>
          <w:highlight w:val="none"/>
        </w:rPr>
        <w:t>以</w:t>
      </w:r>
      <w:r>
        <w:rPr>
          <w:rFonts w:hint="eastAsia" w:ascii="新宋体" w:hAnsi="新宋体" w:eastAsia="新宋体" w:cs="新宋体"/>
          <w:color w:val="auto"/>
          <w:sz w:val="24"/>
          <w:highlight w:val="none"/>
          <w:u w:val="single"/>
        </w:rPr>
        <w:t xml:space="preserve">   （政府采购方式）  </w:t>
      </w:r>
      <w:r>
        <w:rPr>
          <w:rFonts w:hint="eastAsia" w:ascii="新宋体" w:hAnsi="新宋体" w:eastAsia="新宋体" w:cs="新宋体"/>
          <w:color w:val="auto"/>
          <w:sz w:val="24"/>
          <w:highlight w:val="none"/>
        </w:rPr>
        <w:t>对</w:t>
      </w:r>
      <w:r>
        <w:rPr>
          <w:rFonts w:hint="eastAsia" w:ascii="新宋体" w:hAnsi="新宋体" w:eastAsia="新宋体" w:cs="新宋体"/>
          <w:color w:val="auto"/>
          <w:sz w:val="24"/>
          <w:highlight w:val="none"/>
          <w:u w:val="single"/>
        </w:rPr>
        <w:t xml:space="preserve">  （项目名称）    </w:t>
      </w:r>
      <w:r>
        <w:rPr>
          <w:rFonts w:hint="eastAsia" w:ascii="新宋体" w:hAnsi="新宋体" w:eastAsia="新宋体" w:cs="新宋体"/>
          <w:color w:val="auto"/>
          <w:sz w:val="24"/>
          <w:highlight w:val="none"/>
        </w:rPr>
        <w:t>项目进行了采购。经</w:t>
      </w:r>
      <w:r>
        <w:rPr>
          <w:rFonts w:hint="eastAsia" w:ascii="新宋体" w:hAnsi="新宋体" w:eastAsia="新宋体" w:cs="新宋体"/>
          <w:color w:val="auto"/>
          <w:sz w:val="24"/>
          <w:highlight w:val="none"/>
          <w:u w:val="single"/>
        </w:rPr>
        <w:t xml:space="preserve">   （相关评定主体名称）   </w:t>
      </w:r>
      <w:r>
        <w:rPr>
          <w:rFonts w:hint="eastAsia" w:ascii="新宋体" w:hAnsi="新宋体" w:eastAsia="新宋体" w:cs="新宋体"/>
          <w:color w:val="auto"/>
          <w:sz w:val="24"/>
          <w:highlight w:val="none"/>
        </w:rPr>
        <w:t>评定，</w:t>
      </w:r>
      <w:r>
        <w:rPr>
          <w:rFonts w:hint="eastAsia" w:ascii="新宋体" w:hAnsi="新宋体" w:eastAsia="新宋体" w:cs="新宋体"/>
          <w:color w:val="auto"/>
          <w:sz w:val="24"/>
          <w:highlight w:val="none"/>
          <w:u w:val="single"/>
        </w:rPr>
        <w:t xml:space="preserve">   （中标供应商名称） </w:t>
      </w:r>
      <w:r>
        <w:rPr>
          <w:rFonts w:hint="eastAsia" w:ascii="新宋体" w:hAnsi="新宋体" w:eastAsia="新宋体" w:cs="新宋体"/>
          <w:color w:val="auto"/>
          <w:sz w:val="24"/>
          <w:highlight w:val="none"/>
        </w:rPr>
        <w:t>为该项目中标供应商。现于中标通知书发出之日起10个工作日内，按照采购文件确定的事项签订本合同。</w:t>
      </w:r>
    </w:p>
    <w:p w14:paraId="4E2DDB5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根据《中华人民共和国民法典》《中华人民共和国政府采购法》等相关法律法规之规定，按照平等、自愿、公平和诚实信用的原则，经</w:t>
      </w:r>
      <w:r>
        <w:rPr>
          <w:rFonts w:hint="eastAsia" w:ascii="新宋体" w:hAnsi="新宋体" w:eastAsia="新宋体" w:cs="新宋体"/>
          <w:color w:val="auto"/>
          <w:sz w:val="24"/>
          <w:highlight w:val="none"/>
          <w:u w:val="single"/>
        </w:rPr>
        <w:t xml:space="preserve">   （采购人）   （</w:t>
      </w:r>
      <w:r>
        <w:rPr>
          <w:rFonts w:hint="eastAsia" w:ascii="新宋体" w:hAnsi="新宋体" w:eastAsia="新宋体" w:cs="新宋体"/>
          <w:color w:val="auto"/>
          <w:sz w:val="24"/>
          <w:highlight w:val="none"/>
        </w:rPr>
        <w:t>以下简称：甲方）和</w:t>
      </w:r>
      <w:r>
        <w:rPr>
          <w:rFonts w:hint="eastAsia" w:ascii="新宋体" w:hAnsi="新宋体" w:eastAsia="新宋体" w:cs="新宋体"/>
          <w:color w:val="auto"/>
          <w:sz w:val="24"/>
          <w:highlight w:val="none"/>
          <w:u w:val="single"/>
        </w:rPr>
        <w:t xml:space="preserve">   （中标供应商名称）   （</w:t>
      </w:r>
      <w:r>
        <w:rPr>
          <w:rFonts w:hint="eastAsia" w:ascii="新宋体" w:hAnsi="新宋体" w:eastAsia="新宋体" w:cs="新宋体"/>
          <w:color w:val="auto"/>
          <w:sz w:val="24"/>
          <w:highlight w:val="none"/>
        </w:rPr>
        <w:t>以下简称：乙方）协商一致，约定以下合同条款，以兹共同遵守、全面履行。</w:t>
      </w:r>
    </w:p>
    <w:p w14:paraId="1DCA29FC">
      <w:pPr>
        <w:spacing w:line="560" w:lineRule="exact"/>
        <w:ind w:firstLine="482" w:firstLineChars="200"/>
        <w:outlineLvl w:val="0"/>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1.1 合同组成部分</w:t>
      </w:r>
    </w:p>
    <w:p w14:paraId="3B27AB0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17716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1.1.1 本合同及其补充合同、变更协议；</w:t>
      </w:r>
    </w:p>
    <w:p w14:paraId="72E9D02F">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1.1.2 中标通知书；</w:t>
      </w:r>
    </w:p>
    <w:p w14:paraId="0F8063D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1.1.3 投标文件（含澄清或者说明文件）；</w:t>
      </w:r>
    </w:p>
    <w:p w14:paraId="57D3054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1.1.4 招标文件（含澄清或者修改文件）；</w:t>
      </w:r>
    </w:p>
    <w:p w14:paraId="426E787C">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1.1.5 其他相关采购文件。</w:t>
      </w:r>
    </w:p>
    <w:p w14:paraId="2716C5E9">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1.2 标的</w:t>
      </w:r>
    </w:p>
    <w:p w14:paraId="4E1B27C1">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1.2.1 服务内容：</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4104073E">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1.2.2 服务标准：</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61409382">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1.2.3 技术保障：</w:t>
      </w:r>
      <w:r>
        <w:rPr>
          <w:rFonts w:hint="eastAsia" w:ascii="新宋体" w:hAnsi="新宋体" w:eastAsia="新宋体" w:cs="新宋体"/>
          <w:color w:val="auto"/>
          <w:sz w:val="24"/>
          <w:highlight w:val="none"/>
          <w:u w:val="single"/>
        </w:rPr>
        <w:t>　　　　　　　　　                      　      ；</w:t>
      </w:r>
    </w:p>
    <w:p w14:paraId="4F188D05">
      <w:pPr>
        <w:spacing w:line="560" w:lineRule="exact"/>
        <w:ind w:firstLine="480" w:firstLineChars="200"/>
        <w:jc w:val="lef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1.2.4 服务人员组成：</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0574D665">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1.2.5合同</w:t>
      </w:r>
      <w:r>
        <w:rPr>
          <w:rFonts w:hint="eastAsia" w:ascii="新宋体" w:hAnsi="新宋体" w:eastAsia="新宋体" w:cs="新宋体"/>
          <w:color w:val="auto"/>
          <w:highlight w:val="none"/>
          <w:u w:val="single"/>
        </w:rPr>
        <w:t xml:space="preserve">  否   </w:t>
      </w:r>
      <w:r>
        <w:rPr>
          <w:rFonts w:hint="eastAsia" w:ascii="新宋体" w:hAnsi="新宋体" w:eastAsia="新宋体" w:cs="新宋体"/>
          <w:color w:val="auto"/>
          <w:highlight w:val="none"/>
        </w:rPr>
        <w:t>（是/否）涉及货物。若涉及货物的，则：</w:t>
      </w:r>
    </w:p>
    <w:p w14:paraId="7DDE8E5D">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1.2.5.1 货物名称、品牌、规格型号、花色：</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1C8222DA">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1.2.5.2 货物数量：</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w:t>
      </w:r>
    </w:p>
    <w:p w14:paraId="14870DC3">
      <w:pPr>
        <w:spacing w:line="560" w:lineRule="exact"/>
        <w:ind w:firstLine="480"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1.2.5.3 货物质量：</w:t>
      </w:r>
      <w:r>
        <w:rPr>
          <w:rFonts w:hint="eastAsia" w:ascii="新宋体" w:hAnsi="新宋体" w:eastAsia="新宋体" w:cs="新宋体"/>
          <w:color w:val="auto"/>
          <w:sz w:val="24"/>
          <w:highlight w:val="none"/>
          <w:u w:val="single"/>
        </w:rPr>
        <w:t xml:space="preserve">　　　　　　　　　                      　 </w:t>
      </w:r>
    </w:p>
    <w:p w14:paraId="1FA736A5">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1.3 价款</w:t>
      </w:r>
    </w:p>
    <w:p w14:paraId="1ECFEEA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本合同总价为：￥</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元（大写：</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元人民币）。</w:t>
      </w:r>
    </w:p>
    <w:p w14:paraId="01F75F02">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B2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183A21">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568098A">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83B9C63">
            <w:pPr>
              <w:pStyle w:val="105"/>
              <w:spacing w:line="560" w:lineRule="exact"/>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分项价格</w:t>
            </w:r>
          </w:p>
        </w:tc>
      </w:tr>
      <w:tr w14:paraId="1CC1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8833F5">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72C0B4E">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C5A9AB6">
            <w:pPr>
              <w:pStyle w:val="105"/>
              <w:spacing w:line="560" w:lineRule="exact"/>
              <w:ind w:firstLine="200"/>
              <w:jc w:val="center"/>
              <w:rPr>
                <w:rFonts w:ascii="新宋体" w:hAnsi="新宋体" w:eastAsia="新宋体" w:cs="新宋体"/>
                <w:color w:val="auto"/>
                <w:sz w:val="24"/>
                <w:szCs w:val="24"/>
                <w:highlight w:val="none"/>
              </w:rPr>
            </w:pPr>
          </w:p>
        </w:tc>
      </w:tr>
      <w:tr w14:paraId="6A93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EA091B">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1F75BE6">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006D60">
            <w:pPr>
              <w:pStyle w:val="105"/>
              <w:spacing w:line="560" w:lineRule="exact"/>
              <w:ind w:firstLine="200"/>
              <w:jc w:val="center"/>
              <w:rPr>
                <w:rFonts w:ascii="新宋体" w:hAnsi="新宋体" w:eastAsia="新宋体" w:cs="新宋体"/>
                <w:color w:val="auto"/>
                <w:sz w:val="24"/>
                <w:szCs w:val="24"/>
                <w:highlight w:val="none"/>
              </w:rPr>
            </w:pPr>
          </w:p>
        </w:tc>
      </w:tr>
      <w:tr w14:paraId="7E13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EAFCE5">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A90A71">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97CB208">
            <w:pPr>
              <w:pStyle w:val="105"/>
              <w:spacing w:line="560" w:lineRule="exact"/>
              <w:ind w:firstLine="200"/>
              <w:jc w:val="center"/>
              <w:rPr>
                <w:rFonts w:ascii="新宋体" w:hAnsi="新宋体" w:eastAsia="新宋体" w:cs="新宋体"/>
                <w:color w:val="auto"/>
                <w:sz w:val="24"/>
                <w:szCs w:val="24"/>
                <w:highlight w:val="none"/>
              </w:rPr>
            </w:pPr>
          </w:p>
        </w:tc>
      </w:tr>
      <w:tr w14:paraId="533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076856">
            <w:pPr>
              <w:pStyle w:val="105"/>
              <w:spacing w:line="560" w:lineRule="exact"/>
              <w:ind w:firstLine="200"/>
              <w:jc w:val="center"/>
              <w:rPr>
                <w:rFonts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19A0755">
            <w:pPr>
              <w:pStyle w:val="105"/>
              <w:spacing w:line="560" w:lineRule="exact"/>
              <w:ind w:firstLine="200"/>
              <w:jc w:val="center"/>
              <w:rPr>
                <w:rFonts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E7D881">
            <w:pPr>
              <w:pStyle w:val="105"/>
              <w:spacing w:line="560" w:lineRule="exact"/>
              <w:ind w:firstLine="200"/>
              <w:jc w:val="center"/>
              <w:rPr>
                <w:rFonts w:ascii="新宋体" w:hAnsi="新宋体" w:eastAsia="新宋体" w:cs="新宋体"/>
                <w:color w:val="auto"/>
                <w:sz w:val="24"/>
                <w:szCs w:val="24"/>
                <w:highlight w:val="none"/>
              </w:rPr>
            </w:pPr>
          </w:p>
        </w:tc>
      </w:tr>
      <w:tr w14:paraId="36C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B93C0A0">
            <w:pPr>
              <w:pStyle w:val="105"/>
              <w:spacing w:line="560" w:lineRule="exact"/>
              <w:ind w:firstLine="200"/>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A7A69AB">
            <w:pPr>
              <w:pStyle w:val="105"/>
              <w:spacing w:line="560" w:lineRule="exact"/>
              <w:ind w:firstLine="200"/>
              <w:jc w:val="center"/>
              <w:rPr>
                <w:rFonts w:ascii="新宋体" w:hAnsi="新宋体" w:eastAsia="新宋体" w:cs="新宋体"/>
                <w:color w:val="auto"/>
                <w:sz w:val="24"/>
                <w:szCs w:val="24"/>
                <w:highlight w:val="none"/>
              </w:rPr>
            </w:pPr>
          </w:p>
        </w:tc>
      </w:tr>
    </w:tbl>
    <w:p w14:paraId="6050FC7E">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1.4 付款方式和发票开具方式</w:t>
      </w:r>
    </w:p>
    <w:p w14:paraId="44589F9A">
      <w:pPr>
        <w:pStyle w:val="616"/>
        <w:spacing w:before="0" w:beforeAutospacing="0" w:after="0" w:afterAutospacing="0" w:line="360" w:lineRule="auto"/>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B2389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3F8BF2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5CC10D42">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1.4.4资金支付的方式、时间和条件详见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218E85DD">
      <w:pPr>
        <w:spacing w:line="560" w:lineRule="exact"/>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1E5338FE">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1.5 履行期限、地点和方式</w:t>
      </w:r>
    </w:p>
    <w:p w14:paraId="3FB7993F">
      <w:pPr>
        <w:spacing w:line="560" w:lineRule="exact"/>
        <w:ind w:firstLine="480" w:firstLineChars="200"/>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1.5.1 履行期限：</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23CF754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 履行地点：</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0210D33F">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1.5.3 履行方式：</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150A80E7">
      <w:pPr>
        <w:spacing w:line="560" w:lineRule="exact"/>
        <w:ind w:firstLine="482" w:firstLineChars="200"/>
        <w:outlineLvl w:val="0"/>
        <w:rPr>
          <w:rFonts w:ascii="新宋体" w:hAnsi="新宋体" w:eastAsia="新宋体" w:cs="新宋体"/>
          <w:color w:val="auto"/>
          <w:sz w:val="24"/>
          <w:highlight w:val="none"/>
          <w:u w:val="single"/>
        </w:rPr>
      </w:pPr>
      <w:r>
        <w:rPr>
          <w:rFonts w:hint="eastAsia" w:ascii="新宋体" w:hAnsi="新宋体" w:eastAsia="新宋体" w:cs="新宋体"/>
          <w:b/>
          <w:color w:val="auto"/>
          <w:sz w:val="24"/>
          <w:highlight w:val="none"/>
        </w:rPr>
        <w:t>1.6 违约责任</w:t>
      </w:r>
    </w:p>
    <w:p w14:paraId="4D0BD01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%；迟延履行的违约金计算数额达到前述最高限额之日起，甲方有权在要求乙方支付违约金的同时，书面通知乙方解除本合同；</w:t>
      </w:r>
    </w:p>
    <w:p w14:paraId="5E51A47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%计算，最高限额为本合同总价的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%；迟延付款的违约金计算数额达到前述最高限额之日起，乙方有权在要求甲方支付违约金的同时，书面通知甲方解除本合同；</w:t>
      </w:r>
    </w:p>
    <w:p w14:paraId="6397336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13064A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DC7CB9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6C5524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BAD293D">
      <w:pPr>
        <w:spacing w:line="560" w:lineRule="exact"/>
        <w:ind w:left="-420" w:leftChars="-200" w:right="-420" w:rightChars="-200" w:firstLine="720" w:firstLineChars="3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1.6.7违约责任</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另有约定的，从其约定。</w:t>
      </w:r>
    </w:p>
    <w:p w14:paraId="16E831C1">
      <w:pPr>
        <w:spacing w:line="560" w:lineRule="exact"/>
        <w:ind w:firstLine="482" w:firstLineChars="2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1.7 合同争议的解决</w:t>
      </w:r>
    </w:p>
    <w:p w14:paraId="372D3BBA">
      <w:pPr>
        <w:spacing w:line="560" w:lineRule="exact"/>
        <w:ind w:left="-61" w:leftChars="-29" w:right="-420" w:rightChars="-200"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highlight w:val="none"/>
          <w:u w:val="single"/>
        </w:rPr>
        <w:t xml:space="preserve"> 合同专用条款  </w:t>
      </w:r>
      <w:r>
        <w:rPr>
          <w:rFonts w:hint="eastAsia" w:ascii="新宋体" w:hAnsi="新宋体" w:eastAsia="新宋体" w:cs="新宋体"/>
          <w:color w:val="auto"/>
          <w:sz w:val="24"/>
          <w:highlight w:val="none"/>
        </w:rPr>
        <w:t>条款规定的方式解决：</w:t>
      </w:r>
    </w:p>
    <w:p w14:paraId="17FC0CD6">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 将争议提交</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仲裁委员会依申请仲裁时其现行有效的仲裁规则裁决；</w:t>
      </w:r>
    </w:p>
    <w:p w14:paraId="4DAAE104">
      <w:pPr>
        <w:spacing w:line="560" w:lineRule="exact"/>
        <w:ind w:left="-420" w:leftChars="-200" w:right="-420" w:rightChars="-200" w:firstLine="600" w:firstLineChars="2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 向</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人民法院起诉。</w:t>
      </w:r>
    </w:p>
    <w:p w14:paraId="139DFDC3">
      <w:pPr>
        <w:spacing w:line="560" w:lineRule="exact"/>
        <w:ind w:firstLine="241" w:firstLineChars="100"/>
        <w:outlineLvl w:val="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1.8 合同生效</w:t>
      </w:r>
    </w:p>
    <w:p w14:paraId="7F43E3E0">
      <w:pPr>
        <w:spacing w:line="560" w:lineRule="exact"/>
        <w:ind w:firstLine="480" w:firstLineChars="200"/>
        <w:rPr>
          <w:rFonts w:ascii="新宋体" w:hAnsi="新宋体" w:eastAsia="新宋体" w:cs="新宋体"/>
          <w:b/>
          <w:color w:val="auto"/>
          <w:sz w:val="24"/>
          <w:highlight w:val="none"/>
        </w:rPr>
      </w:pPr>
      <w:r>
        <w:rPr>
          <w:rFonts w:hint="eastAsia" w:ascii="新宋体" w:hAnsi="新宋体" w:eastAsia="新宋体" w:cs="新宋体"/>
          <w:color w:val="auto"/>
          <w:sz w:val="24"/>
          <w:highlight w:val="none"/>
        </w:rPr>
        <w:t>本合同自双方当事人盖章或者签字时生效。</w:t>
      </w:r>
    </w:p>
    <w:p w14:paraId="75873A33">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14:paraId="266B3021">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b/>
          <w:color w:val="auto"/>
          <w:sz w:val="24"/>
          <w:highlight w:val="none"/>
        </w:rPr>
        <w:t>甲方</w:t>
      </w:r>
      <w:r>
        <w:rPr>
          <w:rFonts w:hint="eastAsia" w:ascii="新宋体" w:hAnsi="新宋体" w:eastAsia="新宋体" w:cs="新宋体"/>
          <w:color w:val="auto"/>
          <w:sz w:val="24"/>
          <w:highlight w:val="none"/>
        </w:rPr>
        <w:t xml:space="preserve">：                             </w:t>
      </w:r>
      <w:r>
        <w:rPr>
          <w:rFonts w:hint="eastAsia" w:ascii="新宋体" w:hAnsi="新宋体" w:eastAsia="新宋体" w:cs="新宋体"/>
          <w:b/>
          <w:color w:val="auto"/>
          <w:sz w:val="24"/>
          <w:highlight w:val="none"/>
        </w:rPr>
        <w:t xml:space="preserve">      乙方</w:t>
      </w:r>
      <w:r>
        <w:rPr>
          <w:rFonts w:hint="eastAsia" w:ascii="新宋体" w:hAnsi="新宋体" w:eastAsia="新宋体" w:cs="新宋体"/>
          <w:color w:val="auto"/>
          <w:sz w:val="24"/>
          <w:highlight w:val="none"/>
        </w:rPr>
        <w:t>：</w:t>
      </w:r>
    </w:p>
    <w:p w14:paraId="44F21B3D">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统一社会信用代码：                        统一社会信用代码或身份证号码：</w:t>
      </w:r>
    </w:p>
    <w:p w14:paraId="5BC8399D">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w:t>
      </w:r>
    </w:p>
    <w:p w14:paraId="216425B7">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住所：                                   住所：</w:t>
      </w:r>
    </w:p>
    <w:p w14:paraId="57FBAD73">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法定代表人或                             法定代表人或</w:t>
      </w:r>
    </w:p>
    <w:p w14:paraId="2BC57F52">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授权代表（签字）：                       授权代表（签字）： </w:t>
      </w:r>
    </w:p>
    <w:p w14:paraId="22D716EB">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联系人：                                 联系人：</w:t>
      </w:r>
    </w:p>
    <w:p w14:paraId="67264F36">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约定送达地址：                           约定送达地址：</w:t>
      </w:r>
    </w:p>
    <w:p w14:paraId="33FF205C">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邮政编码：                               邮政编码：</w:t>
      </w:r>
    </w:p>
    <w:p w14:paraId="52648045">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电话：                                    电话： </w:t>
      </w:r>
    </w:p>
    <w:p w14:paraId="67803ED8">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传真：                                    传真：</w:t>
      </w:r>
    </w:p>
    <w:p w14:paraId="52109DFF">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电子邮箱：                               电子邮箱：</w:t>
      </w:r>
    </w:p>
    <w:p w14:paraId="68F1485F">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开户银行：                               开户银行： </w:t>
      </w:r>
    </w:p>
    <w:p w14:paraId="5DD88781">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开户名称：                               开户名称： </w:t>
      </w:r>
    </w:p>
    <w:p w14:paraId="60360B50">
      <w:pPr>
        <w:autoSpaceDE w:val="0"/>
        <w:autoSpaceDN w:val="0"/>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开户账号：                               开户账号：</w:t>
      </w:r>
    </w:p>
    <w:p w14:paraId="7086ED78">
      <w:pPr>
        <w:widowControl/>
        <w:spacing w:line="560" w:lineRule="exact"/>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 xml:space="preserve"> </w:t>
      </w:r>
    </w:p>
    <w:p w14:paraId="2862A5F0">
      <w:pPr>
        <w:widowControl/>
        <w:jc w:val="lef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0080187C">
      <w:pPr>
        <w:pStyle w:val="384"/>
        <w:spacing w:line="560" w:lineRule="exact"/>
        <w:ind w:firstLine="482"/>
        <w:jc w:val="center"/>
        <w:rPr>
          <w:rFonts w:ascii="新宋体" w:hAnsi="新宋体" w:eastAsia="新宋体" w:cs="新宋体"/>
          <w:b/>
          <w:color w:val="auto"/>
          <w:szCs w:val="24"/>
          <w:highlight w:val="none"/>
        </w:rPr>
      </w:pPr>
      <w:r>
        <w:rPr>
          <w:rFonts w:hint="eastAsia" w:ascii="新宋体" w:hAnsi="新宋体" w:eastAsia="新宋体" w:cs="新宋体"/>
          <w:b/>
          <w:color w:val="auto"/>
          <w:szCs w:val="24"/>
          <w:highlight w:val="none"/>
        </w:rPr>
        <w:t>第二部分 合同一般条款</w:t>
      </w:r>
    </w:p>
    <w:p w14:paraId="0BB750A3">
      <w:pPr>
        <w:spacing w:line="560" w:lineRule="exact"/>
        <w:ind w:firstLine="482" w:firstLineChars="200"/>
        <w:outlineLvl w:val="0"/>
        <w:rPr>
          <w:rFonts w:ascii="新宋体" w:hAnsi="新宋体" w:eastAsia="新宋体" w:cs="新宋体"/>
          <w:b/>
          <w:color w:val="auto"/>
          <w:sz w:val="24"/>
          <w:highlight w:val="none"/>
        </w:rPr>
      </w:pPr>
      <w:bookmarkStart w:id="395" w:name="_Toc14021"/>
      <w:bookmarkStart w:id="396" w:name="_Toc25079"/>
      <w:bookmarkStart w:id="397" w:name="_Toc19680"/>
      <w:bookmarkStart w:id="398" w:name="_Toc5228"/>
      <w:bookmarkStart w:id="399" w:name="_Toc31297"/>
      <w:r>
        <w:rPr>
          <w:rFonts w:hint="eastAsia" w:ascii="新宋体" w:hAnsi="新宋体" w:eastAsia="新宋体" w:cs="新宋体"/>
          <w:b/>
          <w:color w:val="auto"/>
          <w:sz w:val="24"/>
          <w:highlight w:val="none"/>
        </w:rPr>
        <w:t>2.1 定义</w:t>
      </w:r>
      <w:bookmarkEnd w:id="395"/>
      <w:bookmarkEnd w:id="396"/>
      <w:bookmarkEnd w:id="397"/>
      <w:bookmarkEnd w:id="398"/>
      <w:bookmarkEnd w:id="399"/>
    </w:p>
    <w:p w14:paraId="039D84B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本合同中的下列词语应按以下内容进行解释：</w:t>
      </w:r>
    </w:p>
    <w:p w14:paraId="7DD8153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2.1.1 “合同”系指采购人和中标供应商签订的载明双方当事人所达成的协议，并包括所有的附件、附录和构成合同的其他文件。</w:t>
      </w:r>
    </w:p>
    <w:p w14:paraId="3617724C">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2.1.2 “合同价”系指根据合同约定，中标供应商在完全履行合同义务后，采购人应支付给中标供应商的价格。</w:t>
      </w:r>
    </w:p>
    <w:p w14:paraId="5D3DF79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21066DD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 “甲方”系指与中标供应商签署合同的采购人；采购人委托采购代理机构代表其与乙方签订合同的，采购人的授权委托书作为合同附件。</w:t>
      </w:r>
    </w:p>
    <w:p w14:paraId="185C5D0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F33F3D8">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 “现场”系指合同约定提供服务的地点。</w:t>
      </w:r>
    </w:p>
    <w:p w14:paraId="1F2B123B">
      <w:pPr>
        <w:spacing w:line="560" w:lineRule="exact"/>
        <w:ind w:firstLine="482" w:firstLineChars="200"/>
        <w:outlineLvl w:val="0"/>
        <w:rPr>
          <w:rFonts w:ascii="新宋体" w:hAnsi="新宋体" w:eastAsia="新宋体" w:cs="新宋体"/>
          <w:b/>
          <w:color w:val="auto"/>
          <w:sz w:val="24"/>
          <w:highlight w:val="none"/>
        </w:rPr>
      </w:pPr>
      <w:bookmarkStart w:id="400" w:name="_Toc31402"/>
      <w:bookmarkStart w:id="401" w:name="_Toc3769"/>
      <w:bookmarkStart w:id="402" w:name="_Toc19539"/>
      <w:bookmarkStart w:id="403" w:name="_Toc16752"/>
      <w:bookmarkStart w:id="404" w:name="_Toc23289"/>
      <w:r>
        <w:rPr>
          <w:rFonts w:hint="eastAsia" w:ascii="新宋体" w:hAnsi="新宋体" w:eastAsia="新宋体" w:cs="新宋体"/>
          <w:b/>
          <w:color w:val="auto"/>
          <w:sz w:val="24"/>
          <w:highlight w:val="none"/>
        </w:rPr>
        <w:t>2.2 技术规范</w:t>
      </w:r>
      <w:bookmarkEnd w:id="400"/>
      <w:bookmarkEnd w:id="401"/>
      <w:bookmarkEnd w:id="402"/>
      <w:bookmarkEnd w:id="403"/>
      <w:bookmarkEnd w:id="404"/>
    </w:p>
    <w:p w14:paraId="41F6CCA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5EA5460">
      <w:pPr>
        <w:spacing w:line="560" w:lineRule="exact"/>
        <w:ind w:firstLine="482" w:firstLineChars="200"/>
        <w:outlineLvl w:val="0"/>
        <w:rPr>
          <w:rFonts w:ascii="新宋体" w:hAnsi="新宋体" w:eastAsia="新宋体" w:cs="新宋体"/>
          <w:b/>
          <w:color w:val="auto"/>
          <w:sz w:val="24"/>
          <w:highlight w:val="none"/>
        </w:rPr>
      </w:pPr>
      <w:bookmarkStart w:id="405" w:name="_Toc27945"/>
      <w:bookmarkStart w:id="406" w:name="_Toc12412"/>
      <w:bookmarkStart w:id="407" w:name="_Toc9161"/>
      <w:bookmarkStart w:id="408" w:name="_Toc4133"/>
      <w:bookmarkStart w:id="409" w:name="_Toc13673"/>
      <w:r>
        <w:rPr>
          <w:rFonts w:hint="eastAsia" w:ascii="新宋体" w:hAnsi="新宋体" w:eastAsia="新宋体" w:cs="新宋体"/>
          <w:b/>
          <w:color w:val="auto"/>
          <w:sz w:val="24"/>
          <w:highlight w:val="none"/>
        </w:rPr>
        <w:t>2.3 知识产权</w:t>
      </w:r>
      <w:bookmarkEnd w:id="405"/>
      <w:bookmarkEnd w:id="406"/>
      <w:bookmarkEnd w:id="407"/>
      <w:bookmarkEnd w:id="408"/>
      <w:bookmarkEnd w:id="409"/>
    </w:p>
    <w:p w14:paraId="701E77A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8A05BC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 合同涉及技术成果的归属和收益的分成办法的，详见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w:t>
      </w:r>
    </w:p>
    <w:p w14:paraId="3347C0A8">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2.4 履约检查和问题反馈</w:t>
      </w:r>
    </w:p>
    <w:p w14:paraId="78AB5DF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1D76F2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2.4.2 合同履行期间，甲方有权将履行过程中出现的问题反馈给乙方，双方当事人应以书面形式约定需要完善和改进的内容。</w:t>
      </w:r>
    </w:p>
    <w:p w14:paraId="66ABC0B4">
      <w:pPr>
        <w:spacing w:line="560" w:lineRule="exact"/>
        <w:ind w:firstLine="482" w:firstLineChars="200"/>
        <w:outlineLvl w:val="0"/>
        <w:rPr>
          <w:rFonts w:ascii="新宋体" w:hAnsi="新宋体" w:eastAsia="新宋体" w:cs="新宋体"/>
          <w:b/>
          <w:color w:val="auto"/>
          <w:sz w:val="24"/>
          <w:highlight w:val="none"/>
        </w:rPr>
      </w:pPr>
      <w:bookmarkStart w:id="410" w:name="_Toc18990"/>
      <w:bookmarkStart w:id="411" w:name="_Toc30507"/>
      <w:bookmarkStart w:id="412" w:name="_Toc13467"/>
      <w:bookmarkStart w:id="413" w:name="_Toc16163"/>
      <w:bookmarkStart w:id="414" w:name="_Toc13154"/>
      <w:r>
        <w:rPr>
          <w:rFonts w:hint="eastAsia" w:ascii="新宋体" w:hAnsi="新宋体" w:eastAsia="新宋体" w:cs="新宋体"/>
          <w:b/>
          <w:color w:val="auto"/>
          <w:sz w:val="24"/>
          <w:highlight w:val="none"/>
        </w:rPr>
        <w:t>2.5 技术资料和保密义务</w:t>
      </w:r>
      <w:bookmarkEnd w:id="410"/>
      <w:bookmarkEnd w:id="411"/>
      <w:bookmarkEnd w:id="412"/>
      <w:bookmarkEnd w:id="413"/>
      <w:bookmarkEnd w:id="414"/>
    </w:p>
    <w:p w14:paraId="68B0759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2.5.1 乙方有权依据合同约定和项目需要，向甲方了解有关情况，调阅有关资料等，甲方应予积极配合；</w:t>
      </w:r>
    </w:p>
    <w:p w14:paraId="34D04DB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2.5.2 乙方有义务妥善保管和保护由甲方提供的前款信息和资料等；</w:t>
      </w:r>
    </w:p>
    <w:p w14:paraId="72AED3C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8C73798">
      <w:pPr>
        <w:spacing w:line="560" w:lineRule="exact"/>
        <w:ind w:firstLine="482" w:firstLineChars="200"/>
        <w:outlineLvl w:val="0"/>
        <w:rPr>
          <w:rFonts w:ascii="新宋体" w:hAnsi="新宋体" w:eastAsia="新宋体" w:cs="新宋体"/>
          <w:b/>
          <w:color w:val="auto"/>
          <w:sz w:val="24"/>
          <w:highlight w:val="none"/>
        </w:rPr>
      </w:pPr>
      <w:bookmarkStart w:id="415" w:name="_Toc19069"/>
      <w:r>
        <w:rPr>
          <w:rFonts w:hint="eastAsia" w:ascii="新宋体" w:hAnsi="新宋体" w:eastAsia="新宋体" w:cs="新宋体"/>
          <w:b/>
          <w:color w:val="auto"/>
          <w:sz w:val="24"/>
          <w:highlight w:val="none"/>
        </w:rPr>
        <w:t>2.6 质量保证</w:t>
      </w:r>
      <w:bookmarkEnd w:id="415"/>
    </w:p>
    <w:p w14:paraId="50F877F5">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2.6.1 乙方应建立和完善履行合同的内部质量保证体系，并提供相关内部规章制度给甲方，以便甲方进行监督检查；</w:t>
      </w:r>
    </w:p>
    <w:p w14:paraId="7672AB6E">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2.6.2 乙方应保证履行合同的人员数量和素质、软件和硬件设备的配置、场地、环境和设施等满足全面履行合同的要求，并应接受甲方的监督检查。</w:t>
      </w:r>
    </w:p>
    <w:p w14:paraId="108F8651">
      <w:pPr>
        <w:spacing w:line="560" w:lineRule="exact"/>
        <w:ind w:firstLine="482" w:firstLineChars="200"/>
        <w:outlineLvl w:val="0"/>
        <w:rPr>
          <w:rFonts w:ascii="新宋体" w:hAnsi="新宋体" w:eastAsia="新宋体" w:cs="新宋体"/>
          <w:b/>
          <w:color w:val="auto"/>
          <w:sz w:val="24"/>
          <w:highlight w:val="none"/>
        </w:rPr>
      </w:pPr>
      <w:bookmarkStart w:id="416" w:name="_Toc22267"/>
      <w:r>
        <w:rPr>
          <w:rFonts w:hint="eastAsia" w:ascii="新宋体" w:hAnsi="新宋体" w:eastAsia="新宋体" w:cs="新宋体"/>
          <w:b/>
          <w:color w:val="auto"/>
          <w:sz w:val="24"/>
          <w:highlight w:val="none"/>
        </w:rPr>
        <w:t>2.7 延迟履行</w:t>
      </w:r>
      <w:bookmarkEnd w:id="416"/>
    </w:p>
    <w:p w14:paraId="62A6E002">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CC14B1B">
      <w:pPr>
        <w:spacing w:line="560" w:lineRule="exact"/>
        <w:ind w:firstLine="482" w:firstLineChars="200"/>
        <w:outlineLvl w:val="0"/>
        <w:rPr>
          <w:rFonts w:ascii="新宋体" w:hAnsi="新宋体" w:eastAsia="新宋体" w:cs="新宋体"/>
          <w:b/>
          <w:color w:val="auto"/>
          <w:sz w:val="24"/>
          <w:highlight w:val="none"/>
        </w:rPr>
      </w:pPr>
      <w:bookmarkStart w:id="417" w:name="_Toc10611"/>
      <w:r>
        <w:rPr>
          <w:rFonts w:hint="eastAsia" w:ascii="新宋体" w:hAnsi="新宋体" w:eastAsia="新宋体" w:cs="新宋体"/>
          <w:b/>
          <w:color w:val="auto"/>
          <w:sz w:val="24"/>
          <w:highlight w:val="none"/>
        </w:rPr>
        <w:t>2.8 合同变更</w:t>
      </w:r>
      <w:bookmarkEnd w:id="417"/>
    </w:p>
    <w:p w14:paraId="7EE726F3">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D9BDD49">
      <w:pPr>
        <w:spacing w:line="560" w:lineRule="exact"/>
        <w:ind w:firstLine="482" w:firstLineChars="200"/>
        <w:outlineLvl w:val="0"/>
        <w:rPr>
          <w:rFonts w:ascii="新宋体" w:hAnsi="新宋体" w:eastAsia="新宋体" w:cs="新宋体"/>
          <w:b/>
          <w:color w:val="auto"/>
          <w:sz w:val="24"/>
          <w:highlight w:val="none"/>
        </w:rPr>
      </w:pPr>
      <w:bookmarkStart w:id="418" w:name="_Toc23368"/>
      <w:bookmarkStart w:id="419" w:name="_Toc21830"/>
      <w:bookmarkStart w:id="420" w:name="_Toc26689"/>
      <w:bookmarkStart w:id="421" w:name="_Toc10663"/>
      <w:bookmarkStart w:id="422" w:name="_Toc42"/>
      <w:r>
        <w:rPr>
          <w:rFonts w:hint="eastAsia" w:ascii="新宋体" w:hAnsi="新宋体" w:eastAsia="新宋体" w:cs="新宋体"/>
          <w:b/>
          <w:color w:val="auto"/>
          <w:sz w:val="24"/>
          <w:highlight w:val="none"/>
        </w:rPr>
        <w:t>2.9 合同转让和分包</w:t>
      </w:r>
      <w:bookmarkEnd w:id="418"/>
      <w:bookmarkEnd w:id="419"/>
      <w:bookmarkEnd w:id="420"/>
      <w:bookmarkEnd w:id="421"/>
      <w:bookmarkEnd w:id="422"/>
    </w:p>
    <w:p w14:paraId="2A8C2F17">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572CA81">
      <w:pPr>
        <w:spacing w:line="560" w:lineRule="exact"/>
        <w:ind w:firstLine="482" w:firstLineChars="200"/>
        <w:outlineLvl w:val="0"/>
        <w:rPr>
          <w:rFonts w:ascii="新宋体" w:hAnsi="新宋体" w:eastAsia="新宋体" w:cs="新宋体"/>
          <w:b/>
          <w:color w:val="auto"/>
          <w:sz w:val="24"/>
          <w:highlight w:val="none"/>
        </w:rPr>
      </w:pPr>
      <w:bookmarkStart w:id="423" w:name="_Toc25571"/>
      <w:bookmarkStart w:id="424" w:name="_Toc4720"/>
      <w:bookmarkStart w:id="425" w:name="_Toc32494"/>
      <w:bookmarkStart w:id="426" w:name="_Toc26633"/>
      <w:bookmarkStart w:id="427" w:name="_Toc14371"/>
      <w:r>
        <w:rPr>
          <w:rFonts w:hint="eastAsia" w:ascii="新宋体" w:hAnsi="新宋体" w:eastAsia="新宋体" w:cs="新宋体"/>
          <w:b/>
          <w:color w:val="auto"/>
          <w:sz w:val="24"/>
          <w:highlight w:val="none"/>
        </w:rPr>
        <w:t>2.10 不可抗力</w:t>
      </w:r>
      <w:bookmarkEnd w:id="423"/>
      <w:bookmarkEnd w:id="424"/>
      <w:bookmarkEnd w:id="425"/>
      <w:bookmarkEnd w:id="426"/>
      <w:bookmarkEnd w:id="427"/>
    </w:p>
    <w:p w14:paraId="1D78347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2.10.1如果任何一方遭遇法律规定的不可抗力，致使合同履行受阻时，履行合同的期限应予延长，延长的期限应相当于不可抗力所影响的时间；</w:t>
      </w:r>
    </w:p>
    <w:p w14:paraId="41924B24">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2.10.2 因不可抗力致使不能实现合同目的的，当事人可以解除合同；</w:t>
      </w:r>
    </w:p>
    <w:p w14:paraId="2449A06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 因不可抗力致使合同有变更必要的，双方当事人应在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约定时间内以书面形式变更合同；</w:t>
      </w:r>
    </w:p>
    <w:p w14:paraId="6ACDAAA7">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2.10.4受不可抗力影响的一方在不可抗力发生后，应在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约定时间内以书面形式通知对方当事人，并在</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约定时间内，将有关部门出具的证明文件送达对方当事人。</w:t>
      </w:r>
    </w:p>
    <w:p w14:paraId="44CB7EC2">
      <w:pPr>
        <w:spacing w:line="560" w:lineRule="exact"/>
        <w:ind w:firstLine="482" w:firstLineChars="200"/>
        <w:outlineLvl w:val="0"/>
        <w:rPr>
          <w:rFonts w:ascii="新宋体" w:hAnsi="新宋体" w:eastAsia="新宋体" w:cs="新宋体"/>
          <w:b/>
          <w:color w:val="auto"/>
          <w:sz w:val="24"/>
          <w:highlight w:val="none"/>
        </w:rPr>
      </w:pPr>
      <w:bookmarkStart w:id="428" w:name="_Toc14115"/>
      <w:bookmarkStart w:id="429" w:name="_Toc24465"/>
      <w:bookmarkStart w:id="430" w:name="_Toc23854"/>
      <w:bookmarkStart w:id="431" w:name="_Toc25783"/>
      <w:bookmarkStart w:id="432" w:name="_Toc3638"/>
      <w:r>
        <w:rPr>
          <w:rFonts w:hint="eastAsia" w:ascii="新宋体" w:hAnsi="新宋体" w:eastAsia="新宋体" w:cs="新宋体"/>
          <w:b/>
          <w:color w:val="auto"/>
          <w:sz w:val="24"/>
          <w:highlight w:val="none"/>
        </w:rPr>
        <w:t>2.11 税费</w:t>
      </w:r>
      <w:bookmarkEnd w:id="428"/>
      <w:bookmarkEnd w:id="429"/>
      <w:bookmarkEnd w:id="430"/>
      <w:bookmarkEnd w:id="431"/>
      <w:bookmarkEnd w:id="432"/>
    </w:p>
    <w:p w14:paraId="7E5D766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与合同有关的一切税费，均按照中华人民共和国法律的相关规定缴纳。</w:t>
      </w:r>
    </w:p>
    <w:p w14:paraId="591EDA0E">
      <w:pPr>
        <w:spacing w:line="560" w:lineRule="exact"/>
        <w:ind w:firstLine="482" w:firstLineChars="200"/>
        <w:outlineLvl w:val="0"/>
        <w:rPr>
          <w:rFonts w:ascii="新宋体" w:hAnsi="新宋体" w:eastAsia="新宋体" w:cs="新宋体"/>
          <w:b/>
          <w:color w:val="auto"/>
          <w:sz w:val="24"/>
          <w:highlight w:val="none"/>
        </w:rPr>
      </w:pPr>
      <w:bookmarkStart w:id="433" w:name="_Toc7315"/>
      <w:bookmarkStart w:id="434" w:name="_Toc30105"/>
      <w:bookmarkStart w:id="435" w:name="_Toc26883"/>
      <w:bookmarkStart w:id="436" w:name="_Toc25525"/>
      <w:bookmarkStart w:id="437" w:name="_Toc14814"/>
      <w:r>
        <w:rPr>
          <w:rFonts w:hint="eastAsia" w:ascii="新宋体" w:hAnsi="新宋体" w:eastAsia="新宋体" w:cs="新宋体"/>
          <w:b/>
          <w:color w:val="auto"/>
          <w:sz w:val="24"/>
          <w:highlight w:val="none"/>
        </w:rPr>
        <w:t>2.12 乙方破产</w:t>
      </w:r>
      <w:bookmarkEnd w:id="433"/>
      <w:bookmarkEnd w:id="434"/>
      <w:bookmarkEnd w:id="435"/>
      <w:bookmarkEnd w:id="436"/>
      <w:bookmarkEnd w:id="437"/>
    </w:p>
    <w:p w14:paraId="29146741">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10624C">
      <w:pPr>
        <w:spacing w:line="560" w:lineRule="exact"/>
        <w:ind w:firstLine="482" w:firstLineChars="200"/>
        <w:outlineLvl w:val="0"/>
        <w:rPr>
          <w:rFonts w:ascii="新宋体" w:hAnsi="新宋体" w:eastAsia="新宋体" w:cs="新宋体"/>
          <w:b/>
          <w:color w:val="auto"/>
          <w:sz w:val="24"/>
          <w:highlight w:val="none"/>
        </w:rPr>
      </w:pPr>
      <w:bookmarkStart w:id="438" w:name="_Toc23323"/>
      <w:bookmarkStart w:id="439" w:name="_Toc2016"/>
      <w:bookmarkStart w:id="440" w:name="_Toc1123"/>
      <w:r>
        <w:rPr>
          <w:rFonts w:hint="eastAsia" w:ascii="新宋体" w:hAnsi="新宋体" w:eastAsia="新宋体" w:cs="新宋体"/>
          <w:b/>
          <w:color w:val="auto"/>
          <w:sz w:val="24"/>
          <w:highlight w:val="none"/>
        </w:rPr>
        <w:t>2.13 合同中止、终止</w:t>
      </w:r>
      <w:bookmarkEnd w:id="438"/>
      <w:bookmarkEnd w:id="439"/>
      <w:bookmarkEnd w:id="440"/>
    </w:p>
    <w:p w14:paraId="66BE833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2.13.1 双方当事人不得擅自中止或者终止合同；</w:t>
      </w:r>
    </w:p>
    <w:p w14:paraId="31225A8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14:paraId="42FCE4C4">
      <w:pPr>
        <w:spacing w:line="560" w:lineRule="exact"/>
        <w:ind w:firstLine="482" w:firstLineChars="200"/>
        <w:outlineLvl w:val="0"/>
        <w:rPr>
          <w:rFonts w:ascii="新宋体" w:hAnsi="新宋体" w:eastAsia="新宋体" w:cs="新宋体"/>
          <w:b/>
          <w:color w:val="auto"/>
          <w:sz w:val="24"/>
          <w:highlight w:val="none"/>
        </w:rPr>
      </w:pPr>
      <w:bookmarkStart w:id="441" w:name="_Toc17363"/>
      <w:bookmarkStart w:id="442" w:name="_Toc14525"/>
      <w:bookmarkStart w:id="443" w:name="_Toc1969"/>
      <w:r>
        <w:rPr>
          <w:rFonts w:hint="eastAsia" w:ascii="新宋体" w:hAnsi="新宋体" w:eastAsia="新宋体" w:cs="新宋体"/>
          <w:b/>
          <w:color w:val="auto"/>
          <w:sz w:val="24"/>
          <w:highlight w:val="none"/>
        </w:rPr>
        <w:t>2.14 检验和验收</w:t>
      </w:r>
      <w:bookmarkEnd w:id="441"/>
      <w:bookmarkEnd w:id="442"/>
      <w:bookmarkEnd w:id="443"/>
    </w:p>
    <w:p w14:paraId="4F1DA642">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 乙方按照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的约定，定期提交服务报告，甲方按照</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的约定进行定期验收；</w:t>
      </w:r>
    </w:p>
    <w:p w14:paraId="154A5585">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481470">
      <w:pPr>
        <w:tabs>
          <w:tab w:val="left" w:pos="360"/>
          <w:tab w:val="left" w:pos="540"/>
          <w:tab w:val="left" w:pos="1080"/>
        </w:tabs>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 检验和验收标准、程序等具体内容以及前述验收书的效力详见</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i/>
          <w:color w:val="auto"/>
          <w:sz w:val="24"/>
          <w:highlight w:val="none"/>
        </w:rPr>
        <w:t>。</w:t>
      </w:r>
    </w:p>
    <w:p w14:paraId="6B1193DA">
      <w:pPr>
        <w:spacing w:line="560" w:lineRule="exact"/>
        <w:ind w:firstLine="482" w:firstLineChars="200"/>
        <w:outlineLvl w:val="0"/>
        <w:rPr>
          <w:rFonts w:ascii="新宋体" w:hAnsi="新宋体" w:eastAsia="新宋体" w:cs="新宋体"/>
          <w:b/>
          <w:color w:val="auto"/>
          <w:sz w:val="24"/>
          <w:highlight w:val="none"/>
        </w:rPr>
      </w:pPr>
      <w:bookmarkStart w:id="444" w:name="_Toc12666"/>
      <w:bookmarkStart w:id="445" w:name="_Toc31892"/>
      <w:bookmarkStart w:id="446" w:name="_Toc25198"/>
      <w:bookmarkStart w:id="447" w:name="_Toc9808"/>
      <w:bookmarkStart w:id="448" w:name="_Toc2308"/>
      <w:r>
        <w:rPr>
          <w:rFonts w:hint="eastAsia" w:ascii="新宋体" w:hAnsi="新宋体" w:eastAsia="新宋体" w:cs="新宋体"/>
          <w:b/>
          <w:color w:val="auto"/>
          <w:sz w:val="24"/>
          <w:highlight w:val="none"/>
        </w:rPr>
        <w:t>2.15 通知和送达</w:t>
      </w:r>
      <w:bookmarkEnd w:id="444"/>
      <w:bookmarkEnd w:id="445"/>
      <w:bookmarkEnd w:id="446"/>
      <w:bookmarkEnd w:id="447"/>
      <w:bookmarkEnd w:id="448"/>
    </w:p>
    <w:p w14:paraId="79835991">
      <w:pPr>
        <w:spacing w:line="560" w:lineRule="exact"/>
        <w:ind w:firstLine="480" w:firstLineChars="200"/>
        <w:rPr>
          <w:rFonts w:ascii="新宋体" w:hAnsi="新宋体" w:eastAsia="新宋体" w:cs="新宋体"/>
          <w:color w:val="auto"/>
          <w:sz w:val="24"/>
          <w:highlight w:val="none"/>
        </w:rPr>
      </w:pPr>
      <w:bookmarkStart w:id="449" w:name="_Toc18401"/>
      <w:bookmarkStart w:id="450" w:name="_Toc27674"/>
      <w:r>
        <w:rPr>
          <w:rFonts w:hint="eastAsia" w:ascii="新宋体" w:hAnsi="新宋体" w:eastAsia="新宋体" w:cs="新宋体"/>
          <w:color w:val="auto"/>
          <w:sz w:val="24"/>
          <w:highlight w:val="none"/>
        </w:rPr>
        <w:t xml:space="preserve">2.15.1任何一方因履行合同而以合同第一部分尾部所列明的传真或电子邮件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发出的所有通知、文件、材料，均视为已向对方当事人送达；任何一方变更上述送达方式或者地址的，应于</w:t>
      </w:r>
      <w:r>
        <w:rPr>
          <w:rFonts w:hint="eastAsia" w:ascii="新宋体" w:hAnsi="新宋体" w:eastAsia="新宋体" w:cs="新宋体"/>
          <w:color w:val="auto"/>
          <w:sz w:val="24"/>
          <w:highlight w:val="none"/>
          <w:u w:val="single"/>
        </w:rPr>
        <w:t>3</w:t>
      </w:r>
      <w:r>
        <w:rPr>
          <w:rFonts w:hint="eastAsia" w:ascii="新宋体" w:hAnsi="新宋体" w:eastAsia="新宋体" w:cs="新宋体"/>
          <w:color w:val="auto"/>
          <w:sz w:val="24"/>
          <w:highlight w:val="none"/>
        </w:rPr>
        <w:t>个工作日内书面通知对方当事人，在对方当事人收到有关变更通知之前，变更前的约定送达方式或者地址仍视为有效。</w:t>
      </w:r>
    </w:p>
    <w:p w14:paraId="29C0CC89">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49"/>
      <w:bookmarkEnd w:id="450"/>
    </w:p>
    <w:p w14:paraId="11320CE3">
      <w:pPr>
        <w:spacing w:line="560" w:lineRule="exact"/>
        <w:ind w:firstLine="482" w:firstLineChars="200"/>
        <w:outlineLvl w:val="0"/>
        <w:rPr>
          <w:rFonts w:ascii="新宋体" w:hAnsi="新宋体" w:eastAsia="新宋体" w:cs="新宋体"/>
          <w:b/>
          <w:color w:val="auto"/>
          <w:sz w:val="24"/>
          <w:highlight w:val="none"/>
        </w:rPr>
      </w:pPr>
      <w:bookmarkStart w:id="451" w:name="_Toc5063"/>
      <w:bookmarkStart w:id="452" w:name="_Toc12254"/>
      <w:bookmarkStart w:id="453" w:name="_Toc27644"/>
      <w:bookmarkStart w:id="454" w:name="_Toc28906"/>
      <w:bookmarkStart w:id="455" w:name="_Toc20808"/>
      <w:r>
        <w:rPr>
          <w:rFonts w:hint="eastAsia" w:ascii="新宋体" w:hAnsi="新宋体" w:eastAsia="新宋体" w:cs="新宋体"/>
          <w:b/>
          <w:color w:val="auto"/>
          <w:sz w:val="24"/>
          <w:highlight w:val="none"/>
        </w:rPr>
        <w:t>2.16 合同使用的文字和适用的法律</w:t>
      </w:r>
      <w:bookmarkEnd w:id="451"/>
      <w:bookmarkEnd w:id="452"/>
      <w:bookmarkEnd w:id="453"/>
      <w:bookmarkEnd w:id="454"/>
      <w:bookmarkEnd w:id="455"/>
    </w:p>
    <w:p w14:paraId="5AE43BA6">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2.16.1 合同使用汉语书就、变更和解释；</w:t>
      </w:r>
    </w:p>
    <w:p w14:paraId="3C4C67E0">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2.16.2 合同适用中华人民共和国法律。</w:t>
      </w:r>
    </w:p>
    <w:p w14:paraId="33523477">
      <w:pPr>
        <w:spacing w:line="560" w:lineRule="exact"/>
        <w:ind w:firstLine="482" w:firstLineChars="200"/>
        <w:outlineLvl w:val="0"/>
        <w:rPr>
          <w:rFonts w:ascii="新宋体" w:hAnsi="新宋体" w:eastAsia="新宋体" w:cs="新宋体"/>
          <w:b/>
          <w:color w:val="auto"/>
          <w:sz w:val="24"/>
          <w:highlight w:val="none"/>
        </w:rPr>
      </w:pPr>
      <w:bookmarkStart w:id="456" w:name="_Toc27403"/>
      <w:bookmarkStart w:id="457" w:name="_Toc30096"/>
      <w:bookmarkStart w:id="458" w:name="_Toc1492"/>
      <w:bookmarkStart w:id="459" w:name="_Toc27127"/>
      <w:bookmarkStart w:id="460" w:name="_Toc22266"/>
      <w:r>
        <w:rPr>
          <w:rFonts w:hint="eastAsia" w:ascii="新宋体" w:hAnsi="新宋体" w:eastAsia="新宋体" w:cs="新宋体"/>
          <w:b/>
          <w:color w:val="auto"/>
          <w:sz w:val="24"/>
          <w:highlight w:val="none"/>
        </w:rPr>
        <w:t>2.17 履约保证金</w:t>
      </w:r>
      <w:bookmarkEnd w:id="456"/>
      <w:bookmarkEnd w:id="457"/>
      <w:bookmarkEnd w:id="458"/>
      <w:bookmarkEnd w:id="459"/>
      <w:bookmarkEnd w:id="460"/>
    </w:p>
    <w:p w14:paraId="7D54EB48">
      <w:pPr>
        <w:pStyle w:val="616"/>
        <w:spacing w:before="0" w:beforeAutospacing="0" w:after="0" w:afterAutospacing="0" w:line="360" w:lineRule="auto"/>
        <w:ind w:firstLine="420"/>
        <w:rPr>
          <w:rFonts w:ascii="新宋体" w:hAnsi="新宋体" w:eastAsia="新宋体" w:cs="新宋体"/>
          <w:color w:val="auto"/>
          <w:highlight w:val="none"/>
        </w:rPr>
      </w:pPr>
      <w:r>
        <w:rPr>
          <w:rFonts w:hint="eastAsia" w:ascii="新宋体" w:hAnsi="新宋体" w:eastAsia="新宋体" w:cs="新宋体"/>
          <w:color w:val="auto"/>
          <w:highlight w:val="none"/>
        </w:rPr>
        <w:t>2.17.1 招标文件要求乙方提交履约保证金的，乙方应按</w:t>
      </w:r>
      <w:r>
        <w:rPr>
          <w:rFonts w:hint="eastAsia" w:ascii="新宋体" w:hAnsi="新宋体" w:eastAsia="新宋体" w:cs="新宋体"/>
          <w:b/>
          <w:i/>
          <w:color w:val="auto"/>
          <w:highlight w:val="none"/>
          <w:u w:val="single"/>
        </w:rPr>
        <w:t>合同专用条款</w:t>
      </w:r>
      <w:r>
        <w:rPr>
          <w:rFonts w:hint="eastAsia" w:ascii="新宋体" w:hAnsi="新宋体" w:eastAsia="新宋体" w:cs="新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E77767D">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  甲方在项目验收结束后及时退还履约保证金。甲方在项目通过验收之日起</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auto"/>
          <w:sz w:val="24"/>
          <w:highlight w:val="none"/>
          <w:u w:val="single"/>
        </w:rPr>
        <w:t xml:space="preserve">  0.05  </w:t>
      </w:r>
      <w:r>
        <w:rPr>
          <w:rFonts w:hint="eastAsia" w:ascii="新宋体" w:hAnsi="新宋体" w:eastAsia="新宋体" w:cs="新宋体"/>
          <w:color w:val="auto"/>
          <w:sz w:val="24"/>
          <w:highlight w:val="none"/>
        </w:rPr>
        <w:t>%计算，最高限额为本合同履约保证金的</w:t>
      </w:r>
      <w:r>
        <w:rPr>
          <w:rFonts w:hint="eastAsia" w:ascii="新宋体" w:hAnsi="新宋体" w:eastAsia="新宋体" w:cs="新宋体"/>
          <w:color w:val="auto"/>
          <w:sz w:val="24"/>
          <w:highlight w:val="none"/>
          <w:u w:val="single"/>
        </w:rPr>
        <w:t xml:space="preserve">  20   </w:t>
      </w:r>
      <w:r>
        <w:rPr>
          <w:rFonts w:hint="eastAsia" w:ascii="新宋体" w:hAnsi="新宋体" w:eastAsia="新宋体" w:cs="新宋体"/>
          <w:color w:val="auto"/>
          <w:sz w:val="24"/>
          <w:highlight w:val="none"/>
        </w:rPr>
        <w:t xml:space="preserve">%； </w:t>
      </w:r>
    </w:p>
    <w:p w14:paraId="14E4E99B">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B0A30F">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2.17.4 甲方在乙方履行完合同约定义务事项后及时退还，延迟退还的，应当按照合同约定和法律规定承担相应的赔偿责任。</w:t>
      </w:r>
    </w:p>
    <w:p w14:paraId="70EC8FDC">
      <w:pPr>
        <w:spacing w:line="560" w:lineRule="exact"/>
        <w:ind w:firstLine="482" w:firstLineChars="200"/>
        <w:rPr>
          <w:rFonts w:ascii="新宋体" w:hAnsi="新宋体" w:eastAsia="新宋体" w:cs="新宋体"/>
          <w:color w:val="auto"/>
          <w:sz w:val="24"/>
          <w:highlight w:val="none"/>
        </w:rPr>
      </w:pPr>
      <w:r>
        <w:rPr>
          <w:rFonts w:hint="eastAsia" w:ascii="新宋体" w:hAnsi="新宋体" w:eastAsia="新宋体" w:cs="新宋体"/>
          <w:b/>
          <w:bCs/>
          <w:color w:val="auto"/>
          <w:sz w:val="24"/>
          <w:highlight w:val="none"/>
        </w:rPr>
        <w:t>2.18</w:t>
      </w:r>
      <w:r>
        <w:rPr>
          <w:rFonts w:hint="eastAsia" w:ascii="新宋体" w:hAnsi="新宋体" w:eastAsia="新宋体" w:cs="新宋体"/>
          <w:color w:val="auto"/>
          <w:sz w:val="24"/>
          <w:highlight w:val="none"/>
        </w:rPr>
        <w:t>对于因甲方原因导致变更、中止或者终止政府采购合同的，甲方应当依照合同约定对供应商受到的损失予以赔偿或者补偿。</w:t>
      </w:r>
    </w:p>
    <w:p w14:paraId="4DBE7B07">
      <w:pPr>
        <w:spacing w:line="560" w:lineRule="exact"/>
        <w:ind w:firstLine="482" w:firstLineChars="200"/>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2.19合同份数</w:t>
      </w:r>
    </w:p>
    <w:p w14:paraId="6D0FC348">
      <w:pPr>
        <w:spacing w:line="5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合同份数按</w:t>
      </w:r>
      <w:r>
        <w:rPr>
          <w:rFonts w:hint="eastAsia" w:ascii="新宋体" w:hAnsi="新宋体" w:eastAsia="新宋体" w:cs="新宋体"/>
          <w:b/>
          <w:i/>
          <w:color w:val="auto"/>
          <w:sz w:val="24"/>
          <w:highlight w:val="none"/>
          <w:u w:val="single"/>
        </w:rPr>
        <w:t>合同专用条款</w:t>
      </w:r>
      <w:r>
        <w:rPr>
          <w:rFonts w:hint="eastAsia" w:ascii="新宋体" w:hAnsi="新宋体" w:eastAsia="新宋体" w:cs="新宋体"/>
          <w:color w:val="auto"/>
          <w:sz w:val="24"/>
          <w:highlight w:val="none"/>
        </w:rPr>
        <w:t>规定，每份均具有同等法律效力。</w:t>
      </w:r>
    </w:p>
    <w:p w14:paraId="240AB246">
      <w:pPr>
        <w:spacing w:line="360" w:lineRule="auto"/>
        <w:jc w:val="center"/>
        <w:outlineLvl w:val="0"/>
        <w:rPr>
          <w:rFonts w:ascii="新宋体" w:hAnsi="新宋体" w:eastAsia="新宋体" w:cs="新宋体"/>
          <w:b/>
          <w:color w:val="auto"/>
          <w:sz w:val="24"/>
          <w:highlight w:val="none"/>
        </w:rPr>
      </w:pPr>
      <w:r>
        <w:rPr>
          <w:rFonts w:hint="eastAsia" w:ascii="新宋体" w:hAnsi="新宋体" w:eastAsia="新宋体" w:cs="新宋体"/>
          <w:color w:val="auto"/>
          <w:kern w:val="0"/>
          <w:sz w:val="24"/>
          <w:highlight w:val="none"/>
        </w:rPr>
        <w:br w:type="page"/>
      </w:r>
      <w:r>
        <w:rPr>
          <w:rFonts w:hint="eastAsia" w:ascii="新宋体" w:hAnsi="新宋体" w:eastAsia="新宋体" w:cs="新宋体"/>
          <w:b/>
          <w:color w:val="auto"/>
          <w:sz w:val="24"/>
          <w:highlight w:val="none"/>
        </w:rPr>
        <w:t>第三部分  合同专用条款</w:t>
      </w:r>
    </w:p>
    <w:p w14:paraId="061D5B50">
      <w:pPr>
        <w:spacing w:line="560" w:lineRule="exact"/>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021A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7B5B4969">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14:paraId="2B893834">
            <w:pPr>
              <w:spacing w:line="360" w:lineRule="auto"/>
              <w:jc w:val="cente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约定内容</w:t>
            </w:r>
          </w:p>
        </w:tc>
      </w:tr>
      <w:tr w14:paraId="3A3B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D539EA4">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14:paraId="6D77C1B6">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甲方根据物业服务质量考核结果按每三个月支付物业管理服务费，自合同签订之日起</w:t>
            </w:r>
            <w:r>
              <w:rPr>
                <w:rFonts w:hint="eastAsia" w:ascii="新宋体" w:hAnsi="新宋体" w:eastAsia="新宋体" w:cs="新宋体"/>
                <w:bCs/>
                <w:color w:val="auto"/>
                <w:sz w:val="24"/>
                <w:highlight w:val="none"/>
                <w:lang w:val="en-US" w:eastAsia="zh-CN"/>
              </w:rPr>
              <w:t>7个</w:t>
            </w:r>
            <w:r>
              <w:rPr>
                <w:rFonts w:hint="eastAsia" w:ascii="新宋体" w:hAnsi="新宋体" w:eastAsia="新宋体" w:cs="新宋体"/>
                <w:bCs/>
                <w:color w:val="auto"/>
                <w:sz w:val="24"/>
                <w:highlight w:val="none"/>
              </w:rPr>
              <w:t>工作日内支付一年合同价预付款50%，经甲方考核合格后每三个月付款，按每三个月支付一年合同价的12.5%。乙方因工作失误造成的扣款在付款时予以扣除。</w:t>
            </w:r>
          </w:p>
        </w:tc>
      </w:tr>
      <w:tr w14:paraId="72060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10FE6F7">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14:paraId="0C0A56A5">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自合同签订生效之日起一年。</w:t>
            </w:r>
          </w:p>
        </w:tc>
      </w:tr>
      <w:tr w14:paraId="7270C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6812CD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14:paraId="6EC493FE">
            <w:pPr>
              <w:pStyle w:val="100"/>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服务地点：</w:t>
            </w:r>
          </w:p>
          <w:p w14:paraId="4DD0C30D">
            <w:pPr>
              <w:pStyle w:val="100"/>
              <w:spacing w:line="360" w:lineRule="auto"/>
              <w:ind w:firstLine="0" w:firstLineChars="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余杭人民法庭，位于余杭区余杭街道城东路城南路口东180米。</w:t>
            </w:r>
          </w:p>
          <w:p w14:paraId="057CA507">
            <w:pPr>
              <w:pStyle w:val="100"/>
              <w:spacing w:line="360" w:lineRule="auto"/>
              <w:ind w:firstLine="0" w:firstLineChars="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瓶窑人民法庭，位于余杭区瓶窑镇前程路16号。</w:t>
            </w:r>
          </w:p>
          <w:p w14:paraId="66704951">
            <w:pPr>
              <w:pStyle w:val="100"/>
              <w:spacing w:line="360" w:lineRule="auto"/>
              <w:ind w:firstLine="0" w:firstLineChars="0"/>
              <w:rPr>
                <w:rFonts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良渚人民法庭，位于余杭区莫干山路2299号</w:t>
            </w:r>
          </w:p>
          <w:p w14:paraId="4852F164">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t>未来科技城人民法庭，位于余杭区文一西路998号海创园5幢1层3层</w:t>
            </w:r>
          </w:p>
        </w:tc>
      </w:tr>
      <w:tr w14:paraId="2043C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6F4A301">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14:paraId="0017A1C3">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w:t>
            </w:r>
          </w:p>
        </w:tc>
      </w:tr>
      <w:tr w14:paraId="2880D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DA4C603">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14:paraId="3C2CCE3F">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14:paraId="1B5FC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081EFD3">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14:paraId="02DD71C8">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w:t>
            </w:r>
          </w:p>
        </w:tc>
      </w:tr>
      <w:tr w14:paraId="1F448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32A0914">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14:paraId="1EFACB2D">
            <w:pPr>
              <w:spacing w:line="360" w:lineRule="auto"/>
              <w:rPr>
                <w:rFonts w:ascii="新宋体" w:hAnsi="新宋体" w:eastAsia="新宋体" w:cs="新宋体"/>
                <w:color w:val="auto"/>
                <w:sz w:val="24"/>
                <w:highlight w:val="none"/>
              </w:rPr>
            </w:pPr>
            <w:r>
              <w:rPr>
                <w:rFonts w:ascii="新宋体" w:hAnsi="新宋体" w:eastAsia="新宋体" w:cs="新宋体"/>
                <w:color w:val="auto"/>
                <w:sz w:val="24"/>
                <w:highlight w:val="none"/>
              </w:rPr>
              <w:t>杭州市仲裁委员会</w:t>
            </w:r>
          </w:p>
        </w:tc>
      </w:tr>
      <w:tr w14:paraId="4715C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2002ACC">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14:paraId="6CA5837F">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14:paraId="26E45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51E26FB">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14:paraId="6737CBD3">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w:t>
            </w:r>
          </w:p>
        </w:tc>
      </w:tr>
      <w:tr w14:paraId="390A7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2EF9CF2">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2.10.3</w:t>
            </w:r>
          </w:p>
        </w:tc>
        <w:tc>
          <w:tcPr>
            <w:tcW w:w="8060" w:type="dxa"/>
            <w:tcBorders>
              <w:top w:val="single" w:color="auto" w:sz="6" w:space="0"/>
              <w:left w:val="single" w:color="auto" w:sz="6" w:space="0"/>
              <w:bottom w:val="single" w:color="auto" w:sz="6" w:space="0"/>
              <w:right w:val="single" w:color="auto" w:sz="6" w:space="0"/>
            </w:tcBorders>
            <w:vAlign w:val="center"/>
          </w:tcPr>
          <w:p w14:paraId="34857D33">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w:t>
            </w:r>
          </w:p>
        </w:tc>
      </w:tr>
      <w:tr w14:paraId="3923D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F7D9D3D">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2.10.4</w:t>
            </w:r>
          </w:p>
        </w:tc>
        <w:tc>
          <w:tcPr>
            <w:tcW w:w="8060" w:type="dxa"/>
            <w:tcBorders>
              <w:top w:val="single" w:color="auto" w:sz="6" w:space="0"/>
              <w:left w:val="single" w:color="auto" w:sz="6" w:space="0"/>
              <w:bottom w:val="single" w:color="auto" w:sz="6" w:space="0"/>
              <w:right w:val="single" w:color="auto" w:sz="6" w:space="0"/>
            </w:tcBorders>
            <w:vAlign w:val="center"/>
          </w:tcPr>
          <w:p w14:paraId="531B0DE4">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30天，30天</w:t>
            </w:r>
          </w:p>
        </w:tc>
      </w:tr>
      <w:tr w14:paraId="3CDFD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027BFEDC">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2.14.1</w:t>
            </w:r>
          </w:p>
        </w:tc>
        <w:tc>
          <w:tcPr>
            <w:tcW w:w="8060" w:type="dxa"/>
            <w:tcBorders>
              <w:top w:val="single" w:color="auto" w:sz="6" w:space="0"/>
              <w:left w:val="single" w:color="auto" w:sz="6" w:space="0"/>
              <w:bottom w:val="single" w:color="auto" w:sz="6" w:space="0"/>
              <w:right w:val="single" w:color="auto" w:sz="6" w:space="0"/>
            </w:tcBorders>
            <w:vAlign w:val="center"/>
          </w:tcPr>
          <w:p w14:paraId="28ABFB84">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14:paraId="59A04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928508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2.14.3</w:t>
            </w:r>
          </w:p>
        </w:tc>
        <w:tc>
          <w:tcPr>
            <w:tcW w:w="8060" w:type="dxa"/>
            <w:tcBorders>
              <w:top w:val="single" w:color="auto" w:sz="6" w:space="0"/>
              <w:left w:val="single" w:color="auto" w:sz="6" w:space="0"/>
              <w:bottom w:val="single" w:color="auto" w:sz="6" w:space="0"/>
              <w:right w:val="single" w:color="auto" w:sz="6" w:space="0"/>
            </w:tcBorders>
            <w:vAlign w:val="center"/>
          </w:tcPr>
          <w:p w14:paraId="18B88413">
            <w:pPr>
              <w:spacing w:line="5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物业服务质量考核标准</w:t>
            </w:r>
          </w:p>
        </w:tc>
      </w:tr>
      <w:tr w14:paraId="03AC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7A24A588">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2.17.1</w:t>
            </w:r>
          </w:p>
        </w:tc>
        <w:tc>
          <w:tcPr>
            <w:tcW w:w="8060" w:type="dxa"/>
            <w:tcBorders>
              <w:top w:val="single" w:color="auto" w:sz="6" w:space="0"/>
              <w:left w:val="single" w:color="auto" w:sz="6" w:space="0"/>
              <w:bottom w:val="single" w:color="auto" w:sz="6" w:space="0"/>
              <w:right w:val="single" w:color="auto" w:sz="6" w:space="0"/>
            </w:tcBorders>
            <w:vAlign w:val="center"/>
          </w:tcPr>
          <w:p w14:paraId="3833B16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合同金额的1%</w:t>
            </w:r>
          </w:p>
        </w:tc>
      </w:tr>
      <w:tr w14:paraId="4DFE8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218608C8">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2.17.2</w:t>
            </w:r>
          </w:p>
        </w:tc>
        <w:tc>
          <w:tcPr>
            <w:tcW w:w="8060" w:type="dxa"/>
            <w:tcBorders>
              <w:top w:val="single" w:color="auto" w:sz="6" w:space="0"/>
              <w:left w:val="single" w:color="auto" w:sz="6" w:space="0"/>
              <w:bottom w:val="single" w:color="auto" w:sz="6" w:space="0"/>
              <w:right w:val="single" w:color="auto" w:sz="6" w:space="0"/>
            </w:tcBorders>
            <w:vAlign w:val="center"/>
          </w:tcPr>
          <w:p w14:paraId="71744646">
            <w:pPr>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r>
      <w:tr w14:paraId="1C089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02B6A028">
            <w:pPr>
              <w:spacing w:line="360" w:lineRule="auto"/>
              <w:rPr>
                <w:rFonts w:ascii="新宋体" w:hAnsi="新宋体" w:eastAsia="新宋体" w:cs="新宋体"/>
                <w:color w:val="auto"/>
                <w:sz w:val="24"/>
                <w:highlight w:val="none"/>
              </w:rPr>
            </w:pPr>
            <w:r>
              <w:rPr>
                <w:rFonts w:hint="eastAsia" w:ascii="新宋体" w:hAnsi="新宋体" w:eastAsia="新宋体" w:cs="新宋体"/>
                <w:bCs/>
                <w:color w:val="auto"/>
                <w:sz w:val="24"/>
                <w:highlight w:val="none"/>
              </w:rPr>
              <w:t>2.19</w:t>
            </w:r>
          </w:p>
        </w:tc>
        <w:tc>
          <w:tcPr>
            <w:tcW w:w="8060" w:type="dxa"/>
            <w:tcBorders>
              <w:top w:val="single" w:color="auto" w:sz="6" w:space="0"/>
              <w:left w:val="single" w:color="auto" w:sz="6" w:space="0"/>
              <w:bottom w:val="single" w:color="auto" w:sz="6" w:space="0"/>
              <w:right w:val="single" w:color="auto" w:sz="6" w:space="0"/>
            </w:tcBorders>
            <w:vAlign w:val="center"/>
          </w:tcPr>
          <w:p w14:paraId="610A0FC2">
            <w:pPr>
              <w:spacing w:line="360" w:lineRule="auto"/>
              <w:ind w:left="-420" w:leftChars="-200" w:right="-420" w:rightChars="-200"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合同一式肆份，甲乙双方各贰份</w:t>
            </w:r>
          </w:p>
        </w:tc>
      </w:tr>
    </w:tbl>
    <w:p w14:paraId="5B9175C4">
      <w:pPr>
        <w:widowControl/>
        <w:adjustRightInd/>
        <w:jc w:val="both"/>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057E372">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67CA7D7">
      <w:pPr>
        <w:spacing w:line="360" w:lineRule="auto"/>
        <w:jc w:val="center"/>
        <w:outlineLvl w:val="0"/>
        <w:rPr>
          <w:rFonts w:ascii="宋体" w:hAnsi="宋体" w:cs="宋体"/>
          <w:b/>
          <w:color w:val="auto"/>
          <w:kern w:val="0"/>
          <w:sz w:val="36"/>
          <w:szCs w:val="36"/>
          <w:highlight w:val="none"/>
        </w:rPr>
      </w:pPr>
    </w:p>
    <w:p w14:paraId="6C8AF43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88CC17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719863">
      <w:pPr>
        <w:spacing w:line="360" w:lineRule="auto"/>
        <w:jc w:val="center"/>
        <w:outlineLvl w:val="0"/>
        <w:rPr>
          <w:rFonts w:ascii="宋体" w:hAnsi="宋体" w:cs="宋体"/>
          <w:b/>
          <w:color w:val="auto"/>
          <w:kern w:val="0"/>
          <w:sz w:val="36"/>
          <w:szCs w:val="36"/>
          <w:highlight w:val="none"/>
        </w:rPr>
      </w:pPr>
    </w:p>
    <w:p w14:paraId="632F7C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8A1012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1EED0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F517B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F91FA0F">
      <w:pPr>
        <w:snapToGrid w:val="0"/>
        <w:spacing w:line="360" w:lineRule="auto"/>
        <w:ind w:firstLine="480" w:firstLineChars="200"/>
        <w:rPr>
          <w:rFonts w:ascii="宋体" w:hAnsi="宋体" w:cs="宋体"/>
          <w:color w:val="auto"/>
          <w:sz w:val="24"/>
          <w:highlight w:val="none"/>
        </w:rPr>
      </w:pPr>
    </w:p>
    <w:p w14:paraId="7FD8BDA6">
      <w:pPr>
        <w:spacing w:line="360" w:lineRule="auto"/>
        <w:ind w:firstLine="480" w:firstLineChars="200"/>
        <w:rPr>
          <w:rFonts w:ascii="宋体" w:hAnsi="宋体" w:cs="宋体"/>
          <w:color w:val="auto"/>
          <w:sz w:val="24"/>
          <w:highlight w:val="none"/>
        </w:rPr>
      </w:pPr>
    </w:p>
    <w:p w14:paraId="0F67560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305BE5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289DFB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2025年度余杭法院人民法庭物业服务采购项目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HZYHZFCG-2024-125</w:t>
      </w:r>
      <w:r>
        <w:rPr>
          <w:rFonts w:hint="eastAsia" w:ascii="宋体" w:hAnsi="宋体" w:cs="宋体"/>
          <w:color w:val="auto"/>
          <w:sz w:val="24"/>
          <w:highlight w:val="none"/>
        </w:rPr>
        <w:t>】政府采购活动，郑重承诺：</w:t>
      </w:r>
    </w:p>
    <w:p w14:paraId="2BA822F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ED085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1CDB6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16546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5F8D8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89803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69021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C666D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318608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F09EE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BB25D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906A09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0CE65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85C4349">
      <w:pPr>
        <w:snapToGrid w:val="0"/>
        <w:spacing w:line="360" w:lineRule="auto"/>
        <w:ind w:right="480"/>
        <w:jc w:val="center"/>
        <w:rPr>
          <w:rFonts w:ascii="宋体" w:hAnsi="宋体" w:cs="宋体"/>
          <w:b/>
          <w:color w:val="auto"/>
          <w:kern w:val="0"/>
          <w:sz w:val="32"/>
          <w:szCs w:val="32"/>
          <w:highlight w:val="none"/>
        </w:rPr>
      </w:pPr>
    </w:p>
    <w:p w14:paraId="762C3864">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C3FCFDC">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3128E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7491803">
      <w:pPr>
        <w:snapToGrid w:val="0"/>
        <w:spacing w:line="360" w:lineRule="auto"/>
        <w:ind w:right="480"/>
        <w:jc w:val="center"/>
        <w:rPr>
          <w:rFonts w:ascii="宋体" w:hAnsi="宋体" w:cs="宋体"/>
          <w:b/>
          <w:color w:val="auto"/>
          <w:kern w:val="0"/>
          <w:sz w:val="32"/>
          <w:szCs w:val="32"/>
          <w:highlight w:val="none"/>
        </w:rPr>
      </w:pPr>
    </w:p>
    <w:p w14:paraId="3D4B95F4">
      <w:pPr>
        <w:snapToGrid w:val="0"/>
        <w:spacing w:line="360" w:lineRule="auto"/>
        <w:ind w:right="480"/>
        <w:jc w:val="center"/>
        <w:rPr>
          <w:rFonts w:ascii="宋体" w:hAnsi="宋体" w:cs="宋体"/>
          <w:b/>
          <w:color w:val="auto"/>
          <w:kern w:val="0"/>
          <w:sz w:val="32"/>
          <w:szCs w:val="32"/>
          <w:highlight w:val="none"/>
        </w:rPr>
      </w:pPr>
    </w:p>
    <w:p w14:paraId="16F543D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16C2960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6D903D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4A2C549">
      <w:pPr>
        <w:widowControl/>
        <w:spacing w:line="360" w:lineRule="auto"/>
        <w:ind w:firstLine="480"/>
        <w:jc w:val="left"/>
        <w:rPr>
          <w:rFonts w:ascii="宋体" w:hAnsi="宋体" w:cs="宋体"/>
          <w:color w:val="auto"/>
          <w:sz w:val="24"/>
          <w:highlight w:val="none"/>
        </w:rPr>
      </w:pPr>
    </w:p>
    <w:p w14:paraId="0839B12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B076D9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F3E9D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3D46BD6">
      <w:pPr>
        <w:widowControl/>
        <w:spacing w:line="360" w:lineRule="auto"/>
        <w:ind w:left="150"/>
        <w:jc w:val="center"/>
        <w:rPr>
          <w:rFonts w:ascii="宋体" w:hAnsi="宋体" w:cs="宋体"/>
          <w:b/>
          <w:color w:val="auto"/>
          <w:kern w:val="0"/>
          <w:sz w:val="32"/>
          <w:szCs w:val="32"/>
          <w:highlight w:val="none"/>
        </w:rPr>
      </w:pPr>
    </w:p>
    <w:p w14:paraId="653E355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4F9B9D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2F23CA1">
      <w:pPr>
        <w:rPr>
          <w:rFonts w:ascii="宋体" w:hAnsi="宋体" w:cs="宋体"/>
          <w:color w:val="auto"/>
          <w:highlight w:val="none"/>
        </w:rPr>
      </w:pPr>
    </w:p>
    <w:p w14:paraId="52B32FD4">
      <w:pPr>
        <w:snapToGrid w:val="0"/>
        <w:spacing w:line="360" w:lineRule="auto"/>
        <w:ind w:right="480"/>
        <w:jc w:val="center"/>
        <w:rPr>
          <w:rFonts w:ascii="宋体" w:hAnsi="宋体" w:cs="宋体"/>
          <w:b/>
          <w:color w:val="auto"/>
          <w:kern w:val="0"/>
          <w:sz w:val="32"/>
          <w:szCs w:val="32"/>
          <w:highlight w:val="none"/>
        </w:rPr>
      </w:pPr>
    </w:p>
    <w:p w14:paraId="5D46FC8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BEA174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5AE3D92">
      <w:pPr>
        <w:spacing w:line="360" w:lineRule="auto"/>
        <w:jc w:val="center"/>
        <w:outlineLvl w:val="0"/>
        <w:rPr>
          <w:rFonts w:ascii="宋体" w:hAnsi="宋体" w:cs="宋体"/>
          <w:b/>
          <w:color w:val="auto"/>
          <w:kern w:val="0"/>
          <w:sz w:val="24"/>
          <w:highlight w:val="none"/>
        </w:rPr>
      </w:pPr>
    </w:p>
    <w:p w14:paraId="075DD09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E3D7EB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81E8DA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0E397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40E39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9B095C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F26ECCD">
      <w:pPr>
        <w:snapToGrid w:val="0"/>
        <w:spacing w:line="360" w:lineRule="auto"/>
        <w:jc w:val="center"/>
        <w:rPr>
          <w:rFonts w:ascii="宋体" w:hAnsi="宋体" w:cs="宋体"/>
          <w:b/>
          <w:color w:val="auto"/>
          <w:kern w:val="0"/>
          <w:sz w:val="32"/>
          <w:szCs w:val="32"/>
          <w:highlight w:val="none"/>
          <w:lang w:val="zh-CN"/>
        </w:rPr>
      </w:pPr>
    </w:p>
    <w:p w14:paraId="2142F5AD">
      <w:pPr>
        <w:snapToGrid w:val="0"/>
        <w:spacing w:line="360" w:lineRule="auto"/>
        <w:jc w:val="center"/>
        <w:rPr>
          <w:rFonts w:ascii="宋体" w:hAnsi="宋体" w:cs="宋体"/>
          <w:b/>
          <w:color w:val="auto"/>
          <w:kern w:val="0"/>
          <w:sz w:val="32"/>
          <w:szCs w:val="32"/>
          <w:highlight w:val="none"/>
          <w:lang w:val="zh-CN"/>
        </w:rPr>
      </w:pPr>
    </w:p>
    <w:p w14:paraId="68928D70">
      <w:pPr>
        <w:snapToGrid w:val="0"/>
        <w:spacing w:line="360" w:lineRule="auto"/>
        <w:jc w:val="center"/>
        <w:rPr>
          <w:rFonts w:ascii="宋体" w:hAnsi="宋体" w:cs="宋体"/>
          <w:b/>
          <w:color w:val="auto"/>
          <w:kern w:val="0"/>
          <w:sz w:val="32"/>
          <w:szCs w:val="32"/>
          <w:highlight w:val="none"/>
          <w:lang w:val="zh-CN"/>
        </w:rPr>
      </w:pPr>
    </w:p>
    <w:p w14:paraId="3F3F1286">
      <w:pPr>
        <w:snapToGrid w:val="0"/>
        <w:spacing w:line="360" w:lineRule="auto"/>
        <w:jc w:val="center"/>
        <w:rPr>
          <w:rFonts w:ascii="宋体" w:hAnsi="宋体" w:cs="宋体"/>
          <w:b/>
          <w:color w:val="auto"/>
          <w:kern w:val="0"/>
          <w:sz w:val="32"/>
          <w:szCs w:val="32"/>
          <w:highlight w:val="none"/>
          <w:lang w:val="zh-CN"/>
        </w:rPr>
      </w:pPr>
    </w:p>
    <w:p w14:paraId="037DF00A">
      <w:pPr>
        <w:snapToGrid w:val="0"/>
        <w:spacing w:line="360" w:lineRule="auto"/>
        <w:jc w:val="center"/>
        <w:rPr>
          <w:rFonts w:ascii="宋体" w:hAnsi="宋体" w:cs="宋体"/>
          <w:b/>
          <w:color w:val="auto"/>
          <w:kern w:val="0"/>
          <w:sz w:val="32"/>
          <w:szCs w:val="32"/>
          <w:highlight w:val="none"/>
          <w:lang w:val="zh-CN"/>
        </w:rPr>
      </w:pPr>
    </w:p>
    <w:p w14:paraId="1A37046A">
      <w:pPr>
        <w:snapToGrid w:val="0"/>
        <w:spacing w:line="360" w:lineRule="auto"/>
        <w:jc w:val="center"/>
        <w:rPr>
          <w:rFonts w:ascii="宋体" w:hAnsi="宋体" w:cs="宋体"/>
          <w:b/>
          <w:color w:val="auto"/>
          <w:kern w:val="0"/>
          <w:sz w:val="32"/>
          <w:szCs w:val="32"/>
          <w:highlight w:val="none"/>
          <w:lang w:val="zh-CN"/>
        </w:rPr>
      </w:pPr>
    </w:p>
    <w:p w14:paraId="7E388764">
      <w:pPr>
        <w:snapToGrid w:val="0"/>
        <w:spacing w:line="360" w:lineRule="auto"/>
        <w:jc w:val="center"/>
        <w:rPr>
          <w:rFonts w:ascii="宋体" w:hAnsi="宋体" w:cs="宋体"/>
          <w:b/>
          <w:color w:val="auto"/>
          <w:kern w:val="0"/>
          <w:sz w:val="32"/>
          <w:szCs w:val="32"/>
          <w:highlight w:val="none"/>
          <w:lang w:val="zh-CN"/>
        </w:rPr>
      </w:pPr>
    </w:p>
    <w:p w14:paraId="47B44D4F">
      <w:pPr>
        <w:snapToGrid w:val="0"/>
        <w:spacing w:line="360" w:lineRule="auto"/>
        <w:jc w:val="center"/>
        <w:rPr>
          <w:rFonts w:ascii="宋体" w:hAnsi="宋体" w:cs="宋体"/>
          <w:b/>
          <w:color w:val="auto"/>
          <w:kern w:val="0"/>
          <w:sz w:val="32"/>
          <w:szCs w:val="32"/>
          <w:highlight w:val="none"/>
          <w:lang w:val="zh-CN"/>
        </w:rPr>
      </w:pPr>
    </w:p>
    <w:p w14:paraId="3E067FCB">
      <w:pPr>
        <w:snapToGrid w:val="0"/>
        <w:spacing w:line="360" w:lineRule="auto"/>
        <w:jc w:val="center"/>
        <w:rPr>
          <w:rFonts w:ascii="宋体" w:hAnsi="宋体" w:cs="宋体"/>
          <w:b/>
          <w:color w:val="auto"/>
          <w:kern w:val="0"/>
          <w:sz w:val="32"/>
          <w:szCs w:val="32"/>
          <w:highlight w:val="none"/>
          <w:lang w:val="zh-CN"/>
        </w:rPr>
      </w:pPr>
    </w:p>
    <w:p w14:paraId="15736A1C">
      <w:pPr>
        <w:snapToGrid w:val="0"/>
        <w:spacing w:line="360" w:lineRule="auto"/>
        <w:jc w:val="center"/>
        <w:rPr>
          <w:rFonts w:ascii="宋体" w:hAnsi="宋体" w:cs="宋体"/>
          <w:b/>
          <w:color w:val="auto"/>
          <w:kern w:val="0"/>
          <w:sz w:val="32"/>
          <w:szCs w:val="32"/>
          <w:highlight w:val="none"/>
          <w:lang w:val="zh-CN"/>
        </w:rPr>
      </w:pPr>
    </w:p>
    <w:p w14:paraId="7D38049C">
      <w:pPr>
        <w:snapToGrid w:val="0"/>
        <w:spacing w:line="360" w:lineRule="auto"/>
        <w:jc w:val="center"/>
        <w:rPr>
          <w:rFonts w:ascii="宋体" w:hAnsi="宋体" w:cs="宋体"/>
          <w:b/>
          <w:color w:val="auto"/>
          <w:kern w:val="0"/>
          <w:sz w:val="32"/>
          <w:szCs w:val="32"/>
          <w:highlight w:val="none"/>
          <w:lang w:val="zh-CN"/>
        </w:rPr>
      </w:pPr>
    </w:p>
    <w:p w14:paraId="4113821D">
      <w:pPr>
        <w:snapToGrid w:val="0"/>
        <w:spacing w:line="360" w:lineRule="auto"/>
        <w:jc w:val="center"/>
        <w:rPr>
          <w:rFonts w:ascii="宋体" w:hAnsi="宋体" w:cs="宋体"/>
          <w:b/>
          <w:color w:val="auto"/>
          <w:kern w:val="0"/>
          <w:sz w:val="32"/>
          <w:szCs w:val="32"/>
          <w:highlight w:val="none"/>
          <w:lang w:val="zh-CN"/>
        </w:rPr>
      </w:pPr>
    </w:p>
    <w:p w14:paraId="0DDA642A">
      <w:pPr>
        <w:rPr>
          <w:rFonts w:ascii="宋体" w:hAnsi="宋体" w:cs="宋体"/>
          <w:b/>
          <w:color w:val="auto"/>
          <w:kern w:val="0"/>
          <w:sz w:val="32"/>
          <w:szCs w:val="32"/>
          <w:highlight w:val="none"/>
          <w:lang w:val="zh-CN"/>
        </w:rPr>
      </w:pPr>
    </w:p>
    <w:p w14:paraId="0C7BC93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FAFA0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7D3F41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6BC4E8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2025年度余杭法院人民法庭物业服务采购项目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HZYHZFCG-2024-125</w:t>
      </w:r>
      <w:r>
        <w:rPr>
          <w:rFonts w:hint="eastAsia" w:ascii="宋体" w:hAnsi="宋体" w:cs="宋体"/>
          <w:color w:val="auto"/>
          <w:sz w:val="24"/>
          <w:highlight w:val="none"/>
        </w:rPr>
        <w:t>】招标的有关活动，并对此项目进行投标。为此：</w:t>
      </w:r>
    </w:p>
    <w:p w14:paraId="79439A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D96F5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72FA9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F8BDD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CE2AD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6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61"/>
      <w:r>
        <w:rPr>
          <w:rFonts w:hint="eastAsia" w:ascii="宋体" w:hAnsi="宋体" w:cs="宋体"/>
          <w:snapToGrid w:val="0"/>
          <w:color w:val="auto"/>
          <w:kern w:val="28"/>
          <w:sz w:val="24"/>
          <w:szCs w:val="20"/>
          <w:highlight w:val="none"/>
        </w:rPr>
        <w:t>；</w:t>
      </w:r>
    </w:p>
    <w:p w14:paraId="303778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50863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F2B652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E9BE5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1550A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FD71D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7422E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5C1C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A7EDA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2536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60F81E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EEFB8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271B3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2178EFA">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7834C8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37E013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1BB49A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3AB65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DB1CC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16F12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CF2FA3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4B8773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553CF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6E6BD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BBABA5">
      <w:pPr>
        <w:snapToGrid w:val="0"/>
        <w:spacing w:line="360" w:lineRule="auto"/>
        <w:ind w:left="420" w:leftChars="200" w:firstLine="4200" w:firstLineChars="1750"/>
        <w:rPr>
          <w:rFonts w:ascii="宋体" w:hAnsi="宋体" w:cs="宋体"/>
          <w:color w:val="auto"/>
          <w:kern w:val="0"/>
          <w:sz w:val="24"/>
          <w:highlight w:val="none"/>
          <w:u w:val="single"/>
        </w:rPr>
      </w:pPr>
    </w:p>
    <w:p w14:paraId="1D70F2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AF1645">
      <w:pPr>
        <w:snapToGrid w:val="0"/>
        <w:spacing w:line="360" w:lineRule="auto"/>
        <w:jc w:val="center"/>
        <w:rPr>
          <w:rFonts w:ascii="宋体" w:hAnsi="宋体" w:cs="宋体"/>
          <w:b/>
          <w:color w:val="auto"/>
          <w:kern w:val="0"/>
          <w:sz w:val="32"/>
          <w:szCs w:val="32"/>
          <w:highlight w:val="none"/>
        </w:rPr>
      </w:pPr>
    </w:p>
    <w:p w14:paraId="0443B594">
      <w:pPr>
        <w:snapToGrid w:val="0"/>
        <w:spacing w:line="360" w:lineRule="auto"/>
        <w:rPr>
          <w:rFonts w:ascii="宋体" w:hAnsi="宋体" w:cs="宋体"/>
          <w:color w:val="auto"/>
          <w:sz w:val="24"/>
          <w:highlight w:val="none"/>
        </w:rPr>
      </w:pPr>
    </w:p>
    <w:p w14:paraId="6D44114C">
      <w:pPr>
        <w:jc w:val="center"/>
        <w:rPr>
          <w:rFonts w:ascii="宋体" w:hAnsi="宋体" w:cs="宋体"/>
          <w:b/>
          <w:color w:val="auto"/>
          <w:kern w:val="0"/>
          <w:sz w:val="32"/>
          <w:szCs w:val="32"/>
          <w:highlight w:val="none"/>
        </w:rPr>
      </w:pPr>
    </w:p>
    <w:p w14:paraId="39B49FF0">
      <w:pPr>
        <w:jc w:val="center"/>
        <w:rPr>
          <w:rFonts w:ascii="宋体" w:hAnsi="宋体" w:cs="宋体"/>
          <w:b/>
          <w:color w:val="auto"/>
          <w:kern w:val="0"/>
          <w:sz w:val="32"/>
          <w:szCs w:val="32"/>
          <w:highlight w:val="none"/>
        </w:rPr>
      </w:pPr>
    </w:p>
    <w:p w14:paraId="14D7E4E0">
      <w:pPr>
        <w:jc w:val="center"/>
        <w:rPr>
          <w:rFonts w:ascii="宋体" w:hAnsi="宋体" w:cs="宋体"/>
          <w:b/>
          <w:color w:val="auto"/>
          <w:kern w:val="0"/>
          <w:sz w:val="32"/>
          <w:szCs w:val="32"/>
          <w:highlight w:val="none"/>
        </w:rPr>
      </w:pPr>
    </w:p>
    <w:p w14:paraId="75845F99">
      <w:pPr>
        <w:jc w:val="center"/>
        <w:rPr>
          <w:rFonts w:ascii="宋体" w:hAnsi="宋体" w:cs="宋体"/>
          <w:b/>
          <w:color w:val="auto"/>
          <w:kern w:val="0"/>
          <w:sz w:val="32"/>
          <w:szCs w:val="32"/>
          <w:highlight w:val="none"/>
        </w:rPr>
      </w:pPr>
    </w:p>
    <w:p w14:paraId="7EB4A048">
      <w:pPr>
        <w:jc w:val="center"/>
        <w:rPr>
          <w:rFonts w:ascii="宋体" w:hAnsi="宋体" w:cs="宋体"/>
          <w:b/>
          <w:color w:val="auto"/>
          <w:kern w:val="0"/>
          <w:sz w:val="32"/>
          <w:szCs w:val="32"/>
          <w:highlight w:val="none"/>
        </w:rPr>
      </w:pPr>
    </w:p>
    <w:p w14:paraId="63B16D7E">
      <w:pPr>
        <w:jc w:val="center"/>
        <w:rPr>
          <w:rFonts w:ascii="宋体" w:hAnsi="宋体" w:cs="宋体"/>
          <w:b/>
          <w:color w:val="auto"/>
          <w:kern w:val="0"/>
          <w:sz w:val="32"/>
          <w:szCs w:val="32"/>
          <w:highlight w:val="none"/>
        </w:rPr>
      </w:pPr>
    </w:p>
    <w:p w14:paraId="64771AB6">
      <w:pPr>
        <w:jc w:val="center"/>
        <w:rPr>
          <w:rFonts w:ascii="宋体" w:hAnsi="宋体" w:cs="宋体"/>
          <w:b/>
          <w:color w:val="auto"/>
          <w:kern w:val="0"/>
          <w:sz w:val="32"/>
          <w:szCs w:val="32"/>
          <w:highlight w:val="none"/>
        </w:rPr>
      </w:pPr>
    </w:p>
    <w:p w14:paraId="48888A4B">
      <w:pPr>
        <w:jc w:val="center"/>
        <w:rPr>
          <w:rFonts w:ascii="宋体" w:hAnsi="宋体" w:cs="宋体"/>
          <w:b/>
          <w:color w:val="auto"/>
          <w:kern w:val="0"/>
          <w:sz w:val="32"/>
          <w:szCs w:val="32"/>
          <w:highlight w:val="none"/>
        </w:rPr>
      </w:pPr>
    </w:p>
    <w:p w14:paraId="14DC6260">
      <w:pPr>
        <w:jc w:val="center"/>
        <w:rPr>
          <w:rFonts w:ascii="宋体" w:hAnsi="宋体" w:cs="宋体"/>
          <w:b/>
          <w:color w:val="auto"/>
          <w:kern w:val="0"/>
          <w:sz w:val="32"/>
          <w:szCs w:val="32"/>
          <w:highlight w:val="none"/>
        </w:rPr>
      </w:pPr>
    </w:p>
    <w:p w14:paraId="2B1B0B78">
      <w:pPr>
        <w:jc w:val="center"/>
        <w:rPr>
          <w:rFonts w:ascii="宋体" w:hAnsi="宋体" w:cs="宋体"/>
          <w:b/>
          <w:color w:val="auto"/>
          <w:kern w:val="0"/>
          <w:sz w:val="32"/>
          <w:szCs w:val="32"/>
          <w:highlight w:val="none"/>
        </w:rPr>
      </w:pPr>
    </w:p>
    <w:p w14:paraId="2447870F">
      <w:pPr>
        <w:jc w:val="center"/>
        <w:rPr>
          <w:rFonts w:ascii="宋体" w:hAnsi="宋体" w:cs="宋体"/>
          <w:b/>
          <w:color w:val="auto"/>
          <w:kern w:val="0"/>
          <w:sz w:val="32"/>
          <w:szCs w:val="32"/>
          <w:highlight w:val="none"/>
        </w:rPr>
      </w:pPr>
    </w:p>
    <w:p w14:paraId="412537FB">
      <w:pPr>
        <w:jc w:val="center"/>
        <w:rPr>
          <w:rFonts w:ascii="宋体" w:hAnsi="宋体" w:cs="宋体"/>
          <w:b/>
          <w:color w:val="auto"/>
          <w:kern w:val="0"/>
          <w:sz w:val="32"/>
          <w:szCs w:val="32"/>
          <w:highlight w:val="none"/>
        </w:rPr>
      </w:pPr>
    </w:p>
    <w:p w14:paraId="60094FEE">
      <w:pPr>
        <w:jc w:val="center"/>
        <w:rPr>
          <w:rFonts w:ascii="宋体" w:hAnsi="宋体" w:cs="宋体"/>
          <w:b/>
          <w:color w:val="auto"/>
          <w:kern w:val="0"/>
          <w:sz w:val="32"/>
          <w:szCs w:val="32"/>
          <w:highlight w:val="none"/>
        </w:rPr>
      </w:pPr>
    </w:p>
    <w:p w14:paraId="65FA1AA8">
      <w:pPr>
        <w:jc w:val="center"/>
        <w:rPr>
          <w:rFonts w:ascii="宋体" w:hAnsi="宋体" w:cs="宋体"/>
          <w:b/>
          <w:color w:val="auto"/>
          <w:kern w:val="0"/>
          <w:sz w:val="32"/>
          <w:szCs w:val="32"/>
          <w:highlight w:val="none"/>
        </w:rPr>
      </w:pPr>
    </w:p>
    <w:p w14:paraId="6FDC96BC">
      <w:pPr>
        <w:jc w:val="center"/>
        <w:rPr>
          <w:rFonts w:ascii="宋体" w:hAnsi="宋体" w:cs="宋体"/>
          <w:b/>
          <w:color w:val="auto"/>
          <w:kern w:val="0"/>
          <w:sz w:val="32"/>
          <w:szCs w:val="32"/>
          <w:highlight w:val="none"/>
        </w:rPr>
      </w:pPr>
    </w:p>
    <w:p w14:paraId="5D4A049F">
      <w:pPr>
        <w:jc w:val="center"/>
        <w:rPr>
          <w:rFonts w:ascii="宋体" w:hAnsi="宋体" w:cs="宋体"/>
          <w:b/>
          <w:color w:val="auto"/>
          <w:kern w:val="0"/>
          <w:sz w:val="32"/>
          <w:szCs w:val="32"/>
          <w:highlight w:val="none"/>
        </w:rPr>
      </w:pPr>
    </w:p>
    <w:p w14:paraId="7A81A723">
      <w:pPr>
        <w:jc w:val="center"/>
        <w:rPr>
          <w:rFonts w:ascii="宋体" w:hAnsi="宋体" w:cs="宋体"/>
          <w:b/>
          <w:color w:val="auto"/>
          <w:kern w:val="0"/>
          <w:sz w:val="32"/>
          <w:szCs w:val="32"/>
          <w:highlight w:val="none"/>
        </w:rPr>
      </w:pPr>
    </w:p>
    <w:p w14:paraId="034DBF49">
      <w:pPr>
        <w:jc w:val="center"/>
        <w:rPr>
          <w:rFonts w:ascii="宋体" w:hAnsi="宋体" w:cs="宋体"/>
          <w:b/>
          <w:color w:val="auto"/>
          <w:kern w:val="0"/>
          <w:sz w:val="32"/>
          <w:szCs w:val="32"/>
          <w:highlight w:val="none"/>
        </w:rPr>
      </w:pPr>
    </w:p>
    <w:p w14:paraId="5FFF710F">
      <w:pPr>
        <w:jc w:val="center"/>
        <w:rPr>
          <w:rFonts w:ascii="宋体" w:hAnsi="宋体" w:cs="宋体"/>
          <w:b/>
          <w:color w:val="auto"/>
          <w:kern w:val="0"/>
          <w:sz w:val="32"/>
          <w:szCs w:val="32"/>
          <w:highlight w:val="none"/>
        </w:rPr>
      </w:pPr>
    </w:p>
    <w:p w14:paraId="03856246">
      <w:pPr>
        <w:jc w:val="center"/>
        <w:rPr>
          <w:rFonts w:ascii="宋体" w:hAnsi="宋体" w:cs="宋体"/>
          <w:b/>
          <w:color w:val="auto"/>
          <w:kern w:val="0"/>
          <w:sz w:val="32"/>
          <w:szCs w:val="32"/>
          <w:highlight w:val="none"/>
        </w:rPr>
      </w:pPr>
    </w:p>
    <w:p w14:paraId="00D1D006">
      <w:pPr>
        <w:pStyle w:val="2"/>
        <w:rPr>
          <w:color w:val="auto"/>
          <w:highlight w:val="none"/>
          <w:lang w:val="en-US"/>
        </w:rPr>
      </w:pPr>
    </w:p>
    <w:p w14:paraId="5D847FFA">
      <w:pPr>
        <w:jc w:val="center"/>
        <w:rPr>
          <w:rFonts w:ascii="宋体" w:hAnsi="宋体" w:cs="宋体"/>
          <w:b/>
          <w:color w:val="auto"/>
          <w:kern w:val="0"/>
          <w:sz w:val="32"/>
          <w:szCs w:val="32"/>
          <w:highlight w:val="none"/>
        </w:rPr>
      </w:pPr>
    </w:p>
    <w:p w14:paraId="56060EFB">
      <w:pPr>
        <w:jc w:val="center"/>
        <w:rPr>
          <w:rFonts w:ascii="宋体" w:hAnsi="宋体" w:cs="宋体"/>
          <w:b/>
          <w:color w:val="auto"/>
          <w:kern w:val="0"/>
          <w:sz w:val="32"/>
          <w:szCs w:val="32"/>
          <w:highlight w:val="none"/>
        </w:rPr>
      </w:pPr>
    </w:p>
    <w:p w14:paraId="54A7D7D8">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934C44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1F1E3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C1C55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2C9F1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4F2F054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2025年度余杭法院人民法庭物业服务采购项目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3ADCB4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6CEB3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4049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ACAA44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C513609">
      <w:pPr>
        <w:snapToGrid w:val="0"/>
        <w:spacing w:line="360" w:lineRule="auto"/>
        <w:rPr>
          <w:rFonts w:ascii="宋体" w:hAnsi="宋体" w:cs="宋体"/>
          <w:color w:val="auto"/>
          <w:sz w:val="24"/>
          <w:highlight w:val="none"/>
        </w:rPr>
      </w:pPr>
    </w:p>
    <w:p w14:paraId="66A2785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A6EE1E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4EBC2E5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2025年度余杭法院人民法庭物业服务采购项目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4763A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16A5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298B332">
      <w:pPr>
        <w:jc w:val="center"/>
        <w:rPr>
          <w:rFonts w:ascii="宋体" w:hAnsi="宋体" w:cs="宋体"/>
          <w:b/>
          <w:color w:val="auto"/>
          <w:kern w:val="0"/>
          <w:sz w:val="32"/>
          <w:szCs w:val="32"/>
          <w:highlight w:val="none"/>
        </w:rPr>
      </w:pPr>
    </w:p>
    <w:p w14:paraId="01D0900B">
      <w:pPr>
        <w:rPr>
          <w:rFonts w:ascii="宋体" w:hAnsi="宋体" w:cs="宋体"/>
          <w:color w:val="auto"/>
          <w:highlight w:val="none"/>
        </w:rPr>
      </w:pPr>
    </w:p>
    <w:p w14:paraId="155CEA8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1FB5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62474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DC9963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38ED75">
      <w:pPr>
        <w:autoSpaceDE w:val="0"/>
        <w:autoSpaceDN w:val="0"/>
        <w:spacing w:line="360" w:lineRule="auto"/>
        <w:jc w:val="center"/>
        <w:rPr>
          <w:rFonts w:ascii="宋体" w:hAnsi="宋体" w:cs="宋体"/>
          <w:b/>
          <w:color w:val="auto"/>
          <w:kern w:val="0"/>
          <w:sz w:val="32"/>
          <w:szCs w:val="32"/>
          <w:highlight w:val="none"/>
          <w:lang w:val="zh-CN"/>
        </w:rPr>
      </w:pPr>
    </w:p>
    <w:p w14:paraId="76097C2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AF67268">
      <w:pPr>
        <w:autoSpaceDE w:val="0"/>
        <w:autoSpaceDN w:val="0"/>
        <w:spacing w:line="360" w:lineRule="auto"/>
        <w:jc w:val="center"/>
        <w:rPr>
          <w:rFonts w:ascii="宋体" w:hAnsi="宋体" w:cs="宋体"/>
          <w:b/>
          <w:color w:val="auto"/>
          <w:kern w:val="0"/>
          <w:sz w:val="32"/>
          <w:szCs w:val="32"/>
          <w:highlight w:val="none"/>
          <w:lang w:val="zh-CN"/>
        </w:rPr>
      </w:pPr>
    </w:p>
    <w:p w14:paraId="7849B213">
      <w:pPr>
        <w:autoSpaceDE w:val="0"/>
        <w:autoSpaceDN w:val="0"/>
        <w:spacing w:line="360" w:lineRule="auto"/>
        <w:jc w:val="center"/>
        <w:rPr>
          <w:rFonts w:ascii="宋体" w:hAnsi="宋体" w:cs="宋体"/>
          <w:b/>
          <w:color w:val="auto"/>
          <w:kern w:val="0"/>
          <w:sz w:val="32"/>
          <w:szCs w:val="32"/>
          <w:highlight w:val="none"/>
          <w:lang w:val="zh-CN"/>
        </w:rPr>
      </w:pPr>
    </w:p>
    <w:p w14:paraId="445DFE5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055FF2F">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D0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9FED97D">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42D3657">
            <w:pPr>
              <w:pStyle w:val="87"/>
              <w:adjustRightInd w:val="0"/>
              <w:spacing w:line="360" w:lineRule="auto"/>
              <w:rPr>
                <w:rFonts w:hAnsi="宋体" w:cs="宋体"/>
                <w:bCs/>
                <w:color w:val="auto"/>
                <w:sz w:val="24"/>
                <w:highlight w:val="none"/>
              </w:rPr>
            </w:pPr>
          </w:p>
        </w:tc>
      </w:tr>
    </w:tbl>
    <w:p w14:paraId="2B49C35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05898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B10E1F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5D2BF1">
      <w:pPr>
        <w:jc w:val="center"/>
        <w:rPr>
          <w:rFonts w:ascii="宋体" w:hAnsi="宋体" w:cs="宋体"/>
          <w:b/>
          <w:color w:val="auto"/>
          <w:kern w:val="0"/>
          <w:sz w:val="32"/>
          <w:szCs w:val="32"/>
          <w:highlight w:val="none"/>
        </w:rPr>
      </w:pPr>
    </w:p>
    <w:p w14:paraId="5C6813D1">
      <w:pPr>
        <w:jc w:val="center"/>
        <w:rPr>
          <w:rFonts w:ascii="宋体" w:hAnsi="宋体" w:cs="宋体"/>
          <w:b/>
          <w:color w:val="auto"/>
          <w:kern w:val="0"/>
          <w:sz w:val="32"/>
          <w:szCs w:val="32"/>
          <w:highlight w:val="none"/>
        </w:rPr>
      </w:pPr>
    </w:p>
    <w:p w14:paraId="2593772D">
      <w:pPr>
        <w:jc w:val="center"/>
        <w:rPr>
          <w:rFonts w:ascii="宋体" w:hAnsi="宋体" w:cs="宋体"/>
          <w:b/>
          <w:color w:val="auto"/>
          <w:kern w:val="0"/>
          <w:sz w:val="32"/>
          <w:szCs w:val="32"/>
          <w:highlight w:val="none"/>
        </w:rPr>
      </w:pPr>
    </w:p>
    <w:p w14:paraId="46FFF294">
      <w:pPr>
        <w:jc w:val="center"/>
        <w:rPr>
          <w:rFonts w:ascii="宋体" w:hAnsi="宋体" w:cs="宋体"/>
          <w:b/>
          <w:color w:val="auto"/>
          <w:kern w:val="0"/>
          <w:sz w:val="32"/>
          <w:szCs w:val="32"/>
          <w:highlight w:val="none"/>
        </w:rPr>
      </w:pPr>
    </w:p>
    <w:p w14:paraId="133FA841">
      <w:pPr>
        <w:jc w:val="center"/>
        <w:rPr>
          <w:rFonts w:ascii="宋体" w:hAnsi="宋体" w:cs="宋体"/>
          <w:b/>
          <w:color w:val="auto"/>
          <w:kern w:val="0"/>
          <w:sz w:val="32"/>
          <w:szCs w:val="32"/>
          <w:highlight w:val="none"/>
        </w:rPr>
      </w:pPr>
    </w:p>
    <w:p w14:paraId="237AF545">
      <w:pPr>
        <w:jc w:val="center"/>
        <w:rPr>
          <w:rFonts w:ascii="宋体" w:hAnsi="宋体" w:cs="宋体"/>
          <w:b/>
          <w:color w:val="auto"/>
          <w:kern w:val="0"/>
          <w:sz w:val="32"/>
          <w:szCs w:val="32"/>
          <w:highlight w:val="none"/>
        </w:rPr>
      </w:pPr>
    </w:p>
    <w:p w14:paraId="4C5B1F98">
      <w:pPr>
        <w:jc w:val="center"/>
        <w:rPr>
          <w:rFonts w:ascii="宋体" w:hAnsi="宋体" w:cs="宋体"/>
          <w:b/>
          <w:color w:val="auto"/>
          <w:kern w:val="0"/>
          <w:sz w:val="32"/>
          <w:szCs w:val="32"/>
          <w:highlight w:val="none"/>
        </w:rPr>
      </w:pPr>
    </w:p>
    <w:p w14:paraId="5D165DB5">
      <w:pPr>
        <w:jc w:val="center"/>
        <w:rPr>
          <w:rFonts w:ascii="宋体" w:hAnsi="宋体" w:cs="宋体"/>
          <w:b/>
          <w:color w:val="auto"/>
          <w:kern w:val="0"/>
          <w:sz w:val="32"/>
          <w:szCs w:val="32"/>
          <w:highlight w:val="none"/>
        </w:rPr>
      </w:pPr>
    </w:p>
    <w:p w14:paraId="322149F3">
      <w:pPr>
        <w:jc w:val="center"/>
        <w:rPr>
          <w:rFonts w:ascii="宋体" w:hAnsi="宋体" w:cs="宋体"/>
          <w:b/>
          <w:color w:val="auto"/>
          <w:kern w:val="0"/>
          <w:sz w:val="32"/>
          <w:szCs w:val="32"/>
          <w:highlight w:val="none"/>
        </w:rPr>
      </w:pPr>
    </w:p>
    <w:p w14:paraId="6EECE60E">
      <w:pPr>
        <w:jc w:val="center"/>
        <w:rPr>
          <w:rFonts w:ascii="宋体" w:hAnsi="宋体" w:cs="宋体"/>
          <w:b/>
          <w:color w:val="auto"/>
          <w:kern w:val="0"/>
          <w:sz w:val="32"/>
          <w:szCs w:val="32"/>
          <w:highlight w:val="none"/>
        </w:rPr>
      </w:pPr>
    </w:p>
    <w:p w14:paraId="704414CB">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1FD4E49">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5C22FD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9C2E85C">
      <w:pPr>
        <w:snapToGrid w:val="0"/>
        <w:spacing w:line="360" w:lineRule="auto"/>
        <w:rPr>
          <w:rFonts w:ascii="宋体" w:hAnsi="宋体" w:cs="宋体"/>
          <w:color w:val="auto"/>
          <w:kern w:val="0"/>
          <w:sz w:val="24"/>
          <w:highlight w:val="none"/>
        </w:rPr>
      </w:pPr>
    </w:p>
    <w:p w14:paraId="78D172B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63FFFC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CD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1CD81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EE9DD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C176C6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3E14A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AB3257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5D5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44A59A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54B9BC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397392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012EC5E1">
            <w:pPr>
              <w:rPr>
                <w:rFonts w:ascii="宋体" w:hAnsi="宋体" w:cs="宋体"/>
                <w:color w:val="auto"/>
                <w:sz w:val="24"/>
                <w:highlight w:val="none"/>
              </w:rPr>
            </w:pPr>
          </w:p>
          <w:p w14:paraId="70CF722E">
            <w:pPr>
              <w:rPr>
                <w:rFonts w:ascii="宋体" w:hAnsi="宋体" w:cs="宋体"/>
                <w:color w:val="auto"/>
                <w:sz w:val="24"/>
                <w:highlight w:val="none"/>
              </w:rPr>
            </w:pPr>
            <w:r>
              <w:rPr>
                <w:rFonts w:hint="eastAsia" w:ascii="宋体" w:hAnsi="宋体" w:cs="宋体"/>
                <w:color w:val="auto"/>
                <w:sz w:val="24"/>
                <w:highlight w:val="none"/>
              </w:rPr>
              <w:t>见投标文件</w:t>
            </w:r>
          </w:p>
          <w:p w14:paraId="7226CA4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0E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09D63B6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0E7E67C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578F55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4D73A17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74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76DD2A2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5B570C8F">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C7F1F9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0F48B37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2D432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CA21B7">
      <w:pPr>
        <w:jc w:val="center"/>
        <w:rPr>
          <w:rFonts w:ascii="宋体" w:hAnsi="宋体" w:cs="宋体"/>
          <w:b/>
          <w:color w:val="auto"/>
          <w:kern w:val="0"/>
          <w:sz w:val="32"/>
          <w:szCs w:val="32"/>
          <w:highlight w:val="none"/>
        </w:rPr>
      </w:pPr>
    </w:p>
    <w:p w14:paraId="25C084D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2FADFFA">
      <w:pPr>
        <w:jc w:val="center"/>
        <w:rPr>
          <w:rFonts w:ascii="宋体" w:hAnsi="宋体" w:cs="宋体"/>
          <w:b/>
          <w:color w:val="auto"/>
          <w:kern w:val="0"/>
          <w:sz w:val="32"/>
          <w:szCs w:val="32"/>
          <w:highlight w:val="none"/>
        </w:rPr>
      </w:pPr>
    </w:p>
    <w:p w14:paraId="3329B742">
      <w:pPr>
        <w:jc w:val="center"/>
        <w:rPr>
          <w:rFonts w:ascii="宋体" w:hAnsi="宋体" w:cs="宋体"/>
          <w:b/>
          <w:color w:val="auto"/>
          <w:kern w:val="0"/>
          <w:sz w:val="32"/>
          <w:szCs w:val="32"/>
          <w:highlight w:val="none"/>
        </w:rPr>
      </w:pPr>
    </w:p>
    <w:p w14:paraId="36181DF4">
      <w:pPr>
        <w:jc w:val="center"/>
        <w:rPr>
          <w:rFonts w:ascii="宋体" w:hAnsi="宋体" w:cs="宋体"/>
          <w:b/>
          <w:color w:val="auto"/>
          <w:kern w:val="0"/>
          <w:sz w:val="32"/>
          <w:szCs w:val="32"/>
          <w:highlight w:val="none"/>
        </w:rPr>
      </w:pPr>
    </w:p>
    <w:p w14:paraId="348823D6">
      <w:pPr>
        <w:jc w:val="center"/>
        <w:rPr>
          <w:rFonts w:ascii="宋体" w:hAnsi="宋体" w:cs="宋体"/>
          <w:b/>
          <w:color w:val="auto"/>
          <w:kern w:val="0"/>
          <w:sz w:val="32"/>
          <w:szCs w:val="32"/>
          <w:highlight w:val="none"/>
        </w:rPr>
      </w:pPr>
    </w:p>
    <w:p w14:paraId="024B8E5D">
      <w:pPr>
        <w:jc w:val="center"/>
        <w:rPr>
          <w:rFonts w:ascii="宋体" w:hAnsi="宋体" w:cs="宋体"/>
          <w:b/>
          <w:color w:val="auto"/>
          <w:kern w:val="0"/>
          <w:sz w:val="32"/>
          <w:szCs w:val="32"/>
          <w:highlight w:val="none"/>
        </w:rPr>
      </w:pPr>
    </w:p>
    <w:p w14:paraId="68390CFD">
      <w:pPr>
        <w:jc w:val="center"/>
        <w:rPr>
          <w:rFonts w:ascii="宋体" w:hAnsi="宋体" w:cs="宋体"/>
          <w:b/>
          <w:color w:val="auto"/>
          <w:kern w:val="0"/>
          <w:sz w:val="32"/>
          <w:szCs w:val="32"/>
          <w:highlight w:val="none"/>
        </w:rPr>
      </w:pPr>
    </w:p>
    <w:p w14:paraId="687A9254">
      <w:pPr>
        <w:jc w:val="center"/>
        <w:rPr>
          <w:rFonts w:ascii="宋体" w:hAnsi="宋体" w:cs="宋体"/>
          <w:b/>
          <w:color w:val="auto"/>
          <w:kern w:val="0"/>
          <w:sz w:val="32"/>
          <w:szCs w:val="32"/>
          <w:highlight w:val="none"/>
        </w:rPr>
      </w:pPr>
    </w:p>
    <w:p w14:paraId="400CA30C">
      <w:pPr>
        <w:jc w:val="center"/>
        <w:rPr>
          <w:rFonts w:ascii="宋体" w:hAnsi="宋体" w:cs="宋体"/>
          <w:b/>
          <w:color w:val="auto"/>
          <w:kern w:val="0"/>
          <w:sz w:val="32"/>
          <w:szCs w:val="32"/>
          <w:highlight w:val="none"/>
        </w:rPr>
      </w:pPr>
    </w:p>
    <w:p w14:paraId="61877BE4">
      <w:pPr>
        <w:jc w:val="center"/>
        <w:rPr>
          <w:rFonts w:ascii="宋体" w:hAnsi="宋体" w:cs="宋体"/>
          <w:b/>
          <w:color w:val="auto"/>
          <w:kern w:val="0"/>
          <w:sz w:val="32"/>
          <w:szCs w:val="32"/>
          <w:highlight w:val="none"/>
        </w:rPr>
      </w:pPr>
    </w:p>
    <w:p w14:paraId="7FBCCB78">
      <w:pPr>
        <w:jc w:val="center"/>
        <w:rPr>
          <w:rFonts w:ascii="宋体" w:hAnsi="宋体" w:cs="宋体"/>
          <w:b/>
          <w:color w:val="auto"/>
          <w:kern w:val="0"/>
          <w:sz w:val="32"/>
          <w:szCs w:val="32"/>
          <w:highlight w:val="none"/>
        </w:rPr>
      </w:pPr>
    </w:p>
    <w:p w14:paraId="6F745E00">
      <w:pPr>
        <w:jc w:val="center"/>
        <w:rPr>
          <w:rFonts w:ascii="宋体" w:hAnsi="宋体" w:cs="宋体"/>
          <w:b/>
          <w:color w:val="auto"/>
          <w:kern w:val="0"/>
          <w:sz w:val="32"/>
          <w:szCs w:val="32"/>
          <w:highlight w:val="none"/>
        </w:rPr>
      </w:pPr>
    </w:p>
    <w:p w14:paraId="2D694E6B">
      <w:pPr>
        <w:jc w:val="center"/>
        <w:rPr>
          <w:rFonts w:ascii="宋体" w:hAnsi="宋体" w:cs="宋体"/>
          <w:b/>
          <w:color w:val="auto"/>
          <w:kern w:val="0"/>
          <w:sz w:val="32"/>
          <w:szCs w:val="32"/>
          <w:highlight w:val="none"/>
        </w:rPr>
      </w:pPr>
    </w:p>
    <w:p w14:paraId="02E049D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8E89F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847D171">
      <w:pPr>
        <w:jc w:val="center"/>
        <w:rPr>
          <w:rFonts w:ascii="宋体" w:hAnsi="宋体" w:cs="宋体"/>
          <w:b/>
          <w:color w:val="auto"/>
          <w:kern w:val="0"/>
          <w:sz w:val="32"/>
          <w:szCs w:val="32"/>
          <w:highlight w:val="none"/>
        </w:rPr>
      </w:pPr>
    </w:p>
    <w:p w14:paraId="1162260F">
      <w:pPr>
        <w:jc w:val="center"/>
        <w:rPr>
          <w:rFonts w:ascii="宋体" w:hAnsi="宋体" w:cs="宋体"/>
          <w:b/>
          <w:color w:val="auto"/>
          <w:kern w:val="0"/>
          <w:sz w:val="32"/>
          <w:szCs w:val="32"/>
          <w:highlight w:val="none"/>
        </w:rPr>
      </w:pPr>
    </w:p>
    <w:p w14:paraId="2FE5A560">
      <w:pPr>
        <w:jc w:val="center"/>
        <w:rPr>
          <w:rFonts w:ascii="宋体" w:hAnsi="宋体" w:cs="宋体"/>
          <w:b/>
          <w:color w:val="auto"/>
          <w:kern w:val="0"/>
          <w:sz w:val="32"/>
          <w:szCs w:val="32"/>
          <w:highlight w:val="none"/>
        </w:rPr>
      </w:pPr>
    </w:p>
    <w:p w14:paraId="20FCB8E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D4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33B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4A5E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15224E3">
            <w:pPr>
              <w:spacing w:line="360" w:lineRule="auto"/>
              <w:jc w:val="center"/>
              <w:rPr>
                <w:rFonts w:ascii="宋体" w:hAnsi="宋体" w:cs="宋体"/>
                <w:b/>
                <w:color w:val="auto"/>
                <w:sz w:val="24"/>
                <w:highlight w:val="none"/>
              </w:rPr>
            </w:pPr>
          </w:p>
          <w:p w14:paraId="5C8265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66B6E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76C60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75176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F4DA2D5">
            <w:pPr>
              <w:spacing w:line="360" w:lineRule="auto"/>
              <w:jc w:val="center"/>
              <w:rPr>
                <w:rFonts w:ascii="宋体" w:hAnsi="宋体" w:cs="宋体"/>
                <w:b/>
                <w:color w:val="auto"/>
                <w:sz w:val="24"/>
                <w:highlight w:val="none"/>
              </w:rPr>
            </w:pPr>
          </w:p>
          <w:p w14:paraId="6202B8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14AC1BF">
            <w:pPr>
              <w:spacing w:line="360" w:lineRule="auto"/>
              <w:jc w:val="center"/>
              <w:rPr>
                <w:rFonts w:ascii="宋体" w:hAnsi="宋体" w:cs="宋体"/>
                <w:b/>
                <w:color w:val="auto"/>
                <w:sz w:val="24"/>
                <w:highlight w:val="none"/>
              </w:rPr>
            </w:pPr>
          </w:p>
        </w:tc>
      </w:tr>
      <w:tr w14:paraId="5712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5A1F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F16F17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B8DDC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5CF79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55D8D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A86870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2FC580">
            <w:pPr>
              <w:spacing w:line="360" w:lineRule="auto"/>
              <w:jc w:val="center"/>
              <w:rPr>
                <w:rFonts w:ascii="宋体" w:hAnsi="宋体" w:cs="宋体"/>
                <w:color w:val="auto"/>
                <w:sz w:val="24"/>
                <w:highlight w:val="none"/>
              </w:rPr>
            </w:pPr>
          </w:p>
        </w:tc>
      </w:tr>
      <w:tr w14:paraId="2D7E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81BB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87E9E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66381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DA42F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C0F3B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1895E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97891A">
            <w:pPr>
              <w:spacing w:line="360" w:lineRule="auto"/>
              <w:jc w:val="center"/>
              <w:rPr>
                <w:rFonts w:ascii="宋体" w:hAnsi="宋体" w:cs="宋体"/>
                <w:color w:val="auto"/>
                <w:sz w:val="24"/>
                <w:highlight w:val="none"/>
              </w:rPr>
            </w:pPr>
          </w:p>
        </w:tc>
      </w:tr>
      <w:tr w14:paraId="76B9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FF67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B45B3D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1745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547C4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F1CCB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1DF91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C5B6ED">
            <w:pPr>
              <w:spacing w:line="360" w:lineRule="auto"/>
              <w:jc w:val="center"/>
              <w:rPr>
                <w:rFonts w:ascii="宋体" w:hAnsi="宋体" w:cs="宋体"/>
                <w:color w:val="auto"/>
                <w:sz w:val="24"/>
                <w:highlight w:val="none"/>
              </w:rPr>
            </w:pPr>
          </w:p>
        </w:tc>
      </w:tr>
    </w:tbl>
    <w:p w14:paraId="298B7C6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014098">
      <w:pPr>
        <w:jc w:val="center"/>
        <w:rPr>
          <w:rFonts w:ascii="宋体" w:hAnsi="宋体" w:cs="宋体"/>
          <w:b/>
          <w:color w:val="auto"/>
          <w:kern w:val="0"/>
          <w:sz w:val="32"/>
          <w:szCs w:val="32"/>
          <w:highlight w:val="none"/>
        </w:rPr>
      </w:pPr>
    </w:p>
    <w:p w14:paraId="5886EB5B">
      <w:pPr>
        <w:jc w:val="center"/>
        <w:rPr>
          <w:rFonts w:ascii="宋体" w:hAnsi="宋体" w:cs="宋体"/>
          <w:b/>
          <w:color w:val="auto"/>
          <w:kern w:val="0"/>
          <w:sz w:val="32"/>
          <w:szCs w:val="32"/>
          <w:highlight w:val="none"/>
        </w:rPr>
      </w:pPr>
    </w:p>
    <w:p w14:paraId="3109424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C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B2FFB1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0756AC0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4B01591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41D4F31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93F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1EADF5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2305F5E7">
            <w:pPr>
              <w:jc w:val="center"/>
              <w:rPr>
                <w:rFonts w:ascii="宋体" w:hAnsi="宋体" w:cs="宋体"/>
                <w:b/>
                <w:color w:val="auto"/>
                <w:kern w:val="0"/>
                <w:sz w:val="32"/>
                <w:szCs w:val="32"/>
                <w:highlight w:val="none"/>
              </w:rPr>
            </w:pPr>
          </w:p>
        </w:tc>
        <w:tc>
          <w:tcPr>
            <w:tcW w:w="3546" w:type="dxa"/>
            <w:vAlign w:val="top"/>
          </w:tcPr>
          <w:p w14:paraId="69E985D7">
            <w:pPr>
              <w:jc w:val="center"/>
              <w:rPr>
                <w:rFonts w:ascii="宋体" w:hAnsi="宋体" w:cs="宋体"/>
                <w:b/>
                <w:color w:val="auto"/>
                <w:kern w:val="0"/>
                <w:sz w:val="32"/>
                <w:szCs w:val="32"/>
                <w:highlight w:val="none"/>
              </w:rPr>
            </w:pPr>
          </w:p>
        </w:tc>
        <w:tc>
          <w:tcPr>
            <w:tcW w:w="1276" w:type="dxa"/>
            <w:vAlign w:val="top"/>
          </w:tcPr>
          <w:p w14:paraId="0ED8F298">
            <w:pPr>
              <w:jc w:val="center"/>
              <w:rPr>
                <w:rFonts w:ascii="宋体" w:hAnsi="宋体" w:cs="宋体"/>
                <w:b/>
                <w:color w:val="auto"/>
                <w:kern w:val="0"/>
                <w:sz w:val="32"/>
                <w:szCs w:val="32"/>
                <w:highlight w:val="none"/>
              </w:rPr>
            </w:pPr>
          </w:p>
        </w:tc>
      </w:tr>
      <w:tr w14:paraId="048F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2A05FB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29CB4A4F">
            <w:pPr>
              <w:jc w:val="center"/>
              <w:rPr>
                <w:rFonts w:ascii="宋体" w:hAnsi="宋体" w:cs="宋体"/>
                <w:b/>
                <w:color w:val="auto"/>
                <w:kern w:val="0"/>
                <w:sz w:val="32"/>
                <w:szCs w:val="32"/>
                <w:highlight w:val="none"/>
              </w:rPr>
            </w:pPr>
          </w:p>
        </w:tc>
        <w:tc>
          <w:tcPr>
            <w:tcW w:w="3546" w:type="dxa"/>
            <w:vAlign w:val="top"/>
          </w:tcPr>
          <w:p w14:paraId="3C210EE4">
            <w:pPr>
              <w:jc w:val="center"/>
              <w:rPr>
                <w:rFonts w:ascii="宋体" w:hAnsi="宋体" w:cs="宋体"/>
                <w:b/>
                <w:color w:val="auto"/>
                <w:kern w:val="0"/>
                <w:sz w:val="32"/>
                <w:szCs w:val="32"/>
                <w:highlight w:val="none"/>
              </w:rPr>
            </w:pPr>
          </w:p>
        </w:tc>
        <w:tc>
          <w:tcPr>
            <w:tcW w:w="1276" w:type="dxa"/>
            <w:vAlign w:val="top"/>
          </w:tcPr>
          <w:p w14:paraId="7D5ABD49">
            <w:pPr>
              <w:jc w:val="center"/>
              <w:rPr>
                <w:rFonts w:ascii="宋体" w:hAnsi="宋体" w:cs="宋体"/>
                <w:b/>
                <w:color w:val="auto"/>
                <w:kern w:val="0"/>
                <w:sz w:val="32"/>
                <w:szCs w:val="32"/>
                <w:highlight w:val="none"/>
              </w:rPr>
            </w:pPr>
          </w:p>
        </w:tc>
      </w:tr>
      <w:tr w14:paraId="5410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2B16BB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5377BA1E">
            <w:pPr>
              <w:jc w:val="center"/>
              <w:rPr>
                <w:rFonts w:ascii="宋体" w:hAnsi="宋体" w:cs="宋体"/>
                <w:b/>
                <w:color w:val="auto"/>
                <w:kern w:val="0"/>
                <w:sz w:val="32"/>
                <w:szCs w:val="32"/>
                <w:highlight w:val="none"/>
              </w:rPr>
            </w:pPr>
          </w:p>
        </w:tc>
        <w:tc>
          <w:tcPr>
            <w:tcW w:w="3546" w:type="dxa"/>
            <w:vAlign w:val="top"/>
          </w:tcPr>
          <w:p w14:paraId="76757310">
            <w:pPr>
              <w:jc w:val="center"/>
              <w:rPr>
                <w:rFonts w:ascii="宋体" w:hAnsi="宋体" w:cs="宋体"/>
                <w:b/>
                <w:color w:val="auto"/>
                <w:kern w:val="0"/>
                <w:sz w:val="32"/>
                <w:szCs w:val="32"/>
                <w:highlight w:val="none"/>
              </w:rPr>
            </w:pPr>
          </w:p>
        </w:tc>
        <w:tc>
          <w:tcPr>
            <w:tcW w:w="1276" w:type="dxa"/>
            <w:vAlign w:val="top"/>
          </w:tcPr>
          <w:p w14:paraId="266E7034">
            <w:pPr>
              <w:jc w:val="center"/>
              <w:rPr>
                <w:rFonts w:ascii="宋体" w:hAnsi="宋体" w:cs="宋体"/>
                <w:b/>
                <w:color w:val="auto"/>
                <w:kern w:val="0"/>
                <w:sz w:val="32"/>
                <w:szCs w:val="32"/>
                <w:highlight w:val="none"/>
              </w:rPr>
            </w:pPr>
          </w:p>
        </w:tc>
      </w:tr>
    </w:tbl>
    <w:p w14:paraId="6D62C7A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7D418AE">
      <w:pPr>
        <w:jc w:val="center"/>
        <w:rPr>
          <w:rFonts w:ascii="宋体" w:hAnsi="宋体" w:cs="宋体"/>
          <w:b/>
          <w:color w:val="auto"/>
          <w:kern w:val="0"/>
          <w:sz w:val="32"/>
          <w:szCs w:val="32"/>
          <w:highlight w:val="none"/>
        </w:rPr>
      </w:pPr>
    </w:p>
    <w:p w14:paraId="54F9A9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D969D3">
      <w:pPr>
        <w:ind w:firstLine="1911" w:firstLineChars="595"/>
        <w:rPr>
          <w:rFonts w:ascii="宋体" w:hAnsi="宋体" w:cs="宋体"/>
          <w:b/>
          <w:bCs/>
          <w:color w:val="auto"/>
          <w:sz w:val="32"/>
          <w:szCs w:val="32"/>
          <w:highlight w:val="none"/>
        </w:rPr>
      </w:pPr>
    </w:p>
    <w:p w14:paraId="3944EC23">
      <w:pPr>
        <w:ind w:firstLine="1911" w:firstLineChars="595"/>
        <w:rPr>
          <w:rFonts w:ascii="宋体" w:hAnsi="宋体" w:cs="宋体"/>
          <w:b/>
          <w:bCs/>
          <w:color w:val="auto"/>
          <w:sz w:val="32"/>
          <w:szCs w:val="32"/>
          <w:highlight w:val="none"/>
        </w:rPr>
      </w:pPr>
    </w:p>
    <w:p w14:paraId="0D23235D">
      <w:pPr>
        <w:ind w:firstLine="1911" w:firstLineChars="595"/>
        <w:rPr>
          <w:rFonts w:ascii="宋体" w:hAnsi="宋体" w:cs="宋体"/>
          <w:b/>
          <w:bCs/>
          <w:color w:val="auto"/>
          <w:sz w:val="32"/>
          <w:szCs w:val="32"/>
          <w:highlight w:val="none"/>
        </w:rPr>
      </w:pPr>
    </w:p>
    <w:p w14:paraId="6A7BF81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AC7D02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22198CE">
      <w:pPr>
        <w:snapToGrid w:val="0"/>
        <w:spacing w:line="360" w:lineRule="auto"/>
        <w:rPr>
          <w:rFonts w:ascii="宋体" w:hAnsi="宋体" w:cs="宋体"/>
          <w:color w:val="auto"/>
          <w:sz w:val="24"/>
          <w:highlight w:val="none"/>
        </w:rPr>
      </w:pPr>
    </w:p>
    <w:p w14:paraId="7666A0F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519048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7BDC94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C277F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99CAD4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FD9BCB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A8E909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E46777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BB7B61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139CFD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4167A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278AC08">
      <w:pPr>
        <w:autoSpaceDE w:val="0"/>
        <w:autoSpaceDN w:val="0"/>
        <w:spacing w:line="360" w:lineRule="auto"/>
        <w:ind w:left="2"/>
        <w:jc w:val="left"/>
        <w:rPr>
          <w:rFonts w:ascii="宋体" w:hAnsi="宋体" w:cs="宋体"/>
          <w:color w:val="auto"/>
          <w:kern w:val="0"/>
          <w:sz w:val="24"/>
          <w:highlight w:val="none"/>
          <w:lang w:val="zh-CN"/>
        </w:rPr>
      </w:pPr>
    </w:p>
    <w:p w14:paraId="43F7562E">
      <w:pPr>
        <w:autoSpaceDE w:val="0"/>
        <w:autoSpaceDN w:val="0"/>
        <w:spacing w:line="360" w:lineRule="auto"/>
        <w:ind w:left="2"/>
        <w:jc w:val="left"/>
        <w:rPr>
          <w:rFonts w:ascii="宋体" w:hAnsi="宋体" w:cs="宋体"/>
          <w:color w:val="auto"/>
          <w:kern w:val="0"/>
          <w:sz w:val="24"/>
          <w:highlight w:val="none"/>
          <w:lang w:val="zh-CN"/>
        </w:rPr>
      </w:pPr>
    </w:p>
    <w:p w14:paraId="634B8A1A">
      <w:pPr>
        <w:autoSpaceDE w:val="0"/>
        <w:autoSpaceDN w:val="0"/>
        <w:spacing w:line="360" w:lineRule="auto"/>
        <w:ind w:left="2"/>
        <w:jc w:val="left"/>
        <w:rPr>
          <w:rFonts w:ascii="宋体" w:hAnsi="宋体" w:cs="宋体"/>
          <w:color w:val="auto"/>
          <w:kern w:val="0"/>
          <w:sz w:val="24"/>
          <w:highlight w:val="none"/>
          <w:lang w:val="zh-CN"/>
        </w:rPr>
      </w:pPr>
    </w:p>
    <w:p w14:paraId="272C878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62E58C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F91C4A">
      <w:pPr>
        <w:spacing w:line="360" w:lineRule="auto"/>
        <w:jc w:val="center"/>
        <w:rPr>
          <w:rFonts w:ascii="宋体" w:hAnsi="宋体" w:cs="宋体"/>
          <w:b/>
          <w:bCs/>
          <w:color w:val="auto"/>
          <w:sz w:val="24"/>
          <w:highlight w:val="none"/>
        </w:rPr>
      </w:pPr>
    </w:p>
    <w:p w14:paraId="558CEA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6BCB42">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8D6958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8521D5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E86D39">
      <w:pPr>
        <w:spacing w:line="360" w:lineRule="auto"/>
        <w:jc w:val="center"/>
        <w:outlineLvl w:val="0"/>
        <w:rPr>
          <w:rFonts w:ascii="宋体" w:hAnsi="宋体" w:cs="宋体"/>
          <w:b/>
          <w:color w:val="auto"/>
          <w:kern w:val="0"/>
          <w:sz w:val="36"/>
          <w:szCs w:val="36"/>
          <w:highlight w:val="none"/>
        </w:rPr>
      </w:pPr>
    </w:p>
    <w:p w14:paraId="0A4014E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3D7151A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C573A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2D5FAD16">
      <w:pPr>
        <w:snapToGrid w:val="0"/>
        <w:spacing w:line="360" w:lineRule="auto"/>
        <w:ind w:right="480"/>
        <w:jc w:val="center"/>
        <w:rPr>
          <w:rFonts w:ascii="宋体" w:hAnsi="宋体" w:cs="宋体"/>
          <w:b/>
          <w:color w:val="auto"/>
          <w:kern w:val="0"/>
          <w:sz w:val="32"/>
          <w:szCs w:val="32"/>
          <w:highlight w:val="none"/>
        </w:rPr>
      </w:pPr>
    </w:p>
    <w:p w14:paraId="7958706E">
      <w:pPr>
        <w:snapToGrid w:val="0"/>
        <w:spacing w:line="360" w:lineRule="auto"/>
        <w:ind w:right="480"/>
        <w:jc w:val="center"/>
        <w:rPr>
          <w:rFonts w:ascii="宋体" w:hAnsi="宋体" w:cs="宋体"/>
          <w:b/>
          <w:color w:val="auto"/>
          <w:kern w:val="0"/>
          <w:sz w:val="32"/>
          <w:szCs w:val="32"/>
          <w:highlight w:val="none"/>
        </w:rPr>
      </w:pPr>
    </w:p>
    <w:p w14:paraId="115EFEF0">
      <w:pPr>
        <w:snapToGrid w:val="0"/>
        <w:spacing w:line="360" w:lineRule="auto"/>
        <w:ind w:right="480"/>
        <w:jc w:val="center"/>
        <w:rPr>
          <w:rFonts w:ascii="宋体" w:hAnsi="宋体" w:cs="宋体"/>
          <w:b/>
          <w:color w:val="auto"/>
          <w:kern w:val="0"/>
          <w:sz w:val="32"/>
          <w:szCs w:val="32"/>
          <w:highlight w:val="none"/>
        </w:rPr>
      </w:pPr>
    </w:p>
    <w:p w14:paraId="449B225A">
      <w:pPr>
        <w:snapToGrid w:val="0"/>
        <w:spacing w:line="360" w:lineRule="auto"/>
        <w:ind w:right="480"/>
        <w:jc w:val="center"/>
        <w:rPr>
          <w:rFonts w:ascii="宋体" w:hAnsi="宋体" w:cs="宋体"/>
          <w:b/>
          <w:color w:val="auto"/>
          <w:kern w:val="0"/>
          <w:sz w:val="32"/>
          <w:szCs w:val="32"/>
          <w:highlight w:val="none"/>
        </w:rPr>
      </w:pPr>
    </w:p>
    <w:p w14:paraId="3602EE61">
      <w:pPr>
        <w:snapToGrid w:val="0"/>
        <w:spacing w:line="360" w:lineRule="auto"/>
        <w:ind w:right="480"/>
        <w:jc w:val="center"/>
        <w:rPr>
          <w:rFonts w:ascii="宋体" w:hAnsi="宋体" w:cs="宋体"/>
          <w:b/>
          <w:color w:val="auto"/>
          <w:kern w:val="0"/>
          <w:sz w:val="32"/>
          <w:szCs w:val="32"/>
          <w:highlight w:val="none"/>
        </w:rPr>
      </w:pPr>
    </w:p>
    <w:p w14:paraId="135DC6B6">
      <w:pPr>
        <w:snapToGrid w:val="0"/>
        <w:spacing w:line="360" w:lineRule="auto"/>
        <w:ind w:right="480"/>
        <w:jc w:val="center"/>
        <w:rPr>
          <w:rFonts w:ascii="宋体" w:hAnsi="宋体" w:cs="宋体"/>
          <w:b/>
          <w:color w:val="auto"/>
          <w:kern w:val="0"/>
          <w:sz w:val="32"/>
          <w:szCs w:val="32"/>
          <w:highlight w:val="none"/>
        </w:rPr>
      </w:pPr>
    </w:p>
    <w:p w14:paraId="57FE017A">
      <w:pPr>
        <w:snapToGrid w:val="0"/>
        <w:spacing w:line="360" w:lineRule="auto"/>
        <w:ind w:right="480"/>
        <w:jc w:val="center"/>
        <w:rPr>
          <w:rFonts w:ascii="宋体" w:hAnsi="宋体" w:cs="宋体"/>
          <w:b/>
          <w:color w:val="auto"/>
          <w:kern w:val="0"/>
          <w:sz w:val="32"/>
          <w:szCs w:val="32"/>
          <w:highlight w:val="none"/>
        </w:rPr>
      </w:pPr>
    </w:p>
    <w:p w14:paraId="3302CB6C">
      <w:pPr>
        <w:snapToGrid w:val="0"/>
        <w:spacing w:line="360" w:lineRule="auto"/>
        <w:ind w:right="480"/>
        <w:jc w:val="center"/>
        <w:rPr>
          <w:rFonts w:ascii="宋体" w:hAnsi="宋体" w:cs="宋体"/>
          <w:b/>
          <w:color w:val="auto"/>
          <w:kern w:val="0"/>
          <w:sz w:val="32"/>
          <w:szCs w:val="32"/>
          <w:highlight w:val="none"/>
        </w:rPr>
      </w:pPr>
    </w:p>
    <w:p w14:paraId="1117994B">
      <w:pPr>
        <w:snapToGrid w:val="0"/>
        <w:spacing w:line="360" w:lineRule="auto"/>
        <w:ind w:right="480"/>
        <w:jc w:val="center"/>
        <w:rPr>
          <w:rFonts w:ascii="宋体" w:hAnsi="宋体" w:cs="宋体"/>
          <w:b/>
          <w:color w:val="auto"/>
          <w:kern w:val="0"/>
          <w:sz w:val="32"/>
          <w:szCs w:val="32"/>
          <w:highlight w:val="none"/>
        </w:rPr>
      </w:pPr>
    </w:p>
    <w:p w14:paraId="0250FFA1">
      <w:pPr>
        <w:snapToGrid w:val="0"/>
        <w:spacing w:line="360" w:lineRule="auto"/>
        <w:ind w:right="480"/>
        <w:jc w:val="center"/>
        <w:rPr>
          <w:rFonts w:ascii="宋体" w:hAnsi="宋体" w:cs="宋体"/>
          <w:b/>
          <w:color w:val="auto"/>
          <w:kern w:val="0"/>
          <w:sz w:val="32"/>
          <w:szCs w:val="32"/>
          <w:highlight w:val="none"/>
        </w:rPr>
      </w:pPr>
    </w:p>
    <w:p w14:paraId="2F5E86CD">
      <w:pPr>
        <w:snapToGrid w:val="0"/>
        <w:spacing w:line="360" w:lineRule="auto"/>
        <w:ind w:right="480"/>
        <w:jc w:val="center"/>
        <w:rPr>
          <w:rFonts w:ascii="宋体" w:hAnsi="宋体" w:cs="宋体"/>
          <w:b/>
          <w:color w:val="auto"/>
          <w:kern w:val="0"/>
          <w:sz w:val="32"/>
          <w:szCs w:val="32"/>
          <w:highlight w:val="none"/>
        </w:rPr>
      </w:pPr>
    </w:p>
    <w:p w14:paraId="49E676C5">
      <w:pPr>
        <w:snapToGrid w:val="0"/>
        <w:spacing w:line="360" w:lineRule="auto"/>
        <w:ind w:right="480"/>
        <w:jc w:val="center"/>
        <w:rPr>
          <w:rFonts w:ascii="宋体" w:hAnsi="宋体" w:cs="宋体"/>
          <w:b/>
          <w:color w:val="auto"/>
          <w:kern w:val="0"/>
          <w:sz w:val="32"/>
          <w:szCs w:val="32"/>
          <w:highlight w:val="none"/>
        </w:rPr>
      </w:pPr>
    </w:p>
    <w:p w14:paraId="449084FB">
      <w:pPr>
        <w:snapToGrid w:val="0"/>
        <w:spacing w:line="360" w:lineRule="auto"/>
        <w:ind w:right="480"/>
        <w:jc w:val="center"/>
        <w:rPr>
          <w:rFonts w:ascii="宋体" w:hAnsi="宋体" w:cs="宋体"/>
          <w:b/>
          <w:color w:val="auto"/>
          <w:kern w:val="0"/>
          <w:sz w:val="32"/>
          <w:szCs w:val="32"/>
          <w:highlight w:val="none"/>
        </w:rPr>
      </w:pPr>
    </w:p>
    <w:p w14:paraId="3B74A029">
      <w:pPr>
        <w:snapToGrid w:val="0"/>
        <w:spacing w:line="360" w:lineRule="auto"/>
        <w:ind w:right="480"/>
        <w:jc w:val="center"/>
        <w:rPr>
          <w:rFonts w:ascii="宋体" w:hAnsi="宋体" w:cs="宋体"/>
          <w:b/>
          <w:color w:val="auto"/>
          <w:kern w:val="0"/>
          <w:sz w:val="32"/>
          <w:szCs w:val="32"/>
          <w:highlight w:val="none"/>
        </w:rPr>
        <w:sectPr>
          <w:headerReference r:id="rId18" w:type="first"/>
          <w:footerReference r:id="rId20" w:type="first"/>
          <w:headerReference r:id="rId17" w:type="default"/>
          <w:footerReference r:id="rId19" w:type="default"/>
          <w:pgSz w:w="11906" w:h="16838"/>
          <w:pgMar w:top="1276" w:right="1417" w:bottom="1247" w:left="1417" w:header="851" w:footer="992" w:gutter="0"/>
          <w:cols w:space="0" w:num="1"/>
          <w:titlePg/>
          <w:rtlGutter w:val="0"/>
          <w:docGrid w:linePitch="312" w:charSpace="0"/>
        </w:sectPr>
      </w:pPr>
    </w:p>
    <w:p w14:paraId="7DFA37F2">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9F28F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591365C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2025年度余杭法院人民法庭物业服务采购项目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HZYHZFCG-2024-125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EC073F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F62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5702A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D5030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6DF09A88">
            <w:pPr>
              <w:spacing w:line="360" w:lineRule="auto"/>
              <w:jc w:val="center"/>
              <w:rPr>
                <w:rFonts w:ascii="宋体" w:hAnsi="宋体" w:cs="宋体"/>
                <w:b/>
                <w:color w:val="auto"/>
                <w:sz w:val="24"/>
                <w:highlight w:val="none"/>
              </w:rPr>
            </w:pPr>
          </w:p>
          <w:p w14:paraId="196EFF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1B6DE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CF07B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19710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36D4DE55">
            <w:pPr>
              <w:spacing w:line="360" w:lineRule="auto"/>
              <w:jc w:val="center"/>
              <w:rPr>
                <w:rFonts w:ascii="宋体" w:hAnsi="宋体" w:cs="宋体"/>
                <w:b/>
                <w:color w:val="auto"/>
                <w:sz w:val="24"/>
                <w:highlight w:val="none"/>
              </w:rPr>
            </w:pPr>
          </w:p>
          <w:p w14:paraId="5BFB3C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1C6C391">
            <w:pPr>
              <w:spacing w:line="360" w:lineRule="auto"/>
              <w:jc w:val="center"/>
              <w:rPr>
                <w:rFonts w:ascii="宋体" w:hAnsi="宋体" w:cs="宋体"/>
                <w:b/>
                <w:color w:val="auto"/>
                <w:sz w:val="24"/>
                <w:highlight w:val="none"/>
              </w:rPr>
            </w:pPr>
          </w:p>
          <w:p w14:paraId="228A8B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46BB695">
            <w:pPr>
              <w:spacing w:line="360" w:lineRule="auto"/>
              <w:jc w:val="center"/>
              <w:rPr>
                <w:rFonts w:ascii="宋体" w:hAnsi="宋体" w:cs="宋体"/>
                <w:b/>
                <w:color w:val="auto"/>
                <w:sz w:val="24"/>
                <w:highlight w:val="none"/>
              </w:rPr>
            </w:pPr>
          </w:p>
        </w:tc>
      </w:tr>
      <w:tr w14:paraId="6B12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E4FEF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2451A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132B456">
            <w:pPr>
              <w:snapToGrid w:val="0"/>
              <w:spacing w:line="360" w:lineRule="auto"/>
              <w:jc w:val="center"/>
              <w:rPr>
                <w:rFonts w:ascii="宋体" w:hAnsi="宋体" w:cs="宋体"/>
                <w:color w:val="auto"/>
                <w:sz w:val="24"/>
                <w:highlight w:val="none"/>
              </w:rPr>
            </w:pPr>
          </w:p>
        </w:tc>
        <w:tc>
          <w:tcPr>
            <w:tcW w:w="2410" w:type="dxa"/>
            <w:vAlign w:val="center"/>
          </w:tcPr>
          <w:p w14:paraId="136ED89B">
            <w:pPr>
              <w:snapToGrid w:val="0"/>
              <w:spacing w:line="360" w:lineRule="auto"/>
              <w:jc w:val="center"/>
              <w:rPr>
                <w:rFonts w:ascii="宋体" w:hAnsi="宋体" w:cs="宋体"/>
                <w:color w:val="auto"/>
                <w:sz w:val="24"/>
                <w:highlight w:val="none"/>
              </w:rPr>
            </w:pPr>
          </w:p>
        </w:tc>
        <w:tc>
          <w:tcPr>
            <w:tcW w:w="2268" w:type="dxa"/>
            <w:vAlign w:val="center"/>
          </w:tcPr>
          <w:p w14:paraId="314FB557">
            <w:pPr>
              <w:snapToGrid w:val="0"/>
              <w:spacing w:line="360" w:lineRule="auto"/>
              <w:jc w:val="center"/>
              <w:rPr>
                <w:rFonts w:ascii="宋体" w:hAnsi="宋体" w:cs="宋体"/>
                <w:color w:val="auto"/>
                <w:sz w:val="24"/>
                <w:highlight w:val="none"/>
              </w:rPr>
            </w:pPr>
          </w:p>
        </w:tc>
        <w:tc>
          <w:tcPr>
            <w:tcW w:w="2126" w:type="dxa"/>
            <w:vAlign w:val="center"/>
          </w:tcPr>
          <w:p w14:paraId="666ED311">
            <w:pPr>
              <w:spacing w:line="360" w:lineRule="auto"/>
              <w:jc w:val="center"/>
              <w:rPr>
                <w:rFonts w:ascii="宋体" w:hAnsi="宋体" w:cs="宋体"/>
                <w:color w:val="auto"/>
                <w:sz w:val="24"/>
                <w:highlight w:val="none"/>
              </w:rPr>
            </w:pPr>
          </w:p>
        </w:tc>
        <w:tc>
          <w:tcPr>
            <w:tcW w:w="2127" w:type="dxa"/>
            <w:vAlign w:val="top"/>
          </w:tcPr>
          <w:p w14:paraId="7ED529C9">
            <w:pPr>
              <w:spacing w:line="360" w:lineRule="auto"/>
              <w:jc w:val="center"/>
              <w:rPr>
                <w:rFonts w:ascii="宋体" w:hAnsi="宋体" w:cs="宋体"/>
                <w:color w:val="auto"/>
                <w:sz w:val="24"/>
                <w:highlight w:val="none"/>
              </w:rPr>
            </w:pPr>
          </w:p>
        </w:tc>
        <w:tc>
          <w:tcPr>
            <w:tcW w:w="2126" w:type="dxa"/>
            <w:vAlign w:val="center"/>
          </w:tcPr>
          <w:p w14:paraId="1CE3BAF8">
            <w:pPr>
              <w:spacing w:line="360" w:lineRule="auto"/>
              <w:jc w:val="center"/>
              <w:rPr>
                <w:rFonts w:ascii="宋体" w:hAnsi="宋体" w:cs="宋体"/>
                <w:color w:val="auto"/>
                <w:sz w:val="24"/>
                <w:highlight w:val="none"/>
              </w:rPr>
            </w:pPr>
          </w:p>
        </w:tc>
      </w:tr>
      <w:tr w14:paraId="7FFD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69E4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94A4C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5B11A41">
            <w:pPr>
              <w:snapToGrid w:val="0"/>
              <w:spacing w:line="360" w:lineRule="auto"/>
              <w:jc w:val="center"/>
              <w:rPr>
                <w:rFonts w:ascii="宋体" w:hAnsi="宋体" w:cs="宋体"/>
                <w:color w:val="auto"/>
                <w:sz w:val="24"/>
                <w:highlight w:val="none"/>
              </w:rPr>
            </w:pPr>
          </w:p>
        </w:tc>
        <w:tc>
          <w:tcPr>
            <w:tcW w:w="2410" w:type="dxa"/>
            <w:vAlign w:val="center"/>
          </w:tcPr>
          <w:p w14:paraId="132EEDEC">
            <w:pPr>
              <w:snapToGrid w:val="0"/>
              <w:spacing w:line="360" w:lineRule="auto"/>
              <w:jc w:val="center"/>
              <w:rPr>
                <w:rFonts w:ascii="宋体" w:hAnsi="宋体" w:cs="宋体"/>
                <w:color w:val="auto"/>
                <w:sz w:val="24"/>
                <w:highlight w:val="none"/>
              </w:rPr>
            </w:pPr>
          </w:p>
        </w:tc>
        <w:tc>
          <w:tcPr>
            <w:tcW w:w="2268" w:type="dxa"/>
            <w:vAlign w:val="center"/>
          </w:tcPr>
          <w:p w14:paraId="6BAC2A97">
            <w:pPr>
              <w:snapToGrid w:val="0"/>
              <w:spacing w:line="360" w:lineRule="auto"/>
              <w:jc w:val="center"/>
              <w:rPr>
                <w:rFonts w:ascii="宋体" w:hAnsi="宋体" w:cs="宋体"/>
                <w:color w:val="auto"/>
                <w:sz w:val="24"/>
                <w:highlight w:val="none"/>
              </w:rPr>
            </w:pPr>
          </w:p>
        </w:tc>
        <w:tc>
          <w:tcPr>
            <w:tcW w:w="2126" w:type="dxa"/>
            <w:vAlign w:val="center"/>
          </w:tcPr>
          <w:p w14:paraId="6C87ABE3">
            <w:pPr>
              <w:spacing w:line="360" w:lineRule="auto"/>
              <w:jc w:val="center"/>
              <w:rPr>
                <w:rFonts w:ascii="宋体" w:hAnsi="宋体" w:cs="宋体"/>
                <w:color w:val="auto"/>
                <w:sz w:val="24"/>
                <w:highlight w:val="none"/>
              </w:rPr>
            </w:pPr>
          </w:p>
        </w:tc>
        <w:tc>
          <w:tcPr>
            <w:tcW w:w="2127" w:type="dxa"/>
            <w:vAlign w:val="top"/>
          </w:tcPr>
          <w:p w14:paraId="6304B127">
            <w:pPr>
              <w:spacing w:line="360" w:lineRule="auto"/>
              <w:jc w:val="center"/>
              <w:rPr>
                <w:rFonts w:ascii="宋体" w:hAnsi="宋体" w:cs="宋体"/>
                <w:color w:val="auto"/>
                <w:sz w:val="24"/>
                <w:highlight w:val="none"/>
              </w:rPr>
            </w:pPr>
          </w:p>
        </w:tc>
        <w:tc>
          <w:tcPr>
            <w:tcW w:w="2126" w:type="dxa"/>
            <w:vAlign w:val="center"/>
          </w:tcPr>
          <w:p w14:paraId="7AF63F62">
            <w:pPr>
              <w:spacing w:line="360" w:lineRule="auto"/>
              <w:jc w:val="center"/>
              <w:rPr>
                <w:rFonts w:ascii="宋体" w:hAnsi="宋体" w:cs="宋体"/>
                <w:color w:val="auto"/>
                <w:sz w:val="24"/>
                <w:highlight w:val="none"/>
              </w:rPr>
            </w:pPr>
          </w:p>
        </w:tc>
      </w:tr>
      <w:tr w14:paraId="0FFE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B87F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24E9C65">
            <w:pPr>
              <w:snapToGrid w:val="0"/>
              <w:spacing w:line="360" w:lineRule="auto"/>
              <w:jc w:val="center"/>
              <w:rPr>
                <w:rFonts w:ascii="宋体" w:hAnsi="宋体" w:cs="宋体"/>
                <w:color w:val="auto"/>
                <w:sz w:val="24"/>
                <w:highlight w:val="none"/>
              </w:rPr>
            </w:pPr>
          </w:p>
        </w:tc>
        <w:tc>
          <w:tcPr>
            <w:tcW w:w="2268" w:type="dxa"/>
            <w:vAlign w:val="center"/>
          </w:tcPr>
          <w:p w14:paraId="4985229D">
            <w:pPr>
              <w:snapToGrid w:val="0"/>
              <w:spacing w:line="360" w:lineRule="auto"/>
              <w:jc w:val="center"/>
              <w:rPr>
                <w:rFonts w:ascii="宋体" w:hAnsi="宋体" w:cs="宋体"/>
                <w:color w:val="auto"/>
                <w:sz w:val="24"/>
                <w:highlight w:val="none"/>
              </w:rPr>
            </w:pPr>
          </w:p>
        </w:tc>
        <w:tc>
          <w:tcPr>
            <w:tcW w:w="2410" w:type="dxa"/>
            <w:vAlign w:val="center"/>
          </w:tcPr>
          <w:p w14:paraId="1916627C">
            <w:pPr>
              <w:snapToGrid w:val="0"/>
              <w:spacing w:line="360" w:lineRule="auto"/>
              <w:jc w:val="center"/>
              <w:rPr>
                <w:rFonts w:ascii="宋体" w:hAnsi="宋体" w:cs="宋体"/>
                <w:color w:val="auto"/>
                <w:sz w:val="24"/>
                <w:highlight w:val="none"/>
              </w:rPr>
            </w:pPr>
          </w:p>
        </w:tc>
        <w:tc>
          <w:tcPr>
            <w:tcW w:w="2268" w:type="dxa"/>
            <w:vAlign w:val="center"/>
          </w:tcPr>
          <w:p w14:paraId="6DD4A6D5">
            <w:pPr>
              <w:snapToGrid w:val="0"/>
              <w:spacing w:line="360" w:lineRule="auto"/>
              <w:jc w:val="center"/>
              <w:rPr>
                <w:rFonts w:ascii="宋体" w:hAnsi="宋体" w:cs="宋体"/>
                <w:color w:val="auto"/>
                <w:sz w:val="24"/>
                <w:highlight w:val="none"/>
              </w:rPr>
            </w:pPr>
          </w:p>
        </w:tc>
        <w:tc>
          <w:tcPr>
            <w:tcW w:w="2126" w:type="dxa"/>
            <w:vAlign w:val="center"/>
          </w:tcPr>
          <w:p w14:paraId="2D5D6979">
            <w:pPr>
              <w:spacing w:line="360" w:lineRule="auto"/>
              <w:jc w:val="center"/>
              <w:rPr>
                <w:rFonts w:ascii="宋体" w:hAnsi="宋体" w:cs="宋体"/>
                <w:color w:val="auto"/>
                <w:sz w:val="24"/>
                <w:highlight w:val="none"/>
              </w:rPr>
            </w:pPr>
          </w:p>
        </w:tc>
        <w:tc>
          <w:tcPr>
            <w:tcW w:w="2127" w:type="dxa"/>
            <w:vAlign w:val="top"/>
          </w:tcPr>
          <w:p w14:paraId="14ACE728">
            <w:pPr>
              <w:spacing w:line="360" w:lineRule="auto"/>
              <w:jc w:val="center"/>
              <w:rPr>
                <w:rFonts w:ascii="宋体" w:hAnsi="宋体" w:cs="宋体"/>
                <w:color w:val="auto"/>
                <w:sz w:val="24"/>
                <w:highlight w:val="none"/>
              </w:rPr>
            </w:pPr>
          </w:p>
        </w:tc>
        <w:tc>
          <w:tcPr>
            <w:tcW w:w="2126" w:type="dxa"/>
            <w:vAlign w:val="center"/>
          </w:tcPr>
          <w:p w14:paraId="62DF6B4E">
            <w:pPr>
              <w:spacing w:line="360" w:lineRule="auto"/>
              <w:jc w:val="center"/>
              <w:rPr>
                <w:rFonts w:ascii="宋体" w:hAnsi="宋体" w:cs="宋体"/>
                <w:color w:val="auto"/>
                <w:sz w:val="24"/>
                <w:highlight w:val="none"/>
              </w:rPr>
            </w:pPr>
          </w:p>
        </w:tc>
      </w:tr>
      <w:tr w14:paraId="698A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6F42BB">
            <w:pPr>
              <w:spacing w:line="360" w:lineRule="auto"/>
              <w:jc w:val="center"/>
              <w:rPr>
                <w:rFonts w:ascii="宋体" w:hAnsi="宋体" w:cs="宋体"/>
                <w:color w:val="auto"/>
                <w:sz w:val="24"/>
                <w:highlight w:val="none"/>
              </w:rPr>
            </w:pPr>
          </w:p>
        </w:tc>
        <w:tc>
          <w:tcPr>
            <w:tcW w:w="992" w:type="dxa"/>
            <w:vAlign w:val="center"/>
          </w:tcPr>
          <w:p w14:paraId="513F8A73">
            <w:pPr>
              <w:snapToGrid w:val="0"/>
              <w:spacing w:line="360" w:lineRule="auto"/>
              <w:jc w:val="center"/>
              <w:rPr>
                <w:rFonts w:ascii="宋体" w:hAnsi="宋体" w:cs="宋体"/>
                <w:color w:val="auto"/>
                <w:sz w:val="24"/>
                <w:highlight w:val="none"/>
              </w:rPr>
            </w:pPr>
          </w:p>
        </w:tc>
        <w:tc>
          <w:tcPr>
            <w:tcW w:w="2268" w:type="dxa"/>
            <w:vAlign w:val="center"/>
          </w:tcPr>
          <w:p w14:paraId="0AE7D6B8">
            <w:pPr>
              <w:snapToGrid w:val="0"/>
              <w:spacing w:line="360" w:lineRule="auto"/>
              <w:jc w:val="center"/>
              <w:rPr>
                <w:rFonts w:ascii="宋体" w:hAnsi="宋体" w:cs="宋体"/>
                <w:color w:val="auto"/>
                <w:sz w:val="24"/>
                <w:highlight w:val="none"/>
              </w:rPr>
            </w:pPr>
          </w:p>
        </w:tc>
        <w:tc>
          <w:tcPr>
            <w:tcW w:w="2410" w:type="dxa"/>
            <w:vAlign w:val="center"/>
          </w:tcPr>
          <w:p w14:paraId="4883627C">
            <w:pPr>
              <w:snapToGrid w:val="0"/>
              <w:spacing w:line="360" w:lineRule="auto"/>
              <w:jc w:val="center"/>
              <w:rPr>
                <w:rFonts w:ascii="宋体" w:hAnsi="宋体" w:cs="宋体"/>
                <w:color w:val="auto"/>
                <w:sz w:val="24"/>
                <w:highlight w:val="none"/>
              </w:rPr>
            </w:pPr>
          </w:p>
        </w:tc>
        <w:tc>
          <w:tcPr>
            <w:tcW w:w="2268" w:type="dxa"/>
            <w:vAlign w:val="center"/>
          </w:tcPr>
          <w:p w14:paraId="50EF9A01">
            <w:pPr>
              <w:snapToGrid w:val="0"/>
              <w:spacing w:line="360" w:lineRule="auto"/>
              <w:jc w:val="center"/>
              <w:rPr>
                <w:rFonts w:ascii="宋体" w:hAnsi="宋体" w:cs="宋体"/>
                <w:color w:val="auto"/>
                <w:sz w:val="24"/>
                <w:highlight w:val="none"/>
              </w:rPr>
            </w:pPr>
          </w:p>
        </w:tc>
        <w:tc>
          <w:tcPr>
            <w:tcW w:w="2126" w:type="dxa"/>
            <w:vAlign w:val="center"/>
          </w:tcPr>
          <w:p w14:paraId="05DA4211">
            <w:pPr>
              <w:spacing w:line="360" w:lineRule="auto"/>
              <w:jc w:val="center"/>
              <w:rPr>
                <w:rFonts w:ascii="宋体" w:hAnsi="宋体" w:cs="宋体"/>
                <w:color w:val="auto"/>
                <w:sz w:val="24"/>
                <w:highlight w:val="none"/>
              </w:rPr>
            </w:pPr>
          </w:p>
        </w:tc>
        <w:tc>
          <w:tcPr>
            <w:tcW w:w="2127" w:type="dxa"/>
            <w:vAlign w:val="top"/>
          </w:tcPr>
          <w:p w14:paraId="6908B8EB">
            <w:pPr>
              <w:spacing w:line="360" w:lineRule="auto"/>
              <w:jc w:val="center"/>
              <w:rPr>
                <w:rFonts w:ascii="宋体" w:hAnsi="宋体" w:cs="宋体"/>
                <w:color w:val="auto"/>
                <w:sz w:val="24"/>
                <w:highlight w:val="none"/>
              </w:rPr>
            </w:pPr>
          </w:p>
        </w:tc>
        <w:tc>
          <w:tcPr>
            <w:tcW w:w="2126" w:type="dxa"/>
            <w:vAlign w:val="center"/>
          </w:tcPr>
          <w:p w14:paraId="495856A8">
            <w:pPr>
              <w:spacing w:line="360" w:lineRule="auto"/>
              <w:jc w:val="center"/>
              <w:rPr>
                <w:rFonts w:ascii="宋体" w:hAnsi="宋体" w:cs="宋体"/>
                <w:color w:val="auto"/>
                <w:sz w:val="24"/>
                <w:highlight w:val="none"/>
              </w:rPr>
            </w:pPr>
          </w:p>
        </w:tc>
      </w:tr>
      <w:tr w14:paraId="21D9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6EC2DC">
            <w:pPr>
              <w:spacing w:line="360" w:lineRule="auto"/>
              <w:jc w:val="center"/>
              <w:rPr>
                <w:rFonts w:ascii="宋体" w:hAnsi="宋体" w:cs="宋体"/>
                <w:color w:val="auto"/>
                <w:sz w:val="24"/>
                <w:highlight w:val="none"/>
              </w:rPr>
            </w:pPr>
          </w:p>
        </w:tc>
        <w:tc>
          <w:tcPr>
            <w:tcW w:w="992" w:type="dxa"/>
            <w:vAlign w:val="center"/>
          </w:tcPr>
          <w:p w14:paraId="4954DE68">
            <w:pPr>
              <w:snapToGrid w:val="0"/>
              <w:spacing w:line="360" w:lineRule="auto"/>
              <w:jc w:val="center"/>
              <w:rPr>
                <w:rFonts w:ascii="宋体" w:hAnsi="宋体" w:cs="宋体"/>
                <w:color w:val="auto"/>
                <w:sz w:val="24"/>
                <w:highlight w:val="none"/>
              </w:rPr>
            </w:pPr>
          </w:p>
        </w:tc>
        <w:tc>
          <w:tcPr>
            <w:tcW w:w="2268" w:type="dxa"/>
            <w:vAlign w:val="center"/>
          </w:tcPr>
          <w:p w14:paraId="1A9C33F1">
            <w:pPr>
              <w:snapToGrid w:val="0"/>
              <w:spacing w:line="360" w:lineRule="auto"/>
              <w:jc w:val="center"/>
              <w:rPr>
                <w:rFonts w:ascii="宋体" w:hAnsi="宋体" w:cs="宋体"/>
                <w:color w:val="auto"/>
                <w:sz w:val="24"/>
                <w:highlight w:val="none"/>
              </w:rPr>
            </w:pPr>
          </w:p>
        </w:tc>
        <w:tc>
          <w:tcPr>
            <w:tcW w:w="2410" w:type="dxa"/>
            <w:vAlign w:val="center"/>
          </w:tcPr>
          <w:p w14:paraId="40865ECB">
            <w:pPr>
              <w:snapToGrid w:val="0"/>
              <w:spacing w:line="360" w:lineRule="auto"/>
              <w:jc w:val="center"/>
              <w:rPr>
                <w:rFonts w:ascii="宋体" w:hAnsi="宋体" w:cs="宋体"/>
                <w:color w:val="auto"/>
                <w:sz w:val="24"/>
                <w:highlight w:val="none"/>
              </w:rPr>
            </w:pPr>
          </w:p>
        </w:tc>
        <w:tc>
          <w:tcPr>
            <w:tcW w:w="2268" w:type="dxa"/>
            <w:vAlign w:val="center"/>
          </w:tcPr>
          <w:p w14:paraId="4AE5BF95">
            <w:pPr>
              <w:snapToGrid w:val="0"/>
              <w:spacing w:line="360" w:lineRule="auto"/>
              <w:jc w:val="center"/>
              <w:rPr>
                <w:rFonts w:ascii="宋体" w:hAnsi="宋体" w:cs="宋体"/>
                <w:color w:val="auto"/>
                <w:sz w:val="24"/>
                <w:highlight w:val="none"/>
              </w:rPr>
            </w:pPr>
          </w:p>
        </w:tc>
        <w:tc>
          <w:tcPr>
            <w:tcW w:w="2126" w:type="dxa"/>
            <w:vAlign w:val="center"/>
          </w:tcPr>
          <w:p w14:paraId="0797BEC3">
            <w:pPr>
              <w:spacing w:line="360" w:lineRule="auto"/>
              <w:jc w:val="center"/>
              <w:rPr>
                <w:rFonts w:ascii="宋体" w:hAnsi="宋体" w:cs="宋体"/>
                <w:color w:val="auto"/>
                <w:sz w:val="24"/>
                <w:highlight w:val="none"/>
              </w:rPr>
            </w:pPr>
          </w:p>
        </w:tc>
        <w:tc>
          <w:tcPr>
            <w:tcW w:w="2127" w:type="dxa"/>
            <w:vAlign w:val="top"/>
          </w:tcPr>
          <w:p w14:paraId="49CE0BEC">
            <w:pPr>
              <w:spacing w:line="360" w:lineRule="auto"/>
              <w:jc w:val="center"/>
              <w:rPr>
                <w:rFonts w:ascii="宋体" w:hAnsi="宋体" w:cs="宋体"/>
                <w:color w:val="auto"/>
                <w:sz w:val="24"/>
                <w:highlight w:val="none"/>
              </w:rPr>
            </w:pPr>
          </w:p>
        </w:tc>
        <w:tc>
          <w:tcPr>
            <w:tcW w:w="2126" w:type="dxa"/>
            <w:vAlign w:val="center"/>
          </w:tcPr>
          <w:p w14:paraId="35F079B7">
            <w:pPr>
              <w:spacing w:line="360" w:lineRule="auto"/>
              <w:jc w:val="center"/>
              <w:rPr>
                <w:rFonts w:ascii="宋体" w:hAnsi="宋体" w:cs="宋体"/>
                <w:color w:val="auto"/>
                <w:sz w:val="24"/>
                <w:highlight w:val="none"/>
              </w:rPr>
            </w:pPr>
          </w:p>
        </w:tc>
      </w:tr>
      <w:tr w14:paraId="3846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90DA8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4250E7BB">
            <w:pPr>
              <w:spacing w:line="360" w:lineRule="auto"/>
              <w:jc w:val="center"/>
              <w:rPr>
                <w:rFonts w:ascii="宋体" w:hAnsi="宋体" w:cs="宋体"/>
                <w:color w:val="auto"/>
                <w:sz w:val="24"/>
                <w:highlight w:val="none"/>
              </w:rPr>
            </w:pPr>
          </w:p>
        </w:tc>
      </w:tr>
      <w:tr w14:paraId="0D10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A0CCE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301054D1">
            <w:pPr>
              <w:spacing w:line="360" w:lineRule="auto"/>
              <w:jc w:val="center"/>
              <w:rPr>
                <w:rFonts w:ascii="宋体" w:hAnsi="宋体" w:cs="宋体"/>
                <w:color w:val="auto"/>
                <w:sz w:val="24"/>
                <w:highlight w:val="none"/>
              </w:rPr>
            </w:pPr>
          </w:p>
        </w:tc>
      </w:tr>
    </w:tbl>
    <w:p w14:paraId="3B2D610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F8EF1A6">
      <w:pPr>
        <w:numPr>
          <w:ilvl w:val="0"/>
          <w:numId w:val="30"/>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5D19E32">
      <w:pPr>
        <w:numPr>
          <w:ilvl w:val="0"/>
          <w:numId w:val="30"/>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81C439B">
      <w:pPr>
        <w:pStyle w:val="2"/>
        <w:numPr>
          <w:ilvl w:val="0"/>
          <w:numId w:val="30"/>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52C6E8BB">
      <w:pPr>
        <w:pStyle w:val="2"/>
        <w:numPr>
          <w:ilvl w:val="0"/>
          <w:numId w:val="30"/>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22" w:type="first"/>
          <w:footerReference r:id="rId24" w:type="first"/>
          <w:headerReference r:id="rId21" w:type="default"/>
          <w:footerReference r:id="rId23"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048874">
      <w:pPr>
        <w:rPr>
          <w:rFonts w:hint="eastAsia"/>
          <w:color w:val="auto"/>
          <w:highlight w:val="none"/>
          <w:lang w:val="zh-CN"/>
        </w:rPr>
      </w:pPr>
    </w:p>
    <w:p w14:paraId="22743CBC">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C8B8842">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F214DCC">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4E69513A">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4A649E8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0CD7EAD">
      <w:pPr>
        <w:spacing w:line="360" w:lineRule="auto"/>
        <w:ind w:right="420" w:firstLine="3614" w:firstLineChars="1000"/>
        <w:rPr>
          <w:rFonts w:ascii="宋体" w:hAnsi="宋体" w:cs="宋体"/>
          <w:b/>
          <w:color w:val="auto"/>
          <w:kern w:val="0"/>
          <w:sz w:val="36"/>
          <w:szCs w:val="36"/>
          <w:highlight w:val="none"/>
        </w:rPr>
      </w:pPr>
    </w:p>
    <w:p w14:paraId="03AD4008">
      <w:pPr>
        <w:spacing w:line="360" w:lineRule="auto"/>
        <w:ind w:right="420" w:firstLine="3614" w:firstLineChars="1000"/>
        <w:rPr>
          <w:rFonts w:ascii="宋体" w:hAnsi="宋体" w:cs="宋体"/>
          <w:b/>
          <w:color w:val="auto"/>
          <w:kern w:val="0"/>
          <w:sz w:val="36"/>
          <w:szCs w:val="36"/>
          <w:highlight w:val="none"/>
        </w:rPr>
      </w:pPr>
    </w:p>
    <w:p w14:paraId="1B8BCB20">
      <w:pPr>
        <w:spacing w:line="360" w:lineRule="auto"/>
        <w:ind w:right="420" w:firstLine="3614" w:firstLineChars="1000"/>
        <w:rPr>
          <w:rFonts w:ascii="宋体" w:hAnsi="宋体" w:cs="宋体"/>
          <w:b/>
          <w:color w:val="auto"/>
          <w:kern w:val="0"/>
          <w:sz w:val="36"/>
          <w:szCs w:val="36"/>
          <w:highlight w:val="none"/>
        </w:rPr>
      </w:pPr>
    </w:p>
    <w:p w14:paraId="65FE2DAD">
      <w:pPr>
        <w:spacing w:line="360" w:lineRule="auto"/>
        <w:ind w:right="420" w:firstLine="3614" w:firstLineChars="1000"/>
        <w:rPr>
          <w:rFonts w:ascii="宋体" w:hAnsi="宋体" w:cs="宋体"/>
          <w:b/>
          <w:color w:val="auto"/>
          <w:kern w:val="0"/>
          <w:sz w:val="36"/>
          <w:szCs w:val="36"/>
          <w:highlight w:val="none"/>
        </w:rPr>
      </w:pPr>
    </w:p>
    <w:p w14:paraId="31642A96">
      <w:pPr>
        <w:spacing w:line="360" w:lineRule="auto"/>
        <w:ind w:right="420" w:firstLine="3614" w:firstLineChars="1000"/>
        <w:rPr>
          <w:rFonts w:ascii="宋体" w:hAnsi="宋体" w:cs="宋体"/>
          <w:b/>
          <w:color w:val="auto"/>
          <w:kern w:val="0"/>
          <w:sz w:val="36"/>
          <w:szCs w:val="36"/>
          <w:highlight w:val="none"/>
        </w:rPr>
      </w:pPr>
    </w:p>
    <w:p w14:paraId="1A2BEFA8">
      <w:pPr>
        <w:spacing w:line="360" w:lineRule="auto"/>
        <w:ind w:right="420" w:firstLine="3614" w:firstLineChars="1000"/>
        <w:rPr>
          <w:rFonts w:ascii="宋体" w:hAnsi="宋体" w:cs="宋体"/>
          <w:b/>
          <w:color w:val="auto"/>
          <w:kern w:val="0"/>
          <w:sz w:val="36"/>
          <w:szCs w:val="36"/>
          <w:highlight w:val="none"/>
        </w:rPr>
      </w:pPr>
    </w:p>
    <w:p w14:paraId="35CC357E">
      <w:pPr>
        <w:spacing w:line="360" w:lineRule="auto"/>
        <w:ind w:right="420" w:firstLine="3614" w:firstLineChars="1000"/>
        <w:rPr>
          <w:rFonts w:ascii="宋体" w:hAnsi="宋体" w:cs="宋体"/>
          <w:b/>
          <w:color w:val="auto"/>
          <w:kern w:val="0"/>
          <w:sz w:val="36"/>
          <w:szCs w:val="36"/>
          <w:highlight w:val="none"/>
        </w:rPr>
      </w:pPr>
    </w:p>
    <w:p w14:paraId="14F3560C">
      <w:pPr>
        <w:spacing w:line="360" w:lineRule="auto"/>
        <w:ind w:right="420" w:firstLine="3614" w:firstLineChars="1000"/>
        <w:rPr>
          <w:rFonts w:ascii="宋体" w:hAnsi="宋体" w:cs="宋体"/>
          <w:b/>
          <w:color w:val="auto"/>
          <w:kern w:val="0"/>
          <w:sz w:val="36"/>
          <w:szCs w:val="36"/>
          <w:highlight w:val="none"/>
        </w:rPr>
      </w:pPr>
    </w:p>
    <w:p w14:paraId="5DF05CFE">
      <w:pPr>
        <w:spacing w:line="360" w:lineRule="auto"/>
        <w:ind w:right="420" w:firstLine="3614" w:firstLineChars="1000"/>
        <w:rPr>
          <w:rFonts w:ascii="宋体" w:hAnsi="宋体" w:cs="宋体"/>
          <w:b/>
          <w:color w:val="auto"/>
          <w:kern w:val="0"/>
          <w:sz w:val="36"/>
          <w:szCs w:val="36"/>
          <w:highlight w:val="none"/>
        </w:rPr>
      </w:pPr>
    </w:p>
    <w:p w14:paraId="423B6800">
      <w:pPr>
        <w:spacing w:line="360" w:lineRule="auto"/>
        <w:ind w:right="420" w:firstLine="3614" w:firstLineChars="1000"/>
        <w:rPr>
          <w:rFonts w:ascii="宋体" w:hAnsi="宋体" w:cs="宋体"/>
          <w:b/>
          <w:color w:val="auto"/>
          <w:kern w:val="0"/>
          <w:sz w:val="36"/>
          <w:szCs w:val="36"/>
          <w:highlight w:val="none"/>
        </w:rPr>
      </w:pPr>
    </w:p>
    <w:p w14:paraId="6E18A452">
      <w:pPr>
        <w:spacing w:line="360" w:lineRule="auto"/>
        <w:ind w:right="420" w:firstLine="3614" w:firstLineChars="1000"/>
        <w:rPr>
          <w:rFonts w:ascii="宋体" w:hAnsi="宋体" w:cs="宋体"/>
          <w:b/>
          <w:color w:val="auto"/>
          <w:kern w:val="0"/>
          <w:sz w:val="36"/>
          <w:szCs w:val="36"/>
          <w:highlight w:val="none"/>
        </w:rPr>
      </w:pPr>
    </w:p>
    <w:p w14:paraId="3536D14D">
      <w:pPr>
        <w:spacing w:line="360" w:lineRule="auto"/>
        <w:ind w:right="420" w:firstLine="3614" w:firstLineChars="1000"/>
        <w:rPr>
          <w:rFonts w:ascii="宋体" w:hAnsi="宋体" w:cs="宋体"/>
          <w:b/>
          <w:color w:val="auto"/>
          <w:kern w:val="0"/>
          <w:sz w:val="36"/>
          <w:szCs w:val="36"/>
          <w:highlight w:val="none"/>
        </w:rPr>
      </w:pPr>
    </w:p>
    <w:p w14:paraId="053E5DFC">
      <w:pPr>
        <w:spacing w:line="360" w:lineRule="auto"/>
        <w:ind w:right="420" w:firstLine="3614" w:firstLineChars="1000"/>
        <w:rPr>
          <w:rFonts w:ascii="宋体" w:hAnsi="宋体" w:cs="宋体"/>
          <w:b/>
          <w:color w:val="auto"/>
          <w:kern w:val="0"/>
          <w:sz w:val="36"/>
          <w:szCs w:val="36"/>
          <w:highlight w:val="none"/>
        </w:rPr>
      </w:pPr>
    </w:p>
    <w:p w14:paraId="1E2563CA">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F361EE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0983930">
      <w:pPr>
        <w:spacing w:line="360" w:lineRule="auto"/>
        <w:jc w:val="center"/>
        <w:rPr>
          <w:rFonts w:ascii="宋体" w:hAnsi="宋体" w:cs="宋体"/>
          <w:b/>
          <w:color w:val="auto"/>
          <w:spacing w:val="6"/>
          <w:sz w:val="32"/>
          <w:szCs w:val="32"/>
          <w:highlight w:val="none"/>
        </w:rPr>
      </w:pPr>
      <w:bookmarkStart w:id="462" w:name="OLE_LINK13"/>
      <w:bookmarkStart w:id="463" w:name="OLE_LINK14"/>
      <w:r>
        <w:rPr>
          <w:rFonts w:hint="eastAsia" w:ascii="宋体" w:hAnsi="宋体" w:cs="宋体"/>
          <w:b/>
          <w:color w:val="auto"/>
          <w:spacing w:val="6"/>
          <w:sz w:val="32"/>
          <w:szCs w:val="32"/>
          <w:highlight w:val="none"/>
        </w:rPr>
        <w:t>残疾人福利性单位声明函</w:t>
      </w:r>
    </w:p>
    <w:bookmarkEnd w:id="462"/>
    <w:bookmarkEnd w:id="463"/>
    <w:p w14:paraId="7459E19E">
      <w:pPr>
        <w:spacing w:line="360" w:lineRule="auto"/>
        <w:rPr>
          <w:rFonts w:ascii="宋体" w:hAnsi="宋体" w:cs="宋体"/>
          <w:b/>
          <w:color w:val="auto"/>
          <w:spacing w:val="6"/>
          <w:sz w:val="30"/>
          <w:szCs w:val="30"/>
          <w:highlight w:val="none"/>
        </w:rPr>
      </w:pPr>
    </w:p>
    <w:p w14:paraId="3EB36C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杭州市余杭区人民法院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2025年度余杭法院人民法庭物业服务采购项目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776AF6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E9D37DE">
      <w:pPr>
        <w:spacing w:line="360" w:lineRule="auto"/>
        <w:ind w:firstLine="480" w:firstLineChars="200"/>
        <w:rPr>
          <w:rFonts w:ascii="宋体" w:hAnsi="宋体" w:cs="宋体"/>
          <w:color w:val="auto"/>
          <w:sz w:val="24"/>
          <w:highlight w:val="none"/>
        </w:rPr>
      </w:pPr>
    </w:p>
    <w:p w14:paraId="5980A22B">
      <w:pPr>
        <w:spacing w:line="360" w:lineRule="auto"/>
        <w:ind w:firstLine="480" w:firstLineChars="200"/>
        <w:rPr>
          <w:rFonts w:ascii="宋体" w:hAnsi="宋体" w:cs="宋体"/>
          <w:color w:val="auto"/>
          <w:sz w:val="24"/>
          <w:highlight w:val="none"/>
        </w:rPr>
      </w:pPr>
    </w:p>
    <w:p w14:paraId="693BCAD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F25601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C0E3139">
      <w:pPr>
        <w:spacing w:line="360" w:lineRule="auto"/>
        <w:ind w:firstLine="480" w:firstLineChars="200"/>
        <w:rPr>
          <w:rFonts w:ascii="宋体" w:hAnsi="宋体" w:cs="宋体"/>
          <w:color w:val="auto"/>
          <w:sz w:val="24"/>
          <w:highlight w:val="none"/>
        </w:rPr>
      </w:pPr>
    </w:p>
    <w:p w14:paraId="5D904D87">
      <w:pPr>
        <w:spacing w:line="360" w:lineRule="auto"/>
        <w:ind w:firstLine="420" w:firstLineChars="200"/>
        <w:rPr>
          <w:rFonts w:ascii="宋体" w:hAnsi="宋体" w:cs="宋体"/>
          <w:color w:val="auto"/>
          <w:highlight w:val="none"/>
        </w:rPr>
      </w:pPr>
    </w:p>
    <w:p w14:paraId="627D46C9">
      <w:pPr>
        <w:spacing w:line="360" w:lineRule="auto"/>
        <w:ind w:firstLine="420" w:firstLineChars="200"/>
        <w:rPr>
          <w:rFonts w:ascii="宋体" w:hAnsi="宋体" w:cs="宋体"/>
          <w:color w:val="auto"/>
          <w:highlight w:val="none"/>
        </w:rPr>
      </w:pPr>
    </w:p>
    <w:p w14:paraId="65FA588B">
      <w:pPr>
        <w:spacing w:line="360" w:lineRule="auto"/>
        <w:ind w:firstLine="420" w:firstLineChars="200"/>
        <w:rPr>
          <w:rFonts w:ascii="宋体" w:hAnsi="宋体" w:cs="宋体"/>
          <w:color w:val="auto"/>
          <w:highlight w:val="none"/>
        </w:rPr>
      </w:pPr>
    </w:p>
    <w:p w14:paraId="7145BFE0">
      <w:pPr>
        <w:spacing w:line="360" w:lineRule="auto"/>
        <w:ind w:firstLine="420" w:firstLineChars="200"/>
        <w:rPr>
          <w:rFonts w:ascii="宋体" w:hAnsi="宋体" w:cs="宋体"/>
          <w:color w:val="auto"/>
          <w:highlight w:val="none"/>
        </w:rPr>
      </w:pPr>
    </w:p>
    <w:p w14:paraId="108E90CA">
      <w:pPr>
        <w:spacing w:line="360" w:lineRule="auto"/>
        <w:rPr>
          <w:rFonts w:ascii="宋体" w:hAnsi="宋体" w:cs="宋体"/>
          <w:b/>
          <w:color w:val="auto"/>
          <w:sz w:val="24"/>
          <w:highlight w:val="none"/>
        </w:rPr>
      </w:pPr>
    </w:p>
    <w:p w14:paraId="73BF7AD7">
      <w:pPr>
        <w:spacing w:line="360" w:lineRule="auto"/>
        <w:rPr>
          <w:rFonts w:ascii="宋体" w:hAnsi="宋体" w:cs="宋体"/>
          <w:b/>
          <w:color w:val="auto"/>
          <w:sz w:val="24"/>
          <w:highlight w:val="none"/>
        </w:rPr>
      </w:pPr>
    </w:p>
    <w:p w14:paraId="17ACE5A9">
      <w:pPr>
        <w:spacing w:line="360" w:lineRule="auto"/>
        <w:rPr>
          <w:rFonts w:ascii="宋体" w:hAnsi="宋体" w:cs="宋体"/>
          <w:b/>
          <w:color w:val="auto"/>
          <w:sz w:val="24"/>
          <w:highlight w:val="none"/>
        </w:rPr>
      </w:pPr>
    </w:p>
    <w:p w14:paraId="4BDCBEA8">
      <w:pPr>
        <w:spacing w:line="360" w:lineRule="auto"/>
        <w:rPr>
          <w:rFonts w:ascii="宋体" w:hAnsi="宋体" w:cs="宋体"/>
          <w:b/>
          <w:color w:val="auto"/>
          <w:sz w:val="24"/>
          <w:highlight w:val="none"/>
        </w:rPr>
      </w:pPr>
    </w:p>
    <w:p w14:paraId="707E00DF">
      <w:pPr>
        <w:spacing w:line="360" w:lineRule="auto"/>
        <w:rPr>
          <w:rFonts w:ascii="宋体" w:hAnsi="宋体" w:cs="宋体"/>
          <w:b/>
          <w:color w:val="auto"/>
          <w:sz w:val="24"/>
          <w:highlight w:val="none"/>
        </w:rPr>
      </w:pPr>
    </w:p>
    <w:p w14:paraId="20E97309">
      <w:pPr>
        <w:spacing w:line="360" w:lineRule="auto"/>
        <w:rPr>
          <w:rFonts w:ascii="宋体" w:hAnsi="宋体" w:cs="宋体"/>
          <w:b/>
          <w:color w:val="auto"/>
          <w:sz w:val="24"/>
          <w:highlight w:val="none"/>
        </w:rPr>
      </w:pPr>
    </w:p>
    <w:p w14:paraId="209D1D5D">
      <w:pPr>
        <w:spacing w:line="360" w:lineRule="auto"/>
        <w:rPr>
          <w:rFonts w:ascii="宋体" w:hAnsi="宋体" w:cs="宋体"/>
          <w:b/>
          <w:color w:val="auto"/>
          <w:sz w:val="24"/>
          <w:highlight w:val="none"/>
        </w:rPr>
      </w:pPr>
    </w:p>
    <w:p w14:paraId="6B4C375D">
      <w:pPr>
        <w:spacing w:line="360" w:lineRule="auto"/>
        <w:rPr>
          <w:rFonts w:ascii="宋体" w:hAnsi="宋体" w:cs="宋体"/>
          <w:b/>
          <w:color w:val="auto"/>
          <w:sz w:val="24"/>
          <w:highlight w:val="none"/>
        </w:rPr>
      </w:pPr>
    </w:p>
    <w:p w14:paraId="683D1B6A">
      <w:pPr>
        <w:spacing w:line="360" w:lineRule="auto"/>
        <w:rPr>
          <w:rFonts w:ascii="宋体" w:hAnsi="宋体" w:cs="宋体"/>
          <w:b/>
          <w:color w:val="auto"/>
          <w:sz w:val="24"/>
          <w:highlight w:val="none"/>
        </w:rPr>
      </w:pPr>
    </w:p>
    <w:p w14:paraId="26CDE4D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13D32E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D13CF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7C5B5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CE45C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DBDB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632F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7616C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83C8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BAEFB2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62B8D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EE2AE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A951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F7E57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F264E5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9E58E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DC9A5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0E649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A4E92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30C9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7E6F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576B1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F147DA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66FBFE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C8AC555">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52B346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184931">
      <w:pPr>
        <w:spacing w:line="360" w:lineRule="auto"/>
        <w:jc w:val="center"/>
        <w:rPr>
          <w:rFonts w:ascii="宋体" w:hAnsi="宋体" w:cs="宋体"/>
          <w:b/>
          <w:bCs/>
          <w:color w:val="auto"/>
          <w:sz w:val="24"/>
          <w:highlight w:val="none"/>
        </w:rPr>
      </w:pPr>
    </w:p>
    <w:p w14:paraId="2CE6A728">
      <w:pPr>
        <w:spacing w:line="360" w:lineRule="auto"/>
        <w:rPr>
          <w:rFonts w:ascii="宋体" w:hAnsi="宋体" w:cs="宋体"/>
          <w:b/>
          <w:color w:val="auto"/>
          <w:sz w:val="24"/>
          <w:highlight w:val="none"/>
        </w:rPr>
      </w:pPr>
    </w:p>
    <w:p w14:paraId="1232B13E">
      <w:pPr>
        <w:spacing w:line="360" w:lineRule="auto"/>
        <w:rPr>
          <w:rFonts w:ascii="宋体" w:hAnsi="宋体" w:cs="宋体"/>
          <w:b/>
          <w:color w:val="auto"/>
          <w:sz w:val="24"/>
          <w:highlight w:val="none"/>
        </w:rPr>
      </w:pPr>
    </w:p>
    <w:p w14:paraId="3E39FEC1">
      <w:pPr>
        <w:spacing w:line="360" w:lineRule="auto"/>
        <w:rPr>
          <w:rFonts w:ascii="宋体" w:hAnsi="宋体" w:cs="宋体"/>
          <w:b/>
          <w:color w:val="auto"/>
          <w:sz w:val="24"/>
          <w:highlight w:val="none"/>
        </w:rPr>
      </w:pPr>
    </w:p>
    <w:p w14:paraId="4652173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F1F9D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18B53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67F7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05106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B4A3E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85F9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16F070">
      <w:pPr>
        <w:widowControl/>
        <w:spacing w:line="360" w:lineRule="auto"/>
        <w:ind w:firstLine="600" w:firstLineChars="200"/>
        <w:jc w:val="left"/>
        <w:rPr>
          <w:rFonts w:ascii="宋体" w:hAnsi="宋体" w:cs="宋体"/>
          <w:color w:val="auto"/>
          <w:sz w:val="30"/>
          <w:szCs w:val="30"/>
          <w:highlight w:val="none"/>
        </w:rPr>
      </w:pPr>
    </w:p>
    <w:p w14:paraId="11F457B5">
      <w:pPr>
        <w:spacing w:line="360" w:lineRule="auto"/>
        <w:jc w:val="center"/>
        <w:rPr>
          <w:rFonts w:ascii="宋体" w:hAnsi="宋体" w:cs="宋体"/>
          <w:b/>
          <w:color w:val="auto"/>
          <w:spacing w:val="6"/>
          <w:sz w:val="32"/>
          <w:szCs w:val="32"/>
          <w:highlight w:val="none"/>
        </w:rPr>
      </w:pPr>
    </w:p>
    <w:p w14:paraId="0848E4E9">
      <w:pPr>
        <w:spacing w:line="360" w:lineRule="auto"/>
        <w:jc w:val="center"/>
        <w:rPr>
          <w:rFonts w:ascii="宋体" w:hAnsi="宋体" w:cs="宋体"/>
          <w:b/>
          <w:color w:val="auto"/>
          <w:spacing w:val="6"/>
          <w:sz w:val="32"/>
          <w:szCs w:val="32"/>
          <w:highlight w:val="none"/>
        </w:rPr>
      </w:pPr>
    </w:p>
    <w:p w14:paraId="3C97273A">
      <w:pPr>
        <w:spacing w:line="360" w:lineRule="auto"/>
        <w:jc w:val="center"/>
        <w:rPr>
          <w:rFonts w:ascii="宋体" w:hAnsi="宋体" w:cs="宋体"/>
          <w:b/>
          <w:color w:val="auto"/>
          <w:spacing w:val="6"/>
          <w:sz w:val="32"/>
          <w:szCs w:val="32"/>
          <w:highlight w:val="none"/>
        </w:rPr>
      </w:pPr>
    </w:p>
    <w:p w14:paraId="0189A46A">
      <w:pPr>
        <w:spacing w:line="360" w:lineRule="auto"/>
        <w:jc w:val="center"/>
        <w:rPr>
          <w:rFonts w:ascii="宋体" w:hAnsi="宋体" w:cs="宋体"/>
          <w:b/>
          <w:color w:val="auto"/>
          <w:spacing w:val="6"/>
          <w:sz w:val="32"/>
          <w:szCs w:val="32"/>
          <w:highlight w:val="none"/>
        </w:rPr>
      </w:pPr>
    </w:p>
    <w:p w14:paraId="0F64351E">
      <w:pPr>
        <w:spacing w:line="360" w:lineRule="auto"/>
        <w:jc w:val="center"/>
        <w:rPr>
          <w:rFonts w:ascii="宋体" w:hAnsi="宋体" w:cs="宋体"/>
          <w:b/>
          <w:color w:val="auto"/>
          <w:spacing w:val="6"/>
          <w:sz w:val="32"/>
          <w:szCs w:val="32"/>
          <w:highlight w:val="none"/>
        </w:rPr>
      </w:pPr>
    </w:p>
    <w:p w14:paraId="34FC4BDF">
      <w:pPr>
        <w:spacing w:line="360" w:lineRule="auto"/>
        <w:jc w:val="center"/>
        <w:rPr>
          <w:rFonts w:ascii="宋体" w:hAnsi="宋体" w:cs="宋体"/>
          <w:b/>
          <w:color w:val="auto"/>
          <w:spacing w:val="6"/>
          <w:sz w:val="32"/>
          <w:szCs w:val="32"/>
          <w:highlight w:val="none"/>
        </w:rPr>
      </w:pPr>
    </w:p>
    <w:p w14:paraId="4842C848">
      <w:pPr>
        <w:spacing w:line="360" w:lineRule="auto"/>
        <w:jc w:val="center"/>
        <w:rPr>
          <w:rFonts w:ascii="宋体" w:hAnsi="宋体" w:cs="宋体"/>
          <w:b/>
          <w:color w:val="auto"/>
          <w:spacing w:val="6"/>
          <w:sz w:val="32"/>
          <w:szCs w:val="32"/>
          <w:highlight w:val="none"/>
        </w:rPr>
      </w:pPr>
    </w:p>
    <w:p w14:paraId="00B6BE99">
      <w:pPr>
        <w:spacing w:line="360" w:lineRule="auto"/>
        <w:jc w:val="center"/>
        <w:rPr>
          <w:rFonts w:ascii="宋体" w:hAnsi="宋体" w:cs="宋体"/>
          <w:b/>
          <w:color w:val="auto"/>
          <w:spacing w:val="6"/>
          <w:sz w:val="32"/>
          <w:szCs w:val="32"/>
          <w:highlight w:val="none"/>
        </w:rPr>
      </w:pPr>
    </w:p>
    <w:p w14:paraId="373B8984">
      <w:pPr>
        <w:spacing w:line="360" w:lineRule="auto"/>
        <w:jc w:val="center"/>
        <w:rPr>
          <w:rFonts w:ascii="宋体" w:hAnsi="宋体" w:cs="宋体"/>
          <w:b/>
          <w:color w:val="auto"/>
          <w:spacing w:val="6"/>
          <w:sz w:val="32"/>
          <w:szCs w:val="32"/>
          <w:highlight w:val="none"/>
        </w:rPr>
      </w:pPr>
    </w:p>
    <w:p w14:paraId="494AAB09">
      <w:pPr>
        <w:spacing w:line="360" w:lineRule="auto"/>
        <w:jc w:val="center"/>
        <w:rPr>
          <w:rFonts w:ascii="宋体" w:hAnsi="宋体" w:cs="宋体"/>
          <w:b/>
          <w:color w:val="auto"/>
          <w:spacing w:val="6"/>
          <w:sz w:val="32"/>
          <w:szCs w:val="32"/>
          <w:highlight w:val="none"/>
        </w:rPr>
      </w:pPr>
    </w:p>
    <w:p w14:paraId="4479A0F9">
      <w:pPr>
        <w:spacing w:line="360" w:lineRule="auto"/>
        <w:jc w:val="center"/>
        <w:rPr>
          <w:rFonts w:ascii="宋体" w:hAnsi="宋体" w:cs="宋体"/>
          <w:b/>
          <w:color w:val="auto"/>
          <w:spacing w:val="6"/>
          <w:sz w:val="32"/>
          <w:szCs w:val="32"/>
          <w:highlight w:val="none"/>
        </w:rPr>
      </w:pPr>
    </w:p>
    <w:p w14:paraId="6858D165">
      <w:pPr>
        <w:spacing w:line="360" w:lineRule="auto"/>
        <w:jc w:val="center"/>
        <w:rPr>
          <w:rFonts w:ascii="宋体" w:hAnsi="宋体" w:cs="宋体"/>
          <w:b/>
          <w:color w:val="auto"/>
          <w:spacing w:val="6"/>
          <w:sz w:val="32"/>
          <w:szCs w:val="32"/>
          <w:highlight w:val="none"/>
        </w:rPr>
      </w:pPr>
    </w:p>
    <w:p w14:paraId="03DDCEAC">
      <w:pPr>
        <w:spacing w:line="360" w:lineRule="auto"/>
        <w:jc w:val="left"/>
        <w:rPr>
          <w:rFonts w:ascii="宋体" w:hAnsi="宋体" w:cs="宋体"/>
          <w:b/>
          <w:color w:val="auto"/>
          <w:spacing w:val="6"/>
          <w:sz w:val="32"/>
          <w:szCs w:val="32"/>
          <w:highlight w:val="none"/>
        </w:rPr>
      </w:pPr>
    </w:p>
    <w:p w14:paraId="0FBA4DEC">
      <w:pPr>
        <w:spacing w:line="360" w:lineRule="auto"/>
        <w:jc w:val="left"/>
        <w:rPr>
          <w:rFonts w:ascii="宋体" w:hAnsi="宋体" w:cs="宋体"/>
          <w:b/>
          <w:color w:val="auto"/>
          <w:spacing w:val="6"/>
          <w:sz w:val="32"/>
          <w:szCs w:val="32"/>
          <w:highlight w:val="none"/>
        </w:rPr>
      </w:pPr>
    </w:p>
    <w:p w14:paraId="046192B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723237E">
      <w:pPr>
        <w:spacing w:line="360" w:lineRule="auto"/>
        <w:jc w:val="center"/>
        <w:rPr>
          <w:rFonts w:ascii="宋体" w:hAnsi="宋体" w:cs="宋体"/>
          <w:b/>
          <w:color w:val="auto"/>
          <w:sz w:val="24"/>
          <w:highlight w:val="none"/>
        </w:rPr>
      </w:pPr>
    </w:p>
    <w:p w14:paraId="60DC6F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DACAB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FAA91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C0DD9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381B6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CE5BD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5ECAE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CC60C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F62FF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554E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A7F4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CE3B7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D3BBB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62372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96BE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3E1F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049AC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16DAC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FE042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39810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C527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66868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96366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DEF774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A3140A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1EF5A2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3073D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463D34B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89177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64F8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62F420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E0A3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E3256F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30194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75FF3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86CB1E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8CA346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041D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326112A">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98A77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39E1769">
      <w:pPr>
        <w:spacing w:line="360" w:lineRule="auto"/>
        <w:rPr>
          <w:rFonts w:ascii="宋体" w:hAnsi="宋体" w:cs="宋体"/>
          <w:b/>
          <w:color w:val="auto"/>
          <w:sz w:val="24"/>
          <w:highlight w:val="none"/>
        </w:rPr>
      </w:pPr>
    </w:p>
    <w:p w14:paraId="05E52F30">
      <w:pPr>
        <w:spacing w:line="360" w:lineRule="auto"/>
        <w:rPr>
          <w:rFonts w:ascii="宋体" w:hAnsi="宋体" w:cs="宋体"/>
          <w:b/>
          <w:color w:val="auto"/>
          <w:sz w:val="24"/>
          <w:highlight w:val="none"/>
        </w:rPr>
      </w:pPr>
    </w:p>
    <w:p w14:paraId="7DF7840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2B7BB5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52A55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AF366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64331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30266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442F1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76870C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C432D1">
      <w:pPr>
        <w:spacing w:line="360" w:lineRule="auto"/>
        <w:rPr>
          <w:rFonts w:ascii="宋体" w:hAnsi="宋体" w:cs="宋体"/>
          <w:b/>
          <w:color w:val="auto"/>
          <w:sz w:val="24"/>
          <w:highlight w:val="none"/>
        </w:rPr>
      </w:pPr>
    </w:p>
    <w:p w14:paraId="5ED0699E">
      <w:pPr>
        <w:autoSpaceDE w:val="0"/>
        <w:autoSpaceDN w:val="0"/>
        <w:jc w:val="center"/>
        <w:rPr>
          <w:rFonts w:ascii="宋体" w:hAnsi="宋体" w:cs="宋体"/>
          <w:b/>
          <w:color w:val="auto"/>
          <w:spacing w:val="6"/>
          <w:sz w:val="32"/>
          <w:szCs w:val="32"/>
          <w:highlight w:val="none"/>
        </w:rPr>
      </w:pPr>
    </w:p>
    <w:p w14:paraId="7C888F19">
      <w:pPr>
        <w:autoSpaceDE w:val="0"/>
        <w:autoSpaceDN w:val="0"/>
        <w:jc w:val="center"/>
        <w:rPr>
          <w:rFonts w:ascii="宋体" w:hAnsi="宋体" w:cs="宋体"/>
          <w:b/>
          <w:color w:val="auto"/>
          <w:spacing w:val="6"/>
          <w:sz w:val="32"/>
          <w:szCs w:val="32"/>
          <w:highlight w:val="none"/>
        </w:rPr>
      </w:pPr>
    </w:p>
    <w:p w14:paraId="6433CB5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C2D5067">
      <w:pPr>
        <w:spacing w:line="360" w:lineRule="auto"/>
        <w:rPr>
          <w:rFonts w:ascii="宋体" w:hAnsi="宋体" w:cs="宋体"/>
          <w:color w:val="auto"/>
          <w:sz w:val="24"/>
          <w:highlight w:val="none"/>
          <w:u w:val="single"/>
        </w:rPr>
      </w:pPr>
    </w:p>
    <w:p w14:paraId="77ADB77D">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杭州市余杭区人民法院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14:paraId="000599D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2025年度余杭法院人民法庭物业服务采购项目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612F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E1E31A7">
      <w:pPr>
        <w:spacing w:line="360" w:lineRule="auto"/>
        <w:ind w:firstLine="494"/>
        <w:rPr>
          <w:rFonts w:ascii="宋体" w:hAnsi="宋体" w:cs="宋体"/>
          <w:color w:val="auto"/>
          <w:sz w:val="24"/>
          <w:highlight w:val="none"/>
        </w:rPr>
      </w:pPr>
    </w:p>
    <w:p w14:paraId="3F59905B">
      <w:pPr>
        <w:spacing w:line="360" w:lineRule="auto"/>
        <w:ind w:firstLine="494"/>
        <w:rPr>
          <w:rFonts w:ascii="宋体" w:hAnsi="宋体" w:cs="宋体"/>
          <w:color w:val="auto"/>
          <w:sz w:val="24"/>
          <w:highlight w:val="none"/>
        </w:rPr>
      </w:pPr>
    </w:p>
    <w:p w14:paraId="740CE4A3">
      <w:pPr>
        <w:spacing w:line="360" w:lineRule="auto"/>
        <w:ind w:firstLine="494"/>
        <w:rPr>
          <w:rFonts w:ascii="宋体" w:hAnsi="宋体" w:cs="宋体"/>
          <w:color w:val="auto"/>
          <w:sz w:val="24"/>
          <w:highlight w:val="none"/>
        </w:rPr>
      </w:pPr>
    </w:p>
    <w:p w14:paraId="06D20D75">
      <w:pPr>
        <w:spacing w:line="360" w:lineRule="auto"/>
        <w:ind w:firstLine="494"/>
        <w:rPr>
          <w:rFonts w:ascii="宋体" w:hAnsi="宋体" w:cs="宋体"/>
          <w:color w:val="auto"/>
          <w:sz w:val="24"/>
          <w:highlight w:val="none"/>
        </w:rPr>
      </w:pPr>
    </w:p>
    <w:p w14:paraId="09C7B67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CB089A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38127A">
      <w:pPr>
        <w:rPr>
          <w:rFonts w:ascii="宋体" w:hAnsi="宋体" w:cs="宋体"/>
          <w:color w:val="auto"/>
          <w:sz w:val="24"/>
          <w:highlight w:val="none"/>
        </w:rPr>
      </w:pPr>
      <w:r>
        <w:rPr>
          <w:rFonts w:hint="eastAsia" w:ascii="宋体" w:hAnsi="宋体" w:cs="宋体"/>
          <w:b/>
          <w:bCs/>
          <w:color w:val="auto"/>
          <w:sz w:val="24"/>
          <w:highlight w:val="none"/>
        </w:rPr>
        <w:t>附：</w:t>
      </w:r>
    </w:p>
    <w:p w14:paraId="43C825CB">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F9FC847">
      <w:pPr>
        <w:autoSpaceDE w:val="0"/>
        <w:autoSpaceDN w:val="0"/>
        <w:jc w:val="center"/>
        <w:rPr>
          <w:rFonts w:ascii="宋体" w:hAnsi="宋体" w:cs="宋体"/>
          <w:b/>
          <w:color w:val="auto"/>
          <w:spacing w:val="6"/>
          <w:sz w:val="32"/>
          <w:szCs w:val="32"/>
          <w:highlight w:val="none"/>
        </w:rPr>
      </w:pPr>
    </w:p>
    <w:p w14:paraId="25C5318A">
      <w:pPr>
        <w:autoSpaceDE w:val="0"/>
        <w:autoSpaceDN w:val="0"/>
        <w:jc w:val="center"/>
        <w:rPr>
          <w:rFonts w:ascii="宋体" w:hAnsi="宋体" w:cs="宋体"/>
          <w:b/>
          <w:color w:val="auto"/>
          <w:spacing w:val="6"/>
          <w:sz w:val="32"/>
          <w:szCs w:val="32"/>
          <w:highlight w:val="none"/>
        </w:rPr>
      </w:pPr>
    </w:p>
    <w:p w14:paraId="7563D589">
      <w:pPr>
        <w:autoSpaceDE w:val="0"/>
        <w:autoSpaceDN w:val="0"/>
        <w:jc w:val="center"/>
        <w:rPr>
          <w:rFonts w:ascii="宋体" w:hAnsi="宋体" w:cs="宋体"/>
          <w:b/>
          <w:color w:val="auto"/>
          <w:spacing w:val="6"/>
          <w:sz w:val="32"/>
          <w:szCs w:val="32"/>
          <w:highlight w:val="none"/>
        </w:rPr>
      </w:pPr>
    </w:p>
    <w:p w14:paraId="4413999D">
      <w:pPr>
        <w:autoSpaceDE w:val="0"/>
        <w:autoSpaceDN w:val="0"/>
        <w:jc w:val="center"/>
        <w:rPr>
          <w:rFonts w:ascii="宋体" w:hAnsi="宋体" w:cs="宋体"/>
          <w:b/>
          <w:color w:val="auto"/>
          <w:spacing w:val="6"/>
          <w:sz w:val="32"/>
          <w:szCs w:val="32"/>
          <w:highlight w:val="none"/>
        </w:rPr>
      </w:pPr>
    </w:p>
    <w:p w14:paraId="2FA6DD69">
      <w:pPr>
        <w:autoSpaceDE w:val="0"/>
        <w:autoSpaceDN w:val="0"/>
        <w:jc w:val="center"/>
        <w:rPr>
          <w:rFonts w:ascii="宋体" w:hAnsi="宋体" w:cs="宋体"/>
          <w:b/>
          <w:color w:val="auto"/>
          <w:spacing w:val="6"/>
          <w:sz w:val="32"/>
          <w:szCs w:val="32"/>
          <w:highlight w:val="none"/>
        </w:rPr>
      </w:pPr>
    </w:p>
    <w:p w14:paraId="76BB24DF">
      <w:pPr>
        <w:autoSpaceDE w:val="0"/>
        <w:autoSpaceDN w:val="0"/>
        <w:jc w:val="center"/>
        <w:rPr>
          <w:rFonts w:ascii="宋体" w:hAnsi="宋体" w:cs="宋体"/>
          <w:b/>
          <w:color w:val="auto"/>
          <w:spacing w:val="6"/>
          <w:sz w:val="32"/>
          <w:szCs w:val="32"/>
          <w:highlight w:val="none"/>
        </w:rPr>
      </w:pPr>
    </w:p>
    <w:p w14:paraId="275AE8A0">
      <w:pPr>
        <w:autoSpaceDE w:val="0"/>
        <w:autoSpaceDN w:val="0"/>
        <w:jc w:val="center"/>
        <w:rPr>
          <w:rFonts w:ascii="宋体" w:hAnsi="宋体" w:cs="宋体"/>
          <w:b/>
          <w:color w:val="auto"/>
          <w:spacing w:val="6"/>
          <w:sz w:val="32"/>
          <w:szCs w:val="32"/>
          <w:highlight w:val="none"/>
        </w:rPr>
      </w:pPr>
    </w:p>
    <w:p w14:paraId="556175EA">
      <w:pPr>
        <w:autoSpaceDE w:val="0"/>
        <w:autoSpaceDN w:val="0"/>
        <w:jc w:val="center"/>
        <w:rPr>
          <w:rFonts w:ascii="宋体" w:hAnsi="宋体" w:cs="宋体"/>
          <w:b/>
          <w:color w:val="auto"/>
          <w:spacing w:val="6"/>
          <w:sz w:val="32"/>
          <w:szCs w:val="32"/>
          <w:highlight w:val="none"/>
        </w:rPr>
      </w:pPr>
    </w:p>
    <w:p w14:paraId="0E2CCB6D">
      <w:pPr>
        <w:autoSpaceDE w:val="0"/>
        <w:autoSpaceDN w:val="0"/>
        <w:jc w:val="center"/>
        <w:rPr>
          <w:rFonts w:ascii="宋体" w:hAnsi="宋体" w:cs="宋体"/>
          <w:b/>
          <w:color w:val="auto"/>
          <w:spacing w:val="6"/>
          <w:sz w:val="32"/>
          <w:szCs w:val="32"/>
          <w:highlight w:val="none"/>
        </w:rPr>
      </w:pPr>
    </w:p>
    <w:p w14:paraId="0A9842F8">
      <w:pPr>
        <w:autoSpaceDE w:val="0"/>
        <w:autoSpaceDN w:val="0"/>
        <w:jc w:val="center"/>
        <w:rPr>
          <w:rFonts w:ascii="宋体" w:hAnsi="宋体" w:cs="宋体"/>
          <w:b/>
          <w:color w:val="auto"/>
          <w:spacing w:val="6"/>
          <w:sz w:val="32"/>
          <w:szCs w:val="32"/>
          <w:highlight w:val="none"/>
        </w:rPr>
      </w:pPr>
    </w:p>
    <w:p w14:paraId="3A75589B">
      <w:pPr>
        <w:autoSpaceDE w:val="0"/>
        <w:autoSpaceDN w:val="0"/>
        <w:jc w:val="center"/>
        <w:rPr>
          <w:rFonts w:ascii="宋体" w:hAnsi="宋体" w:cs="宋体"/>
          <w:b/>
          <w:color w:val="auto"/>
          <w:spacing w:val="6"/>
          <w:sz w:val="32"/>
          <w:szCs w:val="32"/>
          <w:highlight w:val="none"/>
        </w:rPr>
      </w:pPr>
    </w:p>
    <w:p w14:paraId="2EA563C0">
      <w:pPr>
        <w:autoSpaceDE w:val="0"/>
        <w:autoSpaceDN w:val="0"/>
        <w:jc w:val="center"/>
        <w:rPr>
          <w:rFonts w:ascii="宋体" w:hAnsi="宋体" w:cs="宋体"/>
          <w:b/>
          <w:color w:val="auto"/>
          <w:spacing w:val="6"/>
          <w:sz w:val="32"/>
          <w:szCs w:val="32"/>
          <w:highlight w:val="none"/>
        </w:rPr>
      </w:pPr>
    </w:p>
    <w:p w14:paraId="09AF55E2">
      <w:pPr>
        <w:autoSpaceDE w:val="0"/>
        <w:autoSpaceDN w:val="0"/>
        <w:jc w:val="center"/>
        <w:rPr>
          <w:rFonts w:ascii="宋体" w:hAnsi="宋体" w:cs="宋体"/>
          <w:b/>
          <w:color w:val="auto"/>
          <w:spacing w:val="6"/>
          <w:sz w:val="32"/>
          <w:szCs w:val="32"/>
          <w:highlight w:val="none"/>
        </w:rPr>
      </w:pPr>
    </w:p>
    <w:p w14:paraId="6B8BBA59">
      <w:pPr>
        <w:autoSpaceDE w:val="0"/>
        <w:autoSpaceDN w:val="0"/>
        <w:jc w:val="center"/>
        <w:rPr>
          <w:rFonts w:ascii="宋体" w:hAnsi="宋体" w:cs="宋体"/>
          <w:b/>
          <w:color w:val="auto"/>
          <w:spacing w:val="6"/>
          <w:sz w:val="32"/>
          <w:szCs w:val="32"/>
          <w:highlight w:val="none"/>
        </w:rPr>
      </w:pPr>
    </w:p>
    <w:p w14:paraId="2678683B">
      <w:pPr>
        <w:autoSpaceDE w:val="0"/>
        <w:autoSpaceDN w:val="0"/>
        <w:jc w:val="center"/>
        <w:rPr>
          <w:rFonts w:ascii="宋体" w:hAnsi="宋体" w:cs="宋体"/>
          <w:b/>
          <w:color w:val="auto"/>
          <w:spacing w:val="6"/>
          <w:sz w:val="32"/>
          <w:szCs w:val="32"/>
          <w:highlight w:val="none"/>
        </w:rPr>
      </w:pPr>
    </w:p>
    <w:p w14:paraId="40B3DF73">
      <w:pPr>
        <w:autoSpaceDE w:val="0"/>
        <w:autoSpaceDN w:val="0"/>
        <w:jc w:val="center"/>
        <w:rPr>
          <w:rFonts w:ascii="宋体" w:hAnsi="宋体" w:cs="宋体"/>
          <w:b/>
          <w:color w:val="auto"/>
          <w:spacing w:val="6"/>
          <w:sz w:val="32"/>
          <w:szCs w:val="32"/>
          <w:highlight w:val="none"/>
        </w:rPr>
      </w:pPr>
    </w:p>
    <w:p w14:paraId="619DCDFF">
      <w:pPr>
        <w:autoSpaceDE w:val="0"/>
        <w:autoSpaceDN w:val="0"/>
        <w:jc w:val="center"/>
        <w:rPr>
          <w:rFonts w:ascii="宋体" w:hAnsi="宋体" w:cs="宋体"/>
          <w:b/>
          <w:color w:val="auto"/>
          <w:spacing w:val="6"/>
          <w:sz w:val="32"/>
          <w:szCs w:val="32"/>
          <w:highlight w:val="none"/>
        </w:rPr>
      </w:pPr>
    </w:p>
    <w:p w14:paraId="48B2169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C7C2C5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1BE32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2025年度余杭法院人民法庭物业服务采购项目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055F4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0832B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44C2F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15699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79517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AF39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76474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E8D7B3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6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6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6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65"/>
      <w:r>
        <w:rPr>
          <w:rFonts w:hint="eastAsia" w:ascii="宋体" w:hAnsi="宋体" w:cs="宋体"/>
          <w:b/>
          <w:color w:val="auto"/>
          <w:kern w:val="0"/>
          <w:sz w:val="24"/>
          <w:highlight w:val="none"/>
          <w:lang w:val="zh-CN"/>
        </w:rPr>
        <w:t>）</w:t>
      </w:r>
    </w:p>
    <w:p w14:paraId="37B8575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66"/>
    </w:p>
    <w:p w14:paraId="182860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16F00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23816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C3196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39C7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E73132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84E1B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EF655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56ABA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F1402A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4C0C06">
      <w:pPr>
        <w:autoSpaceDE w:val="0"/>
        <w:autoSpaceDN w:val="0"/>
        <w:jc w:val="center"/>
        <w:rPr>
          <w:rFonts w:ascii="宋体" w:hAnsi="宋体" w:cs="宋体"/>
          <w:b/>
          <w:color w:val="auto"/>
          <w:spacing w:val="6"/>
          <w:sz w:val="32"/>
          <w:szCs w:val="32"/>
          <w:highlight w:val="none"/>
        </w:rPr>
      </w:pPr>
    </w:p>
    <w:p w14:paraId="57A6CC21">
      <w:pPr>
        <w:autoSpaceDE w:val="0"/>
        <w:autoSpaceDN w:val="0"/>
        <w:jc w:val="center"/>
        <w:rPr>
          <w:rFonts w:ascii="宋体" w:hAnsi="宋体" w:cs="宋体"/>
          <w:b/>
          <w:color w:val="auto"/>
          <w:spacing w:val="6"/>
          <w:sz w:val="32"/>
          <w:szCs w:val="32"/>
          <w:highlight w:val="none"/>
        </w:rPr>
      </w:pPr>
    </w:p>
    <w:p w14:paraId="5D0E90DB">
      <w:pPr>
        <w:autoSpaceDE w:val="0"/>
        <w:autoSpaceDN w:val="0"/>
        <w:jc w:val="center"/>
        <w:rPr>
          <w:rFonts w:ascii="宋体" w:hAnsi="宋体" w:cs="宋体"/>
          <w:b/>
          <w:color w:val="auto"/>
          <w:spacing w:val="6"/>
          <w:sz w:val="32"/>
          <w:szCs w:val="32"/>
          <w:highlight w:val="none"/>
        </w:rPr>
      </w:pPr>
    </w:p>
    <w:p w14:paraId="6E72EE06">
      <w:pPr>
        <w:autoSpaceDE w:val="0"/>
        <w:autoSpaceDN w:val="0"/>
        <w:jc w:val="center"/>
        <w:rPr>
          <w:rFonts w:ascii="宋体" w:hAnsi="宋体" w:cs="宋体"/>
          <w:b/>
          <w:color w:val="auto"/>
          <w:spacing w:val="6"/>
          <w:sz w:val="32"/>
          <w:szCs w:val="32"/>
          <w:highlight w:val="none"/>
        </w:rPr>
      </w:pPr>
    </w:p>
    <w:p w14:paraId="5BA2A74A">
      <w:pPr>
        <w:autoSpaceDE w:val="0"/>
        <w:autoSpaceDN w:val="0"/>
        <w:jc w:val="center"/>
        <w:rPr>
          <w:rFonts w:ascii="宋体" w:hAnsi="宋体" w:cs="宋体"/>
          <w:b/>
          <w:color w:val="auto"/>
          <w:spacing w:val="6"/>
          <w:sz w:val="32"/>
          <w:szCs w:val="32"/>
          <w:highlight w:val="none"/>
        </w:rPr>
      </w:pPr>
    </w:p>
    <w:p w14:paraId="43975089">
      <w:pPr>
        <w:autoSpaceDE w:val="0"/>
        <w:autoSpaceDN w:val="0"/>
        <w:jc w:val="center"/>
        <w:rPr>
          <w:rFonts w:ascii="宋体" w:hAnsi="宋体" w:cs="宋体"/>
          <w:b/>
          <w:color w:val="auto"/>
          <w:spacing w:val="6"/>
          <w:sz w:val="32"/>
          <w:szCs w:val="32"/>
          <w:highlight w:val="none"/>
        </w:rPr>
      </w:pPr>
    </w:p>
    <w:p w14:paraId="67CCED0C">
      <w:pPr>
        <w:autoSpaceDE w:val="0"/>
        <w:autoSpaceDN w:val="0"/>
        <w:jc w:val="center"/>
        <w:rPr>
          <w:rFonts w:ascii="宋体" w:hAnsi="宋体" w:cs="宋体"/>
          <w:b/>
          <w:color w:val="auto"/>
          <w:spacing w:val="6"/>
          <w:sz w:val="32"/>
          <w:szCs w:val="32"/>
          <w:highlight w:val="none"/>
        </w:rPr>
      </w:pPr>
    </w:p>
    <w:p w14:paraId="479E0B6C">
      <w:pPr>
        <w:autoSpaceDE w:val="0"/>
        <w:autoSpaceDN w:val="0"/>
        <w:jc w:val="center"/>
        <w:rPr>
          <w:rFonts w:ascii="宋体" w:hAnsi="宋体" w:cs="宋体"/>
          <w:b/>
          <w:color w:val="auto"/>
          <w:spacing w:val="6"/>
          <w:sz w:val="32"/>
          <w:szCs w:val="32"/>
          <w:highlight w:val="none"/>
        </w:rPr>
      </w:pPr>
    </w:p>
    <w:p w14:paraId="08B88030">
      <w:pPr>
        <w:autoSpaceDE w:val="0"/>
        <w:autoSpaceDN w:val="0"/>
        <w:jc w:val="center"/>
        <w:rPr>
          <w:rFonts w:ascii="宋体" w:hAnsi="宋体" w:cs="宋体"/>
          <w:b/>
          <w:color w:val="auto"/>
          <w:spacing w:val="6"/>
          <w:sz w:val="32"/>
          <w:szCs w:val="32"/>
          <w:highlight w:val="none"/>
        </w:rPr>
      </w:pPr>
    </w:p>
    <w:p w14:paraId="37FBF1B1">
      <w:pPr>
        <w:autoSpaceDE w:val="0"/>
        <w:autoSpaceDN w:val="0"/>
        <w:jc w:val="center"/>
        <w:rPr>
          <w:rFonts w:ascii="宋体" w:hAnsi="宋体" w:cs="宋体"/>
          <w:b/>
          <w:color w:val="auto"/>
          <w:spacing w:val="6"/>
          <w:sz w:val="32"/>
          <w:szCs w:val="32"/>
          <w:highlight w:val="none"/>
        </w:rPr>
      </w:pPr>
    </w:p>
    <w:p w14:paraId="2A3FC0E8">
      <w:pPr>
        <w:autoSpaceDE w:val="0"/>
        <w:autoSpaceDN w:val="0"/>
        <w:jc w:val="center"/>
        <w:rPr>
          <w:rFonts w:ascii="宋体" w:hAnsi="宋体" w:cs="宋体"/>
          <w:b/>
          <w:color w:val="auto"/>
          <w:spacing w:val="6"/>
          <w:sz w:val="32"/>
          <w:szCs w:val="32"/>
          <w:highlight w:val="none"/>
        </w:rPr>
      </w:pPr>
    </w:p>
    <w:p w14:paraId="7B131BB4">
      <w:pPr>
        <w:autoSpaceDE w:val="0"/>
        <w:autoSpaceDN w:val="0"/>
        <w:jc w:val="center"/>
        <w:rPr>
          <w:rFonts w:ascii="宋体" w:hAnsi="宋体" w:cs="宋体"/>
          <w:b/>
          <w:color w:val="auto"/>
          <w:spacing w:val="6"/>
          <w:sz w:val="32"/>
          <w:szCs w:val="32"/>
          <w:highlight w:val="none"/>
        </w:rPr>
      </w:pPr>
    </w:p>
    <w:p w14:paraId="1D05F428">
      <w:pPr>
        <w:autoSpaceDE w:val="0"/>
        <w:autoSpaceDN w:val="0"/>
        <w:jc w:val="center"/>
        <w:rPr>
          <w:rFonts w:ascii="宋体" w:hAnsi="宋体" w:cs="宋体"/>
          <w:b/>
          <w:color w:val="auto"/>
          <w:spacing w:val="6"/>
          <w:sz w:val="32"/>
          <w:szCs w:val="32"/>
          <w:highlight w:val="none"/>
        </w:rPr>
      </w:pPr>
    </w:p>
    <w:p w14:paraId="23DED574">
      <w:pPr>
        <w:autoSpaceDE w:val="0"/>
        <w:autoSpaceDN w:val="0"/>
        <w:jc w:val="center"/>
        <w:rPr>
          <w:rFonts w:ascii="宋体" w:hAnsi="宋体" w:cs="宋体"/>
          <w:b/>
          <w:color w:val="auto"/>
          <w:spacing w:val="6"/>
          <w:sz w:val="32"/>
          <w:szCs w:val="32"/>
          <w:highlight w:val="none"/>
        </w:rPr>
      </w:pPr>
    </w:p>
    <w:p w14:paraId="6AD3F09B">
      <w:pPr>
        <w:autoSpaceDE w:val="0"/>
        <w:autoSpaceDN w:val="0"/>
        <w:jc w:val="center"/>
        <w:rPr>
          <w:rFonts w:ascii="宋体" w:hAnsi="宋体" w:cs="宋体"/>
          <w:b/>
          <w:color w:val="auto"/>
          <w:spacing w:val="6"/>
          <w:sz w:val="32"/>
          <w:szCs w:val="32"/>
          <w:highlight w:val="none"/>
        </w:rPr>
      </w:pPr>
    </w:p>
    <w:p w14:paraId="3C413AD6">
      <w:pPr>
        <w:autoSpaceDE w:val="0"/>
        <w:autoSpaceDN w:val="0"/>
        <w:jc w:val="center"/>
        <w:rPr>
          <w:rFonts w:ascii="宋体" w:hAnsi="宋体" w:cs="宋体"/>
          <w:b/>
          <w:color w:val="auto"/>
          <w:spacing w:val="6"/>
          <w:sz w:val="32"/>
          <w:szCs w:val="32"/>
          <w:highlight w:val="none"/>
        </w:rPr>
      </w:pPr>
    </w:p>
    <w:p w14:paraId="3206B88C">
      <w:pPr>
        <w:autoSpaceDE w:val="0"/>
        <w:autoSpaceDN w:val="0"/>
        <w:jc w:val="center"/>
        <w:rPr>
          <w:rFonts w:ascii="宋体" w:hAnsi="宋体" w:cs="宋体"/>
          <w:b/>
          <w:color w:val="auto"/>
          <w:spacing w:val="6"/>
          <w:sz w:val="32"/>
          <w:szCs w:val="32"/>
          <w:highlight w:val="none"/>
        </w:rPr>
      </w:pPr>
    </w:p>
    <w:p w14:paraId="261CA700">
      <w:pPr>
        <w:autoSpaceDE w:val="0"/>
        <w:autoSpaceDN w:val="0"/>
        <w:jc w:val="center"/>
        <w:rPr>
          <w:rFonts w:ascii="宋体" w:hAnsi="宋体" w:cs="宋体"/>
          <w:b/>
          <w:color w:val="auto"/>
          <w:spacing w:val="6"/>
          <w:sz w:val="32"/>
          <w:szCs w:val="32"/>
          <w:highlight w:val="none"/>
        </w:rPr>
      </w:pPr>
    </w:p>
    <w:p w14:paraId="5A0747A9">
      <w:pPr>
        <w:autoSpaceDE w:val="0"/>
        <w:autoSpaceDN w:val="0"/>
        <w:jc w:val="center"/>
        <w:rPr>
          <w:rFonts w:ascii="宋体" w:hAnsi="宋体" w:cs="宋体"/>
          <w:b/>
          <w:color w:val="auto"/>
          <w:spacing w:val="6"/>
          <w:sz w:val="32"/>
          <w:szCs w:val="32"/>
          <w:highlight w:val="none"/>
        </w:rPr>
      </w:pPr>
    </w:p>
    <w:p w14:paraId="500B1B6E">
      <w:pPr>
        <w:autoSpaceDE w:val="0"/>
        <w:autoSpaceDN w:val="0"/>
        <w:jc w:val="center"/>
        <w:rPr>
          <w:rFonts w:ascii="宋体" w:hAnsi="宋体" w:cs="宋体"/>
          <w:b/>
          <w:color w:val="auto"/>
          <w:spacing w:val="6"/>
          <w:sz w:val="32"/>
          <w:szCs w:val="32"/>
          <w:highlight w:val="none"/>
        </w:rPr>
      </w:pPr>
    </w:p>
    <w:p w14:paraId="4845D703">
      <w:pPr>
        <w:autoSpaceDE w:val="0"/>
        <w:autoSpaceDN w:val="0"/>
        <w:jc w:val="center"/>
        <w:rPr>
          <w:rFonts w:ascii="宋体" w:hAnsi="宋体" w:cs="宋体"/>
          <w:b/>
          <w:color w:val="auto"/>
          <w:spacing w:val="6"/>
          <w:sz w:val="32"/>
          <w:szCs w:val="32"/>
          <w:highlight w:val="none"/>
        </w:rPr>
      </w:pPr>
    </w:p>
    <w:p w14:paraId="5604B012">
      <w:pPr>
        <w:autoSpaceDE w:val="0"/>
        <w:autoSpaceDN w:val="0"/>
        <w:jc w:val="center"/>
        <w:rPr>
          <w:rFonts w:ascii="宋体" w:hAnsi="宋体" w:cs="宋体"/>
          <w:b/>
          <w:color w:val="auto"/>
          <w:spacing w:val="6"/>
          <w:sz w:val="32"/>
          <w:szCs w:val="32"/>
          <w:highlight w:val="none"/>
        </w:rPr>
      </w:pPr>
    </w:p>
    <w:p w14:paraId="2B48D169">
      <w:pPr>
        <w:autoSpaceDE w:val="0"/>
        <w:autoSpaceDN w:val="0"/>
        <w:jc w:val="center"/>
        <w:rPr>
          <w:rFonts w:ascii="宋体" w:hAnsi="宋体" w:cs="宋体"/>
          <w:b/>
          <w:color w:val="auto"/>
          <w:spacing w:val="6"/>
          <w:sz w:val="32"/>
          <w:szCs w:val="32"/>
          <w:highlight w:val="none"/>
        </w:rPr>
      </w:pPr>
    </w:p>
    <w:p w14:paraId="57FB754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E83DE4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BB1540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EC8A1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2025年度余杭法院人民法庭物业服务采购项目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1F2E8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D1BE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B43B5C2">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8F25D06">
      <w:pPr>
        <w:rPr>
          <w:color w:val="auto"/>
          <w:highlight w:val="none"/>
        </w:rPr>
      </w:pPr>
      <w:r>
        <w:rPr>
          <w:rFonts w:hint="eastAsia"/>
          <w:color w:val="auto"/>
          <w:highlight w:val="none"/>
          <w:lang w:val="zh-CN"/>
        </w:rPr>
        <w:t xml:space="preserve"> </w:t>
      </w:r>
    </w:p>
    <w:p w14:paraId="6D4676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E83523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161348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6FB5E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E882EE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80E19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F44EA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9AC5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44561E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BC82C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19988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1E29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5A2F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AAD8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38DDAF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FF83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4A8422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7761F5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7BE2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76A99B">
      <w:pPr>
        <w:autoSpaceDE w:val="0"/>
        <w:autoSpaceDN w:val="0"/>
        <w:jc w:val="center"/>
        <w:rPr>
          <w:rFonts w:ascii="宋体" w:hAnsi="宋体" w:cs="宋体"/>
          <w:b/>
          <w:color w:val="auto"/>
          <w:spacing w:val="6"/>
          <w:sz w:val="32"/>
          <w:szCs w:val="32"/>
          <w:highlight w:val="none"/>
        </w:rPr>
      </w:pPr>
    </w:p>
    <w:p w14:paraId="11523CEA">
      <w:pPr>
        <w:autoSpaceDE w:val="0"/>
        <w:autoSpaceDN w:val="0"/>
        <w:jc w:val="center"/>
        <w:rPr>
          <w:rFonts w:ascii="宋体" w:hAnsi="宋体" w:cs="宋体"/>
          <w:b/>
          <w:color w:val="auto"/>
          <w:spacing w:val="6"/>
          <w:sz w:val="32"/>
          <w:szCs w:val="32"/>
          <w:highlight w:val="none"/>
        </w:rPr>
      </w:pPr>
    </w:p>
    <w:p w14:paraId="71E16A82">
      <w:pPr>
        <w:autoSpaceDE w:val="0"/>
        <w:autoSpaceDN w:val="0"/>
        <w:jc w:val="center"/>
        <w:rPr>
          <w:rFonts w:ascii="宋体" w:hAnsi="宋体" w:cs="宋体"/>
          <w:b/>
          <w:color w:val="auto"/>
          <w:spacing w:val="6"/>
          <w:sz w:val="32"/>
          <w:szCs w:val="32"/>
          <w:highlight w:val="none"/>
        </w:rPr>
      </w:pPr>
    </w:p>
    <w:p w14:paraId="063917EB">
      <w:pPr>
        <w:autoSpaceDE w:val="0"/>
        <w:autoSpaceDN w:val="0"/>
        <w:jc w:val="center"/>
        <w:rPr>
          <w:rFonts w:ascii="宋体" w:hAnsi="宋体" w:cs="宋体"/>
          <w:b/>
          <w:color w:val="auto"/>
          <w:spacing w:val="6"/>
          <w:sz w:val="32"/>
          <w:szCs w:val="32"/>
          <w:highlight w:val="none"/>
        </w:rPr>
      </w:pPr>
    </w:p>
    <w:p w14:paraId="28881CC4">
      <w:pPr>
        <w:autoSpaceDE w:val="0"/>
        <w:autoSpaceDN w:val="0"/>
        <w:jc w:val="center"/>
        <w:rPr>
          <w:rFonts w:ascii="宋体" w:hAnsi="宋体" w:cs="宋体"/>
          <w:b/>
          <w:color w:val="auto"/>
          <w:spacing w:val="6"/>
          <w:sz w:val="32"/>
          <w:szCs w:val="32"/>
          <w:highlight w:val="none"/>
        </w:rPr>
      </w:pPr>
    </w:p>
    <w:p w14:paraId="4A57F0DA">
      <w:pPr>
        <w:autoSpaceDE w:val="0"/>
        <w:autoSpaceDN w:val="0"/>
        <w:jc w:val="center"/>
        <w:rPr>
          <w:rFonts w:ascii="宋体" w:hAnsi="宋体" w:cs="宋体"/>
          <w:b/>
          <w:color w:val="auto"/>
          <w:spacing w:val="6"/>
          <w:sz w:val="32"/>
          <w:szCs w:val="32"/>
          <w:highlight w:val="none"/>
        </w:rPr>
      </w:pPr>
    </w:p>
    <w:p w14:paraId="6D3C0B2D">
      <w:pPr>
        <w:autoSpaceDE w:val="0"/>
        <w:autoSpaceDN w:val="0"/>
        <w:jc w:val="center"/>
        <w:rPr>
          <w:rFonts w:ascii="宋体" w:hAnsi="宋体" w:cs="宋体"/>
          <w:b/>
          <w:color w:val="auto"/>
          <w:spacing w:val="6"/>
          <w:sz w:val="32"/>
          <w:szCs w:val="32"/>
          <w:highlight w:val="none"/>
        </w:rPr>
      </w:pPr>
    </w:p>
    <w:p w14:paraId="756A50AB">
      <w:pPr>
        <w:autoSpaceDE w:val="0"/>
        <w:autoSpaceDN w:val="0"/>
        <w:jc w:val="center"/>
        <w:rPr>
          <w:rFonts w:ascii="宋体" w:hAnsi="宋体" w:cs="宋体"/>
          <w:b/>
          <w:color w:val="auto"/>
          <w:spacing w:val="6"/>
          <w:sz w:val="32"/>
          <w:szCs w:val="32"/>
          <w:highlight w:val="none"/>
        </w:rPr>
      </w:pPr>
    </w:p>
    <w:p w14:paraId="6E94D8DC">
      <w:pPr>
        <w:autoSpaceDE w:val="0"/>
        <w:autoSpaceDN w:val="0"/>
        <w:jc w:val="center"/>
        <w:rPr>
          <w:rFonts w:ascii="宋体" w:hAnsi="宋体" w:cs="宋体"/>
          <w:b/>
          <w:color w:val="auto"/>
          <w:spacing w:val="6"/>
          <w:sz w:val="32"/>
          <w:szCs w:val="32"/>
          <w:highlight w:val="none"/>
        </w:rPr>
      </w:pPr>
    </w:p>
    <w:p w14:paraId="5127AA01">
      <w:pPr>
        <w:autoSpaceDE w:val="0"/>
        <w:autoSpaceDN w:val="0"/>
        <w:jc w:val="center"/>
        <w:rPr>
          <w:rFonts w:ascii="宋体" w:hAnsi="宋体" w:cs="宋体"/>
          <w:b/>
          <w:color w:val="auto"/>
          <w:spacing w:val="6"/>
          <w:sz w:val="32"/>
          <w:szCs w:val="32"/>
          <w:highlight w:val="none"/>
        </w:rPr>
      </w:pPr>
    </w:p>
    <w:p w14:paraId="7187F2A2">
      <w:pPr>
        <w:autoSpaceDE w:val="0"/>
        <w:autoSpaceDN w:val="0"/>
        <w:jc w:val="center"/>
        <w:rPr>
          <w:rFonts w:ascii="宋体" w:hAnsi="宋体" w:cs="宋体"/>
          <w:b/>
          <w:color w:val="auto"/>
          <w:spacing w:val="6"/>
          <w:sz w:val="32"/>
          <w:szCs w:val="32"/>
          <w:highlight w:val="none"/>
        </w:rPr>
      </w:pPr>
    </w:p>
    <w:p w14:paraId="1B0203B9">
      <w:pPr>
        <w:autoSpaceDE w:val="0"/>
        <w:autoSpaceDN w:val="0"/>
        <w:jc w:val="center"/>
        <w:rPr>
          <w:rFonts w:ascii="宋体" w:hAnsi="宋体" w:cs="宋体"/>
          <w:b/>
          <w:color w:val="auto"/>
          <w:spacing w:val="6"/>
          <w:sz w:val="32"/>
          <w:szCs w:val="32"/>
          <w:highlight w:val="none"/>
        </w:rPr>
      </w:pPr>
    </w:p>
    <w:p w14:paraId="433BBEBA">
      <w:pPr>
        <w:autoSpaceDE w:val="0"/>
        <w:autoSpaceDN w:val="0"/>
        <w:jc w:val="center"/>
        <w:rPr>
          <w:rFonts w:ascii="宋体" w:hAnsi="宋体" w:cs="宋体"/>
          <w:b/>
          <w:color w:val="auto"/>
          <w:spacing w:val="6"/>
          <w:sz w:val="32"/>
          <w:szCs w:val="32"/>
          <w:highlight w:val="none"/>
        </w:rPr>
      </w:pPr>
    </w:p>
    <w:p w14:paraId="79E09013">
      <w:pPr>
        <w:autoSpaceDE w:val="0"/>
        <w:autoSpaceDN w:val="0"/>
        <w:jc w:val="center"/>
        <w:rPr>
          <w:rFonts w:ascii="宋体" w:hAnsi="宋体" w:cs="宋体"/>
          <w:b/>
          <w:color w:val="auto"/>
          <w:spacing w:val="6"/>
          <w:sz w:val="32"/>
          <w:szCs w:val="32"/>
          <w:highlight w:val="none"/>
        </w:rPr>
      </w:pPr>
    </w:p>
    <w:p w14:paraId="3E1D3974">
      <w:pPr>
        <w:autoSpaceDE w:val="0"/>
        <w:autoSpaceDN w:val="0"/>
        <w:jc w:val="center"/>
        <w:rPr>
          <w:rFonts w:ascii="宋体" w:hAnsi="宋体" w:cs="宋体"/>
          <w:b/>
          <w:color w:val="auto"/>
          <w:spacing w:val="6"/>
          <w:sz w:val="32"/>
          <w:szCs w:val="32"/>
          <w:highlight w:val="none"/>
        </w:rPr>
      </w:pPr>
    </w:p>
    <w:p w14:paraId="2A292B8F">
      <w:pPr>
        <w:autoSpaceDE w:val="0"/>
        <w:autoSpaceDN w:val="0"/>
        <w:jc w:val="center"/>
        <w:rPr>
          <w:rFonts w:ascii="宋体" w:hAnsi="宋体" w:cs="宋体"/>
          <w:b/>
          <w:color w:val="auto"/>
          <w:spacing w:val="6"/>
          <w:sz w:val="32"/>
          <w:szCs w:val="32"/>
          <w:highlight w:val="none"/>
        </w:rPr>
      </w:pPr>
    </w:p>
    <w:p w14:paraId="742E2CAF">
      <w:pPr>
        <w:autoSpaceDE w:val="0"/>
        <w:autoSpaceDN w:val="0"/>
        <w:jc w:val="center"/>
        <w:rPr>
          <w:rFonts w:ascii="宋体" w:hAnsi="宋体" w:cs="宋体"/>
          <w:b/>
          <w:color w:val="auto"/>
          <w:spacing w:val="6"/>
          <w:sz w:val="32"/>
          <w:szCs w:val="32"/>
          <w:highlight w:val="none"/>
        </w:rPr>
      </w:pPr>
    </w:p>
    <w:p w14:paraId="5EE8BED5">
      <w:pPr>
        <w:autoSpaceDE w:val="0"/>
        <w:autoSpaceDN w:val="0"/>
        <w:jc w:val="center"/>
        <w:rPr>
          <w:rFonts w:ascii="宋体" w:hAnsi="宋体" w:cs="宋体"/>
          <w:b/>
          <w:color w:val="auto"/>
          <w:spacing w:val="6"/>
          <w:sz w:val="32"/>
          <w:szCs w:val="32"/>
          <w:highlight w:val="none"/>
        </w:rPr>
      </w:pPr>
    </w:p>
    <w:p w14:paraId="0C35AAD4">
      <w:pPr>
        <w:autoSpaceDE w:val="0"/>
        <w:autoSpaceDN w:val="0"/>
        <w:jc w:val="center"/>
        <w:rPr>
          <w:rFonts w:ascii="宋体" w:hAnsi="宋体" w:cs="宋体"/>
          <w:b/>
          <w:color w:val="auto"/>
          <w:spacing w:val="6"/>
          <w:sz w:val="32"/>
          <w:szCs w:val="32"/>
          <w:highlight w:val="none"/>
        </w:rPr>
      </w:pPr>
    </w:p>
    <w:p w14:paraId="3378B37E">
      <w:pPr>
        <w:autoSpaceDE w:val="0"/>
        <w:autoSpaceDN w:val="0"/>
        <w:jc w:val="center"/>
        <w:rPr>
          <w:rFonts w:ascii="宋体" w:hAnsi="宋体" w:cs="宋体"/>
          <w:b/>
          <w:color w:val="auto"/>
          <w:spacing w:val="6"/>
          <w:sz w:val="32"/>
          <w:szCs w:val="32"/>
          <w:highlight w:val="none"/>
        </w:rPr>
      </w:pPr>
    </w:p>
    <w:p w14:paraId="25480599">
      <w:pPr>
        <w:autoSpaceDE w:val="0"/>
        <w:autoSpaceDN w:val="0"/>
        <w:jc w:val="center"/>
        <w:rPr>
          <w:rFonts w:ascii="宋体" w:hAnsi="宋体" w:cs="宋体"/>
          <w:b/>
          <w:color w:val="auto"/>
          <w:spacing w:val="6"/>
          <w:sz w:val="32"/>
          <w:szCs w:val="32"/>
          <w:highlight w:val="none"/>
        </w:rPr>
      </w:pPr>
    </w:p>
    <w:p w14:paraId="0B46B4D4">
      <w:pPr>
        <w:autoSpaceDE w:val="0"/>
        <w:autoSpaceDN w:val="0"/>
        <w:jc w:val="center"/>
        <w:rPr>
          <w:rFonts w:ascii="宋体" w:hAnsi="宋体" w:cs="宋体"/>
          <w:b/>
          <w:color w:val="auto"/>
          <w:spacing w:val="6"/>
          <w:sz w:val="32"/>
          <w:szCs w:val="32"/>
          <w:highlight w:val="none"/>
        </w:rPr>
      </w:pPr>
    </w:p>
    <w:p w14:paraId="2DFFB2F4">
      <w:pPr>
        <w:autoSpaceDE w:val="0"/>
        <w:autoSpaceDN w:val="0"/>
        <w:jc w:val="center"/>
        <w:rPr>
          <w:rFonts w:ascii="宋体" w:hAnsi="宋体" w:cs="宋体"/>
          <w:b/>
          <w:color w:val="auto"/>
          <w:spacing w:val="6"/>
          <w:sz w:val="32"/>
          <w:szCs w:val="32"/>
          <w:highlight w:val="none"/>
        </w:rPr>
      </w:pPr>
    </w:p>
    <w:p w14:paraId="1A452628">
      <w:pPr>
        <w:autoSpaceDE w:val="0"/>
        <w:autoSpaceDN w:val="0"/>
        <w:jc w:val="center"/>
        <w:rPr>
          <w:rFonts w:ascii="宋体" w:hAnsi="宋体" w:cs="宋体"/>
          <w:b/>
          <w:color w:val="auto"/>
          <w:spacing w:val="6"/>
          <w:sz w:val="32"/>
          <w:szCs w:val="32"/>
          <w:highlight w:val="none"/>
        </w:rPr>
      </w:pPr>
    </w:p>
    <w:p w14:paraId="69422B31">
      <w:pPr>
        <w:autoSpaceDE w:val="0"/>
        <w:autoSpaceDN w:val="0"/>
        <w:jc w:val="center"/>
        <w:rPr>
          <w:rFonts w:ascii="宋体" w:hAnsi="宋体" w:cs="宋体"/>
          <w:b/>
          <w:color w:val="auto"/>
          <w:spacing w:val="6"/>
          <w:sz w:val="32"/>
          <w:szCs w:val="32"/>
          <w:highlight w:val="none"/>
        </w:rPr>
      </w:pPr>
    </w:p>
    <w:p w14:paraId="60834189">
      <w:pPr>
        <w:autoSpaceDE w:val="0"/>
        <w:autoSpaceDN w:val="0"/>
        <w:jc w:val="center"/>
        <w:rPr>
          <w:rFonts w:ascii="宋体" w:hAnsi="宋体" w:cs="宋体"/>
          <w:b/>
          <w:color w:val="auto"/>
          <w:spacing w:val="6"/>
          <w:sz w:val="32"/>
          <w:szCs w:val="32"/>
          <w:highlight w:val="none"/>
        </w:rPr>
      </w:pPr>
    </w:p>
    <w:p w14:paraId="47B77EF5">
      <w:pPr>
        <w:autoSpaceDE w:val="0"/>
        <w:autoSpaceDN w:val="0"/>
        <w:jc w:val="center"/>
        <w:rPr>
          <w:rFonts w:ascii="宋体" w:hAnsi="宋体" w:cs="宋体"/>
          <w:b/>
          <w:color w:val="auto"/>
          <w:spacing w:val="6"/>
          <w:sz w:val="32"/>
          <w:szCs w:val="32"/>
          <w:highlight w:val="none"/>
        </w:rPr>
      </w:pPr>
    </w:p>
    <w:p w14:paraId="483882AD">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780AF86">
      <w:pPr>
        <w:spacing w:line="360" w:lineRule="auto"/>
        <w:jc w:val="center"/>
        <w:rPr>
          <w:rFonts w:ascii="宋体" w:hAnsi="宋体" w:cs="宋体"/>
          <w:color w:val="auto"/>
          <w:sz w:val="24"/>
          <w:highlight w:val="none"/>
          <w:u w:val="single"/>
        </w:rPr>
      </w:pPr>
    </w:p>
    <w:p w14:paraId="44CF9BB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C84125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杭州市余杭区人民法院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2025年度余杭法院人民法庭物业服务采购项目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9E378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1EF7CF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31EA37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3A547D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6AD2C5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7290757">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EE7B8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8E92F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4B498F67">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31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8A9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F5A70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B91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1EEE2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721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752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67" w:name="_Toc36110187"/>
    <w:bookmarkStart w:id="468" w:name="_Toc91899912"/>
    <w:bookmarkStart w:id="469" w:name="_Toc131845147"/>
    <w:bookmarkStart w:id="470" w:name="_Toc164085800"/>
    <w:r>
      <w:rPr>
        <w:rFonts w:hint="eastAsia" w:ascii="仿宋_GB2312" w:eastAsia="仿宋_GB2312"/>
        <w:kern w:val="0"/>
        <w:szCs w:val="21"/>
      </w:rPr>
      <w:t xml:space="preserve"> 页</w:t>
    </w:r>
    <w:bookmarkEnd w:id="467"/>
    <w:bookmarkEnd w:id="468"/>
    <w:bookmarkEnd w:id="469"/>
    <w:bookmarkEnd w:id="4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F7B4E">
    <w:pPr>
      <w:pStyle w:val="39"/>
      <w:framePr w:wrap="around" w:vAnchor="text" w:hAnchor="margin" w:xAlign="right" w:y="1"/>
      <w:rPr>
        <w:rStyle w:val="73"/>
      </w:rPr>
    </w:pPr>
    <w:r>
      <w:fldChar w:fldCharType="begin"/>
    </w:r>
    <w:r>
      <w:rPr>
        <w:rStyle w:val="73"/>
      </w:rPr>
      <w:instrText xml:space="preserve">PAGE  </w:instrText>
    </w:r>
    <w:r>
      <w:fldChar w:fldCharType="end"/>
    </w:r>
  </w:p>
  <w:p w14:paraId="539A3E5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10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15EB">
    <w:pPr>
      <w:pStyle w:val="3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24560" cy="15748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24560" cy="157480"/>
                      </a:xfrm>
                      <a:prstGeom prst="rect">
                        <a:avLst/>
                      </a:prstGeom>
                      <a:noFill/>
                      <a:ln>
                        <a:noFill/>
                      </a:ln>
                      <a:effectLst/>
                    </wps:spPr>
                    <wps:txbx>
                      <w:txbxContent>
                        <w:p w14:paraId="0C2FB6B7">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34</w:t>
                          </w:r>
                          <w:r>
                            <w:rPr>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2.4pt;width:72.8pt;mso-position-horizontal:center;mso-position-horizontal-relative:margin;mso-wrap-style:none;z-index:251662336;mso-width-relative:page;mso-height-relative:page;" filled="f" stroked="f" coordsize="21600,21600" o:gfxdata="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MXkv0gAAAAQBAAAPAAAAAAAAAAEAIAAAACIA&#10;AABkcnMvZG93bnJldi54bWxQSwECFAAUAAAACACHTuJAXiTwpQ8CAAAQBAAADgAAAAAAAAABACAA&#10;AAAhAQAAZHJzL2Uyb0RvYy54bWxQSwUGAAAAAAYABgBZAQAAogUAAAAA&#10;">
              <v:fill on="f" focussize="0,0"/>
              <v:stroke on="f"/>
              <v:imagedata o:title=""/>
              <o:lock v:ext="edit" aspectratio="f"/>
              <v:textbox inset="0mm,0mm,0mm,0mm" style="mso-fit-shape-to-text:t;">
                <w:txbxContent>
                  <w:p w14:paraId="0C2FB6B7">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34</w:t>
                    </w:r>
                    <w:r>
                      <w:rPr>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D3C3">
    <w:pPr>
      <w:pStyle w:val="3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91235" cy="157480"/>
              <wp:effectExtent l="0" t="0" r="0" b="0"/>
              <wp:wrapNone/>
              <wp:docPr id="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991235" cy="157480"/>
                      </a:xfrm>
                      <a:prstGeom prst="rect">
                        <a:avLst/>
                      </a:prstGeom>
                      <a:noFill/>
                      <a:ln>
                        <a:noFill/>
                      </a:ln>
                      <a:effectLst/>
                    </wps:spPr>
                    <wps:txbx>
                      <w:txbxContent>
                        <w:p w14:paraId="1E3DA770">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34</w:t>
                          </w:r>
                          <w:r>
                            <w:rPr>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2.4pt;width:78.05pt;mso-position-horizontal:center;mso-position-horizontal-relative:margin;mso-wrap-style:none;z-index:251663360;mso-width-relative:page;mso-height-relative:page;" filled="f" stroked="f" coordsize="21600,21600" o:gfxdata="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ql1nNIAAAAEAQAADwAAAAAAAAABACAAAAAi&#10;AAAAZHJzL2Rvd25yZXYueG1sUEsBAhQAFAAAAAgAh07iQE2WiLcQAgAAEAQAAA4AAAAAAAAAAQAg&#10;AAAAIQEAAGRycy9lMm9Eb2MueG1sUEsFBgAAAAAGAAYAWQEAAKMFAAAAAA==&#10;">
              <v:fill on="f" focussize="0,0"/>
              <v:stroke on="f"/>
              <v:imagedata o:title=""/>
              <o:lock v:ext="edit" aspectratio="f"/>
              <v:textbox inset="0mm,0mm,0mm,0mm" style="mso-fit-shape-to-text:t;">
                <w:txbxContent>
                  <w:p w14:paraId="1E3DA770">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34</w:t>
                    </w:r>
                    <w:r>
                      <w:rPr>
                        <w:sz w:val="18"/>
                      </w:rPr>
                      <w:fldChar w:fldCharType="end"/>
                    </w:r>
                    <w:r>
                      <w:rPr>
                        <w:rFonts w:hint="eastAsia"/>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AD14">
    <w:pPr>
      <w:pStyle w:val="3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A3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5C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85E43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0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1AF5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F1E3">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1EF3BE83">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CB2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E955">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4F8C6B3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4182">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755DCC5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8D0B">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B908">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43364F1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60397">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8B44">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14E66">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6A9C8"/>
    <w:multiLevelType w:val="singleLevel"/>
    <w:tmpl w:val="82B6A9C8"/>
    <w:lvl w:ilvl="0" w:tentative="0">
      <w:start w:val="1"/>
      <w:numFmt w:val="decimal"/>
      <w:suff w:val="space"/>
      <w:lvlText w:val="%1、"/>
      <w:lvlJc w:val="left"/>
    </w:lvl>
  </w:abstractNum>
  <w:abstractNum w:abstractNumId="1">
    <w:nsid w:val="6445E6DC"/>
    <w:multiLevelType w:val="singleLevel"/>
    <w:tmpl w:val="6445E6DC"/>
    <w:lvl w:ilvl="0" w:tentative="0">
      <w:start w:val="4"/>
      <w:numFmt w:val="decimal"/>
      <w:suff w:val="nothing"/>
      <w:lvlText w:val="%1."/>
      <w:lvlJc w:val="left"/>
    </w:lvl>
  </w:abstractNum>
  <w:abstractNum w:abstractNumId="2">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3">
    <w:nsid w:val="6502789B"/>
    <w:multiLevelType w:val="singleLevel"/>
    <w:tmpl w:val="6502789B"/>
    <w:lvl w:ilvl="0" w:tentative="0">
      <w:start w:val="1"/>
      <w:numFmt w:val="decimal"/>
      <w:suff w:val="nothing"/>
      <w:lvlText w:val="%1．"/>
      <w:lvlJc w:val="left"/>
      <w:pPr>
        <w:ind w:left="0" w:firstLine="400"/>
      </w:pPr>
      <w:rPr>
        <w:rFonts w:hint="default"/>
      </w:rPr>
    </w:lvl>
  </w:abstractNum>
  <w:abstractNum w:abstractNumId="4">
    <w:nsid w:val="6502A3EB"/>
    <w:multiLevelType w:val="singleLevel"/>
    <w:tmpl w:val="6502A3EB"/>
    <w:lvl w:ilvl="0" w:tentative="0">
      <w:start w:val="1"/>
      <w:numFmt w:val="decimal"/>
      <w:suff w:val="nothing"/>
      <w:lvlText w:val="%1．"/>
      <w:lvlJc w:val="left"/>
      <w:pPr>
        <w:ind w:left="0" w:firstLine="400"/>
      </w:pPr>
      <w:rPr>
        <w:rFonts w:hint="default"/>
      </w:rPr>
    </w:lvl>
  </w:abstractNum>
  <w:abstractNum w:abstractNumId="5">
    <w:nsid w:val="6502B651"/>
    <w:multiLevelType w:val="singleLevel"/>
    <w:tmpl w:val="6502B651"/>
    <w:lvl w:ilvl="0" w:tentative="0">
      <w:start w:val="1"/>
      <w:numFmt w:val="decimal"/>
      <w:suff w:val="nothing"/>
      <w:lvlText w:val="%1．"/>
      <w:lvlJc w:val="left"/>
      <w:pPr>
        <w:ind w:left="0" w:firstLine="400"/>
      </w:pPr>
      <w:rPr>
        <w:rFonts w:hint="default"/>
      </w:rPr>
    </w:lvl>
  </w:abstractNum>
  <w:abstractNum w:abstractNumId="6">
    <w:nsid w:val="6503C795"/>
    <w:multiLevelType w:val="singleLevel"/>
    <w:tmpl w:val="6503C795"/>
    <w:lvl w:ilvl="0" w:tentative="0">
      <w:start w:val="1"/>
      <w:numFmt w:val="chineseCounting"/>
      <w:suff w:val="nothing"/>
      <w:lvlText w:val="（%1）"/>
      <w:lvlJc w:val="left"/>
      <w:pPr>
        <w:ind w:left="0" w:firstLine="420"/>
      </w:pPr>
      <w:rPr>
        <w:rFonts w:hint="eastAsia"/>
      </w:rPr>
    </w:lvl>
  </w:abstractNum>
  <w:abstractNum w:abstractNumId="7">
    <w:nsid w:val="6503C7EE"/>
    <w:multiLevelType w:val="singleLevel"/>
    <w:tmpl w:val="6503C7EE"/>
    <w:lvl w:ilvl="0" w:tentative="0">
      <w:start w:val="1"/>
      <w:numFmt w:val="decimal"/>
      <w:suff w:val="nothing"/>
      <w:lvlText w:val="%1．"/>
      <w:lvlJc w:val="left"/>
      <w:pPr>
        <w:ind w:left="0" w:firstLine="400"/>
      </w:pPr>
      <w:rPr>
        <w:rFonts w:hint="default"/>
      </w:rPr>
    </w:lvl>
  </w:abstractNum>
  <w:abstractNum w:abstractNumId="8">
    <w:nsid w:val="6503F9F0"/>
    <w:multiLevelType w:val="singleLevel"/>
    <w:tmpl w:val="6503F9F0"/>
    <w:lvl w:ilvl="0" w:tentative="0">
      <w:start w:val="1"/>
      <w:numFmt w:val="decimal"/>
      <w:suff w:val="nothing"/>
      <w:lvlText w:val="%1．"/>
      <w:lvlJc w:val="left"/>
      <w:pPr>
        <w:ind w:left="0" w:firstLine="400"/>
      </w:pPr>
      <w:rPr>
        <w:rFonts w:hint="default"/>
      </w:rPr>
    </w:lvl>
  </w:abstractNum>
  <w:abstractNum w:abstractNumId="9">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10">
    <w:nsid w:val="6503FA2B"/>
    <w:multiLevelType w:val="singleLevel"/>
    <w:tmpl w:val="6503FA2B"/>
    <w:lvl w:ilvl="0" w:tentative="0">
      <w:start w:val="1"/>
      <w:numFmt w:val="decimal"/>
      <w:suff w:val="nothing"/>
      <w:lvlText w:val="%1．"/>
      <w:lvlJc w:val="left"/>
      <w:pPr>
        <w:ind w:left="0" w:firstLine="400"/>
      </w:pPr>
      <w:rPr>
        <w:rFonts w:hint="default"/>
      </w:rPr>
    </w:lvl>
  </w:abstractNum>
  <w:abstractNum w:abstractNumId="11">
    <w:nsid w:val="6503FAEA"/>
    <w:multiLevelType w:val="singleLevel"/>
    <w:tmpl w:val="6503FAEA"/>
    <w:lvl w:ilvl="0" w:tentative="0">
      <w:start w:val="1"/>
      <w:numFmt w:val="decimal"/>
      <w:suff w:val="nothing"/>
      <w:lvlText w:val="%1．"/>
      <w:lvlJc w:val="left"/>
      <w:pPr>
        <w:ind w:left="0" w:firstLine="400"/>
      </w:pPr>
      <w:rPr>
        <w:rFonts w:hint="default"/>
      </w:rPr>
    </w:lvl>
  </w:abstractNum>
  <w:abstractNum w:abstractNumId="12">
    <w:nsid w:val="6503FB17"/>
    <w:multiLevelType w:val="singleLevel"/>
    <w:tmpl w:val="6503FB17"/>
    <w:lvl w:ilvl="0" w:tentative="0">
      <w:start w:val="1"/>
      <w:numFmt w:val="decimal"/>
      <w:suff w:val="nothing"/>
      <w:lvlText w:val="%1．"/>
      <w:lvlJc w:val="left"/>
      <w:pPr>
        <w:ind w:left="0" w:firstLine="400"/>
      </w:pPr>
      <w:rPr>
        <w:rFonts w:hint="default"/>
      </w:rPr>
    </w:lvl>
  </w:abstractNum>
  <w:abstractNum w:abstractNumId="13">
    <w:nsid w:val="6503FB4F"/>
    <w:multiLevelType w:val="singleLevel"/>
    <w:tmpl w:val="6503FB4F"/>
    <w:lvl w:ilvl="0" w:tentative="0">
      <w:start w:val="1"/>
      <w:numFmt w:val="decimal"/>
      <w:suff w:val="nothing"/>
      <w:lvlText w:val="%1．"/>
      <w:lvlJc w:val="left"/>
      <w:pPr>
        <w:ind w:left="0" w:firstLine="400"/>
      </w:pPr>
      <w:rPr>
        <w:rFonts w:hint="default"/>
      </w:rPr>
    </w:lvl>
  </w:abstractNum>
  <w:abstractNum w:abstractNumId="14">
    <w:nsid w:val="65040292"/>
    <w:multiLevelType w:val="singleLevel"/>
    <w:tmpl w:val="65040292"/>
    <w:lvl w:ilvl="0" w:tentative="0">
      <w:start w:val="1"/>
      <w:numFmt w:val="decimal"/>
      <w:suff w:val="nothing"/>
      <w:lvlText w:val="%1．"/>
      <w:lvlJc w:val="left"/>
      <w:pPr>
        <w:ind w:left="0" w:firstLine="400"/>
      </w:pPr>
      <w:rPr>
        <w:rFonts w:hint="default"/>
      </w:rPr>
    </w:lvl>
  </w:abstractNum>
  <w:abstractNum w:abstractNumId="15">
    <w:nsid w:val="650402AB"/>
    <w:multiLevelType w:val="singleLevel"/>
    <w:tmpl w:val="650402AB"/>
    <w:lvl w:ilvl="0" w:tentative="0">
      <w:start w:val="1"/>
      <w:numFmt w:val="decimal"/>
      <w:suff w:val="nothing"/>
      <w:lvlText w:val="%1．"/>
      <w:lvlJc w:val="left"/>
      <w:pPr>
        <w:ind w:left="0" w:firstLine="400"/>
      </w:pPr>
      <w:rPr>
        <w:rFonts w:hint="default"/>
      </w:rPr>
    </w:lvl>
  </w:abstractNum>
  <w:abstractNum w:abstractNumId="16">
    <w:nsid w:val="650D4A54"/>
    <w:multiLevelType w:val="singleLevel"/>
    <w:tmpl w:val="650D4A54"/>
    <w:lvl w:ilvl="0" w:tentative="0">
      <w:start w:val="1"/>
      <w:numFmt w:val="decimal"/>
      <w:suff w:val="nothing"/>
      <w:lvlText w:val="%1．"/>
      <w:lvlJc w:val="left"/>
      <w:pPr>
        <w:ind w:left="0" w:firstLine="400"/>
      </w:pPr>
      <w:rPr>
        <w:rFonts w:hint="default"/>
      </w:rPr>
    </w:lvl>
  </w:abstractNum>
  <w:abstractNum w:abstractNumId="17">
    <w:nsid w:val="6524ECB5"/>
    <w:multiLevelType w:val="singleLevel"/>
    <w:tmpl w:val="6524ECB5"/>
    <w:lvl w:ilvl="0" w:tentative="0">
      <w:start w:val="1"/>
      <w:numFmt w:val="chineseCounting"/>
      <w:suff w:val="nothing"/>
      <w:lvlText w:val="%1、"/>
      <w:lvlJc w:val="left"/>
      <w:pPr>
        <w:ind w:left="0" w:firstLine="420"/>
      </w:pPr>
      <w:rPr>
        <w:rFonts w:hint="eastAsia"/>
      </w:rPr>
    </w:lvl>
  </w:abstractNum>
  <w:abstractNum w:abstractNumId="18">
    <w:nsid w:val="6524ECDD"/>
    <w:multiLevelType w:val="singleLevel"/>
    <w:tmpl w:val="6524ECDD"/>
    <w:lvl w:ilvl="0" w:tentative="0">
      <w:start w:val="1"/>
      <w:numFmt w:val="chineseCounting"/>
      <w:suff w:val="nothing"/>
      <w:lvlText w:val="(%1)"/>
      <w:lvlJc w:val="left"/>
    </w:lvl>
  </w:abstractNum>
  <w:abstractNum w:abstractNumId="19">
    <w:nsid w:val="6524EDFB"/>
    <w:multiLevelType w:val="singleLevel"/>
    <w:tmpl w:val="6524EDFB"/>
    <w:lvl w:ilvl="0" w:tentative="0">
      <w:start w:val="1"/>
      <w:numFmt w:val="chineseCounting"/>
      <w:suff w:val="nothing"/>
      <w:lvlText w:val="（%1）"/>
      <w:lvlJc w:val="left"/>
      <w:pPr>
        <w:ind w:left="0" w:firstLine="420"/>
      </w:pPr>
      <w:rPr>
        <w:rFonts w:hint="eastAsia"/>
      </w:rPr>
    </w:lvl>
  </w:abstractNum>
  <w:abstractNum w:abstractNumId="20">
    <w:nsid w:val="6524EE33"/>
    <w:multiLevelType w:val="singleLevel"/>
    <w:tmpl w:val="6524EE33"/>
    <w:lvl w:ilvl="0" w:tentative="0">
      <w:start w:val="1"/>
      <w:numFmt w:val="decimal"/>
      <w:suff w:val="nothing"/>
      <w:lvlText w:val="%1．"/>
      <w:lvlJc w:val="left"/>
      <w:pPr>
        <w:ind w:left="0" w:firstLine="400"/>
      </w:pPr>
      <w:rPr>
        <w:rFonts w:hint="default"/>
      </w:rPr>
    </w:lvl>
  </w:abstractNum>
  <w:abstractNum w:abstractNumId="21">
    <w:nsid w:val="6524F034"/>
    <w:multiLevelType w:val="singleLevel"/>
    <w:tmpl w:val="6524F034"/>
    <w:lvl w:ilvl="0" w:tentative="0">
      <w:start w:val="1"/>
      <w:numFmt w:val="decimalEnclosedCircleChinese"/>
      <w:suff w:val="nothing"/>
      <w:lvlText w:val="%1　"/>
      <w:lvlJc w:val="left"/>
      <w:pPr>
        <w:ind w:left="0" w:firstLine="400"/>
      </w:pPr>
      <w:rPr>
        <w:rFonts w:hint="eastAsia"/>
      </w:rPr>
    </w:lvl>
  </w:abstractNum>
  <w:abstractNum w:abstractNumId="22">
    <w:nsid w:val="6524F21A"/>
    <w:multiLevelType w:val="singleLevel"/>
    <w:tmpl w:val="6524F21A"/>
    <w:lvl w:ilvl="0" w:tentative="0">
      <w:start w:val="1"/>
      <w:numFmt w:val="decimalEnclosedCircleChinese"/>
      <w:suff w:val="nothing"/>
      <w:lvlText w:val="%1　"/>
      <w:lvlJc w:val="left"/>
      <w:pPr>
        <w:ind w:left="0" w:firstLine="400"/>
      </w:pPr>
      <w:rPr>
        <w:rFonts w:hint="eastAsia"/>
      </w:rPr>
    </w:lvl>
  </w:abstractNum>
  <w:abstractNum w:abstractNumId="23">
    <w:nsid w:val="6524F26B"/>
    <w:multiLevelType w:val="singleLevel"/>
    <w:tmpl w:val="6524F26B"/>
    <w:lvl w:ilvl="0" w:tentative="0">
      <w:start w:val="1"/>
      <w:numFmt w:val="decimalEnclosedCircleChinese"/>
      <w:suff w:val="nothing"/>
      <w:lvlText w:val="%1　"/>
      <w:lvlJc w:val="left"/>
      <w:pPr>
        <w:ind w:left="0" w:firstLine="400"/>
      </w:pPr>
      <w:rPr>
        <w:rFonts w:hint="eastAsia"/>
      </w:rPr>
    </w:lvl>
  </w:abstractNum>
  <w:abstractNum w:abstractNumId="24">
    <w:nsid w:val="6524F2E0"/>
    <w:multiLevelType w:val="singleLevel"/>
    <w:tmpl w:val="6524F2E0"/>
    <w:lvl w:ilvl="0" w:tentative="0">
      <w:start w:val="1"/>
      <w:numFmt w:val="decimalEnclosedCircleChinese"/>
      <w:suff w:val="nothing"/>
      <w:lvlText w:val="%1　"/>
      <w:lvlJc w:val="left"/>
      <w:pPr>
        <w:ind w:left="0" w:firstLine="400"/>
      </w:pPr>
      <w:rPr>
        <w:rFonts w:hint="eastAsia"/>
      </w:rPr>
    </w:lvl>
  </w:abstractNum>
  <w:abstractNum w:abstractNumId="25">
    <w:nsid w:val="6524F31A"/>
    <w:multiLevelType w:val="singleLevel"/>
    <w:tmpl w:val="6524F31A"/>
    <w:lvl w:ilvl="0" w:tentative="0">
      <w:start w:val="1"/>
      <w:numFmt w:val="decimalEnclosedCircleChinese"/>
      <w:suff w:val="nothing"/>
      <w:lvlText w:val="%1　"/>
      <w:lvlJc w:val="left"/>
      <w:pPr>
        <w:ind w:left="0" w:firstLine="400"/>
      </w:pPr>
      <w:rPr>
        <w:rFonts w:hint="eastAsia"/>
      </w:rPr>
    </w:lvl>
  </w:abstractNum>
  <w:abstractNum w:abstractNumId="26">
    <w:nsid w:val="6524F358"/>
    <w:multiLevelType w:val="singleLevel"/>
    <w:tmpl w:val="6524F358"/>
    <w:lvl w:ilvl="0" w:tentative="0">
      <w:start w:val="1"/>
      <w:numFmt w:val="decimalEnclosedCircleChinese"/>
      <w:suff w:val="nothing"/>
      <w:lvlText w:val="%1　"/>
      <w:lvlJc w:val="left"/>
      <w:pPr>
        <w:ind w:left="0" w:firstLine="400"/>
      </w:pPr>
      <w:rPr>
        <w:rFonts w:hint="eastAsia"/>
      </w:rPr>
    </w:lvl>
  </w:abstractNum>
  <w:abstractNum w:abstractNumId="27">
    <w:nsid w:val="6524F3E1"/>
    <w:multiLevelType w:val="singleLevel"/>
    <w:tmpl w:val="6524F3E1"/>
    <w:lvl w:ilvl="0" w:tentative="0">
      <w:start w:val="1"/>
      <w:numFmt w:val="decimalEnclosedCircleChinese"/>
      <w:suff w:val="nothing"/>
      <w:lvlText w:val="%1　"/>
      <w:lvlJc w:val="left"/>
      <w:pPr>
        <w:ind w:left="0" w:firstLine="400"/>
      </w:pPr>
      <w:rPr>
        <w:rFonts w:hint="eastAsia"/>
      </w:rPr>
    </w:lvl>
  </w:abstractNum>
  <w:abstractNum w:abstractNumId="28">
    <w:nsid w:val="6524F44E"/>
    <w:multiLevelType w:val="singleLevel"/>
    <w:tmpl w:val="6524F44E"/>
    <w:lvl w:ilvl="0" w:tentative="0">
      <w:start w:val="1"/>
      <w:numFmt w:val="decimalEnclosedCircleChinese"/>
      <w:suff w:val="nothing"/>
      <w:lvlText w:val="%1　"/>
      <w:lvlJc w:val="left"/>
      <w:pPr>
        <w:ind w:left="0" w:firstLine="400"/>
      </w:pPr>
      <w:rPr>
        <w:rFonts w:hint="eastAsia"/>
      </w:rPr>
    </w:lvl>
  </w:abstractNum>
  <w:abstractNum w:abstractNumId="29">
    <w:nsid w:val="749A2FFA"/>
    <w:multiLevelType w:val="singleLevel"/>
    <w:tmpl w:val="749A2FFA"/>
    <w:lvl w:ilvl="0" w:tentative="0">
      <w:start w:val="4"/>
      <w:numFmt w:val="chineseCounting"/>
      <w:suff w:val="nothing"/>
      <w:lvlText w:val="（%1）"/>
      <w:lvlJc w:val="left"/>
      <w:pPr>
        <w:ind w:left="240" w:firstLine="0"/>
      </w:pPr>
      <w:rPr>
        <w:rFonts w:hint="eastAsia"/>
      </w:rPr>
    </w:lvl>
  </w:abstractNum>
  <w:num w:numId="1">
    <w:abstractNumId w:val="1"/>
  </w:num>
  <w:num w:numId="2">
    <w:abstractNumId w:val="17"/>
  </w:num>
  <w:num w:numId="3">
    <w:abstractNumId w:val="18"/>
  </w:num>
  <w:num w:numId="4">
    <w:abstractNumId w:val="5"/>
  </w:num>
  <w:num w:numId="5">
    <w:abstractNumId w:val="3"/>
  </w:num>
  <w:num w:numId="6">
    <w:abstractNumId w:val="4"/>
  </w:num>
  <w:num w:numId="7">
    <w:abstractNumId w:val="29"/>
  </w:num>
  <w:num w:numId="8">
    <w:abstractNumId w:val="0"/>
  </w:num>
  <w:num w:numId="9">
    <w:abstractNumId w:val="6"/>
  </w:num>
  <w:num w:numId="10">
    <w:abstractNumId w:val="7"/>
  </w:num>
  <w:num w:numId="11">
    <w:abstractNumId w:val="19"/>
  </w:num>
  <w:num w:numId="12">
    <w:abstractNumId w:val="14"/>
  </w:num>
  <w:num w:numId="13">
    <w:abstractNumId w:val="15"/>
  </w:num>
  <w:num w:numId="14">
    <w:abstractNumId w:val="20"/>
  </w:num>
  <w:num w:numId="15">
    <w:abstractNumId w:val="8"/>
  </w:num>
  <w:num w:numId="16">
    <w:abstractNumId w:val="9"/>
  </w:num>
  <w:num w:numId="17">
    <w:abstractNumId w:val="10"/>
  </w:num>
  <w:num w:numId="18">
    <w:abstractNumId w:val="11"/>
  </w:num>
  <w:num w:numId="19">
    <w:abstractNumId w:val="12"/>
  </w:num>
  <w:num w:numId="20">
    <w:abstractNumId w:val="16"/>
  </w:num>
  <w:num w:numId="21">
    <w:abstractNumId w:val="13"/>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2QwYmFmYWQ2NTI5MjM0ZWFjNDE1ZjViNzMyN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93309"/>
    <w:rsid w:val="05A16594"/>
    <w:rsid w:val="05A7762D"/>
    <w:rsid w:val="060E5941"/>
    <w:rsid w:val="06110FAF"/>
    <w:rsid w:val="06493CA7"/>
    <w:rsid w:val="065A6178"/>
    <w:rsid w:val="06655EF0"/>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426A0"/>
    <w:rsid w:val="17557BEF"/>
    <w:rsid w:val="17D349C1"/>
    <w:rsid w:val="1830729E"/>
    <w:rsid w:val="185F00D6"/>
    <w:rsid w:val="1870062C"/>
    <w:rsid w:val="18817102"/>
    <w:rsid w:val="18830A15"/>
    <w:rsid w:val="18852B28"/>
    <w:rsid w:val="188B5321"/>
    <w:rsid w:val="19932372"/>
    <w:rsid w:val="19A20DD5"/>
    <w:rsid w:val="19AE03F1"/>
    <w:rsid w:val="1A071A03"/>
    <w:rsid w:val="1A1B12D9"/>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34A87"/>
    <w:rsid w:val="224A18DE"/>
    <w:rsid w:val="22BE6801"/>
    <w:rsid w:val="22F43DB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956495"/>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B7BD5"/>
    <w:rsid w:val="4019356B"/>
    <w:rsid w:val="40592157"/>
    <w:rsid w:val="406E1CAE"/>
    <w:rsid w:val="40A0133A"/>
    <w:rsid w:val="40C31A53"/>
    <w:rsid w:val="40FF545D"/>
    <w:rsid w:val="410067C8"/>
    <w:rsid w:val="41572460"/>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6E640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084658"/>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2170AA"/>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C37A5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42365</Words>
  <Characters>44804</Characters>
  <Lines>281</Lines>
  <Paragraphs>79</Paragraphs>
  <TotalTime>3</TotalTime>
  <ScaleCrop>false</ScaleCrop>
  <LinksUpToDate>false</LinksUpToDate>
  <CharactersWithSpaces>50320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2023-09-06T02:17:00Z</cp:lastPrinted>
  <dcterms:modified xsi:type="dcterms:W3CDTF">2024-10-25T06:41:51Z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0956C143738B4DAFB1B292FB24ABD308_13</vt:lpwstr>
  </property>
</Properties>
</file>